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66F" w:rsidRPr="00E148FC" w:rsidRDefault="00F45C15" w:rsidP="00EF2C7A">
      <w:pPr>
        <w:pStyle w:val="1-MainHeading"/>
        <w:spacing w:before="0" w:after="0"/>
      </w:pPr>
      <w:r w:rsidRPr="00E148FC">
        <w:t>6</w:t>
      </w:r>
      <w:r w:rsidR="00433044" w:rsidRPr="00E148FC">
        <w:t>.</w:t>
      </w:r>
      <w:r w:rsidRPr="00E148FC">
        <w:t>10</w:t>
      </w:r>
      <w:r w:rsidR="00163F66" w:rsidRPr="00E148FC">
        <w:tab/>
      </w:r>
      <w:r w:rsidR="002E0686" w:rsidRPr="00E148FC">
        <w:t>SEMAGLUTIDE</w:t>
      </w:r>
      <w:r w:rsidR="00163F66" w:rsidRPr="00E148FC">
        <w:t>,</w:t>
      </w:r>
      <w:r w:rsidR="00163F66" w:rsidRPr="00E148FC">
        <w:br/>
      </w:r>
      <w:r w:rsidR="00F11129" w:rsidRPr="00E148FC">
        <w:t xml:space="preserve">Solution for </w:t>
      </w:r>
      <w:r w:rsidR="002E0686" w:rsidRPr="00E148FC">
        <w:t>injection</w:t>
      </w:r>
      <w:r w:rsidR="00F11129" w:rsidRPr="00E148FC">
        <w:t xml:space="preserve"> 2 mg in 1.5 mL pre-filled pen</w:t>
      </w:r>
      <w:r w:rsidR="009F0E52" w:rsidRPr="00E148FC">
        <w:t>,</w:t>
      </w:r>
      <w:r w:rsidR="00163F66" w:rsidRPr="00E148FC">
        <w:br/>
      </w:r>
      <w:r w:rsidR="00F11129" w:rsidRPr="00E148FC">
        <w:t xml:space="preserve">Solution for injection 4 mg in 3 mL pre-filled pen, </w:t>
      </w:r>
      <w:r w:rsidR="00163F66" w:rsidRPr="00E148FC">
        <w:br/>
      </w:r>
      <w:r w:rsidR="002E0686" w:rsidRPr="00E148FC">
        <w:t>Ozempic</w:t>
      </w:r>
      <w:r w:rsidR="00B60939" w:rsidRPr="00E148FC">
        <w:rPr>
          <w:vertAlign w:val="superscript"/>
        </w:rPr>
        <w:t>®</w:t>
      </w:r>
      <w:r w:rsidR="004A6040" w:rsidRPr="00E148FC">
        <w:t>,</w:t>
      </w:r>
      <w:r w:rsidR="004A6040" w:rsidRPr="00E148FC">
        <w:br/>
      </w:r>
      <w:r w:rsidR="002E0686" w:rsidRPr="00E148FC">
        <w:t>Novo Nordisk Pharmaceuticals Pty Ltd</w:t>
      </w:r>
      <w:bookmarkStart w:id="0" w:name="_Toc22897637"/>
      <w:bookmarkStart w:id="1" w:name="_Toc62027955"/>
    </w:p>
    <w:p w:rsidR="00B50DB8" w:rsidRPr="00E148FC" w:rsidRDefault="00B50DB8" w:rsidP="004A6040">
      <w:pPr>
        <w:pStyle w:val="2-SectionHeading"/>
      </w:pPr>
      <w:bookmarkStart w:id="2" w:name="_Toc62027956"/>
      <w:bookmarkEnd w:id="0"/>
      <w:bookmarkEnd w:id="1"/>
      <w:r w:rsidRPr="00E148FC">
        <w:t xml:space="preserve">Purpose of </w:t>
      </w:r>
      <w:r w:rsidR="00CD7193" w:rsidRPr="00E148FC">
        <w:t>s</w:t>
      </w:r>
      <w:r w:rsidR="00BB3A45" w:rsidRPr="00E148FC">
        <w:t>ubmission</w:t>
      </w:r>
      <w:bookmarkEnd w:id="2"/>
    </w:p>
    <w:p w:rsidR="00560988" w:rsidRPr="00E148FC" w:rsidRDefault="00560988" w:rsidP="00560988">
      <w:pPr>
        <w:pStyle w:val="ExecSumBodyText"/>
      </w:pPr>
      <w:r w:rsidRPr="00E148FC">
        <w:t xml:space="preserve">The </w:t>
      </w:r>
      <w:r w:rsidR="000E33B9" w:rsidRPr="00E148FC">
        <w:t>submission</w:t>
      </w:r>
      <w:r w:rsidRPr="00E148FC">
        <w:t xml:space="preserve"> requested</w:t>
      </w:r>
      <w:r w:rsidR="000E33B9" w:rsidRPr="00E148FC">
        <w:t xml:space="preserve"> a Section 85,</w:t>
      </w:r>
      <w:r w:rsidRPr="00E148FC">
        <w:t xml:space="preserve"> Authority Required (STREAMLINED) listing for semaglutide once weekly for the treatment of </w:t>
      </w:r>
      <w:r w:rsidR="00F02089" w:rsidRPr="00E148FC">
        <w:t>T</w:t>
      </w:r>
      <w:r w:rsidRPr="00E148FC">
        <w:t xml:space="preserve">ype 2 </w:t>
      </w:r>
      <w:r w:rsidR="00F02089" w:rsidRPr="00E148FC">
        <w:t>D</w:t>
      </w:r>
      <w:r w:rsidRPr="00E148FC">
        <w:t xml:space="preserve">iabetes </w:t>
      </w:r>
      <w:r w:rsidR="00F02089" w:rsidRPr="00E148FC">
        <w:t>M</w:t>
      </w:r>
      <w:r w:rsidRPr="00E148FC">
        <w:t>ellitus</w:t>
      </w:r>
      <w:r w:rsidR="00F02089" w:rsidRPr="00E148FC">
        <w:t xml:space="preserve"> (T2DM)</w:t>
      </w:r>
      <w:r w:rsidRPr="00E148FC">
        <w:t xml:space="preserve"> in combination with insulin and metformin unless contraindicated or not tolerated.</w:t>
      </w:r>
    </w:p>
    <w:p w:rsidR="00560988" w:rsidRPr="00E148FC" w:rsidRDefault="00560988" w:rsidP="00560988">
      <w:pPr>
        <w:pStyle w:val="ExecSumBodyText"/>
      </w:pPr>
      <w:r w:rsidRPr="00E148FC">
        <w:t>The requested listing was based on a cost-minimisation analysis against dulaglutide</w:t>
      </w:r>
      <w:r w:rsidR="00852FAB" w:rsidRPr="00E148FC">
        <w:t> </w:t>
      </w:r>
      <w:r w:rsidRPr="00E148FC">
        <w:t>1.5 mg once weekly.</w:t>
      </w:r>
    </w:p>
    <w:p w:rsidR="00210DE0" w:rsidRPr="00E148FC" w:rsidRDefault="00210DE0" w:rsidP="00210DE0">
      <w:pPr>
        <w:pStyle w:val="ExecSumBodyText"/>
        <w:rPr>
          <w:color w:val="0066FF"/>
        </w:rPr>
      </w:pPr>
      <w:r w:rsidRPr="00E148FC">
        <w:t>The submission positioned semaglutide, a glucagon like peptide 1 receptor agonist (GLP-1 RA), as an alternative to other GLP-1 RAs including dulaglutide (once weekly) and exenatide (twice daily) for use in combination with insulin and metformin</w:t>
      </w:r>
      <w:r w:rsidR="004D7560" w:rsidRPr="00E148FC">
        <w:t xml:space="preserve"> </w:t>
      </w:r>
      <w:r w:rsidR="00DF2AF2" w:rsidRPr="00E148FC">
        <w:t>(</w:t>
      </w:r>
      <w:r w:rsidR="004D7560" w:rsidRPr="00E148FC">
        <w:t>unless</w:t>
      </w:r>
      <w:r w:rsidRPr="00E148FC">
        <w:t xml:space="preserve"> contraindicated or not tolerated) to treat T2DM in patients with inadequate glycaemic control despite treatment with insulin (and metformin).</w:t>
      </w:r>
      <w:r w:rsidRPr="00E148FC">
        <w:rPr>
          <w:color w:val="0066FF"/>
        </w:rPr>
        <w:t xml:space="preserve"> </w:t>
      </w:r>
    </w:p>
    <w:p w:rsidR="008B1757" w:rsidRPr="00E148FC" w:rsidRDefault="008B1757" w:rsidP="00230DB1">
      <w:pPr>
        <w:pStyle w:val="TableFigureCaption"/>
      </w:pPr>
      <w:r w:rsidRPr="00E148FC">
        <w:t xml:space="preserve">Table </w:t>
      </w:r>
      <w:r w:rsidR="00A446E2" w:rsidRPr="00E148FC">
        <w:t>1</w:t>
      </w:r>
      <w:r w:rsidRPr="00E148FC">
        <w:t>:</w:t>
      </w:r>
      <w:r w:rsidR="00BC591F" w:rsidRPr="00E148FC">
        <w:t xml:space="preserve"> </w:t>
      </w:r>
      <w:r w:rsidRPr="00E148FC">
        <w:t xml:space="preserve">Key components of the clinical issue addressed </w:t>
      </w:r>
      <w:r w:rsidR="00A446E2" w:rsidRPr="00E148FC">
        <w:t>in</w:t>
      </w:r>
      <w:r w:rsidRPr="00E148FC">
        <w:t xml:space="preserve">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E148FC" w:rsidTr="002A2ADE">
        <w:trPr>
          <w:cantSplit/>
          <w:tblHeader/>
        </w:trPr>
        <w:tc>
          <w:tcPr>
            <w:tcW w:w="924" w:type="pct"/>
            <w:shd w:val="clear" w:color="auto" w:fill="auto"/>
          </w:tcPr>
          <w:p w:rsidR="008B1757" w:rsidRPr="00E148FC" w:rsidRDefault="008B1757" w:rsidP="004A6040">
            <w:pPr>
              <w:pStyle w:val="Tableheadingrow"/>
              <w:rPr>
                <w:szCs w:val="20"/>
                <w:lang w:val="en-AU"/>
              </w:rPr>
            </w:pPr>
            <w:r w:rsidRPr="00E148FC">
              <w:rPr>
                <w:lang w:val="en-AU"/>
              </w:rPr>
              <w:t>Component</w:t>
            </w:r>
          </w:p>
        </w:tc>
        <w:tc>
          <w:tcPr>
            <w:tcW w:w="4076" w:type="pct"/>
            <w:shd w:val="clear" w:color="auto" w:fill="auto"/>
          </w:tcPr>
          <w:p w:rsidR="008B1757" w:rsidRPr="00E148FC" w:rsidRDefault="008B1757" w:rsidP="004A6040">
            <w:pPr>
              <w:pStyle w:val="Tableheadingrow"/>
              <w:rPr>
                <w:lang w:val="en-AU"/>
              </w:rPr>
            </w:pPr>
            <w:r w:rsidRPr="00E148FC">
              <w:rPr>
                <w:lang w:val="en-AU"/>
              </w:rPr>
              <w:t>Description</w:t>
            </w:r>
          </w:p>
        </w:tc>
      </w:tr>
      <w:tr w:rsidR="008B1757" w:rsidRPr="00E148FC" w:rsidTr="002A2ADE">
        <w:trPr>
          <w:cantSplit/>
        </w:trPr>
        <w:tc>
          <w:tcPr>
            <w:tcW w:w="924" w:type="pct"/>
            <w:shd w:val="clear" w:color="auto" w:fill="auto"/>
          </w:tcPr>
          <w:p w:rsidR="008B1757" w:rsidRPr="00E148FC" w:rsidRDefault="008B1757" w:rsidP="004A6040">
            <w:pPr>
              <w:pStyle w:val="TableText"/>
            </w:pPr>
            <w:r w:rsidRPr="00E148FC">
              <w:t>Population</w:t>
            </w:r>
          </w:p>
        </w:tc>
        <w:tc>
          <w:tcPr>
            <w:tcW w:w="4076" w:type="pct"/>
            <w:shd w:val="clear" w:color="auto" w:fill="auto"/>
          </w:tcPr>
          <w:p w:rsidR="00233C01" w:rsidRPr="00E148FC" w:rsidRDefault="00442AAB" w:rsidP="001113B0">
            <w:pPr>
              <w:pStyle w:val="TableText"/>
              <w:rPr>
                <w:szCs w:val="20"/>
              </w:rPr>
            </w:pPr>
            <w:r w:rsidRPr="00E148FC">
              <w:t xml:space="preserve">Patients with inadequately controlled </w:t>
            </w:r>
            <w:r w:rsidR="001113B0" w:rsidRPr="00E148FC">
              <w:t>T2DM</w:t>
            </w:r>
            <w:r w:rsidRPr="00E148FC">
              <w:t xml:space="preserve"> on insulin</w:t>
            </w:r>
            <w:r w:rsidR="00B9515E" w:rsidRPr="00E148FC">
              <w:t xml:space="preserve"> (and metformin, unless not tolerated or contraindicated)</w:t>
            </w:r>
          </w:p>
        </w:tc>
      </w:tr>
      <w:tr w:rsidR="008B1757" w:rsidRPr="00E148FC" w:rsidTr="002A2ADE">
        <w:trPr>
          <w:cantSplit/>
        </w:trPr>
        <w:tc>
          <w:tcPr>
            <w:tcW w:w="924" w:type="pct"/>
            <w:shd w:val="clear" w:color="auto" w:fill="auto"/>
          </w:tcPr>
          <w:p w:rsidR="008B1757" w:rsidRPr="00E148FC" w:rsidRDefault="008B1757" w:rsidP="004A6040">
            <w:pPr>
              <w:pStyle w:val="TableText"/>
            </w:pPr>
            <w:r w:rsidRPr="00E148FC">
              <w:t>Intervention</w:t>
            </w:r>
          </w:p>
        </w:tc>
        <w:tc>
          <w:tcPr>
            <w:tcW w:w="4076" w:type="pct"/>
            <w:shd w:val="clear" w:color="auto" w:fill="auto"/>
          </w:tcPr>
          <w:p w:rsidR="00233C01" w:rsidRPr="00E148FC" w:rsidRDefault="00442AAB" w:rsidP="00D43D83">
            <w:pPr>
              <w:pStyle w:val="TableText"/>
            </w:pPr>
            <w:r w:rsidRPr="00E148FC">
              <w:t>Once titrated, semaglutide 0.5 mg or 1.0 mg once weekly</w:t>
            </w:r>
          </w:p>
        </w:tc>
      </w:tr>
      <w:tr w:rsidR="008B1757" w:rsidRPr="00E148FC" w:rsidTr="002A2ADE">
        <w:trPr>
          <w:cantSplit/>
        </w:trPr>
        <w:tc>
          <w:tcPr>
            <w:tcW w:w="924" w:type="pct"/>
            <w:shd w:val="clear" w:color="auto" w:fill="auto"/>
          </w:tcPr>
          <w:p w:rsidR="008B1757" w:rsidRPr="00E148FC" w:rsidRDefault="008B1757" w:rsidP="004A6040">
            <w:pPr>
              <w:pStyle w:val="TableText"/>
            </w:pPr>
            <w:r w:rsidRPr="00E148FC">
              <w:t>Comparator</w:t>
            </w:r>
          </w:p>
        </w:tc>
        <w:tc>
          <w:tcPr>
            <w:tcW w:w="4076" w:type="pct"/>
            <w:shd w:val="clear" w:color="auto" w:fill="auto"/>
          </w:tcPr>
          <w:p w:rsidR="00442AAB" w:rsidRPr="00E148FC" w:rsidRDefault="00442AAB" w:rsidP="001E1E86">
            <w:pPr>
              <w:pStyle w:val="TableText"/>
            </w:pPr>
            <w:r w:rsidRPr="00E148FC">
              <w:t>Main comparator: dulaglutide 1.5 mg once weekly</w:t>
            </w:r>
          </w:p>
          <w:p w:rsidR="00442AAB" w:rsidRPr="00E148FC" w:rsidRDefault="00442AAB" w:rsidP="001E1E86">
            <w:pPr>
              <w:pStyle w:val="TableText"/>
            </w:pPr>
            <w:r w:rsidRPr="00E148FC">
              <w:t>Secondary comparator: exenatide 5 mcg to 10 mcg twice daily</w:t>
            </w:r>
          </w:p>
          <w:p w:rsidR="00233C01" w:rsidRPr="00E148FC" w:rsidRDefault="00442AAB" w:rsidP="00FD2044">
            <w:pPr>
              <w:pStyle w:val="TableText"/>
            </w:pPr>
            <w:r w:rsidRPr="00E148FC">
              <w:t>Near-market comparator: lixisenatide</w:t>
            </w:r>
            <w:r w:rsidR="000915BD" w:rsidRPr="00E148FC">
              <w:t xml:space="preserve"> with insulin glargine</w:t>
            </w:r>
            <w:r w:rsidRPr="00E148FC">
              <w:t xml:space="preserve"> </w:t>
            </w:r>
            <w:r w:rsidR="00FD2044" w:rsidRPr="00E148FC">
              <w:t>FRC</w:t>
            </w:r>
            <w:r w:rsidRPr="00E148FC">
              <w:t xml:space="preserve"> administered once daily.</w:t>
            </w:r>
          </w:p>
        </w:tc>
      </w:tr>
      <w:tr w:rsidR="008B1757" w:rsidRPr="00E148FC" w:rsidTr="002A2ADE">
        <w:trPr>
          <w:cantSplit/>
        </w:trPr>
        <w:tc>
          <w:tcPr>
            <w:tcW w:w="924" w:type="pct"/>
            <w:shd w:val="clear" w:color="auto" w:fill="auto"/>
          </w:tcPr>
          <w:p w:rsidR="008B1757" w:rsidRPr="00E148FC" w:rsidRDefault="008B1757" w:rsidP="004A6040">
            <w:pPr>
              <w:pStyle w:val="TableText"/>
            </w:pPr>
            <w:r w:rsidRPr="00E148FC">
              <w:t>Outcomes</w:t>
            </w:r>
          </w:p>
        </w:tc>
        <w:tc>
          <w:tcPr>
            <w:tcW w:w="4076" w:type="pct"/>
            <w:shd w:val="clear" w:color="auto" w:fill="auto"/>
          </w:tcPr>
          <w:p w:rsidR="00233C01" w:rsidRPr="00E148FC" w:rsidRDefault="00882473" w:rsidP="004A6040">
            <w:pPr>
              <w:pStyle w:val="TableText"/>
              <w:rPr>
                <w:rFonts w:eastAsia="Times New Roman" w:cs="Arial"/>
                <w:bCs w:val="0"/>
                <w:snapToGrid w:val="0"/>
                <w:color w:val="0066FF"/>
                <w:szCs w:val="20"/>
              </w:rPr>
            </w:pPr>
            <w:r w:rsidRPr="00E148FC">
              <w:t>Glycaemic control (change from baseline in HbA1c), change from baseline in body weight, hypoglycaemic events, other safety outcomes (treatment emergent / serious adverse events).</w:t>
            </w:r>
          </w:p>
        </w:tc>
      </w:tr>
      <w:tr w:rsidR="008B1757" w:rsidRPr="00E148FC" w:rsidTr="002A2ADE">
        <w:trPr>
          <w:cantSplit/>
        </w:trPr>
        <w:tc>
          <w:tcPr>
            <w:tcW w:w="924" w:type="pct"/>
            <w:shd w:val="clear" w:color="auto" w:fill="auto"/>
          </w:tcPr>
          <w:p w:rsidR="008B1757" w:rsidRPr="00E148FC" w:rsidRDefault="008B1757" w:rsidP="004A6040">
            <w:pPr>
              <w:pStyle w:val="TableText"/>
            </w:pPr>
            <w:r w:rsidRPr="00E148FC">
              <w:t>Clinical claim</w:t>
            </w:r>
          </w:p>
        </w:tc>
        <w:tc>
          <w:tcPr>
            <w:tcW w:w="4076" w:type="pct"/>
            <w:shd w:val="clear" w:color="auto" w:fill="auto"/>
          </w:tcPr>
          <w:p w:rsidR="00233C01" w:rsidRPr="00E148FC" w:rsidRDefault="00B9515E" w:rsidP="00B9515E">
            <w:pPr>
              <w:pStyle w:val="TableText"/>
              <w:rPr>
                <w:rFonts w:eastAsia="Times New Roman" w:cs="Arial"/>
                <w:bCs w:val="0"/>
                <w:snapToGrid w:val="0"/>
                <w:color w:val="0066FF"/>
                <w:szCs w:val="20"/>
              </w:rPr>
            </w:pPr>
            <w:r w:rsidRPr="00E148FC">
              <w:t>S</w:t>
            </w:r>
            <w:r w:rsidR="00882473" w:rsidRPr="00E148FC">
              <w:t>emaglutide is non-inferior in effectiveness (change in HbA1c) and non-inferior in terms of safety (adverse events) compared with dulaglutide, exenatide and lixisenatide.</w:t>
            </w:r>
          </w:p>
        </w:tc>
      </w:tr>
    </w:tbl>
    <w:p w:rsidR="004E43B2" w:rsidRPr="00E148FC" w:rsidRDefault="00882473" w:rsidP="004A6040">
      <w:pPr>
        <w:pStyle w:val="TableFigureFooter"/>
      </w:pPr>
      <w:r w:rsidRPr="00E148FC">
        <w:t xml:space="preserve">Source: </w:t>
      </w:r>
      <w:r w:rsidR="008B1757" w:rsidRPr="00E148FC">
        <w:t>Table</w:t>
      </w:r>
      <w:r w:rsidRPr="00E148FC">
        <w:t xml:space="preserve"> 1.1.1</w:t>
      </w:r>
      <w:r w:rsidR="008B1757" w:rsidRPr="00E148FC">
        <w:t>, p</w:t>
      </w:r>
      <w:r w:rsidRPr="00E148FC">
        <w:t>14</w:t>
      </w:r>
      <w:r w:rsidR="008B1757" w:rsidRPr="00E148FC">
        <w:t xml:space="preserve"> of the submission.</w:t>
      </w:r>
    </w:p>
    <w:p w:rsidR="00882473" w:rsidRPr="00E148FC" w:rsidRDefault="00882473" w:rsidP="004A6040">
      <w:pPr>
        <w:pStyle w:val="TableFigureFooter"/>
        <w:rPr>
          <w:sz w:val="20"/>
        </w:rPr>
      </w:pPr>
      <w:r w:rsidRPr="00E148FC">
        <w:t xml:space="preserve">Abbreviations: </w:t>
      </w:r>
      <w:r w:rsidR="00FD2044" w:rsidRPr="00E148FC">
        <w:t xml:space="preserve">FRC, fixed ratio combination; </w:t>
      </w:r>
      <w:r w:rsidRPr="00E148FC">
        <w:t>HbA1c, glycated haemoglobin</w:t>
      </w:r>
      <w:r w:rsidR="00DF2AF2" w:rsidRPr="00E148FC">
        <w:t>; T2DM, Type 2 Diabetes Mellitus</w:t>
      </w:r>
    </w:p>
    <w:p w:rsidR="00EB41D5" w:rsidRDefault="00EB41D5">
      <w:pPr>
        <w:jc w:val="left"/>
        <w:rPr>
          <w:rFonts w:asciiTheme="minorHAnsi" w:hAnsiTheme="minorHAnsi"/>
          <w:b/>
          <w:snapToGrid w:val="0"/>
          <w:sz w:val="32"/>
          <w:szCs w:val="32"/>
        </w:rPr>
      </w:pPr>
      <w:bookmarkStart w:id="3" w:name="_Toc62027957"/>
      <w:r>
        <w:br w:type="page"/>
      </w:r>
    </w:p>
    <w:p w:rsidR="005C25FF" w:rsidRPr="00E148FC" w:rsidRDefault="005C25FF" w:rsidP="004A6040">
      <w:pPr>
        <w:pStyle w:val="2-SectionHeading"/>
      </w:pPr>
      <w:r w:rsidRPr="00E148FC">
        <w:lastRenderedPageBreak/>
        <w:t>Background</w:t>
      </w:r>
      <w:bookmarkEnd w:id="3"/>
    </w:p>
    <w:p w:rsidR="005C25FF" w:rsidRPr="00E148FC" w:rsidRDefault="005C25FF" w:rsidP="004A6040">
      <w:pPr>
        <w:pStyle w:val="3-SubsectionHeading"/>
      </w:pPr>
      <w:bookmarkStart w:id="4" w:name="_Toc22897638"/>
      <w:bookmarkStart w:id="5" w:name="_Toc62027958"/>
      <w:r w:rsidRPr="00E148FC">
        <w:t>Registration status</w:t>
      </w:r>
      <w:bookmarkEnd w:id="4"/>
      <w:bookmarkEnd w:id="5"/>
    </w:p>
    <w:p w:rsidR="00A446E2" w:rsidRPr="00E148FC" w:rsidRDefault="00A446E2" w:rsidP="004E18E9">
      <w:pPr>
        <w:pStyle w:val="ExecSumBodyText"/>
      </w:pPr>
      <w:r w:rsidRPr="00E148FC">
        <w:t>Semaglutide</w:t>
      </w:r>
      <w:r w:rsidR="005C25FF" w:rsidRPr="00E148FC">
        <w:t xml:space="preserve"> was TGA registered on </w:t>
      </w:r>
      <w:r w:rsidRPr="00E148FC">
        <w:t>28 August 2019</w:t>
      </w:r>
      <w:r w:rsidR="005C25FF" w:rsidRPr="00E148FC">
        <w:t xml:space="preserve"> for </w:t>
      </w:r>
      <w:r w:rsidRPr="00E148FC">
        <w:t>treatment of adults with in</w:t>
      </w:r>
      <w:r w:rsidR="00F73F1D" w:rsidRPr="00E148FC">
        <w:t>sufficiently</w:t>
      </w:r>
      <w:r w:rsidRPr="00E148FC">
        <w:t xml:space="preserve"> controlled </w:t>
      </w:r>
      <w:r w:rsidR="00F02089" w:rsidRPr="00E148FC">
        <w:t>T2DM</w:t>
      </w:r>
      <w:r w:rsidR="00F02089" w:rsidRPr="00E148FC" w:rsidDel="00F02089">
        <w:t xml:space="preserve"> </w:t>
      </w:r>
      <w:r w:rsidRPr="00E148FC">
        <w:t>as an adjunct to diet and exercise:</w:t>
      </w:r>
    </w:p>
    <w:p w:rsidR="00A446E2" w:rsidRPr="00E148FC" w:rsidRDefault="00F73F1D" w:rsidP="004F3FC3">
      <w:pPr>
        <w:pStyle w:val="ExecSumBodyText"/>
        <w:numPr>
          <w:ilvl w:val="0"/>
          <w:numId w:val="7"/>
        </w:numPr>
        <w:spacing w:after="0"/>
        <w:ind w:left="1797" w:hanging="357"/>
      </w:pPr>
      <w:r w:rsidRPr="00E148FC">
        <w:t>a</w:t>
      </w:r>
      <w:r w:rsidR="00A446E2" w:rsidRPr="00E148FC">
        <w:t>s monotherapy when metformin is not tolerated or contraindicated</w:t>
      </w:r>
    </w:p>
    <w:p w:rsidR="005C25FF" w:rsidRPr="00E148FC" w:rsidRDefault="00F73F1D" w:rsidP="004F3FC3">
      <w:pPr>
        <w:pStyle w:val="ExecSumBodyText"/>
        <w:numPr>
          <w:ilvl w:val="0"/>
          <w:numId w:val="7"/>
        </w:numPr>
      </w:pPr>
      <w:r w:rsidRPr="00E148FC">
        <w:t>i</w:t>
      </w:r>
      <w:r w:rsidR="00A446E2" w:rsidRPr="00E148FC">
        <w:t xml:space="preserve">n addition to other medicinal products for the treatment of </w:t>
      </w:r>
      <w:r w:rsidR="00F02089" w:rsidRPr="00E148FC">
        <w:t>T2DM</w:t>
      </w:r>
      <w:r w:rsidR="00A446E2" w:rsidRPr="00E148FC">
        <w:t>.</w:t>
      </w:r>
    </w:p>
    <w:p w:rsidR="005C25FF" w:rsidRPr="00E148FC" w:rsidRDefault="005C25FF" w:rsidP="004E18E9">
      <w:pPr>
        <w:pStyle w:val="3-SubsectionHeading"/>
      </w:pPr>
      <w:bookmarkStart w:id="6" w:name="_Toc22897639"/>
      <w:bookmarkStart w:id="7" w:name="_Toc62027959"/>
      <w:r w:rsidRPr="00E148FC">
        <w:t>Previous PBAC consideration</w:t>
      </w:r>
      <w:bookmarkEnd w:id="6"/>
      <w:bookmarkEnd w:id="7"/>
    </w:p>
    <w:p w:rsidR="007B471B" w:rsidRPr="00E148FC" w:rsidRDefault="007B471B" w:rsidP="00D61D9B">
      <w:pPr>
        <w:pStyle w:val="ExecSumBodyText"/>
      </w:pPr>
      <w:r w:rsidRPr="00E148FC">
        <w:rPr>
          <w:snapToGrid/>
        </w:rPr>
        <w:t>T</w:t>
      </w:r>
      <w:r w:rsidR="00F73F1D" w:rsidRPr="00E148FC">
        <w:rPr>
          <w:snapToGrid/>
        </w:rPr>
        <w:t>he PBAC recommended s</w:t>
      </w:r>
      <w:r w:rsidR="00A446E2" w:rsidRPr="00E148FC">
        <w:rPr>
          <w:snapToGrid/>
        </w:rPr>
        <w:t xml:space="preserve">emaglutide </w:t>
      </w:r>
      <w:r w:rsidRPr="00E148FC">
        <w:rPr>
          <w:snapToGrid/>
        </w:rPr>
        <w:t xml:space="preserve">at its November 2019 meeting </w:t>
      </w:r>
      <w:r w:rsidR="00A446E2" w:rsidRPr="00E148FC">
        <w:rPr>
          <w:snapToGrid/>
        </w:rPr>
        <w:t xml:space="preserve">for </w:t>
      </w:r>
      <w:r w:rsidR="00F73F1D" w:rsidRPr="00E148FC">
        <w:rPr>
          <w:snapToGrid/>
        </w:rPr>
        <w:t xml:space="preserve">treatment of </w:t>
      </w:r>
      <w:r w:rsidR="00A446E2" w:rsidRPr="00E148FC">
        <w:rPr>
          <w:snapToGrid/>
        </w:rPr>
        <w:t xml:space="preserve">patients with </w:t>
      </w:r>
      <w:r w:rsidR="00F02089" w:rsidRPr="00E148FC">
        <w:t>T2DM</w:t>
      </w:r>
      <w:r w:rsidR="00F02089" w:rsidRPr="00E148FC" w:rsidDel="00F02089">
        <w:rPr>
          <w:snapToGrid/>
        </w:rPr>
        <w:t xml:space="preserve"> </w:t>
      </w:r>
      <w:r w:rsidR="00A446E2" w:rsidRPr="00E148FC">
        <w:rPr>
          <w:snapToGrid/>
        </w:rPr>
        <w:t>as dual therapy in combination with metformin or a sulfonylurea</w:t>
      </w:r>
      <w:r w:rsidRPr="00E148FC">
        <w:rPr>
          <w:snapToGrid/>
        </w:rPr>
        <w:t>, and</w:t>
      </w:r>
      <w:r w:rsidR="00A446E2" w:rsidRPr="00E148FC">
        <w:rPr>
          <w:snapToGrid/>
        </w:rPr>
        <w:t xml:space="preserve"> triple therapy in combination with metformin and a sulfonylurea. </w:t>
      </w:r>
    </w:p>
    <w:p w:rsidR="007807BB" w:rsidRPr="00E148FC" w:rsidRDefault="005B3E07" w:rsidP="00D61D9B">
      <w:pPr>
        <w:pStyle w:val="ExecSumBodyText"/>
        <w:rPr>
          <w:snapToGrid/>
        </w:rPr>
      </w:pPr>
      <w:r w:rsidRPr="00E148FC">
        <w:rPr>
          <w:snapToGrid/>
        </w:rPr>
        <w:t xml:space="preserve">In March 2020, the PBAC </w:t>
      </w:r>
      <w:r w:rsidR="007807BB" w:rsidRPr="00E148FC">
        <w:rPr>
          <w:snapToGrid/>
        </w:rPr>
        <w:t>recommended equi-effective doses for the cost-minimisation to dulaglutide are as follows: when used in combination with metformin (dual therapy) and in combination with metformin plus a sulfonylurea (triple therapy)</w:t>
      </w:r>
      <w:r w:rsidR="00716B9D" w:rsidRPr="00E148FC">
        <w:rPr>
          <w:snapToGrid/>
        </w:rPr>
        <w:t>,</w:t>
      </w:r>
      <w:r w:rsidR="007807BB" w:rsidRPr="00E148FC">
        <w:rPr>
          <w:snapToGrid/>
        </w:rPr>
        <w:t xml:space="preserve"> both semaglutide 0.5 mg once weekly and 1.0 mg once weekly are equi-effective to dulaglutide 1.5 mg once weekly. The PBAC considered </w:t>
      </w:r>
      <w:r w:rsidR="007807BB" w:rsidRPr="00EA7EC4">
        <w:rPr>
          <w:snapToGrid/>
        </w:rPr>
        <w:t>flat pricing</w:t>
      </w:r>
      <w:r w:rsidR="007807BB" w:rsidRPr="00E148FC">
        <w:rPr>
          <w:snapToGrid/>
        </w:rPr>
        <w:t xml:space="preserve"> across the semaglutide doses was acceptable based on the acceptance of a non-inferior outcome for both doses.</w:t>
      </w:r>
    </w:p>
    <w:p w:rsidR="007B471B" w:rsidRPr="00E148FC" w:rsidRDefault="007B471B" w:rsidP="007B471B">
      <w:pPr>
        <w:pStyle w:val="3-SubsectionHeading"/>
      </w:pPr>
      <w:bookmarkStart w:id="8" w:name="_Toc62027960"/>
      <w:r w:rsidRPr="00E148FC">
        <w:t>Current situation</w:t>
      </w:r>
      <w:bookmarkEnd w:id="8"/>
    </w:p>
    <w:p w:rsidR="002E4F02" w:rsidRPr="00E148FC" w:rsidRDefault="00A446E2" w:rsidP="00D61D9B">
      <w:pPr>
        <w:pStyle w:val="ExecSumBodyText"/>
      </w:pPr>
      <w:r w:rsidRPr="00E148FC">
        <w:rPr>
          <w:snapToGrid/>
        </w:rPr>
        <w:t xml:space="preserve">Semaglutide was </w:t>
      </w:r>
      <w:r w:rsidR="003E340A" w:rsidRPr="00E148FC">
        <w:rPr>
          <w:snapToGrid/>
        </w:rPr>
        <w:t>PBS-listed</w:t>
      </w:r>
      <w:r w:rsidRPr="00E148FC">
        <w:rPr>
          <w:snapToGrid/>
        </w:rPr>
        <w:t xml:space="preserve"> for use in dual</w:t>
      </w:r>
      <w:r w:rsidR="000915BD" w:rsidRPr="00E148FC">
        <w:rPr>
          <w:snapToGrid/>
        </w:rPr>
        <w:t>/</w:t>
      </w:r>
      <w:r w:rsidRPr="00E148FC">
        <w:rPr>
          <w:snapToGrid/>
        </w:rPr>
        <w:t xml:space="preserve"> triple therapy </w:t>
      </w:r>
      <w:r w:rsidR="00845D5D" w:rsidRPr="00E148FC">
        <w:rPr>
          <w:snapToGrid/>
        </w:rPr>
        <w:t xml:space="preserve">with metformin and/or a sulfonylurea </w:t>
      </w:r>
      <w:r w:rsidRPr="00E148FC">
        <w:rPr>
          <w:snapToGrid/>
        </w:rPr>
        <w:t>on 1</w:t>
      </w:r>
      <w:r w:rsidR="002D74EF" w:rsidRPr="00E148FC">
        <w:rPr>
          <w:snapToGrid/>
        </w:rPr>
        <w:t> </w:t>
      </w:r>
      <w:r w:rsidRPr="00E148FC">
        <w:rPr>
          <w:snapToGrid/>
        </w:rPr>
        <w:t>July</w:t>
      </w:r>
      <w:r w:rsidR="007B471B" w:rsidRPr="00E148FC">
        <w:rPr>
          <w:snapToGrid/>
        </w:rPr>
        <w:t> </w:t>
      </w:r>
      <w:r w:rsidRPr="00E148FC">
        <w:rPr>
          <w:snapToGrid/>
        </w:rPr>
        <w:t>2020.</w:t>
      </w:r>
    </w:p>
    <w:p w:rsidR="0052495F" w:rsidRPr="00E148FC" w:rsidRDefault="0052495F" w:rsidP="0090099A">
      <w:pPr>
        <w:ind w:firstLine="720"/>
        <w:rPr>
          <w:i/>
        </w:rPr>
      </w:pPr>
      <w:r w:rsidRPr="00E148FC">
        <w:rPr>
          <w:i/>
        </w:rPr>
        <w:t>For more detail on PBAC’s view, see section 7 PBAC outcome.</w:t>
      </w:r>
    </w:p>
    <w:p w:rsidR="00B60939" w:rsidRPr="00E148FC" w:rsidRDefault="00B50DB8" w:rsidP="004E18E9">
      <w:pPr>
        <w:pStyle w:val="2-SectionHeading"/>
      </w:pPr>
      <w:bookmarkStart w:id="9" w:name="_Toc62027961"/>
      <w:r w:rsidRPr="00E148FC">
        <w:t>Requested listing</w:t>
      </w:r>
      <w:bookmarkEnd w:id="9"/>
    </w:p>
    <w:p w:rsidR="0090099A" w:rsidRPr="00E148FC" w:rsidRDefault="0090099A" w:rsidP="0090099A">
      <w:pPr>
        <w:pStyle w:val="ExecSumBodyText"/>
      </w:pPr>
      <w:r w:rsidRPr="00E148FC">
        <w:t>The requested listing is presented below. Suggestions and additions proposed by the Secretariat are added in italics.</w:t>
      </w:r>
    </w:p>
    <w:p w:rsidR="0090099A" w:rsidRPr="00E148FC" w:rsidRDefault="0090099A" w:rsidP="0090099A">
      <w:pPr>
        <w:pStyle w:val="ExecSumBodyText"/>
        <w:numPr>
          <w:ilvl w:val="0"/>
          <w:numId w:val="0"/>
        </w:numPr>
      </w:pPr>
    </w:p>
    <w:p w:rsidR="00C3361B" w:rsidRDefault="00C3361B">
      <w:r>
        <w:br w:type="page"/>
      </w:r>
    </w:p>
    <w:tbl>
      <w:tblPr>
        <w:tblW w:w="4977"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514"/>
        <w:gridCol w:w="892"/>
        <w:gridCol w:w="824"/>
        <w:gridCol w:w="1495"/>
        <w:gridCol w:w="783"/>
        <w:gridCol w:w="1468"/>
      </w:tblGrid>
      <w:tr w:rsidR="003517F9" w:rsidRPr="00E148FC" w:rsidTr="00C3361B">
        <w:trPr>
          <w:cantSplit/>
          <w:trHeight w:val="463"/>
        </w:trPr>
        <w:tc>
          <w:tcPr>
            <w:tcW w:w="1957" w:type="pct"/>
            <w:vAlign w:val="center"/>
          </w:tcPr>
          <w:p w:rsidR="00617E12" w:rsidRPr="00E148FC" w:rsidRDefault="00617E12" w:rsidP="00617E12">
            <w:pPr>
              <w:keepNext/>
              <w:jc w:val="left"/>
              <w:rPr>
                <w:rFonts w:ascii="Arial Narrow" w:hAnsi="Arial Narrow"/>
                <w:b/>
                <w:sz w:val="20"/>
              </w:rPr>
            </w:pPr>
            <w:r w:rsidRPr="00E148FC">
              <w:rPr>
                <w:rFonts w:ascii="Arial Narrow" w:hAnsi="Arial Narrow"/>
                <w:b/>
                <w:sz w:val="20"/>
              </w:rPr>
              <w:lastRenderedPageBreak/>
              <w:t>Name, Restriction,</w:t>
            </w:r>
          </w:p>
          <w:p w:rsidR="00617E12" w:rsidRPr="00E148FC" w:rsidRDefault="00617E12" w:rsidP="00617E12">
            <w:pPr>
              <w:keepNext/>
              <w:jc w:val="left"/>
              <w:rPr>
                <w:rFonts w:ascii="Arial Narrow" w:hAnsi="Arial Narrow"/>
                <w:b/>
                <w:sz w:val="20"/>
              </w:rPr>
            </w:pPr>
            <w:r w:rsidRPr="00E148FC">
              <w:rPr>
                <w:rFonts w:ascii="Arial Narrow" w:hAnsi="Arial Narrow"/>
                <w:b/>
                <w:sz w:val="20"/>
              </w:rPr>
              <w:t>Manner of administration and form</w:t>
            </w:r>
          </w:p>
        </w:tc>
        <w:tc>
          <w:tcPr>
            <w:tcW w:w="497" w:type="pct"/>
            <w:vAlign w:val="center"/>
          </w:tcPr>
          <w:p w:rsidR="00617E12" w:rsidRPr="00E148FC" w:rsidRDefault="00617E12" w:rsidP="00617E12">
            <w:pPr>
              <w:keepNext/>
              <w:jc w:val="center"/>
              <w:rPr>
                <w:rFonts w:ascii="Arial Narrow" w:hAnsi="Arial Narrow"/>
                <w:b/>
                <w:sz w:val="20"/>
              </w:rPr>
            </w:pPr>
            <w:r w:rsidRPr="00E148FC">
              <w:rPr>
                <w:rFonts w:ascii="Arial Narrow" w:hAnsi="Arial Narrow"/>
                <w:b/>
                <w:sz w:val="20"/>
              </w:rPr>
              <w:t>Max.</w:t>
            </w:r>
          </w:p>
          <w:p w:rsidR="00617E12" w:rsidRPr="00E148FC" w:rsidRDefault="00617E12" w:rsidP="007C2E04">
            <w:pPr>
              <w:keepNext/>
              <w:jc w:val="center"/>
              <w:rPr>
                <w:rFonts w:ascii="Arial Narrow" w:hAnsi="Arial Narrow"/>
                <w:b/>
                <w:sz w:val="20"/>
              </w:rPr>
            </w:pPr>
            <w:r w:rsidRPr="00E148FC">
              <w:rPr>
                <w:rFonts w:ascii="Arial Narrow" w:hAnsi="Arial Narrow"/>
                <w:b/>
                <w:sz w:val="20"/>
              </w:rPr>
              <w:t>Qty</w:t>
            </w:r>
          </w:p>
        </w:tc>
        <w:tc>
          <w:tcPr>
            <w:tcW w:w="459" w:type="pct"/>
            <w:vAlign w:val="center"/>
          </w:tcPr>
          <w:p w:rsidR="00617E12" w:rsidRPr="00E148FC" w:rsidRDefault="00617E12" w:rsidP="00617E12">
            <w:pPr>
              <w:keepNext/>
              <w:jc w:val="center"/>
              <w:rPr>
                <w:rFonts w:ascii="Arial Narrow" w:hAnsi="Arial Narrow"/>
                <w:b/>
                <w:sz w:val="20"/>
              </w:rPr>
            </w:pPr>
            <w:r w:rsidRPr="00E148FC">
              <w:rPr>
                <w:rFonts w:ascii="Arial Narrow" w:hAnsi="Arial Narrow" w:cs="Times New Roman"/>
                <w:b/>
                <w:sz w:val="20"/>
              </w:rPr>
              <w:t>№</w:t>
            </w:r>
            <w:r w:rsidRPr="00E148FC">
              <w:rPr>
                <w:rFonts w:ascii="Arial Narrow" w:hAnsi="Arial Narrow"/>
                <w:b/>
                <w:sz w:val="20"/>
              </w:rPr>
              <w:t>.of</w:t>
            </w:r>
          </w:p>
          <w:p w:rsidR="00617E12" w:rsidRPr="00E148FC" w:rsidRDefault="00617E12" w:rsidP="00617E12">
            <w:pPr>
              <w:keepNext/>
              <w:jc w:val="center"/>
              <w:rPr>
                <w:rFonts w:ascii="Arial Narrow" w:hAnsi="Arial Narrow"/>
                <w:b/>
                <w:sz w:val="20"/>
              </w:rPr>
            </w:pPr>
            <w:r w:rsidRPr="00E148FC">
              <w:rPr>
                <w:rFonts w:ascii="Arial Narrow" w:hAnsi="Arial Narrow"/>
                <w:b/>
                <w:sz w:val="20"/>
              </w:rPr>
              <w:t>Rpts</w:t>
            </w:r>
          </w:p>
        </w:tc>
        <w:tc>
          <w:tcPr>
            <w:tcW w:w="833" w:type="pct"/>
            <w:vAlign w:val="center"/>
          </w:tcPr>
          <w:p w:rsidR="00617E12" w:rsidRPr="00E148FC" w:rsidRDefault="00617E12" w:rsidP="007C2E04">
            <w:pPr>
              <w:keepNext/>
              <w:jc w:val="center"/>
              <w:rPr>
                <w:rFonts w:ascii="Arial Narrow" w:hAnsi="Arial Narrow"/>
                <w:b/>
                <w:sz w:val="20"/>
              </w:rPr>
            </w:pPr>
            <w:r w:rsidRPr="00E148FC">
              <w:rPr>
                <w:rFonts w:ascii="Arial Narrow" w:hAnsi="Arial Narrow"/>
                <w:b/>
                <w:sz w:val="20"/>
              </w:rPr>
              <w:t>Dispensed Price for Max. Qty</w:t>
            </w:r>
          </w:p>
        </w:tc>
        <w:tc>
          <w:tcPr>
            <w:tcW w:w="1254" w:type="pct"/>
            <w:gridSpan w:val="2"/>
            <w:vAlign w:val="center"/>
          </w:tcPr>
          <w:p w:rsidR="00617E12" w:rsidRPr="00E148FC" w:rsidRDefault="00617E12" w:rsidP="00617E12">
            <w:pPr>
              <w:keepNext/>
              <w:jc w:val="center"/>
              <w:rPr>
                <w:rFonts w:ascii="Arial Narrow" w:hAnsi="Arial Narrow"/>
                <w:b/>
                <w:sz w:val="20"/>
              </w:rPr>
            </w:pPr>
            <w:r w:rsidRPr="00E148FC">
              <w:rPr>
                <w:rFonts w:ascii="Arial Narrow" w:hAnsi="Arial Narrow"/>
                <w:b/>
                <w:sz w:val="20"/>
              </w:rPr>
              <w:t>Proprietary Name and Manufacturer</w:t>
            </w:r>
          </w:p>
        </w:tc>
      </w:tr>
      <w:tr w:rsidR="003517F9" w:rsidRPr="00E148FC" w:rsidTr="00C3361B">
        <w:trPr>
          <w:cantSplit/>
          <w:trHeight w:val="567"/>
        </w:trPr>
        <w:tc>
          <w:tcPr>
            <w:tcW w:w="1957" w:type="pct"/>
            <w:vAlign w:val="center"/>
          </w:tcPr>
          <w:p w:rsidR="00617E12" w:rsidRPr="00E148FC" w:rsidRDefault="007C2E04" w:rsidP="00617E12">
            <w:pPr>
              <w:keepNext/>
              <w:jc w:val="left"/>
              <w:rPr>
                <w:rFonts w:ascii="Arial Narrow" w:hAnsi="Arial Narrow"/>
                <w:sz w:val="20"/>
              </w:rPr>
            </w:pPr>
            <w:r w:rsidRPr="00E148FC">
              <w:rPr>
                <w:rFonts w:ascii="Arial Narrow" w:hAnsi="Arial Narrow"/>
                <w:smallCaps/>
                <w:sz w:val="20"/>
              </w:rPr>
              <w:t>Semaglutide</w:t>
            </w:r>
          </w:p>
          <w:p w:rsidR="00617E12" w:rsidRPr="00E148FC" w:rsidRDefault="007C2E04" w:rsidP="007C2E04">
            <w:pPr>
              <w:keepNext/>
              <w:jc w:val="left"/>
              <w:rPr>
                <w:rFonts w:ascii="Arial Narrow" w:hAnsi="Arial Narrow"/>
                <w:sz w:val="20"/>
              </w:rPr>
            </w:pPr>
            <w:r w:rsidRPr="00E148FC">
              <w:rPr>
                <w:rFonts w:ascii="Arial Narrow" w:hAnsi="Arial Narrow"/>
                <w:sz w:val="20"/>
              </w:rPr>
              <w:t>1.34 mg/1 mL injection, 1 x 1.5 mL pen device</w:t>
            </w:r>
          </w:p>
          <w:p w:rsidR="007C2E04" w:rsidRPr="00E148FC" w:rsidRDefault="007C2E04" w:rsidP="007C2E04">
            <w:pPr>
              <w:keepNext/>
              <w:jc w:val="left"/>
              <w:rPr>
                <w:rFonts w:ascii="Arial Narrow" w:hAnsi="Arial Narrow"/>
                <w:sz w:val="20"/>
              </w:rPr>
            </w:pPr>
            <w:r w:rsidRPr="00E148FC">
              <w:rPr>
                <w:rFonts w:ascii="Arial Narrow" w:hAnsi="Arial Narrow"/>
                <w:sz w:val="20"/>
              </w:rPr>
              <w:t>1.34 mg/1 mL injection, 1 x 3 mL pen device</w:t>
            </w:r>
          </w:p>
        </w:tc>
        <w:tc>
          <w:tcPr>
            <w:tcW w:w="497" w:type="pct"/>
            <w:vAlign w:val="bottom"/>
          </w:tcPr>
          <w:p w:rsidR="007C2E04" w:rsidRPr="00E148FC" w:rsidRDefault="007C2E04" w:rsidP="007C2E04">
            <w:pPr>
              <w:keepNext/>
              <w:jc w:val="center"/>
              <w:rPr>
                <w:rFonts w:ascii="Arial Narrow" w:hAnsi="Arial Narrow"/>
                <w:sz w:val="20"/>
              </w:rPr>
            </w:pPr>
            <w:r w:rsidRPr="00E148FC">
              <w:rPr>
                <w:rFonts w:ascii="Arial Narrow" w:hAnsi="Arial Narrow"/>
                <w:sz w:val="20"/>
              </w:rPr>
              <w:t>1</w:t>
            </w:r>
          </w:p>
          <w:p w:rsidR="00617E12" w:rsidRPr="00E148FC" w:rsidRDefault="007C2E04" w:rsidP="007C2E04">
            <w:pPr>
              <w:keepNext/>
              <w:jc w:val="center"/>
              <w:rPr>
                <w:rFonts w:ascii="Arial Narrow" w:hAnsi="Arial Narrow"/>
                <w:sz w:val="20"/>
              </w:rPr>
            </w:pPr>
            <w:r w:rsidRPr="00E148FC">
              <w:rPr>
                <w:rFonts w:ascii="Arial Narrow" w:hAnsi="Arial Narrow"/>
                <w:sz w:val="20"/>
              </w:rPr>
              <w:t>1</w:t>
            </w:r>
          </w:p>
        </w:tc>
        <w:tc>
          <w:tcPr>
            <w:tcW w:w="459" w:type="pct"/>
            <w:vAlign w:val="bottom"/>
          </w:tcPr>
          <w:p w:rsidR="007C2E04" w:rsidRPr="00E148FC" w:rsidRDefault="007C2E04" w:rsidP="007C2E04">
            <w:pPr>
              <w:keepNext/>
              <w:jc w:val="center"/>
              <w:rPr>
                <w:rFonts w:ascii="Arial Narrow" w:hAnsi="Arial Narrow"/>
                <w:sz w:val="20"/>
              </w:rPr>
            </w:pPr>
            <w:r w:rsidRPr="00E148FC">
              <w:rPr>
                <w:rFonts w:ascii="Arial Narrow" w:hAnsi="Arial Narrow"/>
                <w:sz w:val="20"/>
              </w:rPr>
              <w:t>5</w:t>
            </w:r>
          </w:p>
          <w:p w:rsidR="00617E12" w:rsidRPr="00E148FC" w:rsidRDefault="007C2E04" w:rsidP="007C2E04">
            <w:pPr>
              <w:keepNext/>
              <w:jc w:val="center"/>
              <w:rPr>
                <w:rFonts w:ascii="Arial Narrow" w:hAnsi="Arial Narrow"/>
                <w:sz w:val="20"/>
              </w:rPr>
            </w:pPr>
            <w:r w:rsidRPr="00E148FC">
              <w:rPr>
                <w:rFonts w:ascii="Arial Narrow" w:hAnsi="Arial Narrow"/>
                <w:sz w:val="20"/>
              </w:rPr>
              <w:t>5</w:t>
            </w:r>
          </w:p>
        </w:tc>
        <w:tc>
          <w:tcPr>
            <w:tcW w:w="833" w:type="pct"/>
            <w:vAlign w:val="bottom"/>
          </w:tcPr>
          <w:p w:rsidR="007C2E04" w:rsidRPr="00E148FC" w:rsidRDefault="00617E12" w:rsidP="007C2E04">
            <w:pPr>
              <w:keepNext/>
              <w:jc w:val="center"/>
              <w:rPr>
                <w:rFonts w:ascii="Arial Narrow" w:hAnsi="Arial Narrow"/>
                <w:sz w:val="20"/>
              </w:rPr>
            </w:pPr>
            <w:r w:rsidRPr="00E148FC">
              <w:rPr>
                <w:rFonts w:ascii="Arial Narrow" w:hAnsi="Arial Narrow"/>
                <w:sz w:val="20"/>
              </w:rPr>
              <w:t>$</w:t>
            </w:r>
            <w:r w:rsidR="007C2E04" w:rsidRPr="00E148FC">
              <w:rPr>
                <w:rFonts w:ascii="Arial Narrow" w:hAnsi="Arial Narrow"/>
                <w:sz w:val="20"/>
              </w:rPr>
              <w:t>132.83</w:t>
            </w:r>
          </w:p>
          <w:p w:rsidR="00617E12" w:rsidRPr="00E148FC" w:rsidRDefault="007C2E04" w:rsidP="007C2E04">
            <w:pPr>
              <w:keepNext/>
              <w:jc w:val="center"/>
              <w:rPr>
                <w:rFonts w:ascii="Arial Narrow" w:hAnsi="Arial Narrow"/>
                <w:sz w:val="20"/>
              </w:rPr>
            </w:pPr>
            <w:r w:rsidRPr="00E148FC">
              <w:rPr>
                <w:rFonts w:ascii="Arial Narrow" w:hAnsi="Arial Narrow"/>
                <w:sz w:val="20"/>
              </w:rPr>
              <w:t>$132.83</w:t>
            </w:r>
          </w:p>
        </w:tc>
        <w:tc>
          <w:tcPr>
            <w:tcW w:w="436" w:type="pct"/>
            <w:vAlign w:val="center"/>
          </w:tcPr>
          <w:p w:rsidR="00617E12" w:rsidRPr="00E148FC" w:rsidRDefault="007C2E04" w:rsidP="00617E12">
            <w:pPr>
              <w:keepNext/>
              <w:jc w:val="center"/>
              <w:rPr>
                <w:rFonts w:ascii="Arial Narrow" w:hAnsi="Arial Narrow"/>
                <w:sz w:val="20"/>
              </w:rPr>
            </w:pPr>
            <w:r w:rsidRPr="00E148FC">
              <w:rPr>
                <w:rFonts w:ascii="Arial Narrow" w:hAnsi="Arial Narrow"/>
                <w:sz w:val="20"/>
              </w:rPr>
              <w:t>Ozempic</w:t>
            </w:r>
            <w:r w:rsidRPr="00E148FC">
              <w:rPr>
                <w:rFonts w:ascii="Arial Narrow" w:hAnsi="Arial Narrow"/>
                <w:sz w:val="20"/>
                <w:vertAlign w:val="superscript"/>
              </w:rPr>
              <w:t>®</w:t>
            </w:r>
          </w:p>
        </w:tc>
        <w:tc>
          <w:tcPr>
            <w:tcW w:w="819" w:type="pct"/>
            <w:vAlign w:val="center"/>
          </w:tcPr>
          <w:p w:rsidR="00591957" w:rsidRPr="00E148FC" w:rsidRDefault="007C2E04" w:rsidP="00EE4896">
            <w:pPr>
              <w:keepNext/>
              <w:jc w:val="center"/>
              <w:rPr>
                <w:rFonts w:ascii="Arial Narrow" w:hAnsi="Arial Narrow"/>
                <w:sz w:val="20"/>
              </w:rPr>
            </w:pPr>
            <w:r w:rsidRPr="00E148FC">
              <w:rPr>
                <w:rFonts w:ascii="Arial Narrow" w:hAnsi="Arial Narrow"/>
                <w:sz w:val="20"/>
              </w:rPr>
              <w:t>Novo Nordisk Pharmaceuticals</w:t>
            </w:r>
          </w:p>
        </w:tc>
      </w:tr>
    </w:tbl>
    <w:p w:rsidR="00B60939" w:rsidRPr="00E148FC" w:rsidRDefault="00B60939" w:rsidP="004B1CB4"/>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1"/>
        <w:gridCol w:w="8086"/>
      </w:tblGrid>
      <w:tr w:rsidR="00FE388C" w:rsidRPr="00E148FC" w:rsidTr="00F16142">
        <w:tc>
          <w:tcPr>
            <w:tcW w:w="9067" w:type="dxa"/>
            <w:gridSpan w:val="2"/>
            <w:tcBorders>
              <w:top w:val="single" w:sz="4" w:space="0" w:color="auto"/>
              <w:left w:val="single" w:sz="4" w:space="0" w:color="auto"/>
              <w:right w:val="single" w:sz="4" w:space="0" w:color="auto"/>
            </w:tcBorders>
          </w:tcPr>
          <w:p w:rsidR="00FE388C" w:rsidRPr="00E148FC" w:rsidRDefault="00FE388C" w:rsidP="00F16142">
            <w:pPr>
              <w:ind w:left="57"/>
              <w:rPr>
                <w:rFonts w:ascii="Arial Narrow" w:hAnsi="Arial Narrow"/>
                <w:b/>
                <w:sz w:val="18"/>
                <w:szCs w:val="18"/>
              </w:rPr>
            </w:pPr>
            <w:r w:rsidRPr="00E148FC">
              <w:rPr>
                <w:rFonts w:ascii="Arial Narrow" w:hAnsi="Arial Narrow"/>
                <w:b/>
                <w:sz w:val="18"/>
                <w:szCs w:val="18"/>
              </w:rPr>
              <w:t xml:space="preserve">Restriction Summary 5469 / Treatment of Concept: 5469 </w:t>
            </w:r>
          </w:p>
        </w:tc>
      </w:tr>
      <w:tr w:rsidR="00FE388C" w:rsidRPr="00E148FC" w:rsidTr="00F16142">
        <w:tc>
          <w:tcPr>
            <w:tcW w:w="981" w:type="dxa"/>
            <w:vMerge w:val="restart"/>
            <w:tcBorders>
              <w:top w:val="single" w:sz="4" w:space="0" w:color="auto"/>
              <w:left w:val="single" w:sz="4" w:space="0" w:color="auto"/>
              <w:right w:val="single" w:sz="4" w:space="0" w:color="auto"/>
            </w:tcBorders>
          </w:tcPr>
          <w:p w:rsidR="00FE388C" w:rsidRPr="00E148FC" w:rsidRDefault="00FE388C" w:rsidP="00F16142">
            <w:pPr>
              <w:jc w:val="center"/>
              <w:rPr>
                <w:rFonts w:ascii="Arial Narrow" w:hAnsi="Arial Narrow"/>
                <w:sz w:val="18"/>
                <w:szCs w:val="18"/>
              </w:rPr>
            </w:pPr>
          </w:p>
        </w:tc>
        <w:tc>
          <w:tcPr>
            <w:tcW w:w="8086" w:type="dxa"/>
            <w:tcBorders>
              <w:top w:val="single" w:sz="4" w:space="0" w:color="auto"/>
              <w:left w:val="single" w:sz="4" w:space="0" w:color="auto"/>
              <w:bottom w:val="single" w:sz="4" w:space="0" w:color="auto"/>
              <w:right w:val="single" w:sz="4" w:space="0" w:color="auto"/>
            </w:tcBorders>
          </w:tcPr>
          <w:p w:rsidR="00FE388C" w:rsidRPr="00E148FC" w:rsidRDefault="00FE388C" w:rsidP="00F16142">
            <w:pPr>
              <w:rPr>
                <w:rFonts w:ascii="Arial Narrow" w:hAnsi="Arial Narrow"/>
                <w:sz w:val="18"/>
                <w:szCs w:val="18"/>
              </w:rPr>
            </w:pPr>
            <w:r w:rsidRPr="00E148FC">
              <w:rPr>
                <w:rFonts w:ascii="Arial Narrow" w:hAnsi="Arial Narrow"/>
                <w:b/>
                <w:sz w:val="18"/>
                <w:szCs w:val="18"/>
              </w:rPr>
              <w:t xml:space="preserve">Category / Program: </w:t>
            </w:r>
            <w:r w:rsidRPr="00E148FC">
              <w:rPr>
                <w:rFonts w:ascii="Arial Narrow" w:hAnsi="Arial Narrow"/>
                <w:sz w:val="18"/>
                <w:szCs w:val="18"/>
              </w:rPr>
              <w:t>GENERAL – General Schedule (Code GE)</w:t>
            </w:r>
          </w:p>
        </w:tc>
      </w:tr>
      <w:tr w:rsidR="00FE388C" w:rsidRPr="00E148FC" w:rsidTr="00F16142">
        <w:trPr>
          <w:trHeight w:val="240"/>
        </w:trPr>
        <w:tc>
          <w:tcPr>
            <w:tcW w:w="981" w:type="dxa"/>
            <w:vMerge/>
            <w:tcBorders>
              <w:left w:val="single" w:sz="4" w:space="0" w:color="auto"/>
              <w:right w:val="single" w:sz="4" w:space="0" w:color="auto"/>
            </w:tcBorders>
          </w:tcPr>
          <w:p w:rsidR="00FE388C" w:rsidRPr="00E148FC" w:rsidRDefault="00FE388C" w:rsidP="00F16142">
            <w:pPr>
              <w:rPr>
                <w:rFonts w:ascii="Arial Narrow" w:hAnsi="Arial Narrow"/>
                <w:sz w:val="18"/>
                <w:szCs w:val="18"/>
              </w:rPr>
            </w:pPr>
          </w:p>
        </w:tc>
        <w:tc>
          <w:tcPr>
            <w:tcW w:w="8086" w:type="dxa"/>
            <w:tcBorders>
              <w:top w:val="single" w:sz="4" w:space="0" w:color="auto"/>
              <w:left w:val="single" w:sz="4" w:space="0" w:color="auto"/>
              <w:bottom w:val="single" w:sz="4" w:space="0" w:color="auto"/>
              <w:right w:val="single" w:sz="4" w:space="0" w:color="auto"/>
            </w:tcBorders>
          </w:tcPr>
          <w:p w:rsidR="00FE388C" w:rsidRPr="00E148FC" w:rsidRDefault="00FE388C" w:rsidP="00F16142">
            <w:pPr>
              <w:rPr>
                <w:rFonts w:ascii="Arial Narrow" w:hAnsi="Arial Narrow"/>
                <w:b/>
                <w:sz w:val="18"/>
                <w:szCs w:val="18"/>
              </w:rPr>
            </w:pPr>
            <w:r w:rsidRPr="00E148FC">
              <w:rPr>
                <w:rFonts w:ascii="Arial Narrow" w:hAnsi="Arial Narrow"/>
                <w:b/>
                <w:sz w:val="18"/>
                <w:szCs w:val="18"/>
              </w:rPr>
              <w:t xml:space="preserve">Prescriber type:  </w:t>
            </w:r>
            <w:r w:rsidRPr="00E148FC">
              <w:rPr>
                <w:rFonts w:ascii="Arial Narrow" w:hAnsi="Arial Narrow"/>
                <w:sz w:val="18"/>
                <w:szCs w:val="18"/>
              </w:rPr>
              <w:fldChar w:fldCharType="begin">
                <w:ffData>
                  <w:name w:val=""/>
                  <w:enabled/>
                  <w:calcOnExit w:val="0"/>
                  <w:checkBox>
                    <w:sizeAuto/>
                    <w:default w:val="1"/>
                  </w:checkBox>
                </w:ffData>
              </w:fldChar>
            </w:r>
            <w:r w:rsidRPr="00E148FC">
              <w:rPr>
                <w:rFonts w:ascii="Arial Narrow" w:hAnsi="Arial Narrow"/>
                <w:sz w:val="18"/>
                <w:szCs w:val="18"/>
              </w:rPr>
              <w:instrText xml:space="preserve"> FORMCHECKBOX </w:instrText>
            </w:r>
            <w:r w:rsidR="005E6211">
              <w:rPr>
                <w:rFonts w:ascii="Arial Narrow" w:hAnsi="Arial Narrow"/>
                <w:sz w:val="18"/>
                <w:szCs w:val="18"/>
              </w:rPr>
            </w:r>
            <w:r w:rsidR="005E6211">
              <w:rPr>
                <w:rFonts w:ascii="Arial Narrow" w:hAnsi="Arial Narrow"/>
                <w:sz w:val="18"/>
                <w:szCs w:val="18"/>
              </w:rPr>
              <w:fldChar w:fldCharType="separate"/>
            </w:r>
            <w:r w:rsidRPr="00E148FC">
              <w:rPr>
                <w:rFonts w:ascii="Arial Narrow" w:hAnsi="Arial Narrow"/>
                <w:sz w:val="18"/>
                <w:szCs w:val="18"/>
              </w:rPr>
              <w:fldChar w:fldCharType="end"/>
            </w:r>
            <w:r w:rsidRPr="00E148FC">
              <w:rPr>
                <w:rFonts w:ascii="Arial Narrow" w:hAnsi="Arial Narrow"/>
                <w:sz w:val="18"/>
                <w:szCs w:val="18"/>
              </w:rPr>
              <w:t xml:space="preserve"> Medical Practitioners    </w:t>
            </w:r>
            <w:r w:rsidRPr="00E148FC">
              <w:rPr>
                <w:rFonts w:ascii="Arial Narrow" w:hAnsi="Arial Narrow"/>
                <w:sz w:val="18"/>
                <w:szCs w:val="18"/>
              </w:rPr>
              <w:fldChar w:fldCharType="begin">
                <w:ffData>
                  <w:name w:val="Check3"/>
                  <w:enabled/>
                  <w:calcOnExit w:val="0"/>
                  <w:checkBox>
                    <w:sizeAuto/>
                    <w:default w:val="1"/>
                  </w:checkBox>
                </w:ffData>
              </w:fldChar>
            </w:r>
            <w:r w:rsidRPr="00E148FC">
              <w:rPr>
                <w:rFonts w:ascii="Arial Narrow" w:hAnsi="Arial Narrow"/>
                <w:sz w:val="18"/>
                <w:szCs w:val="18"/>
              </w:rPr>
              <w:instrText xml:space="preserve"> FORMCHECKBOX </w:instrText>
            </w:r>
            <w:r w:rsidR="005E6211">
              <w:rPr>
                <w:rFonts w:ascii="Arial Narrow" w:hAnsi="Arial Narrow"/>
                <w:sz w:val="18"/>
                <w:szCs w:val="18"/>
              </w:rPr>
            </w:r>
            <w:r w:rsidR="005E6211">
              <w:rPr>
                <w:rFonts w:ascii="Arial Narrow" w:hAnsi="Arial Narrow"/>
                <w:sz w:val="18"/>
                <w:szCs w:val="18"/>
              </w:rPr>
              <w:fldChar w:fldCharType="separate"/>
            </w:r>
            <w:r w:rsidRPr="00E148FC">
              <w:rPr>
                <w:rFonts w:ascii="Arial Narrow" w:hAnsi="Arial Narrow"/>
                <w:sz w:val="18"/>
                <w:szCs w:val="18"/>
              </w:rPr>
              <w:fldChar w:fldCharType="end"/>
            </w:r>
            <w:r w:rsidRPr="00E148FC">
              <w:rPr>
                <w:rFonts w:ascii="Arial Narrow" w:hAnsi="Arial Narrow"/>
                <w:sz w:val="18"/>
                <w:szCs w:val="18"/>
              </w:rPr>
              <w:t xml:space="preserve"> Nurse practitioners     </w:t>
            </w:r>
          </w:p>
        </w:tc>
      </w:tr>
      <w:tr w:rsidR="00FE388C" w:rsidRPr="00E148FC" w:rsidTr="00F16142">
        <w:trPr>
          <w:trHeight w:val="170"/>
        </w:trPr>
        <w:tc>
          <w:tcPr>
            <w:tcW w:w="981" w:type="dxa"/>
            <w:vMerge/>
            <w:tcBorders>
              <w:left w:val="single" w:sz="4" w:space="0" w:color="auto"/>
              <w:bottom w:val="single" w:sz="4" w:space="0" w:color="auto"/>
              <w:right w:val="single" w:sz="4" w:space="0" w:color="auto"/>
            </w:tcBorders>
          </w:tcPr>
          <w:p w:rsidR="00FE388C" w:rsidRPr="00E148FC" w:rsidRDefault="00FE388C" w:rsidP="00F16142">
            <w:pPr>
              <w:rPr>
                <w:rFonts w:ascii="Arial Narrow" w:hAnsi="Arial Narrow"/>
                <w:sz w:val="18"/>
                <w:szCs w:val="18"/>
              </w:rPr>
            </w:pPr>
          </w:p>
        </w:tc>
        <w:tc>
          <w:tcPr>
            <w:tcW w:w="8086" w:type="dxa"/>
            <w:tcBorders>
              <w:top w:val="single" w:sz="4" w:space="0" w:color="auto"/>
              <w:left w:val="single" w:sz="4" w:space="0" w:color="auto"/>
              <w:bottom w:val="single" w:sz="4" w:space="0" w:color="auto"/>
              <w:right w:val="single" w:sz="4" w:space="0" w:color="auto"/>
            </w:tcBorders>
          </w:tcPr>
          <w:p w:rsidR="00FE388C" w:rsidRPr="00E148FC" w:rsidRDefault="00FE388C" w:rsidP="00F16142">
            <w:pPr>
              <w:rPr>
                <w:rFonts w:ascii="Arial Narrow" w:hAnsi="Arial Narrow"/>
                <w:b/>
                <w:sz w:val="18"/>
                <w:szCs w:val="18"/>
              </w:rPr>
            </w:pPr>
            <w:r w:rsidRPr="00E148FC">
              <w:rPr>
                <w:rFonts w:ascii="Arial Narrow" w:hAnsi="Arial Narrow"/>
                <w:b/>
                <w:sz w:val="18"/>
                <w:szCs w:val="18"/>
              </w:rPr>
              <w:t xml:space="preserve">Restriction type:  </w:t>
            </w:r>
            <w:r w:rsidRPr="00E148FC">
              <w:rPr>
                <w:rFonts w:ascii="Arial Narrow" w:eastAsia="Calibri" w:hAnsi="Arial Narrow"/>
                <w:sz w:val="18"/>
                <w:szCs w:val="18"/>
              </w:rPr>
              <w:fldChar w:fldCharType="begin">
                <w:ffData>
                  <w:name w:val=""/>
                  <w:enabled/>
                  <w:calcOnExit w:val="0"/>
                  <w:checkBox>
                    <w:sizeAuto/>
                    <w:default w:val="1"/>
                  </w:checkBox>
                </w:ffData>
              </w:fldChar>
            </w:r>
            <w:r w:rsidRPr="00E148FC">
              <w:rPr>
                <w:rFonts w:ascii="Arial Narrow" w:eastAsia="Calibri" w:hAnsi="Arial Narrow"/>
                <w:sz w:val="18"/>
                <w:szCs w:val="18"/>
              </w:rPr>
              <w:instrText xml:space="preserve"> FORMCHECKBOX </w:instrText>
            </w:r>
            <w:r w:rsidR="005E6211">
              <w:rPr>
                <w:rFonts w:ascii="Arial Narrow" w:eastAsia="Calibri" w:hAnsi="Arial Narrow"/>
                <w:sz w:val="18"/>
                <w:szCs w:val="18"/>
              </w:rPr>
            </w:r>
            <w:r w:rsidR="005E6211">
              <w:rPr>
                <w:rFonts w:ascii="Arial Narrow" w:eastAsia="Calibri" w:hAnsi="Arial Narrow"/>
                <w:sz w:val="18"/>
                <w:szCs w:val="18"/>
              </w:rPr>
              <w:fldChar w:fldCharType="separate"/>
            </w:r>
            <w:r w:rsidRPr="00E148FC">
              <w:rPr>
                <w:rFonts w:ascii="Arial Narrow" w:eastAsia="Calibri" w:hAnsi="Arial Narrow"/>
                <w:sz w:val="18"/>
                <w:szCs w:val="18"/>
              </w:rPr>
              <w:fldChar w:fldCharType="end"/>
            </w:r>
            <w:r w:rsidRPr="00E148FC">
              <w:rPr>
                <w:rFonts w:ascii="Arial Narrow" w:eastAsia="Calibri" w:hAnsi="Arial Narrow"/>
                <w:sz w:val="18"/>
                <w:szCs w:val="18"/>
              </w:rPr>
              <w:t xml:space="preserve">Authority Required – Streamlined [5469] </w:t>
            </w:r>
            <w:r w:rsidRPr="00E148FC">
              <w:rPr>
                <w:rFonts w:ascii="Arial Narrow" w:eastAsia="Calibri" w:hAnsi="Arial Narrow"/>
                <w:color w:val="FF00FF"/>
                <w:sz w:val="18"/>
                <w:szCs w:val="18"/>
              </w:rPr>
              <w:t xml:space="preserve"> </w:t>
            </w:r>
          </w:p>
        </w:tc>
      </w:tr>
      <w:tr w:rsidR="00FE388C" w:rsidRPr="00E148FC" w:rsidTr="00FC0A90">
        <w:tc>
          <w:tcPr>
            <w:tcW w:w="981" w:type="dxa"/>
            <w:vAlign w:val="center"/>
          </w:tcPr>
          <w:p w:rsidR="00FE388C" w:rsidRPr="00E148FC" w:rsidRDefault="00FE388C" w:rsidP="00F16142">
            <w:pPr>
              <w:jc w:val="center"/>
              <w:rPr>
                <w:rFonts w:ascii="Arial Narrow" w:hAnsi="Arial Narrow"/>
                <w:color w:val="333333"/>
                <w:sz w:val="18"/>
                <w:szCs w:val="18"/>
              </w:rPr>
            </w:pPr>
          </w:p>
        </w:tc>
        <w:tc>
          <w:tcPr>
            <w:tcW w:w="8086" w:type="dxa"/>
            <w:vAlign w:val="center"/>
            <w:hideMark/>
          </w:tcPr>
          <w:p w:rsidR="00FE388C" w:rsidRPr="00E148FC" w:rsidRDefault="00FE388C" w:rsidP="00F16142">
            <w:pPr>
              <w:rPr>
                <w:rFonts w:ascii="Arial Narrow" w:hAnsi="Arial Narrow"/>
                <w:color w:val="333333"/>
                <w:sz w:val="18"/>
                <w:szCs w:val="18"/>
              </w:rPr>
            </w:pPr>
            <w:r w:rsidRPr="00E148FC">
              <w:rPr>
                <w:rFonts w:ascii="Arial Narrow" w:hAnsi="Arial Narrow"/>
                <w:b/>
                <w:bCs/>
                <w:color w:val="333333"/>
                <w:sz w:val="18"/>
                <w:szCs w:val="18"/>
              </w:rPr>
              <w:t>Indication:</w:t>
            </w:r>
            <w:r w:rsidRPr="00E148FC">
              <w:rPr>
                <w:rFonts w:ascii="Arial Narrow" w:hAnsi="Arial Narrow"/>
                <w:color w:val="333333"/>
                <w:sz w:val="18"/>
                <w:szCs w:val="18"/>
              </w:rPr>
              <w:t xml:space="preserve"> Diabetes mellitus type 2</w:t>
            </w:r>
          </w:p>
        </w:tc>
      </w:tr>
      <w:tr w:rsidR="00FE388C" w:rsidRPr="00E148FC" w:rsidTr="00FC0A90">
        <w:tc>
          <w:tcPr>
            <w:tcW w:w="981" w:type="dxa"/>
            <w:vAlign w:val="center"/>
          </w:tcPr>
          <w:p w:rsidR="00FE388C" w:rsidRPr="00E148FC" w:rsidRDefault="00FE388C" w:rsidP="00F16142">
            <w:pPr>
              <w:jc w:val="center"/>
              <w:rPr>
                <w:rFonts w:ascii="Arial Narrow" w:hAnsi="Arial Narrow"/>
                <w:color w:val="333333"/>
                <w:sz w:val="18"/>
                <w:szCs w:val="18"/>
              </w:rPr>
            </w:pPr>
          </w:p>
        </w:tc>
        <w:tc>
          <w:tcPr>
            <w:tcW w:w="8086" w:type="dxa"/>
            <w:vAlign w:val="center"/>
            <w:hideMark/>
          </w:tcPr>
          <w:p w:rsidR="00FE388C" w:rsidRPr="00E148FC" w:rsidRDefault="00FE388C" w:rsidP="00F16142">
            <w:pPr>
              <w:rPr>
                <w:rFonts w:ascii="Arial Narrow" w:hAnsi="Arial Narrow"/>
                <w:color w:val="FF00FF"/>
                <w:sz w:val="18"/>
                <w:szCs w:val="18"/>
              </w:rPr>
            </w:pPr>
            <w:r w:rsidRPr="00E148FC">
              <w:rPr>
                <w:rFonts w:ascii="Arial Narrow" w:hAnsi="Arial Narrow"/>
                <w:b/>
                <w:bCs/>
                <w:color w:val="333333"/>
                <w:sz w:val="18"/>
                <w:szCs w:val="18"/>
              </w:rPr>
              <w:t xml:space="preserve">Clinical criteria: </w:t>
            </w:r>
          </w:p>
        </w:tc>
      </w:tr>
      <w:tr w:rsidR="00FE388C" w:rsidRPr="00E148FC" w:rsidTr="00FC0A90">
        <w:tc>
          <w:tcPr>
            <w:tcW w:w="981" w:type="dxa"/>
            <w:vAlign w:val="center"/>
          </w:tcPr>
          <w:p w:rsidR="00FE388C" w:rsidRPr="00E148FC" w:rsidRDefault="00FE388C" w:rsidP="00F16142">
            <w:pPr>
              <w:jc w:val="center"/>
              <w:rPr>
                <w:rFonts w:ascii="Arial Narrow" w:hAnsi="Arial Narrow"/>
                <w:color w:val="333333"/>
                <w:sz w:val="18"/>
                <w:szCs w:val="18"/>
              </w:rPr>
            </w:pPr>
          </w:p>
        </w:tc>
        <w:tc>
          <w:tcPr>
            <w:tcW w:w="8086" w:type="dxa"/>
            <w:vAlign w:val="center"/>
            <w:hideMark/>
          </w:tcPr>
          <w:p w:rsidR="00FE388C" w:rsidRPr="00E148FC" w:rsidRDefault="00FE388C" w:rsidP="00F16142">
            <w:pPr>
              <w:pStyle w:val="Tabletext0"/>
              <w:rPr>
                <w:color w:val="333333"/>
                <w:sz w:val="18"/>
                <w:szCs w:val="18"/>
                <w:lang w:eastAsia="en-AU"/>
              </w:rPr>
            </w:pPr>
            <w:r w:rsidRPr="00E148FC">
              <w:rPr>
                <w:color w:val="333333"/>
                <w:sz w:val="18"/>
                <w:szCs w:val="18"/>
                <w:lang w:eastAsia="en-AU"/>
              </w:rPr>
              <w:t>The treatment must be in combination with insulin</w:t>
            </w:r>
          </w:p>
        </w:tc>
      </w:tr>
      <w:tr w:rsidR="00FE388C" w:rsidRPr="00E148FC" w:rsidTr="00F16142">
        <w:tc>
          <w:tcPr>
            <w:tcW w:w="981" w:type="dxa"/>
            <w:vAlign w:val="center"/>
          </w:tcPr>
          <w:p w:rsidR="00FE388C" w:rsidRPr="00E148FC" w:rsidRDefault="00FE388C" w:rsidP="00F16142">
            <w:pPr>
              <w:jc w:val="center"/>
              <w:rPr>
                <w:rFonts w:ascii="Arial Narrow" w:hAnsi="Arial Narrow"/>
                <w:color w:val="333333"/>
                <w:sz w:val="18"/>
                <w:szCs w:val="18"/>
              </w:rPr>
            </w:pPr>
          </w:p>
        </w:tc>
        <w:tc>
          <w:tcPr>
            <w:tcW w:w="8086" w:type="dxa"/>
            <w:vAlign w:val="center"/>
          </w:tcPr>
          <w:p w:rsidR="00FE388C" w:rsidRPr="00E148FC" w:rsidRDefault="00FE388C" w:rsidP="00F16142">
            <w:pPr>
              <w:pStyle w:val="Tabletext0"/>
              <w:rPr>
                <w:i/>
                <w:color w:val="333333"/>
                <w:sz w:val="18"/>
                <w:szCs w:val="18"/>
                <w:lang w:eastAsia="en-AU"/>
              </w:rPr>
            </w:pPr>
            <w:r w:rsidRPr="00E148FC">
              <w:rPr>
                <w:b/>
                <w:bCs/>
                <w:i/>
                <w:color w:val="333333"/>
                <w:sz w:val="18"/>
                <w:szCs w:val="18"/>
                <w:lang w:eastAsia="en-AU"/>
              </w:rPr>
              <w:t>AND</w:t>
            </w:r>
          </w:p>
        </w:tc>
      </w:tr>
      <w:tr w:rsidR="00FE388C" w:rsidRPr="00E148FC" w:rsidTr="00F16142">
        <w:tc>
          <w:tcPr>
            <w:tcW w:w="981" w:type="dxa"/>
            <w:vAlign w:val="center"/>
          </w:tcPr>
          <w:p w:rsidR="00FE388C" w:rsidRPr="00E148FC" w:rsidRDefault="00FE388C" w:rsidP="00F16142">
            <w:pPr>
              <w:jc w:val="center"/>
              <w:rPr>
                <w:rFonts w:ascii="Arial Narrow" w:hAnsi="Arial Narrow"/>
                <w:color w:val="333333"/>
                <w:sz w:val="18"/>
                <w:szCs w:val="18"/>
              </w:rPr>
            </w:pPr>
          </w:p>
        </w:tc>
        <w:tc>
          <w:tcPr>
            <w:tcW w:w="8086" w:type="dxa"/>
            <w:vAlign w:val="center"/>
          </w:tcPr>
          <w:p w:rsidR="00FE388C" w:rsidRPr="00E148FC" w:rsidRDefault="00FE388C" w:rsidP="00F16142">
            <w:pPr>
              <w:pStyle w:val="Tabletext0"/>
              <w:rPr>
                <w:i/>
                <w:color w:val="333333"/>
                <w:sz w:val="18"/>
                <w:szCs w:val="18"/>
                <w:lang w:eastAsia="en-AU"/>
              </w:rPr>
            </w:pPr>
            <w:r w:rsidRPr="00E148FC">
              <w:rPr>
                <w:b/>
                <w:bCs/>
                <w:i/>
                <w:color w:val="333333"/>
                <w:sz w:val="18"/>
                <w:szCs w:val="18"/>
                <w:lang w:eastAsia="en-AU"/>
              </w:rPr>
              <w:t>Clinical criteria:</w:t>
            </w:r>
          </w:p>
        </w:tc>
      </w:tr>
      <w:tr w:rsidR="00FE388C" w:rsidRPr="00E148FC" w:rsidTr="00F16142">
        <w:tc>
          <w:tcPr>
            <w:tcW w:w="981" w:type="dxa"/>
            <w:vAlign w:val="center"/>
          </w:tcPr>
          <w:p w:rsidR="00FE388C" w:rsidRPr="00E148FC" w:rsidRDefault="00FE388C" w:rsidP="00F16142">
            <w:pPr>
              <w:jc w:val="center"/>
              <w:rPr>
                <w:rFonts w:ascii="Arial Narrow" w:hAnsi="Arial Narrow"/>
                <w:color w:val="333333"/>
                <w:sz w:val="18"/>
                <w:szCs w:val="18"/>
              </w:rPr>
            </w:pPr>
          </w:p>
        </w:tc>
        <w:tc>
          <w:tcPr>
            <w:tcW w:w="8086" w:type="dxa"/>
            <w:vAlign w:val="center"/>
          </w:tcPr>
          <w:p w:rsidR="00FE388C" w:rsidRPr="00E148FC" w:rsidRDefault="00FE388C" w:rsidP="00F16142">
            <w:pPr>
              <w:pStyle w:val="Tabletext0"/>
              <w:rPr>
                <w:color w:val="333333"/>
                <w:sz w:val="18"/>
                <w:szCs w:val="18"/>
                <w:lang w:eastAsia="en-AU"/>
              </w:rPr>
            </w:pPr>
            <w:r w:rsidRPr="00E148FC">
              <w:rPr>
                <w:i/>
                <w:color w:val="333333"/>
                <w:sz w:val="18"/>
                <w:szCs w:val="18"/>
                <w:lang w:eastAsia="en-AU"/>
              </w:rPr>
              <w:t>The treatment must be in combination with metformin unless contraindicated or not tolerated</w:t>
            </w:r>
          </w:p>
        </w:tc>
      </w:tr>
      <w:tr w:rsidR="00FE388C" w:rsidRPr="00E148FC" w:rsidTr="00FC0A90">
        <w:tc>
          <w:tcPr>
            <w:tcW w:w="981" w:type="dxa"/>
            <w:vAlign w:val="center"/>
          </w:tcPr>
          <w:p w:rsidR="00FE388C" w:rsidRPr="00E148FC" w:rsidRDefault="00FE388C" w:rsidP="00F16142">
            <w:pPr>
              <w:jc w:val="center"/>
              <w:rPr>
                <w:rFonts w:ascii="Arial Narrow" w:hAnsi="Arial Narrow"/>
                <w:color w:val="333333"/>
                <w:sz w:val="18"/>
                <w:szCs w:val="18"/>
              </w:rPr>
            </w:pPr>
          </w:p>
        </w:tc>
        <w:tc>
          <w:tcPr>
            <w:tcW w:w="8086" w:type="dxa"/>
            <w:vAlign w:val="center"/>
            <w:hideMark/>
          </w:tcPr>
          <w:p w:rsidR="00FE388C" w:rsidRPr="00E148FC" w:rsidRDefault="00FE388C" w:rsidP="00F16142">
            <w:pPr>
              <w:rPr>
                <w:rFonts w:ascii="Arial Narrow" w:hAnsi="Arial Narrow"/>
                <w:color w:val="333333"/>
                <w:sz w:val="18"/>
                <w:szCs w:val="18"/>
              </w:rPr>
            </w:pPr>
            <w:r w:rsidRPr="00E148FC">
              <w:rPr>
                <w:rFonts w:ascii="Arial Narrow" w:hAnsi="Arial Narrow"/>
                <w:b/>
                <w:bCs/>
                <w:color w:val="333333"/>
                <w:sz w:val="18"/>
                <w:szCs w:val="18"/>
              </w:rPr>
              <w:t>AND</w:t>
            </w:r>
          </w:p>
        </w:tc>
      </w:tr>
      <w:tr w:rsidR="00FE388C" w:rsidRPr="00E148FC" w:rsidTr="00F16142">
        <w:tc>
          <w:tcPr>
            <w:tcW w:w="981" w:type="dxa"/>
            <w:vAlign w:val="center"/>
          </w:tcPr>
          <w:p w:rsidR="00FE388C" w:rsidRPr="00E148FC" w:rsidRDefault="00FE388C" w:rsidP="00F16142">
            <w:pPr>
              <w:jc w:val="center"/>
              <w:rPr>
                <w:rFonts w:ascii="Arial Narrow" w:hAnsi="Arial Narrow"/>
                <w:color w:val="333333"/>
                <w:sz w:val="18"/>
                <w:szCs w:val="18"/>
              </w:rPr>
            </w:pPr>
          </w:p>
        </w:tc>
        <w:tc>
          <w:tcPr>
            <w:tcW w:w="8086" w:type="dxa"/>
            <w:vAlign w:val="center"/>
            <w:hideMark/>
          </w:tcPr>
          <w:p w:rsidR="00FE388C" w:rsidRPr="00E148FC" w:rsidRDefault="00FE388C" w:rsidP="00F16142">
            <w:pPr>
              <w:rPr>
                <w:rFonts w:ascii="Arial Narrow" w:hAnsi="Arial Narrow"/>
                <w:color w:val="333333"/>
                <w:sz w:val="18"/>
                <w:szCs w:val="18"/>
              </w:rPr>
            </w:pPr>
            <w:r w:rsidRPr="00E148FC">
              <w:rPr>
                <w:rFonts w:ascii="Arial Narrow" w:hAnsi="Arial Narrow"/>
                <w:b/>
                <w:bCs/>
                <w:color w:val="333333"/>
                <w:sz w:val="18"/>
                <w:szCs w:val="18"/>
              </w:rPr>
              <w:t>Clinical criteria:</w:t>
            </w:r>
          </w:p>
        </w:tc>
      </w:tr>
      <w:tr w:rsidR="00FE388C" w:rsidRPr="00E148FC" w:rsidTr="00F16142">
        <w:trPr>
          <w:trHeight w:val="686"/>
        </w:trPr>
        <w:tc>
          <w:tcPr>
            <w:tcW w:w="981" w:type="dxa"/>
            <w:vAlign w:val="center"/>
          </w:tcPr>
          <w:p w:rsidR="00FE388C" w:rsidRPr="00E148FC" w:rsidRDefault="00FE388C" w:rsidP="00F16142">
            <w:pPr>
              <w:jc w:val="center"/>
              <w:rPr>
                <w:rFonts w:ascii="Arial Narrow" w:hAnsi="Arial Narrow"/>
                <w:color w:val="333333"/>
                <w:sz w:val="18"/>
                <w:szCs w:val="18"/>
              </w:rPr>
            </w:pPr>
          </w:p>
        </w:tc>
        <w:tc>
          <w:tcPr>
            <w:tcW w:w="8086" w:type="dxa"/>
            <w:vAlign w:val="center"/>
            <w:hideMark/>
          </w:tcPr>
          <w:p w:rsidR="00FE388C" w:rsidRPr="00E148FC" w:rsidRDefault="00FE388C" w:rsidP="00F16142">
            <w:pPr>
              <w:pStyle w:val="Tabletext0"/>
              <w:rPr>
                <w:color w:val="333333"/>
                <w:sz w:val="18"/>
                <w:szCs w:val="18"/>
                <w:lang w:eastAsia="en-AU"/>
              </w:rPr>
            </w:pPr>
            <w:r w:rsidRPr="00E148FC">
              <w:rPr>
                <w:color w:val="333333"/>
                <w:sz w:val="18"/>
                <w:szCs w:val="18"/>
                <w:lang w:eastAsia="en-AU"/>
              </w:rPr>
              <w:t>Patient must have, or have had, a HbA1c measurement greater than 7% prior to the initiation of a dipeptidyl peptidase 4 inhibitor (gliptin), a thiazolidinedione (glitazone), a glucagon-like peptide-1 or a sodium-glucose co-transporter 2 (SGLT2) inhibitor despite treatment with insulin and oral antidiabetic agents, or insulin alone where metformin is contraindicated; OR</w:t>
            </w:r>
          </w:p>
        </w:tc>
      </w:tr>
      <w:tr w:rsidR="00FE388C" w:rsidRPr="00E148FC" w:rsidTr="00F16142">
        <w:trPr>
          <w:trHeight w:val="847"/>
        </w:trPr>
        <w:tc>
          <w:tcPr>
            <w:tcW w:w="981" w:type="dxa"/>
            <w:vAlign w:val="center"/>
          </w:tcPr>
          <w:p w:rsidR="00FE388C" w:rsidRPr="00E148FC" w:rsidRDefault="00FE388C" w:rsidP="00F16142">
            <w:pPr>
              <w:jc w:val="center"/>
              <w:rPr>
                <w:rFonts w:ascii="Arial Narrow" w:hAnsi="Arial Narrow"/>
                <w:color w:val="333333"/>
                <w:sz w:val="18"/>
                <w:szCs w:val="18"/>
              </w:rPr>
            </w:pPr>
          </w:p>
        </w:tc>
        <w:tc>
          <w:tcPr>
            <w:tcW w:w="8086" w:type="dxa"/>
            <w:vAlign w:val="center"/>
          </w:tcPr>
          <w:p w:rsidR="00FE388C" w:rsidRPr="00E148FC" w:rsidRDefault="00FE388C" w:rsidP="00F16142">
            <w:pPr>
              <w:pStyle w:val="Tabletext0"/>
              <w:rPr>
                <w:color w:val="333333"/>
                <w:sz w:val="18"/>
                <w:szCs w:val="18"/>
                <w:lang w:eastAsia="en-AU"/>
              </w:rPr>
            </w:pPr>
            <w:r w:rsidRPr="00E148FC">
              <w:rPr>
                <w:color w:val="333333"/>
                <w:sz w:val="18"/>
                <w:szCs w:val="18"/>
                <w:lang w:eastAsia="en-AU"/>
              </w:rPr>
              <w:t>Patient must have, or have had, where HbA1c measurement is clinically inappropriate, blood</w:t>
            </w:r>
            <w:r w:rsidR="00C16B65">
              <w:rPr>
                <w:color w:val="333333"/>
                <w:sz w:val="18"/>
                <w:szCs w:val="18"/>
                <w:lang w:eastAsia="en-AU"/>
              </w:rPr>
              <w:t xml:space="preserve"> glucose levels greater than 10 </w:t>
            </w:r>
            <w:r w:rsidRPr="00E148FC">
              <w:rPr>
                <w:color w:val="333333"/>
                <w:sz w:val="18"/>
                <w:szCs w:val="18"/>
                <w:lang w:eastAsia="en-AU"/>
              </w:rPr>
              <w:t>mmol per L in more than 20% of tests over a 2 week period prior to initiation with a gliptin, a glitazone, a glucagon-like peptide-</w:t>
            </w:r>
            <w:r w:rsidR="00D2765F">
              <w:rPr>
                <w:color w:val="333333"/>
                <w:sz w:val="18"/>
                <w:szCs w:val="18"/>
                <w:lang w:eastAsia="en-AU"/>
              </w:rPr>
              <w:t>1 or an SGLT</w:t>
            </w:r>
            <w:r w:rsidRPr="00E148FC">
              <w:rPr>
                <w:color w:val="333333"/>
                <w:sz w:val="18"/>
                <w:szCs w:val="18"/>
                <w:lang w:eastAsia="en-AU"/>
              </w:rPr>
              <w:t>2 inhibitor despite treatment with insulin and oral antidiabetic agents, or insulin alone where metformin is contraindicated.</w:t>
            </w:r>
          </w:p>
        </w:tc>
      </w:tr>
      <w:tr w:rsidR="00FE388C" w:rsidRPr="00E148FC" w:rsidTr="00FC0A90">
        <w:trPr>
          <w:trHeight w:val="754"/>
        </w:trPr>
        <w:tc>
          <w:tcPr>
            <w:tcW w:w="981" w:type="dxa"/>
            <w:vAlign w:val="center"/>
          </w:tcPr>
          <w:p w:rsidR="00FE388C" w:rsidRPr="00E148FC" w:rsidRDefault="00FE388C" w:rsidP="00F16142">
            <w:pPr>
              <w:jc w:val="center"/>
              <w:rPr>
                <w:rFonts w:ascii="Arial Narrow" w:hAnsi="Arial Narrow"/>
                <w:color w:val="333333"/>
                <w:sz w:val="18"/>
                <w:szCs w:val="18"/>
              </w:rPr>
            </w:pPr>
          </w:p>
        </w:tc>
        <w:tc>
          <w:tcPr>
            <w:tcW w:w="8086" w:type="dxa"/>
            <w:vAlign w:val="center"/>
            <w:hideMark/>
          </w:tcPr>
          <w:p w:rsidR="00FE388C" w:rsidRPr="00E148FC" w:rsidRDefault="00FE388C" w:rsidP="00F16142">
            <w:pPr>
              <w:rPr>
                <w:rFonts w:ascii="Arial Narrow" w:hAnsi="Arial Narrow"/>
                <w:b/>
                <w:bCs/>
                <w:color w:val="FF00FF"/>
                <w:sz w:val="18"/>
                <w:szCs w:val="18"/>
              </w:rPr>
            </w:pPr>
            <w:r w:rsidRPr="00E148FC">
              <w:rPr>
                <w:rFonts w:ascii="Arial Narrow" w:hAnsi="Arial Narrow"/>
                <w:b/>
                <w:bCs/>
                <w:color w:val="333333"/>
                <w:sz w:val="18"/>
                <w:szCs w:val="18"/>
              </w:rPr>
              <w:t xml:space="preserve">Prescribing Instructions: </w:t>
            </w:r>
          </w:p>
          <w:p w:rsidR="00FE388C" w:rsidRPr="00E148FC" w:rsidRDefault="00FE388C" w:rsidP="00F16142">
            <w:pPr>
              <w:pStyle w:val="Tabletext0"/>
              <w:rPr>
                <w:sz w:val="18"/>
                <w:szCs w:val="18"/>
              </w:rPr>
            </w:pPr>
            <w:r w:rsidRPr="00E148FC">
              <w:rPr>
                <w:sz w:val="18"/>
                <w:szCs w:val="18"/>
              </w:rPr>
              <w:t>The date and level of the qualifying HbA1c measurement must be, or must have been, documented in the patient's medical records at the time treatment with a gliptin, a glitazone, a glu</w:t>
            </w:r>
            <w:r w:rsidR="00D2765F">
              <w:rPr>
                <w:sz w:val="18"/>
                <w:szCs w:val="18"/>
              </w:rPr>
              <w:t>cagon-like peptide-1 or an SGLT</w:t>
            </w:r>
            <w:r w:rsidRPr="00E148FC">
              <w:rPr>
                <w:sz w:val="18"/>
                <w:szCs w:val="18"/>
              </w:rPr>
              <w:t xml:space="preserve">2 inhibitor is initiated. </w:t>
            </w:r>
          </w:p>
        </w:tc>
      </w:tr>
      <w:tr w:rsidR="00FE388C" w:rsidRPr="00E148FC" w:rsidTr="00F16142">
        <w:trPr>
          <w:trHeight w:val="753"/>
        </w:trPr>
        <w:tc>
          <w:tcPr>
            <w:tcW w:w="981" w:type="dxa"/>
            <w:vAlign w:val="center"/>
          </w:tcPr>
          <w:p w:rsidR="00FE388C" w:rsidRPr="00E148FC" w:rsidRDefault="00FE388C" w:rsidP="00F16142">
            <w:pPr>
              <w:jc w:val="center"/>
              <w:rPr>
                <w:rFonts w:ascii="Arial Narrow" w:hAnsi="Arial Narrow"/>
                <w:color w:val="333333"/>
                <w:sz w:val="18"/>
                <w:szCs w:val="18"/>
              </w:rPr>
            </w:pPr>
          </w:p>
        </w:tc>
        <w:tc>
          <w:tcPr>
            <w:tcW w:w="8086" w:type="dxa"/>
            <w:vAlign w:val="center"/>
          </w:tcPr>
          <w:p w:rsidR="00FE388C" w:rsidRPr="00E148FC" w:rsidRDefault="00FE388C" w:rsidP="00F16142">
            <w:pPr>
              <w:pStyle w:val="Tabletext0"/>
              <w:rPr>
                <w:b/>
                <w:sz w:val="18"/>
                <w:szCs w:val="18"/>
              </w:rPr>
            </w:pPr>
            <w:r w:rsidRPr="00E148FC">
              <w:rPr>
                <w:b/>
                <w:sz w:val="18"/>
                <w:szCs w:val="18"/>
              </w:rPr>
              <w:t>Prescribing Instructions:</w:t>
            </w:r>
          </w:p>
          <w:p w:rsidR="00FE388C" w:rsidRPr="00E148FC" w:rsidRDefault="00FE388C" w:rsidP="00F16142">
            <w:pPr>
              <w:pStyle w:val="Tabletext0"/>
              <w:rPr>
                <w:sz w:val="18"/>
                <w:szCs w:val="18"/>
              </w:rPr>
            </w:pPr>
            <w:r w:rsidRPr="00E148FC">
              <w:rPr>
                <w:sz w:val="18"/>
                <w:szCs w:val="18"/>
              </w:rPr>
              <w:t>The HbA1c must be no more than 4 months old at the time treatment with a gliptin, a glitazone, a glu</w:t>
            </w:r>
            <w:r w:rsidR="00D2765F">
              <w:rPr>
                <w:sz w:val="18"/>
                <w:szCs w:val="18"/>
              </w:rPr>
              <w:t>cagon-like peptide-1 or an SGLT</w:t>
            </w:r>
            <w:r w:rsidRPr="00E148FC">
              <w:rPr>
                <w:sz w:val="18"/>
                <w:szCs w:val="18"/>
              </w:rPr>
              <w:t xml:space="preserve">2 inhibitor was initiated. </w:t>
            </w:r>
          </w:p>
        </w:tc>
      </w:tr>
      <w:tr w:rsidR="00FE388C" w:rsidRPr="00E148FC" w:rsidTr="00F16142">
        <w:trPr>
          <w:trHeight w:val="1184"/>
        </w:trPr>
        <w:tc>
          <w:tcPr>
            <w:tcW w:w="981" w:type="dxa"/>
            <w:vAlign w:val="center"/>
          </w:tcPr>
          <w:p w:rsidR="00FE388C" w:rsidRPr="00E148FC" w:rsidRDefault="00FE388C" w:rsidP="00F16142">
            <w:pPr>
              <w:jc w:val="center"/>
              <w:rPr>
                <w:rFonts w:ascii="Arial Narrow" w:hAnsi="Arial Narrow"/>
                <w:color w:val="333333"/>
                <w:sz w:val="18"/>
                <w:szCs w:val="18"/>
              </w:rPr>
            </w:pPr>
          </w:p>
        </w:tc>
        <w:tc>
          <w:tcPr>
            <w:tcW w:w="8086" w:type="dxa"/>
            <w:vAlign w:val="center"/>
          </w:tcPr>
          <w:p w:rsidR="00FE388C" w:rsidRPr="00E148FC" w:rsidRDefault="00FE388C" w:rsidP="00F16142">
            <w:pPr>
              <w:pStyle w:val="Tabletext0"/>
              <w:rPr>
                <w:b/>
                <w:sz w:val="18"/>
                <w:szCs w:val="18"/>
              </w:rPr>
            </w:pPr>
            <w:r w:rsidRPr="00E148FC">
              <w:rPr>
                <w:b/>
                <w:sz w:val="18"/>
                <w:szCs w:val="18"/>
              </w:rPr>
              <w:t>Prescribing Instructions:</w:t>
            </w:r>
          </w:p>
          <w:p w:rsidR="00FE388C" w:rsidRPr="00E148FC" w:rsidRDefault="00FE388C" w:rsidP="00F16142">
            <w:pPr>
              <w:pStyle w:val="Tabletext0"/>
              <w:rPr>
                <w:sz w:val="18"/>
                <w:szCs w:val="18"/>
              </w:rPr>
            </w:pPr>
            <w:r w:rsidRPr="00E148FC">
              <w:rPr>
                <w:sz w:val="18"/>
                <w:szCs w:val="18"/>
              </w:rPr>
              <w:t>Blood glucose monitoring may be used as an alternative assessment to HbA1c levels in the following circumstances:</w:t>
            </w:r>
          </w:p>
          <w:p w:rsidR="00FE388C" w:rsidRPr="00E148FC" w:rsidRDefault="00FE388C" w:rsidP="00F16142">
            <w:pPr>
              <w:pStyle w:val="Tabletext0"/>
              <w:rPr>
                <w:sz w:val="18"/>
                <w:szCs w:val="18"/>
              </w:rPr>
            </w:pPr>
            <w:r w:rsidRPr="00E148FC">
              <w:rPr>
                <w:sz w:val="18"/>
                <w:szCs w:val="18"/>
              </w:rPr>
              <w:t>(a) A clinical condition with reduced red blood cell survival, including haemolytic anaemias and haemoglobinopathies; and/or</w:t>
            </w:r>
          </w:p>
          <w:p w:rsidR="00FE388C" w:rsidRPr="00E148FC" w:rsidRDefault="00FE388C" w:rsidP="00F16142">
            <w:pPr>
              <w:pStyle w:val="Tabletext0"/>
              <w:rPr>
                <w:sz w:val="18"/>
                <w:szCs w:val="18"/>
              </w:rPr>
            </w:pPr>
            <w:r w:rsidRPr="00E148FC">
              <w:rPr>
                <w:sz w:val="18"/>
                <w:szCs w:val="18"/>
              </w:rPr>
              <w:t>(b) Had red cell transfusion within the previous 3 months.</w:t>
            </w:r>
          </w:p>
        </w:tc>
      </w:tr>
      <w:tr w:rsidR="00FE388C" w:rsidRPr="00E148FC" w:rsidTr="00F16142">
        <w:trPr>
          <w:trHeight w:val="947"/>
        </w:trPr>
        <w:tc>
          <w:tcPr>
            <w:tcW w:w="981" w:type="dxa"/>
            <w:vAlign w:val="center"/>
          </w:tcPr>
          <w:p w:rsidR="00FE388C" w:rsidRPr="00E148FC" w:rsidRDefault="00FE388C" w:rsidP="00F16142">
            <w:pPr>
              <w:jc w:val="center"/>
              <w:rPr>
                <w:rFonts w:ascii="Arial Narrow" w:hAnsi="Arial Narrow"/>
                <w:color w:val="333333"/>
                <w:sz w:val="18"/>
                <w:szCs w:val="18"/>
              </w:rPr>
            </w:pPr>
          </w:p>
        </w:tc>
        <w:tc>
          <w:tcPr>
            <w:tcW w:w="8086" w:type="dxa"/>
            <w:vAlign w:val="center"/>
          </w:tcPr>
          <w:p w:rsidR="00FE388C" w:rsidRPr="00E148FC" w:rsidRDefault="00FE388C" w:rsidP="00F16142">
            <w:pPr>
              <w:pStyle w:val="Tabletext0"/>
              <w:rPr>
                <w:b/>
                <w:sz w:val="18"/>
                <w:szCs w:val="18"/>
              </w:rPr>
            </w:pPr>
            <w:r w:rsidRPr="00E148FC">
              <w:rPr>
                <w:b/>
                <w:sz w:val="18"/>
                <w:szCs w:val="18"/>
              </w:rPr>
              <w:t>Prescribing Instructions:</w:t>
            </w:r>
          </w:p>
          <w:p w:rsidR="00FE388C" w:rsidRPr="00E148FC" w:rsidRDefault="00FE388C" w:rsidP="00F16142">
            <w:pPr>
              <w:rPr>
                <w:rFonts w:ascii="Arial Narrow" w:hAnsi="Arial Narrow"/>
                <w:b/>
                <w:bCs/>
                <w:color w:val="333333"/>
                <w:sz w:val="18"/>
                <w:szCs w:val="18"/>
              </w:rPr>
            </w:pPr>
            <w:r w:rsidRPr="00E148FC">
              <w:rPr>
                <w:rFonts w:ascii="Arial Narrow" w:eastAsia="Calibri" w:hAnsi="Arial Narrow"/>
                <w:sz w:val="18"/>
                <w:szCs w:val="18"/>
              </w:rPr>
              <w:t>The results of the blood glucose monitoring, which must be no more than 4 months old at the time of initiation of treatment with a gliptin, a glitazone, a glu</w:t>
            </w:r>
            <w:r w:rsidR="00D2765F">
              <w:rPr>
                <w:rFonts w:ascii="Arial Narrow" w:eastAsia="Calibri" w:hAnsi="Arial Narrow"/>
                <w:sz w:val="18"/>
                <w:szCs w:val="18"/>
              </w:rPr>
              <w:t>cagon-like peptide-1 or an SGLT</w:t>
            </w:r>
            <w:r w:rsidRPr="00E148FC">
              <w:rPr>
                <w:rFonts w:ascii="Arial Narrow" w:eastAsia="Calibri" w:hAnsi="Arial Narrow"/>
                <w:sz w:val="18"/>
                <w:szCs w:val="18"/>
              </w:rPr>
              <w:t>2 inhibitor, must be documented in the patient's medical records.</w:t>
            </w:r>
          </w:p>
        </w:tc>
      </w:tr>
      <w:tr w:rsidR="00FE388C" w:rsidRPr="00E148FC" w:rsidTr="00FC0A90">
        <w:trPr>
          <w:trHeight w:val="663"/>
        </w:trPr>
        <w:tc>
          <w:tcPr>
            <w:tcW w:w="981" w:type="dxa"/>
            <w:vAlign w:val="center"/>
          </w:tcPr>
          <w:p w:rsidR="00FE388C" w:rsidRPr="00E148FC" w:rsidRDefault="00FE388C" w:rsidP="00F16142">
            <w:pPr>
              <w:jc w:val="center"/>
              <w:rPr>
                <w:rFonts w:ascii="Arial Narrow" w:hAnsi="Arial Narrow"/>
                <w:color w:val="333333"/>
                <w:sz w:val="18"/>
                <w:szCs w:val="18"/>
              </w:rPr>
            </w:pPr>
          </w:p>
        </w:tc>
        <w:tc>
          <w:tcPr>
            <w:tcW w:w="8086" w:type="dxa"/>
            <w:vAlign w:val="center"/>
            <w:hideMark/>
          </w:tcPr>
          <w:p w:rsidR="00FE388C" w:rsidRPr="00E148FC" w:rsidRDefault="00FE388C" w:rsidP="00F16142">
            <w:pPr>
              <w:rPr>
                <w:rFonts w:ascii="Arial Narrow" w:hAnsi="Arial Narrow"/>
                <w:color w:val="333333"/>
                <w:sz w:val="18"/>
                <w:szCs w:val="18"/>
              </w:rPr>
            </w:pPr>
            <w:r w:rsidRPr="00E148FC">
              <w:rPr>
                <w:rFonts w:ascii="Arial Narrow" w:hAnsi="Arial Narrow"/>
                <w:b/>
                <w:bCs/>
                <w:color w:val="333333"/>
                <w:sz w:val="18"/>
                <w:szCs w:val="18"/>
              </w:rPr>
              <w:t xml:space="preserve">Administrative Advice: </w:t>
            </w:r>
          </w:p>
          <w:p w:rsidR="00FE388C" w:rsidRPr="00E148FC" w:rsidRDefault="00FE388C" w:rsidP="00F16142">
            <w:pPr>
              <w:rPr>
                <w:rFonts w:ascii="Arial Narrow" w:hAnsi="Arial Narrow"/>
                <w:color w:val="333333"/>
                <w:sz w:val="18"/>
                <w:szCs w:val="18"/>
              </w:rPr>
            </w:pPr>
            <w:r w:rsidRPr="00E148FC">
              <w:rPr>
                <w:rFonts w:ascii="Arial Narrow" w:eastAsia="Calibri" w:hAnsi="Arial Narrow"/>
                <w:sz w:val="18"/>
                <w:szCs w:val="18"/>
              </w:rPr>
              <w:t>This drug is not PBS-subsidised for use as monotherapy or in combination with a dipeptidyl peptidase 4 inhibitor (gliptin), a thiazolidi</w:t>
            </w:r>
            <w:r w:rsidR="00D2765F">
              <w:rPr>
                <w:rFonts w:ascii="Arial Narrow" w:eastAsia="Calibri" w:hAnsi="Arial Narrow"/>
                <w:sz w:val="18"/>
                <w:szCs w:val="18"/>
              </w:rPr>
              <w:t>nedione (glitazone), or an SGLT</w:t>
            </w:r>
            <w:r w:rsidRPr="00E148FC">
              <w:rPr>
                <w:rFonts w:ascii="Arial Narrow" w:eastAsia="Calibri" w:hAnsi="Arial Narrow"/>
                <w:sz w:val="18"/>
                <w:szCs w:val="18"/>
              </w:rPr>
              <w:t>2 inhibitor.</w:t>
            </w:r>
          </w:p>
        </w:tc>
      </w:tr>
      <w:tr w:rsidR="00FE388C" w:rsidRPr="00E148FC" w:rsidTr="00F16142">
        <w:tc>
          <w:tcPr>
            <w:tcW w:w="981" w:type="dxa"/>
            <w:vAlign w:val="center"/>
          </w:tcPr>
          <w:p w:rsidR="00FE388C" w:rsidRPr="00E148FC" w:rsidRDefault="00FE388C" w:rsidP="00F16142">
            <w:pPr>
              <w:jc w:val="center"/>
              <w:rPr>
                <w:rFonts w:ascii="Arial Narrow" w:hAnsi="Arial Narrow"/>
                <w:color w:val="333333"/>
                <w:sz w:val="18"/>
                <w:szCs w:val="18"/>
              </w:rPr>
            </w:pPr>
          </w:p>
        </w:tc>
        <w:tc>
          <w:tcPr>
            <w:tcW w:w="8086" w:type="dxa"/>
            <w:vAlign w:val="center"/>
          </w:tcPr>
          <w:p w:rsidR="00FE388C" w:rsidRPr="00E148FC" w:rsidRDefault="00FE388C" w:rsidP="00F16142">
            <w:pPr>
              <w:rPr>
                <w:rFonts w:ascii="Arial Narrow" w:hAnsi="Arial Narrow"/>
                <w:i/>
                <w:color w:val="333333"/>
                <w:sz w:val="18"/>
                <w:szCs w:val="18"/>
              </w:rPr>
            </w:pPr>
            <w:r w:rsidRPr="00E148FC">
              <w:rPr>
                <w:rFonts w:ascii="Arial Narrow" w:hAnsi="Arial Narrow"/>
                <w:b/>
                <w:bCs/>
                <w:i/>
                <w:color w:val="333333"/>
                <w:sz w:val="18"/>
                <w:szCs w:val="18"/>
              </w:rPr>
              <w:t>Administrative Advice:</w:t>
            </w:r>
            <w:r w:rsidRPr="00E148FC">
              <w:rPr>
                <w:rFonts w:ascii="Arial Narrow" w:hAnsi="Arial Narrow"/>
                <w:b/>
                <w:bCs/>
                <w:color w:val="333333"/>
                <w:sz w:val="18"/>
                <w:szCs w:val="18"/>
              </w:rPr>
              <w:t xml:space="preserve"> </w:t>
            </w:r>
            <w:r w:rsidRPr="00E148FC">
              <w:rPr>
                <w:rFonts w:ascii="Arial Narrow" w:eastAsia="Calibri" w:hAnsi="Arial Narrow"/>
                <w:i/>
                <w:sz w:val="18"/>
                <w:szCs w:val="18"/>
              </w:rPr>
              <w:t>Special Pricing Arrangements apply.</w:t>
            </w:r>
          </w:p>
        </w:tc>
      </w:tr>
    </w:tbl>
    <w:p w:rsidR="0090099A" w:rsidRPr="00E148FC" w:rsidRDefault="0090099A" w:rsidP="004B1CB4"/>
    <w:p w:rsidR="00591957" w:rsidRPr="00E148FC" w:rsidRDefault="007C2E04" w:rsidP="004E18E9">
      <w:pPr>
        <w:pStyle w:val="ExecSumBodyText"/>
      </w:pPr>
      <w:r w:rsidRPr="00E148FC">
        <w:t xml:space="preserve">The sponsor proposed a </w:t>
      </w:r>
      <w:r w:rsidR="002D74EF" w:rsidRPr="00E148FC">
        <w:t>S</w:t>
      </w:r>
      <w:r w:rsidRPr="00E148FC">
        <w:t xml:space="preserve">pecial </w:t>
      </w:r>
      <w:r w:rsidR="002D74EF" w:rsidRPr="00E148FC">
        <w:t>P</w:t>
      </w:r>
      <w:r w:rsidRPr="00E148FC">
        <w:t xml:space="preserve">ricing </w:t>
      </w:r>
      <w:r w:rsidR="002D74EF" w:rsidRPr="00E148FC">
        <w:t>A</w:t>
      </w:r>
      <w:r w:rsidRPr="00E148FC">
        <w:t>rrangement</w:t>
      </w:r>
      <w:r w:rsidR="002D74EF" w:rsidRPr="00E148FC">
        <w:t xml:space="preserve"> (SPA)</w:t>
      </w:r>
      <w:r w:rsidRPr="00E148FC">
        <w:t xml:space="preserve"> for this indication, and suggested it could be achieved via a variation of the existing Deed of Agreement for semaglutide used in d</w:t>
      </w:r>
      <w:r w:rsidR="003E340A" w:rsidRPr="00E148FC">
        <w:t>ual/</w:t>
      </w:r>
      <w:r w:rsidRPr="00E148FC">
        <w:t>triple therapy</w:t>
      </w:r>
      <w:r w:rsidR="00716B9D" w:rsidRPr="00E148FC">
        <w:t xml:space="preserve"> with metformin and/or a sulfonylurea</w:t>
      </w:r>
      <w:r w:rsidRPr="00E148FC">
        <w:t>. The submission did not propose an effective price f</w:t>
      </w:r>
      <w:r w:rsidR="00C12FE9" w:rsidRPr="00E148FC">
        <w:t>or the requested</w:t>
      </w:r>
      <w:r w:rsidRPr="00E148FC">
        <w:t xml:space="preserve"> indication</w:t>
      </w:r>
      <w:r w:rsidR="00C12FE9" w:rsidRPr="00E148FC">
        <w:t xml:space="preserve"> with insulin</w:t>
      </w:r>
      <w:r w:rsidR="004D7560" w:rsidRPr="00E148FC">
        <w:t xml:space="preserve"> and metformin unless contraindicated or not tolerated</w:t>
      </w:r>
      <w:r w:rsidR="00E93791" w:rsidRPr="00E148FC">
        <w:t>, stating that the sponsor was</w:t>
      </w:r>
      <w:r w:rsidRPr="00E148FC">
        <w:t xml:space="preserve"> </w:t>
      </w:r>
      <w:r w:rsidRPr="00E148FC">
        <w:lastRenderedPageBreak/>
        <w:t xml:space="preserve">awaiting </w:t>
      </w:r>
      <w:r w:rsidR="004C2D9A" w:rsidRPr="00E148FC">
        <w:t>PBS listing for</w:t>
      </w:r>
      <w:r w:rsidR="00D57C55" w:rsidRPr="00E148FC">
        <w:t xml:space="preserve"> dulaglutide</w:t>
      </w:r>
      <w:r w:rsidRPr="00E148FC">
        <w:t xml:space="preserve"> in this indication.</w:t>
      </w:r>
      <w:r w:rsidR="00445721" w:rsidRPr="00E148FC">
        <w:t xml:space="preserve"> The PBAC noted that, as of 1</w:t>
      </w:r>
      <w:r w:rsidR="00B467C5" w:rsidRPr="00E148FC">
        <w:t> </w:t>
      </w:r>
      <w:r w:rsidR="00445721" w:rsidRPr="00E148FC">
        <w:t xml:space="preserve">March 2021, dulaglutide once weekly </w:t>
      </w:r>
      <w:r w:rsidR="0050762E" w:rsidRPr="00E148FC">
        <w:t xml:space="preserve">(with or without metformin) </w:t>
      </w:r>
      <w:r w:rsidR="00445721" w:rsidRPr="00E148FC">
        <w:t xml:space="preserve">can be co-prescribed with insulin on the PBS. </w:t>
      </w:r>
    </w:p>
    <w:p w:rsidR="00BC01AF" w:rsidRPr="00E148FC" w:rsidRDefault="00BC01AF" w:rsidP="00805E05">
      <w:pPr>
        <w:pStyle w:val="ExecSumBodyText"/>
        <w:rPr>
          <w:i/>
        </w:rPr>
      </w:pPr>
      <w:r w:rsidRPr="00E148FC">
        <w:t xml:space="preserve">The requested restriction </w:t>
      </w:r>
      <w:r w:rsidR="00EB3C1C" w:rsidRPr="00E148FC">
        <w:t>is</w:t>
      </w:r>
      <w:r w:rsidRPr="00E148FC">
        <w:t xml:space="preserve"> narrower than the approved TGA indication as semaglutide must be used with insulin in combination with metformin (unless contraindicated or not tolerated), and patients must meet qualifying HbA1c or blood glucose levels</w:t>
      </w:r>
      <w:r w:rsidRPr="00E148FC">
        <w:rPr>
          <w:i/>
        </w:rPr>
        <w:t xml:space="preserve">. </w:t>
      </w:r>
    </w:p>
    <w:p w:rsidR="00CC35EA" w:rsidRPr="00E148FC" w:rsidRDefault="00F546D7" w:rsidP="00805E05">
      <w:pPr>
        <w:pStyle w:val="ExecSumBodyText"/>
      </w:pPr>
      <w:r w:rsidRPr="00E148FC">
        <w:t>The PBAC noted that t</w:t>
      </w:r>
      <w:r w:rsidR="00C12FE9" w:rsidRPr="00E148FC">
        <w:t>he requested restriction for use</w:t>
      </w:r>
      <w:r w:rsidR="005A7E2D" w:rsidRPr="00E148FC">
        <w:t xml:space="preserve"> of semaglutide</w:t>
      </w:r>
      <w:r w:rsidR="00C12FE9" w:rsidRPr="00E148FC">
        <w:t xml:space="preserve"> w</w:t>
      </w:r>
      <w:r w:rsidR="00EA40DA" w:rsidRPr="00E148FC">
        <w:t>ith insulin and metformin</w:t>
      </w:r>
      <w:r w:rsidR="00845D5D" w:rsidRPr="00E148FC">
        <w:t xml:space="preserve"> (unless contraindicated or not tolerated)</w:t>
      </w:r>
      <w:r w:rsidR="00C12FE9" w:rsidRPr="00E148FC">
        <w:t xml:space="preserve"> </w:t>
      </w:r>
      <w:r w:rsidRPr="00E148FC">
        <w:t>is</w:t>
      </w:r>
      <w:r w:rsidR="004D63FA" w:rsidRPr="00E148FC">
        <w:t xml:space="preserve"> </w:t>
      </w:r>
      <w:r w:rsidR="00C12FE9" w:rsidRPr="00E148FC">
        <w:t>consistent with the PBS listings of exenatide 5 mcg and 10</w:t>
      </w:r>
      <w:r w:rsidR="00852FAB" w:rsidRPr="00E148FC">
        <w:t> </w:t>
      </w:r>
      <w:r w:rsidR="00C12FE9" w:rsidRPr="00E148FC">
        <w:t xml:space="preserve">mcg twice daily, </w:t>
      </w:r>
      <w:r w:rsidR="001B2BC0" w:rsidRPr="00E148FC">
        <w:t xml:space="preserve">and </w:t>
      </w:r>
      <w:r w:rsidR="00C12FE9" w:rsidRPr="00E148FC">
        <w:t>dulaglutide</w:t>
      </w:r>
      <w:r w:rsidR="00394B9F" w:rsidRPr="00E148FC">
        <w:t xml:space="preserve"> once weekly</w:t>
      </w:r>
      <w:r w:rsidR="00445721" w:rsidRPr="00E148FC">
        <w:t>.</w:t>
      </w:r>
      <w:r w:rsidR="00805E05" w:rsidRPr="00E148FC">
        <w:t xml:space="preserve"> </w:t>
      </w:r>
      <w:r w:rsidRPr="00E148FC">
        <w:t xml:space="preserve">The pre-PBAC response acknowledged </w:t>
      </w:r>
      <w:r w:rsidR="00CF00BE" w:rsidRPr="00E148FC">
        <w:t xml:space="preserve">that </w:t>
      </w:r>
      <w:r w:rsidR="00805E05" w:rsidRPr="00E148FC">
        <w:t>the clinical criteri</w:t>
      </w:r>
      <w:r w:rsidRPr="00E148FC">
        <w:t xml:space="preserve">on, </w:t>
      </w:r>
      <w:r w:rsidR="00805E05" w:rsidRPr="00E148FC">
        <w:t>“The treatment must be in combination with metformin unless co</w:t>
      </w:r>
      <w:r w:rsidRPr="00E148FC">
        <w:t>ntraindicated or not tolerated”, was inadvertently omitted from the requested listing</w:t>
      </w:r>
      <w:r w:rsidR="00E148FC">
        <w:t xml:space="preserve">. </w:t>
      </w:r>
    </w:p>
    <w:p w:rsidR="0052495F" w:rsidRPr="00E148FC" w:rsidRDefault="0052495F" w:rsidP="0052495F">
      <w:pPr>
        <w:pStyle w:val="ExecSumBodyText"/>
        <w:numPr>
          <w:ilvl w:val="0"/>
          <w:numId w:val="0"/>
        </w:numPr>
        <w:ind w:left="720"/>
      </w:pPr>
      <w:r w:rsidRPr="00E148FC">
        <w:rPr>
          <w:i/>
        </w:rPr>
        <w:t>For more detail on PBAC’s view, see section 7 PBAC outcome.</w:t>
      </w:r>
    </w:p>
    <w:p w:rsidR="00B50DB8" w:rsidRPr="00E148FC" w:rsidRDefault="00203181" w:rsidP="004E18E9">
      <w:pPr>
        <w:pStyle w:val="2-SectionHeading"/>
      </w:pPr>
      <w:bookmarkStart w:id="10" w:name="_Toc62027962"/>
      <w:r w:rsidRPr="00E148FC">
        <w:t xml:space="preserve">Population and </w:t>
      </w:r>
      <w:r w:rsidR="008E0D3C" w:rsidRPr="00E148FC">
        <w:t>d</w:t>
      </w:r>
      <w:r w:rsidRPr="00E148FC">
        <w:t>isease</w:t>
      </w:r>
      <w:bookmarkEnd w:id="10"/>
    </w:p>
    <w:p w:rsidR="00805E05" w:rsidRPr="00E148FC" w:rsidRDefault="00EE4896" w:rsidP="00805E05">
      <w:pPr>
        <w:pStyle w:val="ExecSumBodyText"/>
      </w:pPr>
      <w:r w:rsidRPr="00E148FC">
        <w:t>T2DM</w:t>
      </w:r>
      <w:r w:rsidR="00805E05" w:rsidRPr="00E148FC">
        <w:t xml:space="preserve"> is the most common type of diabetes in adults and is characterised by hyperglycaemia associated with variable degrees of impaired insulin secretion and peripheral resistance to insulin. It is a chronic condition associated with a range of hereditary and lifestyle risk factors including poor diet, insufficient physical activity and being overweight or obese. Overall disease prevalence in Australia is increasing over time but it is more common in men, the elderly, Aboriginal and Torres Strait Islander</w:t>
      </w:r>
      <w:r w:rsidR="00A03B0F" w:rsidRPr="00E148FC">
        <w:t xml:space="preserve"> people </w:t>
      </w:r>
      <w:r w:rsidR="00805E05" w:rsidRPr="00E148FC">
        <w:t>and socially disadvantaged populations.</w:t>
      </w:r>
    </w:p>
    <w:p w:rsidR="00542595" w:rsidRPr="00E148FC" w:rsidRDefault="00805E05" w:rsidP="00805E05">
      <w:pPr>
        <w:pStyle w:val="ExecSumBodyText"/>
        <w:rPr>
          <w:color w:val="0066FF"/>
        </w:rPr>
      </w:pPr>
      <w:r w:rsidRPr="00E148FC">
        <w:t>Diabetes complications are divided into microvascular (damage to small blood vessels) and macrovascular (damage to large blood vessels). Microvascular complications include damage to eyes (retinopathy) leading to blindness, to kidneys (nephropathy) leading to renal failure, to nerves (neuropathy) and diabetic foot disorders (which include severe infections leading to amputation). Macrovascular complications include cardiovascular diseases such as myocardial infarction, stroke and peripheral vascular disease.</w:t>
      </w:r>
    </w:p>
    <w:p w:rsidR="00181550" w:rsidRPr="00E148FC" w:rsidRDefault="00EA5957" w:rsidP="00805E05">
      <w:pPr>
        <w:pStyle w:val="ExecSumBodyText"/>
        <w:rPr>
          <w:color w:val="0066FF"/>
        </w:rPr>
      </w:pPr>
      <w:r w:rsidRPr="00E148FC">
        <w:t>The PBAC noted that in most clinical situations</w:t>
      </w:r>
      <w:r w:rsidR="00CE3A1E" w:rsidRPr="00E148FC">
        <w:t xml:space="preserve"> (endorsed by groups such as the Australian Diabetes Society and the American Diabetes Association)</w:t>
      </w:r>
      <w:r w:rsidRPr="00E148FC">
        <w:t>, either SGL</w:t>
      </w:r>
      <w:r w:rsidR="00CE3A1E" w:rsidRPr="00E148FC">
        <w:t>T2 inhibitors or GLP-1 RAs</w:t>
      </w:r>
      <w:r w:rsidRPr="00E148FC">
        <w:t xml:space="preserve"> are now recommended as the next step i</w:t>
      </w:r>
      <w:r w:rsidR="00CE3A1E" w:rsidRPr="00E148FC">
        <w:t xml:space="preserve">n </w:t>
      </w:r>
      <w:r w:rsidR="00B675D8" w:rsidRPr="00E148FC">
        <w:t>T2DM</w:t>
      </w:r>
      <w:r w:rsidR="00CE3A1E" w:rsidRPr="00E148FC">
        <w:t xml:space="preserve"> management</w:t>
      </w:r>
      <w:r w:rsidRPr="00E148FC">
        <w:t xml:space="preserve"> when lifestyle changes and maximally tolerated metformin are insufficient to meet HbA1c targets</w:t>
      </w:r>
      <w:r w:rsidR="00CE3A1E" w:rsidRPr="00E148FC">
        <w:rPr>
          <w:rStyle w:val="FootnoteReference"/>
        </w:rPr>
        <w:footnoteReference w:id="1"/>
      </w:r>
      <w:r w:rsidRPr="00E148FC">
        <w:t xml:space="preserve">. </w:t>
      </w:r>
      <w:r w:rsidR="001E545E" w:rsidRPr="00E148FC">
        <w:t xml:space="preserve">The choice of either a GLP-1 RA or SGLT2 inhibitor is dependent upon the presence of cardiovascular disease, heart failure or kidney disease, or the need to minimise weight gain or promote weight loss; insulin can then be added if required. </w:t>
      </w:r>
      <w:r w:rsidRPr="00E148FC">
        <w:t>The PBAC</w:t>
      </w:r>
      <w:r w:rsidR="00CE3A1E" w:rsidRPr="00E148FC">
        <w:t xml:space="preserve"> also</w:t>
      </w:r>
      <w:r w:rsidRPr="00E148FC">
        <w:t xml:space="preserve"> noted the submission’s clinical management algorithm for T2DM from </w:t>
      </w:r>
      <w:r w:rsidRPr="00E148FC">
        <w:lastRenderedPageBreak/>
        <w:t>the Australian Diabetes Society</w:t>
      </w:r>
      <w:r w:rsidR="00334722" w:rsidRPr="00E148FC">
        <w:t>,</w:t>
      </w:r>
      <w:r w:rsidRPr="00E148FC">
        <w:t xml:space="preserve"> </w:t>
      </w:r>
      <w:r w:rsidR="00334722" w:rsidRPr="00E148FC">
        <w:t>where</w:t>
      </w:r>
      <w:r w:rsidRPr="00E148FC">
        <w:t xml:space="preserve"> a GLP-1 RA with insulin regimen </w:t>
      </w:r>
      <w:r w:rsidR="00334722" w:rsidRPr="00E148FC">
        <w:t xml:space="preserve">is recommended </w:t>
      </w:r>
      <w:r w:rsidRPr="00E148FC">
        <w:t>as second</w:t>
      </w:r>
      <w:r w:rsidR="00075624" w:rsidRPr="00E148FC">
        <w:t>-line</w:t>
      </w:r>
      <w:r w:rsidRPr="00E148FC">
        <w:t xml:space="preserve"> and third</w:t>
      </w:r>
      <w:r w:rsidR="00075624" w:rsidRPr="00E148FC">
        <w:t>-</w:t>
      </w:r>
      <w:r w:rsidRPr="00E148FC">
        <w:t>line treatment</w:t>
      </w:r>
      <w:r w:rsidR="00075624" w:rsidRPr="00E148FC">
        <w:t xml:space="preserve"> (</w:t>
      </w:r>
      <w:r w:rsidR="001E545E" w:rsidRPr="00E148FC">
        <w:t>with</w:t>
      </w:r>
      <w:r w:rsidR="00075624" w:rsidRPr="00E148FC">
        <w:t xml:space="preserve"> metformin </w:t>
      </w:r>
      <w:r w:rsidR="001E545E" w:rsidRPr="00E148FC">
        <w:t>as</w:t>
      </w:r>
      <w:r w:rsidR="00874B6D" w:rsidRPr="00E148FC">
        <w:t xml:space="preserve"> </w:t>
      </w:r>
      <w:r w:rsidR="00075624" w:rsidRPr="00E148FC">
        <w:t>first-line therapy unless contraindicated or not tolerated)</w:t>
      </w:r>
      <w:r w:rsidRPr="00E148FC">
        <w:rPr>
          <w:rStyle w:val="FootnoteReference"/>
        </w:rPr>
        <w:footnoteReference w:id="2"/>
      </w:r>
      <w:r w:rsidR="00334722" w:rsidRPr="00E148FC">
        <w:t>.</w:t>
      </w:r>
      <w:r w:rsidR="00430E47" w:rsidRPr="00E148FC">
        <w:t xml:space="preserve"> </w:t>
      </w:r>
      <w:r w:rsidR="00334722" w:rsidRPr="00E148FC">
        <w:t xml:space="preserve">The PBAC </w:t>
      </w:r>
      <w:r w:rsidR="00430E47" w:rsidRPr="00E148FC">
        <w:t>considered that</w:t>
      </w:r>
      <w:r w:rsidRPr="00E148FC">
        <w:t xml:space="preserve"> the requested listing </w:t>
      </w:r>
      <w:r w:rsidR="00430E47" w:rsidRPr="00E148FC">
        <w:t>provides for</w:t>
      </w:r>
      <w:r w:rsidRPr="00E148FC">
        <w:t xml:space="preserve"> an additional option for GLP-1 RA treatment alongside the current </w:t>
      </w:r>
      <w:r w:rsidR="00EF2C7A" w:rsidRPr="00E148FC">
        <w:t xml:space="preserve">PBS-listed </w:t>
      </w:r>
      <w:r w:rsidR="007D09D1" w:rsidRPr="00E148FC">
        <w:t xml:space="preserve">regimens. </w:t>
      </w:r>
    </w:p>
    <w:p w:rsidR="0052495F" w:rsidRPr="00E148FC" w:rsidRDefault="0052495F" w:rsidP="0052495F">
      <w:pPr>
        <w:pStyle w:val="ExecSumBodyText"/>
        <w:numPr>
          <w:ilvl w:val="0"/>
          <w:numId w:val="0"/>
        </w:numPr>
        <w:ind w:left="720"/>
        <w:rPr>
          <w:color w:val="0066FF"/>
        </w:rPr>
      </w:pPr>
      <w:r w:rsidRPr="00E148FC">
        <w:rPr>
          <w:i/>
        </w:rPr>
        <w:t>For more detail on PBAC’s view, see section 7 PBAC outcome.</w:t>
      </w:r>
    </w:p>
    <w:p w:rsidR="00B50DB8" w:rsidRPr="00E148FC" w:rsidRDefault="00B50DB8" w:rsidP="004E18E9">
      <w:pPr>
        <w:pStyle w:val="2-SectionHeading"/>
      </w:pPr>
      <w:bookmarkStart w:id="11" w:name="_Toc62027963"/>
      <w:r w:rsidRPr="00E148FC">
        <w:t>Comparator</w:t>
      </w:r>
      <w:bookmarkEnd w:id="11"/>
    </w:p>
    <w:p w:rsidR="00C648E6" w:rsidRPr="00E148FC" w:rsidRDefault="00542595" w:rsidP="00C648E6">
      <w:pPr>
        <w:pStyle w:val="ExecSumBodyText"/>
        <w:rPr>
          <w:snapToGrid/>
        </w:rPr>
      </w:pPr>
      <w:r w:rsidRPr="00E148FC">
        <w:t>The submission nominated dulaglutide 1.5 mg once weekly as the main comparator, as it is a GLP-1 RA with the same method and frequency o</w:t>
      </w:r>
      <w:r w:rsidR="00573204" w:rsidRPr="00E148FC">
        <w:t>f administration as semaglutide, and it received a positive recommendation by the PBAC in July 2020 for use in combination with insulin</w:t>
      </w:r>
      <w:r w:rsidR="007B471B" w:rsidRPr="00E148FC">
        <w:t xml:space="preserve"> and metformin unless contraindicated or not tolerated</w:t>
      </w:r>
      <w:r w:rsidR="00CA66D4" w:rsidRPr="00E148FC">
        <w:t xml:space="preserve"> on a cost-minimisation basis compared with exenatide 10</w:t>
      </w:r>
      <w:r w:rsidR="00331CB7" w:rsidRPr="00E148FC">
        <w:t xml:space="preserve"> </w:t>
      </w:r>
      <w:r w:rsidR="00CA66D4" w:rsidRPr="00E148FC">
        <w:t>mcg B</w:t>
      </w:r>
      <w:r w:rsidR="006B0603" w:rsidRPr="00E148FC">
        <w:t>I</w:t>
      </w:r>
      <w:r w:rsidR="00CA66D4" w:rsidRPr="00E148FC">
        <w:t>D</w:t>
      </w:r>
      <w:r w:rsidR="00573204" w:rsidRPr="00E148FC">
        <w:t xml:space="preserve">. </w:t>
      </w:r>
      <w:r w:rsidR="00CA66D4" w:rsidRPr="00E148FC">
        <w:t>At the time of evaluation, d</w:t>
      </w:r>
      <w:r w:rsidR="00573204" w:rsidRPr="00E148FC">
        <w:t>ulaglutide ha</w:t>
      </w:r>
      <w:r w:rsidR="00983FC6" w:rsidRPr="00E148FC">
        <w:t>d</w:t>
      </w:r>
      <w:r w:rsidR="00573204" w:rsidRPr="00E148FC">
        <w:t xml:space="preserve"> not yet been </w:t>
      </w:r>
      <w:r w:rsidR="003E340A" w:rsidRPr="00E148FC">
        <w:t>PBS-listed</w:t>
      </w:r>
      <w:r w:rsidR="00573204" w:rsidRPr="00E148FC">
        <w:t xml:space="preserve"> for this indication. The submission also nominated exenatide twice daily as a secondary comparator as it </w:t>
      </w:r>
      <w:r w:rsidR="00331CB7" w:rsidRPr="00E148FC">
        <w:t>was</w:t>
      </w:r>
      <w:r w:rsidR="00573204" w:rsidRPr="00E148FC">
        <w:t xml:space="preserve"> the only GLP-1 </w:t>
      </w:r>
      <w:r w:rsidR="00E148FC" w:rsidRPr="00E148FC">
        <w:t>RA listed</w:t>
      </w:r>
      <w:r w:rsidR="00573204" w:rsidRPr="00E148FC">
        <w:t xml:space="preserve"> on the PBS for the treatment of </w:t>
      </w:r>
      <w:r w:rsidR="00EE4896" w:rsidRPr="00E148FC">
        <w:t>T2DM</w:t>
      </w:r>
      <w:r w:rsidR="00573204" w:rsidRPr="00E148FC">
        <w:t xml:space="preserve"> in combination with insulin</w:t>
      </w:r>
      <w:r w:rsidR="00331CB7" w:rsidRPr="00E148FC">
        <w:t xml:space="preserve"> at the time</w:t>
      </w:r>
      <w:r w:rsidR="00573204" w:rsidRPr="00E148FC">
        <w:t>.</w:t>
      </w:r>
      <w:r w:rsidR="00D22F99" w:rsidRPr="00E148FC">
        <w:t xml:space="preserve"> </w:t>
      </w:r>
      <w:r w:rsidR="00F11211" w:rsidRPr="00E148FC">
        <w:t xml:space="preserve">The </w:t>
      </w:r>
      <w:r w:rsidR="00D76955" w:rsidRPr="00E148FC">
        <w:t>PBAC</w:t>
      </w:r>
      <w:r w:rsidR="00F11211" w:rsidRPr="00E148FC">
        <w:t xml:space="preserve"> considered that t</w:t>
      </w:r>
      <w:r w:rsidR="00D22F99" w:rsidRPr="00E148FC">
        <w:t>hese were appropriate comparators.</w:t>
      </w:r>
    </w:p>
    <w:p w:rsidR="00B50DB8" w:rsidRPr="00E148FC" w:rsidRDefault="00D22F99" w:rsidP="00C648E6">
      <w:pPr>
        <w:pStyle w:val="ExecSumBodyText"/>
        <w:rPr>
          <w:snapToGrid/>
        </w:rPr>
      </w:pPr>
      <w:r w:rsidRPr="00E148FC">
        <w:rPr>
          <w:snapToGrid/>
        </w:rPr>
        <w:t xml:space="preserve">The submission also nominated once-daily lixisenatide (a GLP-1 RA) with insulin glargine fixed ratio combination (FRC) as a near market comparator, as it was considered (but </w:t>
      </w:r>
      <w:r w:rsidR="00656548" w:rsidRPr="00E148FC">
        <w:rPr>
          <w:snapToGrid/>
        </w:rPr>
        <w:t>not recommended</w:t>
      </w:r>
      <w:r w:rsidRPr="00E148FC">
        <w:rPr>
          <w:snapToGrid/>
        </w:rPr>
        <w:t>) by the PBAC in March 2018 and March 2019.</w:t>
      </w:r>
      <w:r w:rsidRPr="00E148FC">
        <w:rPr>
          <w:i/>
          <w:snapToGrid/>
        </w:rPr>
        <w:t xml:space="preserve"> </w:t>
      </w:r>
      <w:r w:rsidR="00F11211" w:rsidRPr="00E148FC">
        <w:rPr>
          <w:snapToGrid/>
        </w:rPr>
        <w:t>The evaluation considered that l</w:t>
      </w:r>
      <w:r w:rsidR="00BD1EF0" w:rsidRPr="00E148FC">
        <w:rPr>
          <w:snapToGrid/>
        </w:rPr>
        <w:t>ixisenatide with insulin glargine was an appropriate potential comparator. However,</w:t>
      </w:r>
      <w:r w:rsidR="0024132D" w:rsidRPr="00E148FC">
        <w:rPr>
          <w:snapToGrid/>
        </w:rPr>
        <w:t xml:space="preserve"> the PBAC noted</w:t>
      </w:r>
      <w:r w:rsidR="00BD1EF0" w:rsidRPr="00E148FC">
        <w:rPr>
          <w:snapToGrid/>
        </w:rPr>
        <w:t xml:space="preserve"> there </w:t>
      </w:r>
      <w:r w:rsidRPr="00E148FC">
        <w:rPr>
          <w:snapToGrid/>
        </w:rPr>
        <w:t>have been no further considerations of lixisenatide with insulin glargine since the March</w:t>
      </w:r>
      <w:r w:rsidR="00EE4896" w:rsidRPr="00E148FC">
        <w:rPr>
          <w:snapToGrid/>
        </w:rPr>
        <w:t> </w:t>
      </w:r>
      <w:r w:rsidRPr="00E148FC">
        <w:rPr>
          <w:snapToGrid/>
        </w:rPr>
        <w:t>2019 PBAC meeting</w:t>
      </w:r>
      <w:r w:rsidR="0024132D" w:rsidRPr="00E148FC">
        <w:rPr>
          <w:snapToGrid/>
        </w:rPr>
        <w:t xml:space="preserve"> and did not consider it to be a relevant comparator for this submission</w:t>
      </w:r>
      <w:r w:rsidRPr="00E148FC">
        <w:rPr>
          <w:snapToGrid/>
        </w:rPr>
        <w:t>.</w:t>
      </w:r>
    </w:p>
    <w:p w:rsidR="0052495F" w:rsidRPr="00E148FC" w:rsidRDefault="0052495F" w:rsidP="0052495F">
      <w:pPr>
        <w:pStyle w:val="ExecSumBodyText"/>
        <w:numPr>
          <w:ilvl w:val="0"/>
          <w:numId w:val="0"/>
        </w:numPr>
        <w:ind w:left="720"/>
        <w:rPr>
          <w:snapToGrid/>
        </w:rPr>
      </w:pPr>
      <w:r w:rsidRPr="00E148FC">
        <w:rPr>
          <w:i/>
        </w:rPr>
        <w:t>For more detail on PBAC’s view, see section 7 PBAC outcome.</w:t>
      </w:r>
    </w:p>
    <w:p w:rsidR="00223D5A" w:rsidRPr="00E148FC" w:rsidRDefault="00223D5A" w:rsidP="00223D5A">
      <w:pPr>
        <w:pStyle w:val="2-SectionHeading"/>
        <w:numPr>
          <w:ilvl w:val="0"/>
          <w:numId w:val="1"/>
        </w:numPr>
      </w:pPr>
      <w:bookmarkStart w:id="12" w:name="_Toc62027964"/>
      <w:bookmarkStart w:id="13" w:name="_Toc22897640"/>
      <w:r w:rsidRPr="00E148FC">
        <w:t>Consideration of the evidence</w:t>
      </w:r>
      <w:bookmarkEnd w:id="12"/>
    </w:p>
    <w:p w:rsidR="0052495F" w:rsidRPr="00E148FC" w:rsidRDefault="0052495F" w:rsidP="0052495F">
      <w:pPr>
        <w:pStyle w:val="3-SubsectionHeading"/>
      </w:pPr>
      <w:bookmarkStart w:id="14" w:name="_Toc62027965"/>
      <w:r w:rsidRPr="00E148FC">
        <w:t>Sponsor hearing</w:t>
      </w:r>
    </w:p>
    <w:p w:rsidR="0052495F" w:rsidRPr="00E148FC" w:rsidRDefault="0028798A" w:rsidP="0028798A">
      <w:pPr>
        <w:widowControl w:val="0"/>
        <w:numPr>
          <w:ilvl w:val="1"/>
          <w:numId w:val="1"/>
        </w:numPr>
        <w:spacing w:after="120"/>
        <w:rPr>
          <w:rFonts w:asciiTheme="minorHAnsi" w:hAnsiTheme="minorHAnsi"/>
          <w:bCs/>
          <w:snapToGrid w:val="0"/>
        </w:rPr>
      </w:pPr>
      <w:r w:rsidRPr="00E148FC">
        <w:rPr>
          <w:rFonts w:asciiTheme="minorHAnsi" w:hAnsiTheme="minorHAnsi"/>
          <w:bCs/>
          <w:snapToGrid w:val="0"/>
        </w:rPr>
        <w:t xml:space="preserve">There was no hearing for this item. </w:t>
      </w:r>
    </w:p>
    <w:p w:rsidR="0052495F" w:rsidRPr="00E148FC" w:rsidRDefault="0052495F" w:rsidP="0052495F">
      <w:pPr>
        <w:pStyle w:val="3-SubsectionHeading"/>
      </w:pPr>
      <w:r w:rsidRPr="00E148FC">
        <w:t>Consumer comments</w:t>
      </w:r>
    </w:p>
    <w:p w:rsidR="0052495F" w:rsidRPr="00E148FC" w:rsidRDefault="00030B02" w:rsidP="0052495F">
      <w:pPr>
        <w:widowControl w:val="0"/>
        <w:numPr>
          <w:ilvl w:val="1"/>
          <w:numId w:val="1"/>
        </w:numPr>
        <w:spacing w:after="120"/>
        <w:rPr>
          <w:rFonts w:asciiTheme="minorHAnsi" w:hAnsiTheme="minorHAnsi"/>
          <w:bCs/>
          <w:snapToGrid w:val="0"/>
        </w:rPr>
      </w:pPr>
      <w:r w:rsidRPr="00E148FC">
        <w:rPr>
          <w:rFonts w:asciiTheme="minorHAnsi" w:hAnsiTheme="minorHAnsi"/>
          <w:bCs/>
          <w:snapToGrid w:val="0"/>
        </w:rPr>
        <w:t>The PBAC noted and welcomed the input from health care professionals (15) and organisations (2) via the Consumer Comments facility on the PBS website.</w:t>
      </w:r>
      <w:r w:rsidR="00627505" w:rsidRPr="00E148FC">
        <w:rPr>
          <w:rFonts w:asciiTheme="minorHAnsi" w:hAnsiTheme="minorHAnsi"/>
          <w:bCs/>
          <w:snapToGrid w:val="0"/>
        </w:rPr>
        <w:t xml:space="preserve"> </w:t>
      </w:r>
      <w:r w:rsidRPr="00E148FC">
        <w:rPr>
          <w:rFonts w:asciiTheme="minorHAnsi" w:hAnsiTheme="minorHAnsi"/>
          <w:bCs/>
          <w:snapToGrid w:val="0"/>
        </w:rPr>
        <w:t xml:space="preserve">The comments were all positive and described a range of benefits of treatment with semaglutide in combination with insulin including </w:t>
      </w:r>
      <w:r w:rsidR="00075624" w:rsidRPr="00E148FC">
        <w:rPr>
          <w:rFonts w:asciiTheme="minorHAnsi" w:hAnsiTheme="minorHAnsi"/>
          <w:bCs/>
          <w:snapToGrid w:val="0"/>
        </w:rPr>
        <w:t xml:space="preserve">a higher proportion of patients achieving glucose targets compared to insulin and metformin alone, </w:t>
      </w:r>
      <w:r w:rsidRPr="00E148FC">
        <w:rPr>
          <w:rFonts w:asciiTheme="minorHAnsi" w:hAnsiTheme="minorHAnsi"/>
          <w:bCs/>
          <w:snapToGrid w:val="0"/>
        </w:rPr>
        <w:t>a reduction in the total daily dose of insulin required to achieve adequate glycaemic control</w:t>
      </w:r>
      <w:r w:rsidR="00627505" w:rsidRPr="00E148FC">
        <w:rPr>
          <w:rFonts w:asciiTheme="minorHAnsi" w:hAnsiTheme="minorHAnsi"/>
          <w:bCs/>
          <w:snapToGrid w:val="0"/>
        </w:rPr>
        <w:t xml:space="preserve"> (</w:t>
      </w:r>
      <w:r w:rsidRPr="00E148FC">
        <w:rPr>
          <w:rFonts w:asciiTheme="minorHAnsi" w:hAnsiTheme="minorHAnsi"/>
          <w:bCs/>
          <w:snapToGrid w:val="0"/>
        </w:rPr>
        <w:t xml:space="preserve">thereby </w:t>
      </w:r>
      <w:r w:rsidRPr="00E148FC">
        <w:rPr>
          <w:rFonts w:asciiTheme="minorHAnsi" w:hAnsiTheme="minorHAnsi"/>
          <w:bCs/>
          <w:snapToGrid w:val="0"/>
        </w:rPr>
        <w:lastRenderedPageBreak/>
        <w:t>reducing the risk of weight gain and hypoglycaemia associated with insulin</w:t>
      </w:r>
      <w:r w:rsidR="00627505" w:rsidRPr="00E148FC">
        <w:rPr>
          <w:rFonts w:asciiTheme="minorHAnsi" w:hAnsiTheme="minorHAnsi"/>
          <w:bCs/>
          <w:snapToGrid w:val="0"/>
        </w:rPr>
        <w:t>),</w:t>
      </w:r>
      <w:r w:rsidRPr="00E148FC">
        <w:rPr>
          <w:rFonts w:asciiTheme="minorHAnsi" w:hAnsiTheme="minorHAnsi"/>
          <w:bCs/>
          <w:snapToGrid w:val="0"/>
        </w:rPr>
        <w:t xml:space="preserve"> promotion of weight loss and cardiovascular protection, and improved quality of life.</w:t>
      </w:r>
      <w:r w:rsidR="00075624" w:rsidRPr="00E148FC">
        <w:rPr>
          <w:rFonts w:asciiTheme="minorHAnsi" w:hAnsiTheme="minorHAnsi"/>
          <w:bCs/>
          <w:snapToGrid w:val="0"/>
        </w:rPr>
        <w:t xml:space="preserve"> </w:t>
      </w:r>
    </w:p>
    <w:p w:rsidR="00B60939" w:rsidRPr="00E148FC" w:rsidRDefault="00B60939" w:rsidP="002E4F02">
      <w:pPr>
        <w:pStyle w:val="3-SubsectionHeading"/>
      </w:pPr>
      <w:r w:rsidRPr="00E148FC">
        <w:t>Clinical trials</w:t>
      </w:r>
      <w:bookmarkEnd w:id="13"/>
      <w:bookmarkEnd w:id="14"/>
    </w:p>
    <w:p w:rsidR="007F1017" w:rsidRPr="00E148FC" w:rsidRDefault="00A73134" w:rsidP="00030432">
      <w:pPr>
        <w:pStyle w:val="ExecSumBodyText"/>
        <w:rPr>
          <w:color w:val="0066FF"/>
        </w:rPr>
      </w:pPr>
      <w:r w:rsidRPr="00E148FC">
        <w:rPr>
          <w:snapToGrid/>
        </w:rPr>
        <w:t xml:space="preserve">The submission </w:t>
      </w:r>
      <w:r w:rsidR="00D5243B" w:rsidRPr="00E148FC">
        <w:rPr>
          <w:snapToGrid/>
        </w:rPr>
        <w:t>wa</w:t>
      </w:r>
      <w:r w:rsidRPr="00E148FC">
        <w:rPr>
          <w:snapToGrid/>
        </w:rPr>
        <w:t xml:space="preserve">s based on </w:t>
      </w:r>
      <w:r w:rsidR="0021299E" w:rsidRPr="00E148FC">
        <w:rPr>
          <w:snapToGrid/>
        </w:rPr>
        <w:t>three separate indirect comparisons of one semaglutide trial (SUSTAIN 5) with: one dulaglutide trial (AWARD-9), one exenatide twice daily trial (GWCO) and one lixisenatide with insulin glargine trial (LIXILAN-L)</w:t>
      </w:r>
      <w:r w:rsidR="004E0074" w:rsidRPr="00E148FC">
        <w:rPr>
          <w:snapToGrid/>
        </w:rPr>
        <w:t>, with placebo/insulin glargine as common reference</w:t>
      </w:r>
      <w:r w:rsidR="00D76955" w:rsidRPr="00E148FC">
        <w:rPr>
          <w:snapToGrid/>
        </w:rPr>
        <w:t xml:space="preserve"> (LIXILAN-L was not further considered by PBAC for this submission)</w:t>
      </w:r>
      <w:r w:rsidR="0021299E" w:rsidRPr="00E148FC">
        <w:rPr>
          <w:snapToGrid/>
        </w:rPr>
        <w:t>.</w:t>
      </w:r>
      <w:r w:rsidR="004E0074" w:rsidRPr="00E148FC">
        <w:rPr>
          <w:snapToGrid/>
        </w:rPr>
        <w:t xml:space="preserve"> The SUSTAIN 5, AWARD-9 and GWCO trials were all placebo-controlled trials, with all participants also receiving basal insulin. </w:t>
      </w:r>
      <w:r w:rsidR="00BD1EF0" w:rsidRPr="00E148FC">
        <w:rPr>
          <w:snapToGrid/>
        </w:rPr>
        <w:t xml:space="preserve">Across all trials, between 81% and 90% of patients </w:t>
      </w:r>
      <w:r w:rsidR="00527017" w:rsidRPr="00E148FC">
        <w:rPr>
          <w:snapToGrid/>
        </w:rPr>
        <w:t xml:space="preserve">in each treatment arm </w:t>
      </w:r>
      <w:r w:rsidR="00BD1EF0" w:rsidRPr="00E148FC">
        <w:rPr>
          <w:snapToGrid/>
        </w:rPr>
        <w:t>were also receiving concomitant metformin</w:t>
      </w:r>
      <w:r w:rsidR="008E0D47" w:rsidRPr="00E148FC">
        <w:rPr>
          <w:snapToGrid/>
        </w:rPr>
        <w:t xml:space="preserve">. </w:t>
      </w:r>
    </w:p>
    <w:p w:rsidR="00862502" w:rsidRPr="00E148FC" w:rsidRDefault="00A73134" w:rsidP="002E4F02">
      <w:pPr>
        <w:pStyle w:val="ExecSumBodyText"/>
      </w:pPr>
      <w:r w:rsidRPr="00E148FC">
        <w:rPr>
          <w:snapToGrid/>
        </w:rPr>
        <w:t>Details of the trials presented in the submission are provided in the table below.</w:t>
      </w:r>
      <w:r w:rsidR="00BC591F" w:rsidRPr="00E148FC">
        <w:rPr>
          <w:snapToGrid/>
        </w:rPr>
        <w:t xml:space="preserve"> </w:t>
      </w:r>
    </w:p>
    <w:p w:rsidR="008E0D3C" w:rsidRPr="00E148FC" w:rsidRDefault="008E0D3C" w:rsidP="00230DB1">
      <w:pPr>
        <w:pStyle w:val="TableFigureCaption"/>
      </w:pPr>
      <w:r w:rsidRPr="00E148FC">
        <w:t xml:space="preserve">Table </w:t>
      </w:r>
      <w:r w:rsidR="004E0074" w:rsidRPr="00E148FC">
        <w:t>2</w:t>
      </w:r>
      <w:r w:rsidRPr="00E148FC">
        <w:t>:</w:t>
      </w:r>
      <w:r w:rsidR="00BC591F" w:rsidRPr="00E148FC">
        <w:t xml:space="preserve"> </w:t>
      </w:r>
      <w:r w:rsidR="004E0074" w:rsidRPr="00E148FC">
        <w:t>T</w:t>
      </w:r>
      <w:r w:rsidRPr="00E148FC">
        <w: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4E0074" w:rsidRPr="00E148FC" w:rsidTr="004E0074">
        <w:trPr>
          <w:tblHeader/>
        </w:trPr>
        <w:tc>
          <w:tcPr>
            <w:tcW w:w="796" w:type="pct"/>
            <w:vAlign w:val="center"/>
          </w:tcPr>
          <w:p w:rsidR="004E0074" w:rsidRPr="00E148FC" w:rsidRDefault="004E0074" w:rsidP="00EA49D0">
            <w:pPr>
              <w:pStyle w:val="Tableheadingrow"/>
              <w:rPr>
                <w:lang w:val="en-AU"/>
              </w:rPr>
            </w:pPr>
            <w:r w:rsidRPr="00E148FC">
              <w:rPr>
                <w:lang w:val="en-AU"/>
              </w:rPr>
              <w:t>Trial ID</w:t>
            </w:r>
          </w:p>
        </w:tc>
        <w:tc>
          <w:tcPr>
            <w:tcW w:w="3027" w:type="pct"/>
            <w:vAlign w:val="center"/>
          </w:tcPr>
          <w:p w:rsidR="004E0074" w:rsidRPr="00E148FC" w:rsidRDefault="004E0074" w:rsidP="00EA49D0">
            <w:pPr>
              <w:pStyle w:val="Tableheadingrow"/>
              <w:rPr>
                <w:lang w:val="en-AU"/>
              </w:rPr>
            </w:pPr>
            <w:r w:rsidRPr="00E148FC">
              <w:rPr>
                <w:lang w:val="en-AU"/>
              </w:rPr>
              <w:t>Protocol title/ Publication title</w:t>
            </w:r>
          </w:p>
        </w:tc>
        <w:tc>
          <w:tcPr>
            <w:tcW w:w="1177" w:type="pct"/>
          </w:tcPr>
          <w:p w:rsidR="004E0074" w:rsidRPr="00E148FC" w:rsidRDefault="004E0074" w:rsidP="004E0074">
            <w:pPr>
              <w:pStyle w:val="Tableheadingrow"/>
              <w:rPr>
                <w:lang w:val="en-AU"/>
              </w:rPr>
            </w:pPr>
            <w:r w:rsidRPr="00E148FC">
              <w:rPr>
                <w:lang w:val="en-AU"/>
              </w:rPr>
              <w:t>Publication citation</w:t>
            </w:r>
          </w:p>
        </w:tc>
      </w:tr>
      <w:tr w:rsidR="004E0074" w:rsidRPr="00E148FC" w:rsidTr="004E0074">
        <w:tc>
          <w:tcPr>
            <w:tcW w:w="796" w:type="pct"/>
            <w:vMerge w:val="restart"/>
            <w:vAlign w:val="center"/>
          </w:tcPr>
          <w:p w:rsidR="004E0074" w:rsidRPr="00E148FC" w:rsidRDefault="004E0074" w:rsidP="00EA49D0">
            <w:pPr>
              <w:pStyle w:val="TableText"/>
            </w:pPr>
            <w:r w:rsidRPr="00E148FC">
              <w:t>SUSTAIN 5</w:t>
            </w:r>
          </w:p>
          <w:p w:rsidR="004E0074" w:rsidRPr="00E148FC" w:rsidRDefault="004E0074" w:rsidP="00EA49D0">
            <w:pPr>
              <w:pStyle w:val="TableText"/>
            </w:pPr>
          </w:p>
        </w:tc>
        <w:tc>
          <w:tcPr>
            <w:tcW w:w="3027" w:type="pct"/>
            <w:tcBorders>
              <w:bottom w:val="nil"/>
            </w:tcBorders>
            <w:vAlign w:val="center"/>
          </w:tcPr>
          <w:p w:rsidR="004E0074" w:rsidRPr="00E148FC" w:rsidRDefault="004E0074" w:rsidP="00EA49D0">
            <w:pPr>
              <w:pStyle w:val="TableText"/>
              <w:rPr>
                <w:szCs w:val="18"/>
              </w:rPr>
            </w:pPr>
            <w:r w:rsidRPr="00E148FC">
              <w:t>SUSTAIN 5 – Add on to Basal Insulin: Efficacy and safety of semaglutide once-weekly versus placebo as add-on to basal insulin alone or basal insulin in combination with metformin in subjects with type 2 diabetes Trial Phase: 3a. ClinicalTrials.gov Identifier: NCT02305381</w:t>
            </w:r>
          </w:p>
        </w:tc>
        <w:tc>
          <w:tcPr>
            <w:tcW w:w="1177" w:type="pct"/>
            <w:tcBorders>
              <w:bottom w:val="nil"/>
            </w:tcBorders>
          </w:tcPr>
          <w:p w:rsidR="004E0074" w:rsidRPr="00E148FC" w:rsidRDefault="004E0074" w:rsidP="004E0074">
            <w:pPr>
              <w:pStyle w:val="TableText"/>
            </w:pPr>
            <w:r w:rsidRPr="00E148FC">
              <w:t>June 2016</w:t>
            </w:r>
          </w:p>
        </w:tc>
      </w:tr>
      <w:tr w:rsidR="004E0074" w:rsidRPr="00E148FC" w:rsidTr="004E0074">
        <w:tc>
          <w:tcPr>
            <w:tcW w:w="796" w:type="pct"/>
            <w:vMerge/>
            <w:vAlign w:val="center"/>
          </w:tcPr>
          <w:p w:rsidR="004E0074" w:rsidRPr="00E148FC" w:rsidRDefault="004E0074" w:rsidP="00EA49D0">
            <w:pPr>
              <w:pStyle w:val="TableText"/>
            </w:pPr>
          </w:p>
        </w:tc>
        <w:tc>
          <w:tcPr>
            <w:tcW w:w="3027" w:type="pct"/>
            <w:tcBorders>
              <w:top w:val="nil"/>
              <w:bottom w:val="nil"/>
            </w:tcBorders>
            <w:vAlign w:val="center"/>
          </w:tcPr>
          <w:p w:rsidR="004E0074" w:rsidRPr="00E148FC" w:rsidRDefault="004E0074" w:rsidP="00EA49D0">
            <w:pPr>
              <w:pStyle w:val="TableText"/>
              <w:rPr>
                <w:szCs w:val="18"/>
              </w:rPr>
            </w:pPr>
            <w:r w:rsidRPr="00E148FC">
              <w:rPr>
                <w:szCs w:val="18"/>
              </w:rPr>
              <w:t>Rodbard HW, Lingvay I, Reed J, et al. Semaglutide added to basal insulin in type 2 diabetes (SUSTAIN 5): A randomized, controlled trial.</w:t>
            </w:r>
          </w:p>
        </w:tc>
        <w:tc>
          <w:tcPr>
            <w:tcW w:w="1177" w:type="pct"/>
            <w:tcBorders>
              <w:top w:val="nil"/>
              <w:bottom w:val="nil"/>
            </w:tcBorders>
          </w:tcPr>
          <w:p w:rsidR="004E0074" w:rsidRPr="00E148FC" w:rsidRDefault="004E0074" w:rsidP="004E0074">
            <w:pPr>
              <w:pStyle w:val="TableText"/>
              <w:rPr>
                <w:szCs w:val="18"/>
              </w:rPr>
            </w:pPr>
            <w:r w:rsidRPr="00E148FC">
              <w:rPr>
                <w:i/>
                <w:szCs w:val="18"/>
              </w:rPr>
              <w:t>J Clin Endocrin Metab</w:t>
            </w:r>
            <w:r w:rsidRPr="00E148FC">
              <w:rPr>
                <w:szCs w:val="18"/>
              </w:rPr>
              <w:t xml:space="preserve"> 2018; 103(6): 2291-2301.</w:t>
            </w:r>
          </w:p>
        </w:tc>
      </w:tr>
      <w:tr w:rsidR="004E0074" w:rsidRPr="00E148FC" w:rsidTr="004E0074">
        <w:tc>
          <w:tcPr>
            <w:tcW w:w="796" w:type="pct"/>
            <w:vMerge/>
            <w:vAlign w:val="center"/>
          </w:tcPr>
          <w:p w:rsidR="004E0074" w:rsidRPr="00E148FC" w:rsidRDefault="004E0074" w:rsidP="00EA49D0">
            <w:pPr>
              <w:pStyle w:val="TableText"/>
            </w:pPr>
          </w:p>
        </w:tc>
        <w:tc>
          <w:tcPr>
            <w:tcW w:w="3027" w:type="pct"/>
            <w:tcBorders>
              <w:top w:val="nil"/>
              <w:bottom w:val="nil"/>
            </w:tcBorders>
            <w:vAlign w:val="center"/>
          </w:tcPr>
          <w:p w:rsidR="004E0074" w:rsidRPr="00E148FC" w:rsidRDefault="004E0074" w:rsidP="00EA49D0">
            <w:pPr>
              <w:pStyle w:val="TableText"/>
              <w:rPr>
                <w:szCs w:val="18"/>
              </w:rPr>
            </w:pPr>
            <w:r w:rsidRPr="00E148FC">
              <w:rPr>
                <w:szCs w:val="18"/>
              </w:rPr>
              <w:t xml:space="preserve">Ahrén B, Atkin SL, Charpentier G, et al. Semaglutide induces weight loss in subjects with type 2 diabetes regardless of baseline BMI or gastrointestinal adverse events in the SUSTAIN 1 to 5 trials. </w:t>
            </w:r>
          </w:p>
        </w:tc>
        <w:tc>
          <w:tcPr>
            <w:tcW w:w="1177" w:type="pct"/>
            <w:tcBorders>
              <w:top w:val="nil"/>
              <w:bottom w:val="nil"/>
            </w:tcBorders>
          </w:tcPr>
          <w:p w:rsidR="004E0074" w:rsidRPr="00E148FC" w:rsidRDefault="004E0074" w:rsidP="004E0074">
            <w:pPr>
              <w:pStyle w:val="TableText"/>
              <w:rPr>
                <w:szCs w:val="18"/>
              </w:rPr>
            </w:pPr>
            <w:r w:rsidRPr="00E148FC">
              <w:rPr>
                <w:i/>
                <w:szCs w:val="18"/>
              </w:rPr>
              <w:t>Diabetes Obes Metab</w:t>
            </w:r>
            <w:r w:rsidRPr="00E148FC">
              <w:rPr>
                <w:szCs w:val="18"/>
              </w:rPr>
              <w:t xml:space="preserve"> 2018; 20(9): 2210-2219.</w:t>
            </w:r>
          </w:p>
        </w:tc>
      </w:tr>
      <w:tr w:rsidR="004E0074" w:rsidRPr="00E148FC" w:rsidTr="004E0074">
        <w:tc>
          <w:tcPr>
            <w:tcW w:w="796" w:type="pct"/>
            <w:vMerge/>
            <w:vAlign w:val="center"/>
          </w:tcPr>
          <w:p w:rsidR="004E0074" w:rsidRPr="00E148FC" w:rsidRDefault="004E0074" w:rsidP="00EA49D0">
            <w:pPr>
              <w:pStyle w:val="TableText"/>
            </w:pPr>
          </w:p>
        </w:tc>
        <w:tc>
          <w:tcPr>
            <w:tcW w:w="3027" w:type="pct"/>
            <w:tcBorders>
              <w:top w:val="nil"/>
              <w:bottom w:val="nil"/>
            </w:tcBorders>
            <w:vAlign w:val="center"/>
          </w:tcPr>
          <w:p w:rsidR="004E0074" w:rsidRPr="00E148FC" w:rsidRDefault="004E0074" w:rsidP="00EA49D0">
            <w:pPr>
              <w:pStyle w:val="TableText"/>
              <w:rPr>
                <w:szCs w:val="18"/>
              </w:rPr>
            </w:pPr>
            <w:r w:rsidRPr="00E148FC">
              <w:rPr>
                <w:szCs w:val="18"/>
              </w:rPr>
              <w:t>Aroda VR, Ahmann A, Cariou B, et al. Comparative efficacy, safety, and cardiovascular outcomes with once-weekly subcutaneous semaglutide in the treatment of type 2 diabetes: Insights from the SUSTAIN 1-7 trials.</w:t>
            </w:r>
          </w:p>
        </w:tc>
        <w:tc>
          <w:tcPr>
            <w:tcW w:w="1177" w:type="pct"/>
            <w:tcBorders>
              <w:top w:val="nil"/>
              <w:bottom w:val="nil"/>
            </w:tcBorders>
          </w:tcPr>
          <w:p w:rsidR="004E0074" w:rsidRPr="00E148FC" w:rsidRDefault="004E0074" w:rsidP="004E0074">
            <w:pPr>
              <w:pStyle w:val="TableText"/>
              <w:rPr>
                <w:szCs w:val="18"/>
              </w:rPr>
            </w:pPr>
            <w:r w:rsidRPr="00E148FC">
              <w:rPr>
                <w:i/>
                <w:szCs w:val="18"/>
              </w:rPr>
              <w:t>Diabetes Metab</w:t>
            </w:r>
            <w:r w:rsidRPr="00E148FC">
              <w:rPr>
                <w:szCs w:val="18"/>
              </w:rPr>
              <w:t xml:space="preserve"> 2019; 45(5): 409-418.</w:t>
            </w:r>
          </w:p>
        </w:tc>
      </w:tr>
      <w:tr w:rsidR="004E0074" w:rsidRPr="00E148FC" w:rsidTr="004E0074">
        <w:tc>
          <w:tcPr>
            <w:tcW w:w="796" w:type="pct"/>
            <w:vMerge/>
            <w:vAlign w:val="center"/>
          </w:tcPr>
          <w:p w:rsidR="004E0074" w:rsidRPr="00E148FC" w:rsidRDefault="004E0074" w:rsidP="00EA49D0">
            <w:pPr>
              <w:pStyle w:val="TableText"/>
            </w:pPr>
          </w:p>
        </w:tc>
        <w:tc>
          <w:tcPr>
            <w:tcW w:w="3027" w:type="pct"/>
            <w:tcBorders>
              <w:top w:val="nil"/>
              <w:bottom w:val="nil"/>
            </w:tcBorders>
            <w:vAlign w:val="center"/>
          </w:tcPr>
          <w:p w:rsidR="004E0074" w:rsidRPr="00E148FC" w:rsidRDefault="004E0074" w:rsidP="00EA49D0">
            <w:pPr>
              <w:pStyle w:val="Tabletext0"/>
            </w:pPr>
            <w:r w:rsidRPr="00E148FC">
              <w:t>De Souza C, Cariou B, Garg S, et al. Efficacy and safety of semaglutide for type 2 diabetes by race and ethnicity: a post hoc analysis of the SUSTAIN trials.</w:t>
            </w:r>
          </w:p>
        </w:tc>
        <w:tc>
          <w:tcPr>
            <w:tcW w:w="1177" w:type="pct"/>
            <w:tcBorders>
              <w:top w:val="nil"/>
              <w:bottom w:val="nil"/>
            </w:tcBorders>
          </w:tcPr>
          <w:p w:rsidR="004E0074" w:rsidRPr="00E148FC" w:rsidRDefault="004E0074" w:rsidP="004E0074">
            <w:pPr>
              <w:pStyle w:val="TableText"/>
              <w:rPr>
                <w:szCs w:val="18"/>
              </w:rPr>
            </w:pPr>
            <w:r w:rsidRPr="00E148FC">
              <w:rPr>
                <w:i/>
                <w:szCs w:val="18"/>
              </w:rPr>
              <w:t>J Clin Endocrin Metab</w:t>
            </w:r>
            <w:r w:rsidRPr="00E148FC">
              <w:rPr>
                <w:szCs w:val="18"/>
              </w:rPr>
              <w:t xml:space="preserve"> 2020; 105(2): 543-556.</w:t>
            </w:r>
          </w:p>
        </w:tc>
      </w:tr>
      <w:tr w:rsidR="004E0074" w:rsidRPr="00E148FC" w:rsidTr="004E0074">
        <w:tc>
          <w:tcPr>
            <w:tcW w:w="796" w:type="pct"/>
            <w:vMerge/>
            <w:vAlign w:val="center"/>
          </w:tcPr>
          <w:p w:rsidR="004E0074" w:rsidRPr="00E148FC" w:rsidRDefault="004E0074" w:rsidP="00EA49D0">
            <w:pPr>
              <w:pStyle w:val="TableText"/>
            </w:pPr>
          </w:p>
        </w:tc>
        <w:tc>
          <w:tcPr>
            <w:tcW w:w="3027" w:type="pct"/>
            <w:tcBorders>
              <w:top w:val="nil"/>
              <w:bottom w:val="nil"/>
            </w:tcBorders>
            <w:vAlign w:val="center"/>
          </w:tcPr>
          <w:p w:rsidR="004E0074" w:rsidRPr="00E148FC" w:rsidRDefault="004E0074" w:rsidP="00EA49D0">
            <w:pPr>
              <w:pStyle w:val="TableText"/>
              <w:rPr>
                <w:szCs w:val="18"/>
              </w:rPr>
            </w:pPr>
            <w:r w:rsidRPr="00E148FC">
              <w:rPr>
                <w:szCs w:val="18"/>
              </w:rPr>
              <w:t>DeVries JH, De Souza C, Bellary, S, et al. Achieving glycaemic control without weight gain, hypoglycaemia, or gastrointestinal adverse events in type 2 diabetes in the SUSTAIN clinical trial programme.</w:t>
            </w:r>
          </w:p>
        </w:tc>
        <w:tc>
          <w:tcPr>
            <w:tcW w:w="1177" w:type="pct"/>
            <w:tcBorders>
              <w:top w:val="nil"/>
              <w:bottom w:val="nil"/>
            </w:tcBorders>
          </w:tcPr>
          <w:p w:rsidR="004E0074" w:rsidRPr="00E148FC" w:rsidRDefault="004E0074" w:rsidP="004E0074">
            <w:pPr>
              <w:pStyle w:val="TableText"/>
              <w:rPr>
                <w:szCs w:val="18"/>
              </w:rPr>
            </w:pPr>
            <w:r w:rsidRPr="00E148FC">
              <w:rPr>
                <w:i/>
                <w:szCs w:val="18"/>
              </w:rPr>
              <w:t>Diabetes Obes Metab</w:t>
            </w:r>
            <w:r w:rsidRPr="00E148FC">
              <w:rPr>
                <w:szCs w:val="18"/>
              </w:rPr>
              <w:t xml:space="preserve"> 2018; 20(10): 2426-2434.</w:t>
            </w:r>
          </w:p>
        </w:tc>
      </w:tr>
      <w:tr w:rsidR="004E0074" w:rsidRPr="00E148FC" w:rsidTr="004E0074">
        <w:tc>
          <w:tcPr>
            <w:tcW w:w="796" w:type="pct"/>
            <w:vMerge/>
            <w:vAlign w:val="center"/>
          </w:tcPr>
          <w:p w:rsidR="004E0074" w:rsidRPr="00E148FC" w:rsidRDefault="004E0074" w:rsidP="00EA49D0">
            <w:pPr>
              <w:pStyle w:val="TableText"/>
            </w:pPr>
          </w:p>
        </w:tc>
        <w:tc>
          <w:tcPr>
            <w:tcW w:w="3027" w:type="pct"/>
            <w:tcBorders>
              <w:top w:val="nil"/>
              <w:bottom w:val="nil"/>
            </w:tcBorders>
            <w:vAlign w:val="center"/>
          </w:tcPr>
          <w:p w:rsidR="004E0074" w:rsidRPr="00E148FC" w:rsidRDefault="004E0074" w:rsidP="00EA49D0">
            <w:pPr>
              <w:pStyle w:val="TableText"/>
              <w:rPr>
                <w:szCs w:val="18"/>
              </w:rPr>
            </w:pPr>
            <w:r w:rsidRPr="00E148FC">
              <w:rPr>
                <w:szCs w:val="18"/>
              </w:rPr>
              <w:t>Jendle J, Birkenfeld AL, Polonsky WH, et al. Improved treatment satisfaction in patients with type 2 diabetes treated with once-weekly semaglutide in the SUSTAIN trials.</w:t>
            </w:r>
          </w:p>
        </w:tc>
        <w:tc>
          <w:tcPr>
            <w:tcW w:w="1177" w:type="pct"/>
            <w:tcBorders>
              <w:top w:val="nil"/>
              <w:bottom w:val="nil"/>
            </w:tcBorders>
          </w:tcPr>
          <w:p w:rsidR="004E0074" w:rsidRPr="00E148FC" w:rsidRDefault="004E0074" w:rsidP="004E0074">
            <w:pPr>
              <w:pStyle w:val="TableText"/>
              <w:rPr>
                <w:szCs w:val="18"/>
              </w:rPr>
            </w:pPr>
            <w:r w:rsidRPr="00E148FC">
              <w:rPr>
                <w:i/>
                <w:szCs w:val="18"/>
              </w:rPr>
              <w:t>Diabetes Obes Metab</w:t>
            </w:r>
            <w:r w:rsidRPr="00E148FC">
              <w:rPr>
                <w:szCs w:val="18"/>
              </w:rPr>
              <w:t xml:space="preserve"> 2019; 21(10): 2315</w:t>
            </w:r>
            <w:r w:rsidRPr="00E148FC">
              <w:rPr>
                <w:rFonts w:ascii="Cambria Math" w:hAnsi="Cambria Math" w:cs="Cambria Math"/>
                <w:szCs w:val="18"/>
              </w:rPr>
              <w:t>‐</w:t>
            </w:r>
            <w:r w:rsidRPr="00E148FC">
              <w:rPr>
                <w:szCs w:val="18"/>
              </w:rPr>
              <w:t>2326.</w:t>
            </w:r>
          </w:p>
        </w:tc>
      </w:tr>
      <w:tr w:rsidR="004E0074" w:rsidRPr="00E148FC" w:rsidTr="004E0074">
        <w:trPr>
          <w:trHeight w:val="369"/>
        </w:trPr>
        <w:tc>
          <w:tcPr>
            <w:tcW w:w="796" w:type="pct"/>
            <w:vMerge/>
            <w:vAlign w:val="center"/>
          </w:tcPr>
          <w:p w:rsidR="004E0074" w:rsidRPr="00E148FC" w:rsidRDefault="004E0074" w:rsidP="00EA49D0">
            <w:pPr>
              <w:pStyle w:val="TableText"/>
            </w:pPr>
          </w:p>
        </w:tc>
        <w:tc>
          <w:tcPr>
            <w:tcW w:w="3027" w:type="pct"/>
            <w:tcBorders>
              <w:top w:val="nil"/>
            </w:tcBorders>
            <w:vAlign w:val="center"/>
          </w:tcPr>
          <w:p w:rsidR="004E0074" w:rsidRPr="00E148FC" w:rsidRDefault="004E0074" w:rsidP="00EA49D0">
            <w:pPr>
              <w:pStyle w:val="TableText"/>
              <w:rPr>
                <w:szCs w:val="18"/>
              </w:rPr>
            </w:pPr>
            <w:r w:rsidRPr="00E148FC">
              <w:rPr>
                <w:szCs w:val="18"/>
              </w:rPr>
              <w:t>Rodbard HW, Bellary S, Hramiak I, et al. Greater combined reductions in HbA1c ≥1.0% and weight ≥5.0% with semaglutide versus comparators in type 2 diabetes.</w:t>
            </w:r>
          </w:p>
        </w:tc>
        <w:tc>
          <w:tcPr>
            <w:tcW w:w="1177" w:type="pct"/>
            <w:tcBorders>
              <w:top w:val="nil"/>
            </w:tcBorders>
          </w:tcPr>
          <w:p w:rsidR="004E0074" w:rsidRPr="00E148FC" w:rsidRDefault="004E0074" w:rsidP="004E0074">
            <w:pPr>
              <w:pStyle w:val="TableText"/>
              <w:rPr>
                <w:szCs w:val="18"/>
              </w:rPr>
            </w:pPr>
            <w:r w:rsidRPr="00E148FC">
              <w:rPr>
                <w:i/>
                <w:szCs w:val="18"/>
              </w:rPr>
              <w:t>Endocrine Practice</w:t>
            </w:r>
            <w:r w:rsidRPr="00E148FC">
              <w:rPr>
                <w:szCs w:val="18"/>
              </w:rPr>
              <w:t xml:space="preserve"> 2019; 25(6): 589-597.</w:t>
            </w:r>
          </w:p>
        </w:tc>
      </w:tr>
      <w:tr w:rsidR="004E0074" w:rsidRPr="00E148FC" w:rsidTr="004E0074">
        <w:tc>
          <w:tcPr>
            <w:tcW w:w="796" w:type="pct"/>
            <w:vMerge w:val="restart"/>
            <w:vAlign w:val="center"/>
          </w:tcPr>
          <w:p w:rsidR="004E0074" w:rsidRPr="00E148FC" w:rsidRDefault="004E0074" w:rsidP="00EA49D0">
            <w:pPr>
              <w:pStyle w:val="TableText"/>
              <w:keepNext w:val="0"/>
            </w:pPr>
            <w:r w:rsidRPr="00E148FC">
              <w:t>AWARD-9</w:t>
            </w:r>
          </w:p>
        </w:tc>
        <w:tc>
          <w:tcPr>
            <w:tcW w:w="3027" w:type="pct"/>
            <w:tcBorders>
              <w:bottom w:val="nil"/>
            </w:tcBorders>
            <w:vAlign w:val="center"/>
          </w:tcPr>
          <w:p w:rsidR="004E0074" w:rsidRPr="00E148FC" w:rsidRDefault="004E0074" w:rsidP="00EA49D0">
            <w:pPr>
              <w:pStyle w:val="TableText"/>
              <w:keepNext w:val="0"/>
            </w:pPr>
            <w:r w:rsidRPr="00E148FC">
              <w:t>Pozzilli P, Norwood P, Jodar E, et al. Placebo-controlled, randomized trial of the addition of once-weekly glucagon-like peptide-1 receptor agonist dulaglutide to titrated daily insulin glargine in patients with type 2 diabetes (AWARD-9).</w:t>
            </w:r>
          </w:p>
        </w:tc>
        <w:tc>
          <w:tcPr>
            <w:tcW w:w="1177" w:type="pct"/>
            <w:tcBorders>
              <w:bottom w:val="nil"/>
            </w:tcBorders>
          </w:tcPr>
          <w:p w:rsidR="004E0074" w:rsidRPr="00E148FC" w:rsidRDefault="004E0074" w:rsidP="004E0074">
            <w:pPr>
              <w:pStyle w:val="TableText"/>
              <w:keepNext w:val="0"/>
            </w:pPr>
            <w:r w:rsidRPr="00E148FC">
              <w:rPr>
                <w:i/>
                <w:szCs w:val="18"/>
              </w:rPr>
              <w:t>Diabetes Obes Metab</w:t>
            </w:r>
            <w:r w:rsidRPr="00E148FC">
              <w:rPr>
                <w:szCs w:val="18"/>
              </w:rPr>
              <w:t xml:space="preserve"> </w:t>
            </w:r>
            <w:r w:rsidRPr="00E148FC">
              <w:t>2017; 19(7): 1024-1031.</w:t>
            </w:r>
          </w:p>
        </w:tc>
      </w:tr>
      <w:tr w:rsidR="004E0074" w:rsidRPr="00E148FC" w:rsidTr="004E0074">
        <w:trPr>
          <w:trHeight w:val="185"/>
        </w:trPr>
        <w:tc>
          <w:tcPr>
            <w:tcW w:w="796" w:type="pct"/>
            <w:vMerge/>
            <w:tcBorders>
              <w:bottom w:val="nil"/>
            </w:tcBorders>
            <w:vAlign w:val="center"/>
          </w:tcPr>
          <w:p w:rsidR="004E0074" w:rsidRPr="00E148FC" w:rsidRDefault="004E0074" w:rsidP="00EA49D0">
            <w:pPr>
              <w:pStyle w:val="TableText"/>
              <w:keepNext w:val="0"/>
            </w:pPr>
          </w:p>
        </w:tc>
        <w:tc>
          <w:tcPr>
            <w:tcW w:w="3027" w:type="pct"/>
            <w:tcBorders>
              <w:top w:val="nil"/>
              <w:bottom w:val="nil"/>
            </w:tcBorders>
            <w:vAlign w:val="center"/>
          </w:tcPr>
          <w:p w:rsidR="004E0074" w:rsidRPr="00E148FC" w:rsidRDefault="004E0074" w:rsidP="00EA49D0">
            <w:pPr>
              <w:pStyle w:val="TableText"/>
              <w:keepNext w:val="0"/>
              <w:rPr>
                <w:szCs w:val="18"/>
              </w:rPr>
            </w:pPr>
            <w:r w:rsidRPr="00E148FC">
              <w:rPr>
                <w:szCs w:val="18"/>
              </w:rPr>
              <w:t>Yu M, Van Brunt K, Milicevic Z, et al. Patient-reported Outcomes in Patients with Type 2 Diabetes Treated with Dulaglutide Added to Titrated Insulin Glargine (AWARD-9).</w:t>
            </w:r>
          </w:p>
        </w:tc>
        <w:tc>
          <w:tcPr>
            <w:tcW w:w="1177" w:type="pct"/>
            <w:tcBorders>
              <w:top w:val="nil"/>
              <w:bottom w:val="nil"/>
            </w:tcBorders>
          </w:tcPr>
          <w:p w:rsidR="004E0074" w:rsidRPr="00E148FC" w:rsidRDefault="004E0074" w:rsidP="004E0074">
            <w:pPr>
              <w:pStyle w:val="TableText"/>
              <w:keepNext w:val="0"/>
            </w:pPr>
            <w:r w:rsidRPr="00E148FC">
              <w:rPr>
                <w:i/>
                <w:szCs w:val="18"/>
              </w:rPr>
              <w:t>Clinical Therapeutics</w:t>
            </w:r>
            <w:r w:rsidRPr="00E148FC">
              <w:rPr>
                <w:szCs w:val="18"/>
              </w:rPr>
              <w:t xml:space="preserve"> 2017; 39(11): 2284-2295.</w:t>
            </w:r>
          </w:p>
        </w:tc>
      </w:tr>
      <w:tr w:rsidR="004E0074" w:rsidRPr="00E148FC" w:rsidTr="004E0074">
        <w:tc>
          <w:tcPr>
            <w:tcW w:w="796" w:type="pct"/>
            <w:vMerge w:val="restart"/>
            <w:vAlign w:val="center"/>
          </w:tcPr>
          <w:p w:rsidR="004E0074" w:rsidRPr="00E148FC" w:rsidRDefault="004E0074" w:rsidP="00EA49D0">
            <w:pPr>
              <w:pStyle w:val="TableText"/>
              <w:keepNext w:val="0"/>
            </w:pPr>
            <w:r w:rsidRPr="00E148FC">
              <w:t>GWCO</w:t>
            </w:r>
          </w:p>
        </w:tc>
        <w:tc>
          <w:tcPr>
            <w:tcW w:w="3027" w:type="pct"/>
            <w:tcBorders>
              <w:bottom w:val="nil"/>
            </w:tcBorders>
            <w:vAlign w:val="center"/>
          </w:tcPr>
          <w:p w:rsidR="004E0074" w:rsidRPr="00E148FC" w:rsidRDefault="004E0074" w:rsidP="00EA49D0">
            <w:pPr>
              <w:pStyle w:val="TableText"/>
              <w:keepNext w:val="0"/>
            </w:pPr>
            <w:r w:rsidRPr="00E148FC">
              <w:t xml:space="preserve">Buse JB, Bergenstal RM, Glass LC, et al. Use of twice-daily exenatide in basal insulin-treated patients with type 2 diabetes. </w:t>
            </w:r>
          </w:p>
        </w:tc>
        <w:tc>
          <w:tcPr>
            <w:tcW w:w="1177" w:type="pct"/>
            <w:tcBorders>
              <w:bottom w:val="nil"/>
            </w:tcBorders>
          </w:tcPr>
          <w:p w:rsidR="004E0074" w:rsidRPr="00E148FC" w:rsidRDefault="004E0074" w:rsidP="004E0074">
            <w:pPr>
              <w:pStyle w:val="TableText"/>
              <w:keepNext w:val="0"/>
            </w:pPr>
            <w:r w:rsidRPr="00E148FC">
              <w:rPr>
                <w:i/>
              </w:rPr>
              <w:t>Ann Int Med</w:t>
            </w:r>
            <w:r w:rsidRPr="00E148FC">
              <w:t xml:space="preserve"> 2011; 154(2): 103-112.</w:t>
            </w:r>
          </w:p>
        </w:tc>
      </w:tr>
      <w:tr w:rsidR="004E0074" w:rsidRPr="00E148FC" w:rsidTr="004E0074">
        <w:tc>
          <w:tcPr>
            <w:tcW w:w="796" w:type="pct"/>
            <w:vMerge/>
            <w:vAlign w:val="center"/>
          </w:tcPr>
          <w:p w:rsidR="004E0074" w:rsidRPr="00E148FC" w:rsidRDefault="004E0074" w:rsidP="00EA49D0">
            <w:pPr>
              <w:pStyle w:val="TableText"/>
              <w:keepNext w:val="0"/>
            </w:pPr>
          </w:p>
        </w:tc>
        <w:tc>
          <w:tcPr>
            <w:tcW w:w="3027" w:type="pct"/>
            <w:tcBorders>
              <w:top w:val="nil"/>
              <w:bottom w:val="nil"/>
            </w:tcBorders>
            <w:vAlign w:val="center"/>
          </w:tcPr>
          <w:p w:rsidR="004E0074" w:rsidRPr="00E148FC" w:rsidRDefault="004E0074" w:rsidP="00EA49D0">
            <w:pPr>
              <w:pStyle w:val="TableText"/>
              <w:keepNext w:val="0"/>
            </w:pPr>
            <w:r w:rsidRPr="00E148FC">
              <w:t>Buse JB, Han J, Miller S, et al. Addition of exenatide BID to insulin glargine: A post-hoc analysis of the effect on glycemia and weight across a range of insulin titration.</w:t>
            </w:r>
          </w:p>
        </w:tc>
        <w:tc>
          <w:tcPr>
            <w:tcW w:w="1177" w:type="pct"/>
            <w:tcBorders>
              <w:top w:val="nil"/>
              <w:bottom w:val="nil"/>
            </w:tcBorders>
          </w:tcPr>
          <w:p w:rsidR="004E0074" w:rsidRPr="00E148FC" w:rsidRDefault="004E0074" w:rsidP="004E0074">
            <w:pPr>
              <w:pStyle w:val="TableText"/>
              <w:keepNext w:val="0"/>
              <w:rPr>
                <w:i/>
              </w:rPr>
            </w:pPr>
            <w:r w:rsidRPr="00E148FC">
              <w:rPr>
                <w:i/>
              </w:rPr>
              <w:t>Current Medical Research and Opinion</w:t>
            </w:r>
            <w:r w:rsidRPr="00E148FC">
              <w:t xml:space="preserve"> 2014; 30(7): 1209-1218.</w:t>
            </w:r>
          </w:p>
        </w:tc>
      </w:tr>
      <w:tr w:rsidR="004E0074" w:rsidRPr="00E148FC" w:rsidTr="004E0074">
        <w:tc>
          <w:tcPr>
            <w:tcW w:w="796" w:type="pct"/>
            <w:vMerge/>
            <w:tcBorders>
              <w:bottom w:val="nil"/>
            </w:tcBorders>
            <w:vAlign w:val="center"/>
          </w:tcPr>
          <w:p w:rsidR="004E0074" w:rsidRPr="00E148FC" w:rsidRDefault="004E0074" w:rsidP="00EA49D0">
            <w:pPr>
              <w:pStyle w:val="TableText"/>
              <w:keepNext w:val="0"/>
            </w:pPr>
          </w:p>
        </w:tc>
        <w:tc>
          <w:tcPr>
            <w:tcW w:w="3027" w:type="pct"/>
            <w:tcBorders>
              <w:top w:val="nil"/>
              <w:bottom w:val="nil"/>
            </w:tcBorders>
            <w:vAlign w:val="center"/>
          </w:tcPr>
          <w:p w:rsidR="004E0074" w:rsidRPr="00E148FC" w:rsidRDefault="004E0074" w:rsidP="00EA49D0">
            <w:pPr>
              <w:pStyle w:val="TableText"/>
              <w:keepNext w:val="0"/>
              <w:rPr>
                <w:szCs w:val="18"/>
              </w:rPr>
            </w:pPr>
            <w:r w:rsidRPr="00E148FC">
              <w:rPr>
                <w:szCs w:val="18"/>
              </w:rPr>
              <w:t>Rosenstock J, Shenouda SK, Bergenstal RM, et al. Baseline factors associated with glycemic control and weight loss when exenatide twice daily is added to optimized insulin glargine in patients with type 2 diabetes.</w:t>
            </w:r>
          </w:p>
        </w:tc>
        <w:tc>
          <w:tcPr>
            <w:tcW w:w="1177" w:type="pct"/>
            <w:tcBorders>
              <w:top w:val="nil"/>
              <w:bottom w:val="nil"/>
            </w:tcBorders>
          </w:tcPr>
          <w:p w:rsidR="004E0074" w:rsidRPr="00E148FC" w:rsidRDefault="004E0074" w:rsidP="004E0074">
            <w:pPr>
              <w:pStyle w:val="TableText"/>
              <w:keepNext w:val="0"/>
            </w:pPr>
            <w:r w:rsidRPr="00E148FC">
              <w:rPr>
                <w:i/>
                <w:szCs w:val="18"/>
              </w:rPr>
              <w:t>Diabetes Care</w:t>
            </w:r>
            <w:r w:rsidRPr="00E148FC">
              <w:rPr>
                <w:szCs w:val="18"/>
              </w:rPr>
              <w:t xml:space="preserve"> 2012; 35(5): 955-958.</w:t>
            </w:r>
          </w:p>
        </w:tc>
      </w:tr>
      <w:tr w:rsidR="004E0074" w:rsidRPr="00E148FC" w:rsidTr="00880525">
        <w:tc>
          <w:tcPr>
            <w:tcW w:w="796" w:type="pct"/>
            <w:vMerge w:val="restart"/>
            <w:vAlign w:val="center"/>
          </w:tcPr>
          <w:p w:rsidR="004E0074" w:rsidRPr="00E148FC" w:rsidRDefault="004E0074" w:rsidP="00EA49D0">
            <w:pPr>
              <w:pStyle w:val="TableText"/>
              <w:keepNext w:val="0"/>
            </w:pPr>
            <w:r w:rsidRPr="00E148FC">
              <w:t>LIXILAN-L</w:t>
            </w:r>
          </w:p>
        </w:tc>
        <w:tc>
          <w:tcPr>
            <w:tcW w:w="3027" w:type="pct"/>
            <w:tcBorders>
              <w:bottom w:val="nil"/>
            </w:tcBorders>
            <w:vAlign w:val="center"/>
          </w:tcPr>
          <w:p w:rsidR="004E0074" w:rsidRPr="00E148FC" w:rsidRDefault="004E0074" w:rsidP="00EA49D0">
            <w:pPr>
              <w:pStyle w:val="TableText"/>
              <w:keepNext w:val="0"/>
            </w:pPr>
            <w:r w:rsidRPr="00E148FC">
              <w:t>Aroda VR, Rosenstock J, Wysham C, et al. Efficacy and safety of LixiLan, a fixed-ratio combination of insulin glargine plus lixisenatide in type 2 diabetes not adequately controlled on basal insulin: LixiLan-L trial.</w:t>
            </w:r>
          </w:p>
        </w:tc>
        <w:tc>
          <w:tcPr>
            <w:tcW w:w="1177" w:type="pct"/>
            <w:tcBorders>
              <w:bottom w:val="nil"/>
            </w:tcBorders>
          </w:tcPr>
          <w:p w:rsidR="004E0074" w:rsidRPr="00E148FC" w:rsidRDefault="004E0074" w:rsidP="004E0074">
            <w:pPr>
              <w:pStyle w:val="TableText"/>
              <w:keepNext w:val="0"/>
            </w:pPr>
            <w:r w:rsidRPr="00E148FC">
              <w:rPr>
                <w:i/>
              </w:rPr>
              <w:t>Diabetologia</w:t>
            </w:r>
            <w:r w:rsidRPr="00E148FC">
              <w:t xml:space="preserve"> 2016b; 59(1): S2-S3.</w:t>
            </w:r>
          </w:p>
        </w:tc>
      </w:tr>
      <w:tr w:rsidR="004E0074" w:rsidRPr="00E148FC" w:rsidTr="004E0074">
        <w:tc>
          <w:tcPr>
            <w:tcW w:w="796" w:type="pct"/>
            <w:vMerge/>
            <w:vAlign w:val="center"/>
          </w:tcPr>
          <w:p w:rsidR="004E0074" w:rsidRPr="00E148FC" w:rsidRDefault="004E0074" w:rsidP="00EA49D0">
            <w:pPr>
              <w:pStyle w:val="TableText"/>
              <w:keepNext w:val="0"/>
            </w:pPr>
          </w:p>
        </w:tc>
        <w:tc>
          <w:tcPr>
            <w:tcW w:w="3027" w:type="pct"/>
            <w:tcBorders>
              <w:top w:val="nil"/>
              <w:bottom w:val="nil"/>
            </w:tcBorders>
            <w:vAlign w:val="center"/>
          </w:tcPr>
          <w:p w:rsidR="004E0074" w:rsidRPr="00E148FC" w:rsidRDefault="004E0074" w:rsidP="00EA49D0">
            <w:pPr>
              <w:pStyle w:val="TableText"/>
              <w:keepNext w:val="0"/>
              <w:rPr>
                <w:szCs w:val="18"/>
              </w:rPr>
            </w:pPr>
            <w:r w:rsidRPr="00E148FC">
              <w:rPr>
                <w:szCs w:val="18"/>
              </w:rPr>
              <w:t xml:space="preserve">Aroda VR, Rosenstock J, Wysham C, et al. Efficacy and safety of LixiLan, a titratable fixed-ratio combination of insulin glargine plus lixisenatide in type 2 diabetes inadequately controlled on basal insulin and metformin: The LixiLan-L randomized trial. </w:t>
            </w:r>
          </w:p>
        </w:tc>
        <w:tc>
          <w:tcPr>
            <w:tcW w:w="1177" w:type="pct"/>
            <w:tcBorders>
              <w:top w:val="nil"/>
              <w:bottom w:val="nil"/>
            </w:tcBorders>
          </w:tcPr>
          <w:p w:rsidR="004E0074" w:rsidRPr="00E148FC" w:rsidRDefault="004E0074" w:rsidP="004E0074">
            <w:pPr>
              <w:pStyle w:val="TableText"/>
              <w:keepNext w:val="0"/>
            </w:pPr>
            <w:r w:rsidRPr="00E148FC">
              <w:rPr>
                <w:i/>
                <w:szCs w:val="18"/>
              </w:rPr>
              <w:t>Diabetes Care</w:t>
            </w:r>
            <w:r w:rsidRPr="00E148FC">
              <w:rPr>
                <w:szCs w:val="18"/>
              </w:rPr>
              <w:t xml:space="preserve"> 2016; 39(11): 1972-1980.</w:t>
            </w:r>
          </w:p>
        </w:tc>
      </w:tr>
      <w:tr w:rsidR="004E0074" w:rsidRPr="00E148FC" w:rsidTr="00880525">
        <w:tc>
          <w:tcPr>
            <w:tcW w:w="796" w:type="pct"/>
            <w:vMerge/>
            <w:vAlign w:val="center"/>
          </w:tcPr>
          <w:p w:rsidR="004E0074" w:rsidRPr="00E148FC" w:rsidRDefault="004E0074" w:rsidP="00EA49D0">
            <w:pPr>
              <w:pStyle w:val="TableText"/>
              <w:keepNext w:val="0"/>
            </w:pPr>
          </w:p>
        </w:tc>
        <w:tc>
          <w:tcPr>
            <w:tcW w:w="3027" w:type="pct"/>
            <w:tcBorders>
              <w:top w:val="nil"/>
              <w:bottom w:val="single" w:sz="4" w:space="0" w:color="auto"/>
            </w:tcBorders>
            <w:vAlign w:val="center"/>
          </w:tcPr>
          <w:p w:rsidR="004E0074" w:rsidRPr="00E148FC" w:rsidRDefault="004E0074" w:rsidP="00EA49D0">
            <w:pPr>
              <w:pStyle w:val="TableText"/>
              <w:keepNext w:val="0"/>
              <w:rPr>
                <w:szCs w:val="18"/>
              </w:rPr>
            </w:pPr>
            <w:r w:rsidRPr="00E148FC">
              <w:rPr>
                <w:szCs w:val="18"/>
              </w:rPr>
              <w:t>Blonde L, Bailey TS, Chao J, et al. Clinical characteristics and glycemic outcomes of patients with type 2 diabetes requiring maximum dose insulin glargine/lixisenatide fixed-ratio combination or insulin glargine in the LixiLan-L trial.</w:t>
            </w:r>
          </w:p>
        </w:tc>
        <w:tc>
          <w:tcPr>
            <w:tcW w:w="1177" w:type="pct"/>
            <w:tcBorders>
              <w:top w:val="nil"/>
              <w:bottom w:val="single" w:sz="4" w:space="0" w:color="auto"/>
            </w:tcBorders>
          </w:tcPr>
          <w:p w:rsidR="004E0074" w:rsidRPr="00E148FC" w:rsidRDefault="004E0074" w:rsidP="004E0074">
            <w:pPr>
              <w:pStyle w:val="TableText"/>
              <w:keepNext w:val="0"/>
              <w:rPr>
                <w:i/>
                <w:szCs w:val="18"/>
              </w:rPr>
            </w:pPr>
            <w:r w:rsidRPr="00E148FC">
              <w:rPr>
                <w:i/>
                <w:szCs w:val="18"/>
              </w:rPr>
              <w:t>Adv Ther</w:t>
            </w:r>
            <w:r w:rsidRPr="00E148FC">
              <w:rPr>
                <w:szCs w:val="18"/>
              </w:rPr>
              <w:t xml:space="preserve"> 2019; 36(9): 2310-2326.</w:t>
            </w:r>
          </w:p>
        </w:tc>
      </w:tr>
      <w:tr w:rsidR="004E0074" w:rsidRPr="00E148FC" w:rsidTr="00880525">
        <w:tc>
          <w:tcPr>
            <w:tcW w:w="796" w:type="pct"/>
            <w:vMerge/>
            <w:vAlign w:val="center"/>
          </w:tcPr>
          <w:p w:rsidR="004E0074" w:rsidRPr="00E148FC" w:rsidRDefault="004E0074" w:rsidP="00EA49D0">
            <w:pPr>
              <w:pStyle w:val="TableText"/>
              <w:keepNext w:val="0"/>
            </w:pPr>
          </w:p>
        </w:tc>
        <w:tc>
          <w:tcPr>
            <w:tcW w:w="3027" w:type="pct"/>
            <w:tcBorders>
              <w:top w:val="single" w:sz="4" w:space="0" w:color="auto"/>
              <w:bottom w:val="nil"/>
            </w:tcBorders>
            <w:vAlign w:val="center"/>
          </w:tcPr>
          <w:p w:rsidR="004E0074" w:rsidRPr="00E148FC" w:rsidRDefault="004E0074" w:rsidP="00EA49D0">
            <w:pPr>
              <w:pStyle w:val="TableText"/>
              <w:keepNext w:val="0"/>
              <w:rPr>
                <w:szCs w:val="18"/>
              </w:rPr>
            </w:pPr>
            <w:r w:rsidRPr="00E148FC">
              <w:rPr>
                <w:szCs w:val="18"/>
              </w:rPr>
              <w:t>Blonde L, Berard L, Saremi A, et al. Fixed-Ratio Combination of Insulin and GLP-1 RA in Patients with Longstanding Type 2 Diabetes: A Subanalysis of LixiLan-L.</w:t>
            </w:r>
          </w:p>
        </w:tc>
        <w:tc>
          <w:tcPr>
            <w:tcW w:w="1177" w:type="pct"/>
            <w:tcBorders>
              <w:top w:val="single" w:sz="4" w:space="0" w:color="auto"/>
              <w:bottom w:val="nil"/>
            </w:tcBorders>
          </w:tcPr>
          <w:p w:rsidR="004E0074" w:rsidRPr="00E148FC" w:rsidRDefault="004E0074" w:rsidP="004E0074">
            <w:pPr>
              <w:pStyle w:val="TableText"/>
              <w:keepNext w:val="0"/>
              <w:rPr>
                <w:i/>
                <w:szCs w:val="18"/>
              </w:rPr>
            </w:pPr>
            <w:r w:rsidRPr="00E148FC">
              <w:rPr>
                <w:i/>
                <w:szCs w:val="18"/>
              </w:rPr>
              <w:t>Diabetes Ther</w:t>
            </w:r>
            <w:r w:rsidRPr="00E148FC">
              <w:rPr>
                <w:szCs w:val="18"/>
              </w:rPr>
              <w:t xml:space="preserve"> 2020; 11(4): 1007-1015.</w:t>
            </w:r>
          </w:p>
        </w:tc>
      </w:tr>
      <w:tr w:rsidR="004E0074" w:rsidRPr="00E148FC" w:rsidTr="004E0074">
        <w:tc>
          <w:tcPr>
            <w:tcW w:w="796" w:type="pct"/>
            <w:vMerge/>
            <w:vAlign w:val="center"/>
          </w:tcPr>
          <w:p w:rsidR="004E0074" w:rsidRPr="00E148FC" w:rsidRDefault="004E0074" w:rsidP="00EA49D0">
            <w:pPr>
              <w:pStyle w:val="TableText"/>
              <w:keepNext w:val="0"/>
            </w:pPr>
          </w:p>
        </w:tc>
        <w:tc>
          <w:tcPr>
            <w:tcW w:w="3027" w:type="pct"/>
            <w:tcBorders>
              <w:top w:val="nil"/>
              <w:bottom w:val="nil"/>
            </w:tcBorders>
            <w:vAlign w:val="center"/>
          </w:tcPr>
          <w:p w:rsidR="004E0074" w:rsidRPr="00E148FC" w:rsidRDefault="004E0074" w:rsidP="00EA49D0">
            <w:pPr>
              <w:pStyle w:val="TableText"/>
              <w:keepNext w:val="0"/>
              <w:rPr>
                <w:szCs w:val="18"/>
              </w:rPr>
            </w:pPr>
            <w:r w:rsidRPr="00E148FC">
              <w:rPr>
                <w:szCs w:val="18"/>
              </w:rPr>
              <w:t xml:space="preserve">Dailey G, Bajaj HS, Dex T, et al. Post hoc efficacy and safety analysis of insulin glargine/lixisenatide fixed- ratio combination in North American patients compared with the rest of world. </w:t>
            </w:r>
          </w:p>
        </w:tc>
        <w:tc>
          <w:tcPr>
            <w:tcW w:w="1177" w:type="pct"/>
            <w:tcBorders>
              <w:top w:val="nil"/>
              <w:bottom w:val="nil"/>
            </w:tcBorders>
          </w:tcPr>
          <w:p w:rsidR="004E0074" w:rsidRPr="00E148FC" w:rsidRDefault="004E0074" w:rsidP="004E0074">
            <w:pPr>
              <w:pStyle w:val="TableText"/>
              <w:keepNext w:val="0"/>
              <w:rPr>
                <w:i/>
                <w:szCs w:val="18"/>
              </w:rPr>
            </w:pPr>
            <w:r w:rsidRPr="00E148FC">
              <w:rPr>
                <w:i/>
                <w:szCs w:val="18"/>
              </w:rPr>
              <w:t>BMJ Open Diab Res Care</w:t>
            </w:r>
            <w:r w:rsidRPr="00E148FC">
              <w:rPr>
                <w:szCs w:val="18"/>
              </w:rPr>
              <w:t xml:space="preserve"> 2019; 7(1):e000581</w:t>
            </w:r>
          </w:p>
        </w:tc>
      </w:tr>
      <w:tr w:rsidR="004E0074" w:rsidRPr="00E148FC" w:rsidTr="004E0074">
        <w:tc>
          <w:tcPr>
            <w:tcW w:w="796" w:type="pct"/>
            <w:vMerge/>
            <w:vAlign w:val="center"/>
          </w:tcPr>
          <w:p w:rsidR="004E0074" w:rsidRPr="00E148FC" w:rsidRDefault="004E0074" w:rsidP="00EA49D0">
            <w:pPr>
              <w:pStyle w:val="TableText"/>
              <w:keepNext w:val="0"/>
            </w:pPr>
          </w:p>
        </w:tc>
        <w:tc>
          <w:tcPr>
            <w:tcW w:w="3027" w:type="pct"/>
            <w:tcBorders>
              <w:top w:val="nil"/>
              <w:bottom w:val="nil"/>
            </w:tcBorders>
            <w:vAlign w:val="center"/>
          </w:tcPr>
          <w:p w:rsidR="004E0074" w:rsidRPr="00E148FC" w:rsidRDefault="004E0074" w:rsidP="00EA49D0">
            <w:pPr>
              <w:pStyle w:val="TableText"/>
              <w:keepNext w:val="0"/>
              <w:rPr>
                <w:szCs w:val="18"/>
              </w:rPr>
            </w:pPr>
            <w:r w:rsidRPr="00E148FC">
              <w:rPr>
                <w:szCs w:val="18"/>
              </w:rPr>
              <w:t>Davidson JA, Desouza C, Fonseka V, et al. Glycaemic target attainment in people with Type 2 diabetes treated with insulin glargine/lixisenatide fixed-ratio combination: a post hoc analysis of the LixiLan-O and LixiLan-L trials.</w:t>
            </w:r>
          </w:p>
        </w:tc>
        <w:tc>
          <w:tcPr>
            <w:tcW w:w="1177" w:type="pct"/>
            <w:tcBorders>
              <w:top w:val="nil"/>
              <w:bottom w:val="nil"/>
            </w:tcBorders>
          </w:tcPr>
          <w:p w:rsidR="004E0074" w:rsidRPr="00E148FC" w:rsidRDefault="004E0074" w:rsidP="004E0074">
            <w:pPr>
              <w:pStyle w:val="TableText"/>
              <w:keepNext w:val="0"/>
              <w:rPr>
                <w:i/>
                <w:szCs w:val="18"/>
              </w:rPr>
            </w:pPr>
            <w:r w:rsidRPr="00E148FC">
              <w:rPr>
                <w:i/>
                <w:szCs w:val="18"/>
              </w:rPr>
              <w:t>Diabet Med</w:t>
            </w:r>
            <w:r w:rsidRPr="00E148FC">
              <w:rPr>
                <w:szCs w:val="18"/>
              </w:rPr>
              <w:t xml:space="preserve"> 2020; 37(2):256-266.</w:t>
            </w:r>
          </w:p>
        </w:tc>
      </w:tr>
      <w:tr w:rsidR="004E0074" w:rsidRPr="00E148FC" w:rsidTr="004E0074">
        <w:tc>
          <w:tcPr>
            <w:tcW w:w="796" w:type="pct"/>
            <w:vMerge/>
            <w:vAlign w:val="center"/>
          </w:tcPr>
          <w:p w:rsidR="004E0074" w:rsidRPr="00E148FC" w:rsidRDefault="004E0074" w:rsidP="00EA49D0">
            <w:pPr>
              <w:pStyle w:val="TableText"/>
              <w:keepNext w:val="0"/>
            </w:pPr>
          </w:p>
        </w:tc>
        <w:tc>
          <w:tcPr>
            <w:tcW w:w="3027" w:type="pct"/>
            <w:tcBorders>
              <w:top w:val="nil"/>
              <w:bottom w:val="nil"/>
            </w:tcBorders>
            <w:vAlign w:val="center"/>
          </w:tcPr>
          <w:p w:rsidR="004E0074" w:rsidRPr="00E148FC" w:rsidRDefault="004E0074" w:rsidP="00EA49D0">
            <w:pPr>
              <w:pStyle w:val="TableText"/>
              <w:keepNext w:val="0"/>
              <w:rPr>
                <w:szCs w:val="18"/>
              </w:rPr>
            </w:pPr>
            <w:r w:rsidRPr="00E148FC">
              <w:rPr>
                <w:szCs w:val="18"/>
              </w:rPr>
              <w:t>Handelsman Y, Chovanes C, Dex T, et al. Efficacy and safety of insulin glargine/lixisenatide (iGlarLixi) fixed-ratio combination in older adults with type 2 diabetes.</w:t>
            </w:r>
          </w:p>
        </w:tc>
        <w:tc>
          <w:tcPr>
            <w:tcW w:w="1177" w:type="pct"/>
            <w:tcBorders>
              <w:top w:val="nil"/>
              <w:bottom w:val="nil"/>
            </w:tcBorders>
          </w:tcPr>
          <w:p w:rsidR="004E0074" w:rsidRPr="00E148FC" w:rsidRDefault="004E0074" w:rsidP="004E0074">
            <w:pPr>
              <w:pStyle w:val="TableText"/>
              <w:keepNext w:val="0"/>
              <w:rPr>
                <w:i/>
                <w:szCs w:val="18"/>
              </w:rPr>
            </w:pPr>
            <w:r w:rsidRPr="00E148FC">
              <w:rPr>
                <w:i/>
                <w:szCs w:val="18"/>
              </w:rPr>
              <w:t>J Diabetes Complications</w:t>
            </w:r>
            <w:r w:rsidRPr="00E148FC">
              <w:rPr>
                <w:szCs w:val="18"/>
              </w:rPr>
              <w:t xml:space="preserve"> 2019; 33(3): 236-242.</w:t>
            </w:r>
          </w:p>
        </w:tc>
      </w:tr>
      <w:tr w:rsidR="004E0074" w:rsidRPr="00E148FC" w:rsidTr="004E0074">
        <w:tc>
          <w:tcPr>
            <w:tcW w:w="796" w:type="pct"/>
            <w:vMerge/>
            <w:vAlign w:val="center"/>
          </w:tcPr>
          <w:p w:rsidR="004E0074" w:rsidRPr="00E148FC" w:rsidRDefault="004E0074" w:rsidP="00EA49D0">
            <w:pPr>
              <w:pStyle w:val="TableText"/>
              <w:keepNext w:val="0"/>
            </w:pPr>
          </w:p>
        </w:tc>
        <w:tc>
          <w:tcPr>
            <w:tcW w:w="3027" w:type="pct"/>
            <w:tcBorders>
              <w:top w:val="nil"/>
              <w:bottom w:val="nil"/>
            </w:tcBorders>
            <w:vAlign w:val="center"/>
          </w:tcPr>
          <w:p w:rsidR="004E0074" w:rsidRPr="00E148FC" w:rsidRDefault="004E0074" w:rsidP="00EA49D0">
            <w:pPr>
              <w:pStyle w:val="TableText"/>
              <w:keepNext w:val="0"/>
              <w:rPr>
                <w:szCs w:val="18"/>
              </w:rPr>
            </w:pPr>
            <w:r w:rsidRPr="00E148FC">
              <w:rPr>
                <w:szCs w:val="18"/>
              </w:rPr>
              <w:t>Morea N, Retnakaran R, Vidal J, et al. iGlarLixi effectively reduces residual hyperglycaemia in patients with type 2 diabetes on basal insulin: A post hoc analysis from the LixiLan-L study.</w:t>
            </w:r>
          </w:p>
        </w:tc>
        <w:tc>
          <w:tcPr>
            <w:tcW w:w="1177" w:type="pct"/>
            <w:tcBorders>
              <w:top w:val="nil"/>
              <w:bottom w:val="nil"/>
            </w:tcBorders>
          </w:tcPr>
          <w:p w:rsidR="004E0074" w:rsidRPr="00E148FC" w:rsidRDefault="004E0074" w:rsidP="004E0074">
            <w:pPr>
              <w:pStyle w:val="TableText"/>
              <w:keepNext w:val="0"/>
              <w:rPr>
                <w:i/>
                <w:szCs w:val="18"/>
              </w:rPr>
            </w:pPr>
            <w:r w:rsidRPr="00E148FC">
              <w:rPr>
                <w:i/>
                <w:szCs w:val="18"/>
              </w:rPr>
              <w:t>Diabetes Obes Metab</w:t>
            </w:r>
            <w:r w:rsidRPr="00E148FC">
              <w:rPr>
                <w:szCs w:val="18"/>
              </w:rPr>
              <w:t xml:space="preserve"> 2020; 22(9): 1683-1689.</w:t>
            </w:r>
          </w:p>
        </w:tc>
      </w:tr>
      <w:tr w:rsidR="004E0074" w:rsidRPr="00E148FC" w:rsidTr="004E0074">
        <w:tc>
          <w:tcPr>
            <w:tcW w:w="796" w:type="pct"/>
            <w:vMerge/>
            <w:vAlign w:val="center"/>
          </w:tcPr>
          <w:p w:rsidR="004E0074" w:rsidRPr="00E148FC" w:rsidRDefault="004E0074" w:rsidP="00EA49D0">
            <w:pPr>
              <w:pStyle w:val="TableText"/>
              <w:keepNext w:val="0"/>
            </w:pPr>
          </w:p>
        </w:tc>
        <w:tc>
          <w:tcPr>
            <w:tcW w:w="3027" w:type="pct"/>
            <w:tcBorders>
              <w:top w:val="nil"/>
              <w:bottom w:val="nil"/>
            </w:tcBorders>
            <w:vAlign w:val="center"/>
          </w:tcPr>
          <w:p w:rsidR="004E0074" w:rsidRPr="00E148FC" w:rsidRDefault="004E0074" w:rsidP="00EA49D0">
            <w:pPr>
              <w:pStyle w:val="TableText"/>
              <w:keepNext w:val="0"/>
              <w:rPr>
                <w:szCs w:val="18"/>
              </w:rPr>
            </w:pPr>
            <w:r w:rsidRPr="00E148FC">
              <w:rPr>
                <w:szCs w:val="18"/>
              </w:rPr>
              <w:t>Niemoeller E, Souhami E, Wu Y, Jensen KH. iGlarLixi reduces glycated hemoglobin to a greater extent than basal insulin regardless of levels at screening: Post hoc analysis of LixiLan-L.</w:t>
            </w:r>
          </w:p>
        </w:tc>
        <w:tc>
          <w:tcPr>
            <w:tcW w:w="1177" w:type="pct"/>
            <w:tcBorders>
              <w:top w:val="nil"/>
              <w:bottom w:val="nil"/>
            </w:tcBorders>
          </w:tcPr>
          <w:p w:rsidR="004E0074" w:rsidRPr="00E148FC" w:rsidRDefault="004E0074" w:rsidP="004E0074">
            <w:pPr>
              <w:pStyle w:val="TableText"/>
              <w:keepNext w:val="0"/>
              <w:rPr>
                <w:i/>
                <w:szCs w:val="18"/>
              </w:rPr>
            </w:pPr>
            <w:r w:rsidRPr="00E148FC">
              <w:rPr>
                <w:i/>
                <w:szCs w:val="18"/>
              </w:rPr>
              <w:t>Diabetes Ther</w:t>
            </w:r>
            <w:r w:rsidRPr="00E148FC">
              <w:rPr>
                <w:szCs w:val="18"/>
              </w:rPr>
              <w:t xml:space="preserve"> 2018; 9(1): 373-382.</w:t>
            </w:r>
          </w:p>
        </w:tc>
      </w:tr>
      <w:tr w:rsidR="004E0074" w:rsidRPr="00E148FC" w:rsidTr="004E0074">
        <w:tc>
          <w:tcPr>
            <w:tcW w:w="796" w:type="pct"/>
            <w:vMerge/>
            <w:vAlign w:val="center"/>
          </w:tcPr>
          <w:p w:rsidR="004E0074" w:rsidRPr="00E148FC" w:rsidRDefault="004E0074" w:rsidP="00EA49D0">
            <w:pPr>
              <w:pStyle w:val="TableText"/>
              <w:keepNext w:val="0"/>
            </w:pPr>
          </w:p>
        </w:tc>
        <w:tc>
          <w:tcPr>
            <w:tcW w:w="3027" w:type="pct"/>
            <w:tcBorders>
              <w:top w:val="nil"/>
              <w:bottom w:val="nil"/>
            </w:tcBorders>
            <w:vAlign w:val="center"/>
          </w:tcPr>
          <w:p w:rsidR="004E0074" w:rsidRPr="00E148FC" w:rsidRDefault="004E0074" w:rsidP="00EA49D0">
            <w:pPr>
              <w:pStyle w:val="TableText"/>
              <w:keepNext w:val="0"/>
              <w:rPr>
                <w:szCs w:val="18"/>
              </w:rPr>
            </w:pPr>
            <w:r w:rsidRPr="00E148FC">
              <w:rPr>
                <w:szCs w:val="18"/>
              </w:rPr>
              <w:t>Wysham C, Bonadonna RC, Aroda, VR, et al. Consistent findings in glycaemic control, body weight and hypoglycaemia with iGlarLixi (insulin glargine/lixisenatide titratable fixed-ratio combination) versus insulin glargine across baseline HbA1c, BMI and diabetes duration categories in the LixiLan-L trial.</w:t>
            </w:r>
          </w:p>
        </w:tc>
        <w:tc>
          <w:tcPr>
            <w:tcW w:w="1177" w:type="pct"/>
            <w:tcBorders>
              <w:top w:val="nil"/>
              <w:bottom w:val="nil"/>
            </w:tcBorders>
          </w:tcPr>
          <w:p w:rsidR="004E0074" w:rsidRPr="00E148FC" w:rsidRDefault="004E0074" w:rsidP="004E0074">
            <w:pPr>
              <w:pStyle w:val="TableText"/>
              <w:keepNext w:val="0"/>
              <w:rPr>
                <w:i/>
                <w:szCs w:val="18"/>
              </w:rPr>
            </w:pPr>
            <w:r w:rsidRPr="00E148FC">
              <w:rPr>
                <w:i/>
                <w:szCs w:val="18"/>
              </w:rPr>
              <w:t>Diabetes Obes Metab</w:t>
            </w:r>
            <w:r w:rsidRPr="00E148FC">
              <w:rPr>
                <w:szCs w:val="18"/>
              </w:rPr>
              <w:t xml:space="preserve"> 2017; 19(10): 1408-1415.</w:t>
            </w:r>
          </w:p>
        </w:tc>
      </w:tr>
      <w:tr w:rsidR="004E0074" w:rsidRPr="00E148FC" w:rsidTr="004E0074">
        <w:tc>
          <w:tcPr>
            <w:tcW w:w="796" w:type="pct"/>
            <w:vMerge/>
            <w:tcBorders>
              <w:bottom w:val="single" w:sz="4" w:space="0" w:color="auto"/>
            </w:tcBorders>
            <w:vAlign w:val="center"/>
          </w:tcPr>
          <w:p w:rsidR="004E0074" w:rsidRPr="00E148FC" w:rsidRDefault="004E0074" w:rsidP="00EA49D0">
            <w:pPr>
              <w:pStyle w:val="TableText"/>
              <w:keepNext w:val="0"/>
            </w:pPr>
          </w:p>
        </w:tc>
        <w:tc>
          <w:tcPr>
            <w:tcW w:w="3027" w:type="pct"/>
            <w:tcBorders>
              <w:top w:val="nil"/>
              <w:bottom w:val="single" w:sz="4" w:space="0" w:color="auto"/>
            </w:tcBorders>
            <w:vAlign w:val="center"/>
          </w:tcPr>
          <w:p w:rsidR="004E0074" w:rsidRPr="00E148FC" w:rsidRDefault="004E0074" w:rsidP="00EA49D0">
            <w:pPr>
              <w:pStyle w:val="TableText"/>
              <w:keepNext w:val="0"/>
              <w:rPr>
                <w:szCs w:val="18"/>
              </w:rPr>
            </w:pPr>
            <w:r w:rsidRPr="00E148FC">
              <w:rPr>
                <w:szCs w:val="18"/>
              </w:rPr>
              <w:t>Zisman A, Dex T, Roberts M, et al. Bedtime-to-morning glucose difference and iGlarLixi in type 2 diabetes: Post hoc analysis of LixiLan-L.</w:t>
            </w:r>
          </w:p>
        </w:tc>
        <w:tc>
          <w:tcPr>
            <w:tcW w:w="1177" w:type="pct"/>
            <w:tcBorders>
              <w:top w:val="nil"/>
              <w:bottom w:val="single" w:sz="4" w:space="0" w:color="auto"/>
            </w:tcBorders>
          </w:tcPr>
          <w:p w:rsidR="004E0074" w:rsidRPr="00E148FC" w:rsidRDefault="004E0074" w:rsidP="004E0074">
            <w:pPr>
              <w:pStyle w:val="TableText"/>
              <w:keepNext w:val="0"/>
              <w:rPr>
                <w:i/>
                <w:szCs w:val="18"/>
              </w:rPr>
            </w:pPr>
            <w:r w:rsidRPr="00E148FC">
              <w:rPr>
                <w:i/>
                <w:szCs w:val="18"/>
              </w:rPr>
              <w:t>Diabetes Ther</w:t>
            </w:r>
            <w:r w:rsidRPr="00E148FC">
              <w:rPr>
                <w:szCs w:val="18"/>
              </w:rPr>
              <w:t xml:space="preserve"> 2018; 9(5): 2155-2162.</w:t>
            </w:r>
          </w:p>
        </w:tc>
      </w:tr>
    </w:tbl>
    <w:p w:rsidR="004E0074" w:rsidRPr="00E148FC" w:rsidRDefault="004E0074" w:rsidP="004E0074">
      <w:pPr>
        <w:pStyle w:val="TableFigureFooter"/>
      </w:pPr>
      <w:r w:rsidRPr="00E148FC">
        <w:t>Source: Table 2.2.3, pp35-38 of the submission.</w:t>
      </w:r>
    </w:p>
    <w:p w:rsidR="004E0074" w:rsidRPr="00E148FC" w:rsidRDefault="004E0074" w:rsidP="004E0074">
      <w:pPr>
        <w:pStyle w:val="TableFigureFooter"/>
      </w:pPr>
      <w:r w:rsidRPr="00E148FC">
        <w:t>Note: Abstracts of studies with full publications are not presented.</w:t>
      </w:r>
    </w:p>
    <w:p w:rsidR="00EB41D5" w:rsidRDefault="00EB41D5">
      <w:pPr>
        <w:jc w:val="left"/>
        <w:rPr>
          <w:rFonts w:asciiTheme="minorHAnsi" w:hAnsiTheme="minorHAnsi"/>
          <w:snapToGrid w:val="0"/>
        </w:rPr>
      </w:pPr>
      <w:r>
        <w:br w:type="page"/>
      </w:r>
    </w:p>
    <w:p w:rsidR="007F1017" w:rsidRPr="00E148FC" w:rsidRDefault="008F120A" w:rsidP="00EC5836">
      <w:pPr>
        <w:pStyle w:val="ExecSumBodyText"/>
        <w:rPr>
          <w:color w:val="0066FF"/>
        </w:rPr>
      </w:pPr>
      <w:bookmarkStart w:id="15" w:name="_GoBack"/>
      <w:bookmarkEnd w:id="15"/>
      <w:r w:rsidRPr="00E148FC">
        <w:lastRenderedPageBreak/>
        <w:t>The key features of the randomised trials are summarised in the table below.</w:t>
      </w:r>
      <w:r w:rsidR="00BC591F" w:rsidRPr="00E148FC">
        <w:t xml:space="preserve"> </w:t>
      </w:r>
    </w:p>
    <w:p w:rsidR="007F1017" w:rsidRPr="00E148FC" w:rsidRDefault="007F1017" w:rsidP="00230DB1">
      <w:pPr>
        <w:pStyle w:val="TableFigureCaption"/>
      </w:pPr>
      <w:r w:rsidRPr="00E148FC">
        <w:t xml:space="preserve">Table </w:t>
      </w:r>
      <w:r w:rsidR="00F001CA" w:rsidRPr="00E148FC">
        <w:t>3</w:t>
      </w:r>
      <w:r w:rsidRPr="00E148FC">
        <w:t>: Key features of the included evidence</w:t>
      </w:r>
      <w:r w:rsidR="00F001CA" w:rsidRPr="00E148FC">
        <w:t xml:space="preserv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9"/>
        <w:gridCol w:w="671"/>
        <w:gridCol w:w="2126"/>
        <w:gridCol w:w="851"/>
        <w:gridCol w:w="1984"/>
        <w:gridCol w:w="2076"/>
      </w:tblGrid>
      <w:tr w:rsidR="00F001CA" w:rsidRPr="00E148FC" w:rsidTr="00E10F77">
        <w:trPr>
          <w:tblHeader/>
        </w:trPr>
        <w:tc>
          <w:tcPr>
            <w:tcW w:w="726" w:type="pct"/>
            <w:shd w:val="clear" w:color="auto" w:fill="auto"/>
            <w:vAlign w:val="center"/>
          </w:tcPr>
          <w:p w:rsidR="00F001CA" w:rsidRPr="00E148FC" w:rsidRDefault="00F001CA" w:rsidP="001E34DF">
            <w:pPr>
              <w:pStyle w:val="Tableheadingrow"/>
              <w:rPr>
                <w:lang w:val="en-AU"/>
              </w:rPr>
            </w:pPr>
            <w:r w:rsidRPr="00E148FC">
              <w:rPr>
                <w:lang w:val="en-AU"/>
              </w:rPr>
              <w:t>Trial</w:t>
            </w:r>
          </w:p>
        </w:tc>
        <w:tc>
          <w:tcPr>
            <w:tcW w:w="372" w:type="pct"/>
            <w:shd w:val="clear" w:color="auto" w:fill="auto"/>
            <w:vAlign w:val="center"/>
          </w:tcPr>
          <w:p w:rsidR="00F001CA" w:rsidRPr="00E148FC" w:rsidRDefault="00F001CA" w:rsidP="00EC5836">
            <w:pPr>
              <w:pStyle w:val="Tableheadingrow"/>
              <w:jc w:val="center"/>
              <w:rPr>
                <w:lang w:val="en-AU"/>
              </w:rPr>
            </w:pPr>
            <w:r w:rsidRPr="00E148FC">
              <w:rPr>
                <w:lang w:val="en-AU"/>
              </w:rPr>
              <w:t>N</w:t>
            </w:r>
          </w:p>
        </w:tc>
        <w:tc>
          <w:tcPr>
            <w:tcW w:w="1179" w:type="pct"/>
            <w:shd w:val="clear" w:color="auto" w:fill="auto"/>
            <w:vAlign w:val="center"/>
          </w:tcPr>
          <w:p w:rsidR="00F001CA" w:rsidRPr="00E148FC" w:rsidRDefault="00F001CA" w:rsidP="00EC5836">
            <w:pPr>
              <w:pStyle w:val="Tableheadingrow"/>
              <w:jc w:val="center"/>
              <w:rPr>
                <w:lang w:val="en-AU"/>
              </w:rPr>
            </w:pPr>
            <w:r w:rsidRPr="00E148FC">
              <w:rPr>
                <w:lang w:val="en-AU"/>
              </w:rPr>
              <w:t>Design/ duration</w:t>
            </w:r>
          </w:p>
        </w:tc>
        <w:tc>
          <w:tcPr>
            <w:tcW w:w="472" w:type="pct"/>
            <w:shd w:val="clear" w:color="auto" w:fill="auto"/>
            <w:vAlign w:val="center"/>
          </w:tcPr>
          <w:p w:rsidR="00F001CA" w:rsidRPr="00E148FC" w:rsidRDefault="00F001CA" w:rsidP="00EC5836">
            <w:pPr>
              <w:pStyle w:val="Tableheadingrow"/>
              <w:jc w:val="center"/>
              <w:rPr>
                <w:lang w:val="en-AU"/>
              </w:rPr>
            </w:pPr>
            <w:r w:rsidRPr="00E148FC">
              <w:rPr>
                <w:lang w:val="en-AU"/>
              </w:rPr>
              <w:t>Risk of bias</w:t>
            </w:r>
          </w:p>
        </w:tc>
        <w:tc>
          <w:tcPr>
            <w:tcW w:w="1100" w:type="pct"/>
            <w:shd w:val="clear" w:color="auto" w:fill="auto"/>
            <w:vAlign w:val="center"/>
          </w:tcPr>
          <w:p w:rsidR="00F001CA" w:rsidRPr="00E148FC" w:rsidRDefault="00F001CA" w:rsidP="00EC5836">
            <w:pPr>
              <w:pStyle w:val="Tableheadingrow"/>
              <w:jc w:val="center"/>
              <w:rPr>
                <w:lang w:val="en-AU"/>
              </w:rPr>
            </w:pPr>
            <w:r w:rsidRPr="00E148FC">
              <w:rPr>
                <w:lang w:val="en-AU"/>
              </w:rPr>
              <w:t>Patient population</w:t>
            </w:r>
          </w:p>
        </w:tc>
        <w:tc>
          <w:tcPr>
            <w:tcW w:w="1151" w:type="pct"/>
            <w:shd w:val="clear" w:color="auto" w:fill="auto"/>
            <w:vAlign w:val="center"/>
          </w:tcPr>
          <w:p w:rsidR="00F001CA" w:rsidRPr="00E148FC" w:rsidRDefault="00D57C55" w:rsidP="00E10F77">
            <w:pPr>
              <w:pStyle w:val="Tableheadingrow"/>
              <w:jc w:val="center"/>
              <w:rPr>
                <w:lang w:val="en-AU"/>
              </w:rPr>
            </w:pPr>
            <w:r w:rsidRPr="00E148FC">
              <w:rPr>
                <w:lang w:val="en-AU"/>
              </w:rPr>
              <w:t>Outcomes</w:t>
            </w:r>
          </w:p>
        </w:tc>
      </w:tr>
      <w:tr w:rsidR="007F1017" w:rsidRPr="00E148FC" w:rsidTr="00682BA6">
        <w:tc>
          <w:tcPr>
            <w:tcW w:w="5000" w:type="pct"/>
            <w:gridSpan w:val="6"/>
            <w:shd w:val="clear" w:color="auto" w:fill="auto"/>
            <w:vAlign w:val="center"/>
          </w:tcPr>
          <w:p w:rsidR="007F1017" w:rsidRPr="00E148FC" w:rsidRDefault="00F001CA" w:rsidP="00EC5836">
            <w:pPr>
              <w:pStyle w:val="Tableheadingrow"/>
              <w:rPr>
                <w:lang w:val="en-AU"/>
              </w:rPr>
            </w:pPr>
            <w:r w:rsidRPr="00E148FC">
              <w:rPr>
                <w:lang w:val="en-AU"/>
              </w:rPr>
              <w:t>Semaglutide vs placebo</w:t>
            </w:r>
            <w:r w:rsidR="00E10F77" w:rsidRPr="00E148FC">
              <w:rPr>
                <w:lang w:val="en-AU"/>
              </w:rPr>
              <w:t xml:space="preserve"> (with concomitant basal insulin)</w:t>
            </w:r>
          </w:p>
        </w:tc>
      </w:tr>
      <w:tr w:rsidR="00F001CA" w:rsidRPr="00E148FC" w:rsidTr="00E10F77">
        <w:tc>
          <w:tcPr>
            <w:tcW w:w="726" w:type="pct"/>
            <w:shd w:val="clear" w:color="auto" w:fill="auto"/>
            <w:vAlign w:val="center"/>
          </w:tcPr>
          <w:p w:rsidR="00F001CA" w:rsidRPr="00E148FC" w:rsidRDefault="00874CD9" w:rsidP="00EC5836">
            <w:pPr>
              <w:pStyle w:val="TableText"/>
            </w:pPr>
            <w:r w:rsidRPr="00E148FC">
              <w:t>SUSTAIN 5</w:t>
            </w:r>
          </w:p>
        </w:tc>
        <w:tc>
          <w:tcPr>
            <w:tcW w:w="372" w:type="pct"/>
            <w:shd w:val="clear" w:color="auto" w:fill="auto"/>
            <w:vAlign w:val="center"/>
          </w:tcPr>
          <w:p w:rsidR="00F001CA" w:rsidRPr="00E148FC" w:rsidRDefault="00E10F77" w:rsidP="00EC5836">
            <w:pPr>
              <w:pStyle w:val="TableText"/>
              <w:jc w:val="center"/>
            </w:pPr>
            <w:r w:rsidRPr="00E148FC">
              <w:t>397</w:t>
            </w:r>
          </w:p>
        </w:tc>
        <w:tc>
          <w:tcPr>
            <w:tcW w:w="1179" w:type="pct"/>
            <w:shd w:val="clear" w:color="auto" w:fill="auto"/>
            <w:vAlign w:val="center"/>
          </w:tcPr>
          <w:p w:rsidR="00F001CA" w:rsidRPr="00E148FC" w:rsidRDefault="00E10F77" w:rsidP="00EC5836">
            <w:pPr>
              <w:pStyle w:val="TableText"/>
              <w:jc w:val="center"/>
            </w:pPr>
            <w:r w:rsidRPr="00E148FC">
              <w:t>Phase 3, multi-centre, double blind, placebo-controlled, parallel group RCT (30 weeks)</w:t>
            </w:r>
          </w:p>
        </w:tc>
        <w:tc>
          <w:tcPr>
            <w:tcW w:w="472" w:type="pct"/>
            <w:shd w:val="clear" w:color="auto" w:fill="auto"/>
            <w:vAlign w:val="center"/>
          </w:tcPr>
          <w:p w:rsidR="00F001CA" w:rsidRPr="00E148FC" w:rsidRDefault="00F001CA" w:rsidP="00EC5836">
            <w:pPr>
              <w:pStyle w:val="TableText"/>
              <w:jc w:val="center"/>
            </w:pPr>
            <w:r w:rsidRPr="00E148FC">
              <w:t>Low</w:t>
            </w:r>
          </w:p>
        </w:tc>
        <w:tc>
          <w:tcPr>
            <w:tcW w:w="1100" w:type="pct"/>
            <w:shd w:val="clear" w:color="auto" w:fill="auto"/>
            <w:vAlign w:val="center"/>
          </w:tcPr>
          <w:p w:rsidR="00F001CA" w:rsidRPr="00E148FC" w:rsidRDefault="00874CD9" w:rsidP="00EC5836">
            <w:pPr>
              <w:pStyle w:val="TableText"/>
              <w:jc w:val="center"/>
            </w:pPr>
            <w:r w:rsidRPr="00E148FC">
              <w:t>Type 2 diabetes with uncontrolled HbA1c on basal insulin (with or without metformin)</w:t>
            </w:r>
          </w:p>
        </w:tc>
        <w:tc>
          <w:tcPr>
            <w:tcW w:w="1151" w:type="pct"/>
            <w:shd w:val="clear" w:color="auto" w:fill="auto"/>
            <w:vAlign w:val="center"/>
          </w:tcPr>
          <w:p w:rsidR="00F001CA" w:rsidRPr="00E148FC" w:rsidRDefault="00874CD9" w:rsidP="00874CD9">
            <w:pPr>
              <w:pStyle w:val="TableText"/>
              <w:jc w:val="center"/>
            </w:pPr>
            <w:r w:rsidRPr="00E148FC">
              <w:t>Change from baseline in HbA1c, FPG, body weight; HbA1c responders</w:t>
            </w:r>
            <w:r w:rsidR="0053616D" w:rsidRPr="00E148FC">
              <w:t>, hypoglycaemia</w:t>
            </w:r>
          </w:p>
        </w:tc>
      </w:tr>
      <w:tr w:rsidR="007F1017" w:rsidRPr="00E148FC" w:rsidTr="00682BA6">
        <w:tc>
          <w:tcPr>
            <w:tcW w:w="5000" w:type="pct"/>
            <w:gridSpan w:val="6"/>
            <w:shd w:val="clear" w:color="auto" w:fill="auto"/>
            <w:vAlign w:val="center"/>
          </w:tcPr>
          <w:p w:rsidR="007F1017" w:rsidRPr="00E148FC" w:rsidRDefault="00F001CA" w:rsidP="00EC5836">
            <w:pPr>
              <w:pStyle w:val="Tableheadingrow"/>
              <w:rPr>
                <w:lang w:val="en-AU"/>
              </w:rPr>
            </w:pPr>
            <w:r w:rsidRPr="00E148FC">
              <w:rPr>
                <w:lang w:val="en-AU"/>
              </w:rPr>
              <w:t>Dulaglutide vs placebo</w:t>
            </w:r>
            <w:r w:rsidR="00E10F77" w:rsidRPr="00E148FC">
              <w:rPr>
                <w:lang w:val="en-AU"/>
              </w:rPr>
              <w:t xml:space="preserve"> (with concomitant insulin glargine)</w:t>
            </w:r>
          </w:p>
        </w:tc>
      </w:tr>
      <w:tr w:rsidR="00874CD9" w:rsidRPr="00E148FC" w:rsidTr="00E10F77">
        <w:tc>
          <w:tcPr>
            <w:tcW w:w="726" w:type="pct"/>
            <w:shd w:val="clear" w:color="auto" w:fill="auto"/>
            <w:vAlign w:val="center"/>
          </w:tcPr>
          <w:p w:rsidR="00874CD9" w:rsidRPr="00E148FC" w:rsidRDefault="00874CD9" w:rsidP="00874CD9">
            <w:pPr>
              <w:pStyle w:val="TableText"/>
            </w:pPr>
            <w:r w:rsidRPr="00E148FC">
              <w:t>AWARD-9</w:t>
            </w:r>
          </w:p>
        </w:tc>
        <w:tc>
          <w:tcPr>
            <w:tcW w:w="372" w:type="pct"/>
            <w:shd w:val="clear" w:color="auto" w:fill="auto"/>
            <w:vAlign w:val="center"/>
          </w:tcPr>
          <w:p w:rsidR="00874CD9" w:rsidRPr="00E148FC" w:rsidRDefault="00874CD9" w:rsidP="00874CD9">
            <w:pPr>
              <w:pStyle w:val="TableText"/>
              <w:jc w:val="center"/>
            </w:pPr>
            <w:r w:rsidRPr="00E148FC">
              <w:t>300</w:t>
            </w:r>
          </w:p>
        </w:tc>
        <w:tc>
          <w:tcPr>
            <w:tcW w:w="1179" w:type="pct"/>
            <w:shd w:val="clear" w:color="auto" w:fill="auto"/>
            <w:vAlign w:val="center"/>
          </w:tcPr>
          <w:p w:rsidR="00874CD9" w:rsidRPr="00E148FC" w:rsidRDefault="00874CD9" w:rsidP="00874CD9">
            <w:pPr>
              <w:pStyle w:val="TableText"/>
              <w:jc w:val="center"/>
            </w:pPr>
            <w:r w:rsidRPr="00E148FC">
              <w:t>Phase 3, multi</w:t>
            </w:r>
            <w:r w:rsidR="00E10F77" w:rsidRPr="00E148FC">
              <w:t>-</w:t>
            </w:r>
            <w:r w:rsidRPr="00E148FC">
              <w:t>centre, double blind, placebo-controlled, parallel group RCT (28 weeks)</w:t>
            </w:r>
          </w:p>
        </w:tc>
        <w:tc>
          <w:tcPr>
            <w:tcW w:w="472" w:type="pct"/>
            <w:shd w:val="clear" w:color="auto" w:fill="auto"/>
            <w:vAlign w:val="center"/>
          </w:tcPr>
          <w:p w:rsidR="00874CD9" w:rsidRPr="00E148FC" w:rsidRDefault="00874CD9" w:rsidP="00874CD9">
            <w:pPr>
              <w:pStyle w:val="TableText"/>
              <w:jc w:val="center"/>
            </w:pPr>
            <w:r w:rsidRPr="00E148FC">
              <w:t>Low</w:t>
            </w:r>
          </w:p>
        </w:tc>
        <w:tc>
          <w:tcPr>
            <w:tcW w:w="1100" w:type="pct"/>
            <w:shd w:val="clear" w:color="auto" w:fill="auto"/>
            <w:vAlign w:val="center"/>
          </w:tcPr>
          <w:p w:rsidR="00874CD9" w:rsidRPr="00E148FC" w:rsidRDefault="00874CD9" w:rsidP="00874CD9">
            <w:pPr>
              <w:pStyle w:val="TableText"/>
              <w:jc w:val="center"/>
            </w:pPr>
            <w:r w:rsidRPr="00E148FC">
              <w:t>Type 2 diabetes with uncontrolled HbA1c on basal insulin (with or without metformin)</w:t>
            </w:r>
          </w:p>
        </w:tc>
        <w:tc>
          <w:tcPr>
            <w:tcW w:w="1151" w:type="pct"/>
            <w:shd w:val="clear" w:color="auto" w:fill="auto"/>
            <w:vAlign w:val="center"/>
          </w:tcPr>
          <w:p w:rsidR="00874CD9" w:rsidRPr="00E148FC" w:rsidRDefault="00874CD9" w:rsidP="00874CD9">
            <w:pPr>
              <w:pStyle w:val="TableText"/>
              <w:jc w:val="center"/>
            </w:pPr>
            <w:r w:rsidRPr="00E148FC">
              <w:t>Change from baseline in HbA1c, FSG, body weight; HbA1c responders</w:t>
            </w:r>
            <w:r w:rsidR="0053616D" w:rsidRPr="00E148FC">
              <w:t>, hypoglycaemia</w:t>
            </w:r>
          </w:p>
        </w:tc>
      </w:tr>
      <w:tr w:rsidR="00F001CA" w:rsidRPr="00E148FC" w:rsidTr="00F001CA">
        <w:tc>
          <w:tcPr>
            <w:tcW w:w="5000" w:type="pct"/>
            <w:gridSpan w:val="6"/>
            <w:shd w:val="clear" w:color="auto" w:fill="auto"/>
            <w:vAlign w:val="center"/>
          </w:tcPr>
          <w:p w:rsidR="00F001CA" w:rsidRPr="00E148FC" w:rsidRDefault="00F001CA" w:rsidP="00F001CA">
            <w:pPr>
              <w:pStyle w:val="TableText"/>
              <w:rPr>
                <w:b/>
              </w:rPr>
            </w:pPr>
            <w:r w:rsidRPr="00E148FC">
              <w:rPr>
                <w:b/>
              </w:rPr>
              <w:t>Exenatide vs placebo</w:t>
            </w:r>
            <w:r w:rsidR="00E10F77" w:rsidRPr="00E148FC">
              <w:rPr>
                <w:b/>
              </w:rPr>
              <w:t xml:space="preserve"> (with concomitant insulin glargine)</w:t>
            </w:r>
          </w:p>
        </w:tc>
      </w:tr>
      <w:tr w:rsidR="00874CD9" w:rsidRPr="00E148FC" w:rsidTr="00E10F77">
        <w:tc>
          <w:tcPr>
            <w:tcW w:w="726" w:type="pct"/>
            <w:shd w:val="clear" w:color="auto" w:fill="auto"/>
            <w:vAlign w:val="center"/>
          </w:tcPr>
          <w:p w:rsidR="00874CD9" w:rsidRPr="00E148FC" w:rsidRDefault="00874CD9" w:rsidP="00874CD9">
            <w:pPr>
              <w:pStyle w:val="TableText"/>
            </w:pPr>
            <w:r w:rsidRPr="00E148FC">
              <w:t>GWCO</w:t>
            </w:r>
          </w:p>
        </w:tc>
        <w:tc>
          <w:tcPr>
            <w:tcW w:w="372" w:type="pct"/>
            <w:shd w:val="clear" w:color="auto" w:fill="auto"/>
            <w:vAlign w:val="center"/>
          </w:tcPr>
          <w:p w:rsidR="00874CD9" w:rsidRPr="00E148FC" w:rsidRDefault="00874CD9" w:rsidP="00874CD9">
            <w:pPr>
              <w:pStyle w:val="TableText"/>
              <w:jc w:val="center"/>
            </w:pPr>
            <w:r w:rsidRPr="00E148FC">
              <w:t>261</w:t>
            </w:r>
          </w:p>
        </w:tc>
        <w:tc>
          <w:tcPr>
            <w:tcW w:w="1179" w:type="pct"/>
            <w:shd w:val="clear" w:color="auto" w:fill="auto"/>
            <w:vAlign w:val="center"/>
          </w:tcPr>
          <w:p w:rsidR="00874CD9" w:rsidRPr="00E148FC" w:rsidRDefault="00874CD9" w:rsidP="00874CD9">
            <w:pPr>
              <w:pStyle w:val="TableText"/>
              <w:jc w:val="center"/>
            </w:pPr>
            <w:r w:rsidRPr="00E148FC">
              <w:t>Phase 3, double blind, placebo-controlled, parallel group RCT (30 weeks)</w:t>
            </w:r>
          </w:p>
        </w:tc>
        <w:tc>
          <w:tcPr>
            <w:tcW w:w="472" w:type="pct"/>
            <w:shd w:val="clear" w:color="auto" w:fill="auto"/>
            <w:vAlign w:val="center"/>
          </w:tcPr>
          <w:p w:rsidR="00874CD9" w:rsidRPr="00E148FC" w:rsidRDefault="00874CD9" w:rsidP="00874CD9">
            <w:pPr>
              <w:pStyle w:val="TableText"/>
              <w:jc w:val="center"/>
            </w:pPr>
            <w:r w:rsidRPr="00E148FC">
              <w:t>Low</w:t>
            </w:r>
          </w:p>
        </w:tc>
        <w:tc>
          <w:tcPr>
            <w:tcW w:w="1100" w:type="pct"/>
            <w:shd w:val="clear" w:color="auto" w:fill="auto"/>
            <w:vAlign w:val="center"/>
          </w:tcPr>
          <w:p w:rsidR="00874CD9" w:rsidRPr="00E148FC" w:rsidRDefault="00874CD9" w:rsidP="00874CD9">
            <w:pPr>
              <w:pStyle w:val="TableText"/>
              <w:jc w:val="center"/>
            </w:pPr>
            <w:r w:rsidRPr="00E148FC">
              <w:t>Type 2 diabetes with uncontrolled HbA1c on basal insulin (with or without metformin and/or pioglitazone)</w:t>
            </w:r>
          </w:p>
        </w:tc>
        <w:tc>
          <w:tcPr>
            <w:tcW w:w="1151" w:type="pct"/>
            <w:shd w:val="clear" w:color="auto" w:fill="auto"/>
            <w:vAlign w:val="center"/>
          </w:tcPr>
          <w:p w:rsidR="00874CD9" w:rsidRPr="00E148FC" w:rsidRDefault="00874CD9" w:rsidP="00874CD9">
            <w:pPr>
              <w:pStyle w:val="TableText"/>
              <w:jc w:val="center"/>
            </w:pPr>
            <w:r w:rsidRPr="00E148FC">
              <w:t>Change from baseline in HbA1c, FPG, body weight; HbA1c responders</w:t>
            </w:r>
            <w:r w:rsidR="0053616D" w:rsidRPr="00E148FC">
              <w:t>, hypoglycaemia</w:t>
            </w:r>
          </w:p>
        </w:tc>
      </w:tr>
    </w:tbl>
    <w:p w:rsidR="00B60939" w:rsidRPr="00E148FC" w:rsidRDefault="00045017" w:rsidP="00EC5836">
      <w:pPr>
        <w:pStyle w:val="TableFigureFooter"/>
      </w:pPr>
      <w:r w:rsidRPr="00E148FC">
        <w:t xml:space="preserve">Source: </w:t>
      </w:r>
      <w:r w:rsidR="00E10F77" w:rsidRPr="00E148FC">
        <w:t>Compiled from information presented in Sections 2.3 and 2.4</w:t>
      </w:r>
      <w:r w:rsidR="0053616D" w:rsidRPr="00E148FC">
        <w:t>, pp39-57</w:t>
      </w:r>
      <w:r w:rsidR="00E10F77" w:rsidRPr="00E148FC">
        <w:t xml:space="preserve"> of the submission.</w:t>
      </w:r>
    </w:p>
    <w:p w:rsidR="00620C25" w:rsidRPr="00E148FC" w:rsidRDefault="00E10F77" w:rsidP="00EC5836">
      <w:pPr>
        <w:pStyle w:val="TableFigureFooter"/>
      </w:pPr>
      <w:r w:rsidRPr="00E148FC">
        <w:t>Abbreviations: FPG, fasting plasma glucose; FSG, fasting serum glucose; HbA1c, glycated haemoglobin; RCT, randomised controlled trial</w:t>
      </w:r>
      <w:r w:rsidR="00620C25" w:rsidRPr="00E148FC">
        <w:t>.</w:t>
      </w:r>
    </w:p>
    <w:p w:rsidR="0053616D" w:rsidRPr="00E148FC" w:rsidRDefault="0053616D" w:rsidP="00EC5836">
      <w:pPr>
        <w:pStyle w:val="TableFigureFooter"/>
        <w:rPr>
          <w:szCs w:val="18"/>
        </w:rPr>
      </w:pPr>
    </w:p>
    <w:p w:rsidR="00BA2982" w:rsidRPr="00E148FC" w:rsidRDefault="0053616D" w:rsidP="00852392">
      <w:pPr>
        <w:pStyle w:val="ExecSumBodyText"/>
        <w:rPr>
          <w:color w:val="0066FF"/>
        </w:rPr>
      </w:pPr>
      <w:r w:rsidRPr="00E148FC">
        <w:t>The trials were generally comparable</w:t>
      </w:r>
      <w:r w:rsidR="00853113" w:rsidRPr="00E148FC">
        <w:t xml:space="preserve"> in terms of the enrolled population. However</w:t>
      </w:r>
      <w:r w:rsidR="00645B76" w:rsidRPr="00E148FC">
        <w:t>,</w:t>
      </w:r>
      <w:r w:rsidR="00853113" w:rsidRPr="00E148FC">
        <w:t xml:space="preserve"> there were differences in study design, particularly the</w:t>
      </w:r>
      <w:r w:rsidRPr="00E148FC">
        <w:t xml:space="preserve"> insulin titration algorithms.</w:t>
      </w:r>
      <w:r w:rsidR="00852392" w:rsidRPr="00E148FC">
        <w:t xml:space="preserve"> </w:t>
      </w:r>
      <w:r w:rsidR="00853113" w:rsidRPr="00E148FC">
        <w:t>In the SUSTAIN 5, AWARD-9 and GWCO trials, patients with HbA1c</w:t>
      </w:r>
      <w:r w:rsidR="0089189C" w:rsidRPr="00E148FC">
        <w:t xml:space="preserve"> </w:t>
      </w:r>
      <w:r w:rsidR="00853113" w:rsidRPr="00E148FC">
        <w:t xml:space="preserve">≤8.0% at randomisation immediately decreased their insulin dose by 20% to limit the potential risk of hypoglycaemia. </w:t>
      </w:r>
      <w:r w:rsidR="003F576D" w:rsidRPr="00E148FC">
        <w:t>The PBAC noted that down-titration (apart from the initial 20% reduction in dose) was only permitted in SUSTAIN 5 for 12 weeks (weeks 0-12) and AWARD-9 for 24 weeks (week 5-28). Down-titration of insulin was also permitted for rescue therapy.</w:t>
      </w:r>
    </w:p>
    <w:p w:rsidR="00BA2982" w:rsidRPr="00E148FC" w:rsidRDefault="00852392" w:rsidP="00E7044D">
      <w:pPr>
        <w:pStyle w:val="ExecSumBodyText"/>
        <w:rPr>
          <w:color w:val="0066FF"/>
        </w:rPr>
      </w:pPr>
      <w:r w:rsidRPr="00E148FC">
        <w:t xml:space="preserve">In SUSTAIN 5, up-titration of basal insulin dose was only permitted for patients with HbA1c ≤8.0% at baseline, and only between </w:t>
      </w:r>
      <w:r w:rsidR="0089189C" w:rsidRPr="00E148FC">
        <w:t>weeks</w:t>
      </w:r>
      <w:r w:rsidRPr="00E148FC">
        <w:t xml:space="preserve"> 10 an</w:t>
      </w:r>
      <w:r w:rsidR="006E2191" w:rsidRPr="00E148FC">
        <w:t>d 16 (7 weeks), and i</w:t>
      </w:r>
      <w:r w:rsidRPr="00E148FC">
        <w:t>nsulin dose was not to exceed the pre-randomisation dose</w:t>
      </w:r>
      <w:r w:rsidR="006E2191" w:rsidRPr="00E148FC">
        <w:t xml:space="preserve">. </w:t>
      </w:r>
      <w:r w:rsidRPr="00E148FC">
        <w:t>In contrast, up-titration was permitted after an initial stabilisation period for the remainder of the trial for all patients in the AWARD-9 (week 5-28, 24 weeks)</w:t>
      </w:r>
      <w:r w:rsidR="00D76955" w:rsidRPr="00E148FC">
        <w:t xml:space="preserve"> and</w:t>
      </w:r>
      <w:r w:rsidRPr="00E148FC">
        <w:t xml:space="preserve"> GWCO (week 6-30, 25 weeks)</w:t>
      </w:r>
      <w:r w:rsidR="007234CB" w:rsidRPr="00E148FC">
        <w:t>, with no upper limit</w:t>
      </w:r>
      <w:r w:rsidR="00E7044D" w:rsidRPr="00E148FC">
        <w:t xml:space="preserve">. </w:t>
      </w:r>
    </w:p>
    <w:p w:rsidR="0053616D" w:rsidRPr="00E148FC" w:rsidRDefault="00852392" w:rsidP="00852392">
      <w:pPr>
        <w:pStyle w:val="ExecSumBodyText"/>
        <w:rPr>
          <w:color w:val="0066FF"/>
        </w:rPr>
      </w:pPr>
      <w:r w:rsidRPr="00E148FC">
        <w:t>The difference in insulin titration algorithms between SUSTAIN 5 and the comparator trials may limit the exchangeability of the trials for indirect analysis.</w:t>
      </w:r>
      <w:r w:rsidR="0053616D" w:rsidRPr="00E148FC">
        <w:t xml:space="preserve"> </w:t>
      </w:r>
    </w:p>
    <w:p w:rsidR="007234CB" w:rsidRPr="00E148FC" w:rsidRDefault="007234CB" w:rsidP="00852392">
      <w:pPr>
        <w:pStyle w:val="ExecSumBodyText"/>
        <w:rPr>
          <w:color w:val="0066FF"/>
        </w:rPr>
      </w:pPr>
      <w:r w:rsidRPr="00E148FC">
        <w:t>In the SUSTAIN 5 trial, there were two placebo arms that received different volumes of placebo to match the injection volumes for the two semaglutide dose strengths, but the placebo arms were pooled for the assessment of comparative efficacy and safety.</w:t>
      </w:r>
      <w:r w:rsidR="0089189C" w:rsidRPr="00E148FC">
        <w:t xml:space="preserve"> The SUSTAIN 5 Clinical Study Report noted no association between the volume of placebo administered and Hb</w:t>
      </w:r>
      <w:r w:rsidR="00435182" w:rsidRPr="00E148FC">
        <w:t>A1c or body weight outcomes, which</w:t>
      </w:r>
      <w:r w:rsidR="0089189C" w:rsidRPr="00E148FC">
        <w:t xml:space="preserve"> was appropriate.</w:t>
      </w:r>
    </w:p>
    <w:p w:rsidR="00B60939" w:rsidRPr="00E148FC" w:rsidRDefault="00B60939" w:rsidP="00EC5836">
      <w:pPr>
        <w:pStyle w:val="3-SubsectionHeading"/>
      </w:pPr>
      <w:bookmarkStart w:id="16" w:name="_Toc22897641"/>
      <w:bookmarkStart w:id="17" w:name="_Toc62027966"/>
      <w:r w:rsidRPr="00E148FC">
        <w:lastRenderedPageBreak/>
        <w:t>Comparative effectiveness</w:t>
      </w:r>
      <w:bookmarkEnd w:id="16"/>
      <w:bookmarkEnd w:id="17"/>
    </w:p>
    <w:p w:rsidR="007234CB" w:rsidRPr="00E148FC" w:rsidRDefault="007234CB" w:rsidP="00486837">
      <w:pPr>
        <w:pStyle w:val="Heading2"/>
        <w:spacing w:after="120"/>
        <w:rPr>
          <w:i w:val="0"/>
          <w:sz w:val="24"/>
        </w:rPr>
      </w:pPr>
      <w:bookmarkStart w:id="18" w:name="_Toc18324411"/>
      <w:bookmarkStart w:id="19" w:name="_Toc62027967"/>
      <w:r w:rsidRPr="00E148FC">
        <w:rPr>
          <w:i w:val="0"/>
          <w:sz w:val="24"/>
        </w:rPr>
        <w:t>Semaglutide + insulin versus placebo + insulin</w:t>
      </w:r>
      <w:bookmarkEnd w:id="18"/>
      <w:bookmarkEnd w:id="19"/>
    </w:p>
    <w:p w:rsidR="00C37C39" w:rsidRPr="00E148FC" w:rsidRDefault="00C37C39" w:rsidP="00C37C39">
      <w:pPr>
        <w:pStyle w:val="ExecSumBodyText"/>
      </w:pPr>
      <w:r w:rsidRPr="00E148FC">
        <w:t xml:space="preserve">The SUSTAIN 5 trial used a subset of the full analysis set, labelled as ‘on-treatment without rescue medication’ when reporting </w:t>
      </w:r>
      <w:r w:rsidR="00852392" w:rsidRPr="00E148FC">
        <w:t>efficacy outcomes</w:t>
      </w:r>
      <w:r w:rsidRPr="00E148FC">
        <w:t>. The observation period for this dataset censored for premature treatment discontinuations as well as use of anti-diabetic rescue medications</w:t>
      </w:r>
      <w:r w:rsidR="00852392" w:rsidRPr="00E148FC">
        <w:t>, to avoid confounding of efficacy outcomes from rescue medication use</w:t>
      </w:r>
      <w:r w:rsidRPr="00E148FC">
        <w:t xml:space="preserve">. </w:t>
      </w:r>
      <w:r w:rsidR="0007366F" w:rsidRPr="00E148FC">
        <w:t>The PBAC noted that basal insulin dose increase was the first choice for rescue medication and was required in</w:t>
      </w:r>
      <w:r w:rsidR="006E452E" w:rsidRPr="00E148FC">
        <w:t xml:space="preserve"> only 6% of the 397 randomised patients</w:t>
      </w:r>
      <w:r w:rsidR="0007366F" w:rsidRPr="00E148FC">
        <w:t xml:space="preserve"> </w:t>
      </w:r>
      <w:r w:rsidR="006E452E" w:rsidRPr="00E148FC">
        <w:t>(</w:t>
      </w:r>
      <w:r w:rsidR="0007366F" w:rsidRPr="00E148FC">
        <w:t>3 (2.3%) patients from the semaglutide 0.5 mg group, 1 patient (0.8%) in the semaglutide 1.0 mg group, and 19 (14.3%) patients in the placebo group</w:t>
      </w:r>
      <w:r w:rsidR="006E452E" w:rsidRPr="00E148FC">
        <w:t>)</w:t>
      </w:r>
      <w:r w:rsidR="0007366F" w:rsidRPr="00E148FC">
        <w:t xml:space="preserve">. </w:t>
      </w:r>
      <w:r w:rsidRPr="00E148FC">
        <w:t>Results from pre-specified sensitivity analyses using alternative datasets including an in-trial analysis (larger set including observations from patients who discontinued treatment prematurely) were consistent with the primary analysis in terms of statistical significance</w:t>
      </w:r>
      <w:r w:rsidR="00E646DA" w:rsidRPr="00E148FC">
        <w:t>, but the difference between treatments was smaller</w:t>
      </w:r>
      <w:r w:rsidR="00852392" w:rsidRPr="00E148FC">
        <w:t>.</w:t>
      </w:r>
    </w:p>
    <w:p w:rsidR="00C37C39" w:rsidRPr="00E148FC" w:rsidRDefault="00C37C39" w:rsidP="00EC5836">
      <w:pPr>
        <w:pStyle w:val="ExecSumBodyText"/>
      </w:pPr>
      <w:r w:rsidRPr="00E148FC">
        <w:rPr>
          <w:snapToGrid/>
        </w:rPr>
        <w:t>Key outcomes for change in HbA1c from the SUSTAIN 5 trial are presented in the table below.</w:t>
      </w:r>
    </w:p>
    <w:p w:rsidR="00C37C39" w:rsidRPr="00E148FC" w:rsidRDefault="00C37C39" w:rsidP="00C37C39">
      <w:pPr>
        <w:pStyle w:val="TableHeading"/>
        <w:spacing w:after="0"/>
        <w:jc w:val="both"/>
      </w:pPr>
      <w:r w:rsidRPr="00E148FC">
        <w:t xml:space="preserve">Table </w:t>
      </w:r>
      <w:r w:rsidR="00DF16BF" w:rsidRPr="00E148FC">
        <w:t>4</w:t>
      </w:r>
      <w:r w:rsidRPr="00E148FC">
        <w:t>: Change in HbA1c (%) and proportions of patients achieving HbA1c targets of &lt; 7.0% or ≤ 6.5</w:t>
      </w:r>
      <w:r w:rsidR="00C3361B" w:rsidRPr="00E148FC">
        <w:t>% from</w:t>
      </w:r>
      <w:r w:rsidRPr="00E148FC">
        <w:t xml:space="preserve"> baseline to week 30 (on treatment without rescue medication)</w:t>
      </w:r>
    </w:p>
    <w:tbl>
      <w:tblPr>
        <w:tblStyle w:val="TableGrid"/>
        <w:tblW w:w="5000" w:type="pct"/>
        <w:tblLook w:val="04A0" w:firstRow="1" w:lastRow="0" w:firstColumn="1" w:lastColumn="0" w:noHBand="0" w:noVBand="1"/>
        <w:tblCaption w:val="Table 4: Change in HbA1c (%) and proportions of patients achieving HbA1c targets of &lt; 7.0% or ≤ 6.5% from baseline to week 30 (on treatment without rescue medication)"/>
      </w:tblPr>
      <w:tblGrid>
        <w:gridCol w:w="1571"/>
        <w:gridCol w:w="566"/>
        <w:gridCol w:w="1246"/>
        <w:gridCol w:w="1204"/>
        <w:gridCol w:w="1357"/>
        <w:gridCol w:w="3073"/>
      </w:tblGrid>
      <w:tr w:rsidR="00C37C39" w:rsidRPr="00E148FC" w:rsidTr="00284919">
        <w:trPr>
          <w:tblHeader/>
        </w:trPr>
        <w:tc>
          <w:tcPr>
            <w:tcW w:w="1571" w:type="dxa"/>
            <w:vAlign w:val="center"/>
          </w:tcPr>
          <w:p w:rsidR="00C37C39" w:rsidRPr="00E148FC" w:rsidRDefault="00C37C39" w:rsidP="00364028">
            <w:pPr>
              <w:pStyle w:val="TableText"/>
              <w:rPr>
                <w:b/>
              </w:rPr>
            </w:pPr>
            <w:r w:rsidRPr="00E148FC">
              <w:rPr>
                <w:b/>
              </w:rPr>
              <w:t>Treatment arms</w:t>
            </w:r>
          </w:p>
        </w:tc>
        <w:tc>
          <w:tcPr>
            <w:tcW w:w="566" w:type="dxa"/>
            <w:vAlign w:val="center"/>
          </w:tcPr>
          <w:p w:rsidR="00C37C39" w:rsidRPr="00E148FC" w:rsidRDefault="00C37C39" w:rsidP="00364028">
            <w:pPr>
              <w:pStyle w:val="TableText"/>
              <w:jc w:val="center"/>
              <w:rPr>
                <w:b/>
              </w:rPr>
            </w:pPr>
            <w:r w:rsidRPr="00E148FC">
              <w:rPr>
                <w:b/>
              </w:rPr>
              <w:t>N</w:t>
            </w:r>
          </w:p>
        </w:tc>
        <w:tc>
          <w:tcPr>
            <w:tcW w:w="1246" w:type="dxa"/>
            <w:vAlign w:val="center"/>
          </w:tcPr>
          <w:p w:rsidR="00C37C39" w:rsidRPr="00E148FC" w:rsidRDefault="00C37C39" w:rsidP="00364028">
            <w:pPr>
              <w:pStyle w:val="TableText"/>
              <w:jc w:val="center"/>
              <w:rPr>
                <w:b/>
              </w:rPr>
            </w:pPr>
            <w:r w:rsidRPr="00E148FC">
              <w:rPr>
                <w:b/>
              </w:rPr>
              <w:t>Baseline, mean (SD)</w:t>
            </w:r>
          </w:p>
        </w:tc>
        <w:tc>
          <w:tcPr>
            <w:tcW w:w="1204" w:type="dxa"/>
            <w:vAlign w:val="center"/>
          </w:tcPr>
          <w:p w:rsidR="00C37C39" w:rsidRPr="00E148FC" w:rsidRDefault="00C37C39" w:rsidP="0089189C">
            <w:pPr>
              <w:pStyle w:val="TableText"/>
              <w:jc w:val="center"/>
              <w:rPr>
                <w:b/>
                <w:vertAlign w:val="superscript"/>
              </w:rPr>
            </w:pPr>
            <w:r w:rsidRPr="00E148FC">
              <w:rPr>
                <w:b/>
              </w:rPr>
              <w:t>Week 30, mean (SE)</w:t>
            </w:r>
            <w:r w:rsidRPr="00E148FC">
              <w:rPr>
                <w:b/>
                <w:vertAlign w:val="superscript"/>
              </w:rPr>
              <w:t>a</w:t>
            </w:r>
          </w:p>
        </w:tc>
        <w:tc>
          <w:tcPr>
            <w:tcW w:w="1357" w:type="dxa"/>
            <w:vAlign w:val="center"/>
          </w:tcPr>
          <w:p w:rsidR="00C37C39" w:rsidRPr="00E148FC" w:rsidRDefault="00C37C39" w:rsidP="00364028">
            <w:pPr>
              <w:pStyle w:val="TableText"/>
              <w:jc w:val="center"/>
              <w:rPr>
                <w:b/>
                <w:vertAlign w:val="superscript"/>
              </w:rPr>
            </w:pPr>
            <w:r w:rsidRPr="00E148FC">
              <w:rPr>
                <w:b/>
              </w:rPr>
              <w:t>Mean change (SE)</w:t>
            </w:r>
            <w:r w:rsidRPr="00E148FC">
              <w:rPr>
                <w:b/>
                <w:vertAlign w:val="superscript"/>
              </w:rPr>
              <w:t>a</w:t>
            </w:r>
          </w:p>
        </w:tc>
        <w:tc>
          <w:tcPr>
            <w:tcW w:w="3073" w:type="dxa"/>
            <w:vAlign w:val="center"/>
          </w:tcPr>
          <w:p w:rsidR="00C37C39" w:rsidRPr="00E148FC" w:rsidRDefault="00C37C39" w:rsidP="00364028">
            <w:pPr>
              <w:pStyle w:val="TableText"/>
              <w:jc w:val="center"/>
              <w:rPr>
                <w:b/>
                <w:vertAlign w:val="superscript"/>
              </w:rPr>
            </w:pPr>
            <w:r w:rsidRPr="00E148FC">
              <w:rPr>
                <w:b/>
              </w:rPr>
              <w:t>Mean treatment difference versus placebo (95% CI)</w:t>
            </w:r>
            <w:r w:rsidRPr="00E148FC">
              <w:rPr>
                <w:b/>
                <w:vertAlign w:val="superscript"/>
              </w:rPr>
              <w:t>a</w:t>
            </w:r>
          </w:p>
        </w:tc>
      </w:tr>
      <w:tr w:rsidR="00C37C39" w:rsidRPr="00E148FC" w:rsidTr="00364028">
        <w:tc>
          <w:tcPr>
            <w:tcW w:w="9017" w:type="dxa"/>
            <w:gridSpan w:val="6"/>
            <w:vAlign w:val="center"/>
          </w:tcPr>
          <w:p w:rsidR="00C37C39" w:rsidRPr="00E148FC" w:rsidRDefault="00C37C39" w:rsidP="00364028">
            <w:pPr>
              <w:pStyle w:val="TableText"/>
              <w:rPr>
                <w:b/>
              </w:rPr>
            </w:pPr>
            <w:r w:rsidRPr="00E148FC">
              <w:rPr>
                <w:b/>
              </w:rPr>
              <w:t>Change in HbA1c (%) from baseline to week 30 [primary outcome]</w:t>
            </w:r>
          </w:p>
        </w:tc>
      </w:tr>
      <w:tr w:rsidR="00C37C39" w:rsidRPr="00E148FC" w:rsidTr="00364028">
        <w:trPr>
          <w:trHeight w:val="56"/>
        </w:trPr>
        <w:tc>
          <w:tcPr>
            <w:tcW w:w="1571" w:type="dxa"/>
            <w:vAlign w:val="center"/>
          </w:tcPr>
          <w:p w:rsidR="00C37C39" w:rsidRPr="00E148FC" w:rsidRDefault="00C37C39" w:rsidP="00364028">
            <w:pPr>
              <w:pStyle w:val="TableText"/>
            </w:pPr>
            <w:r w:rsidRPr="00E148FC">
              <w:t>Sema 0.5 mg</w:t>
            </w:r>
          </w:p>
        </w:tc>
        <w:tc>
          <w:tcPr>
            <w:tcW w:w="566" w:type="dxa"/>
            <w:vAlign w:val="center"/>
          </w:tcPr>
          <w:p w:rsidR="00C37C39" w:rsidRPr="00E148FC" w:rsidRDefault="00C37C39" w:rsidP="00364028">
            <w:pPr>
              <w:pStyle w:val="TableText"/>
              <w:jc w:val="center"/>
            </w:pPr>
            <w:r w:rsidRPr="00E148FC">
              <w:t>132</w:t>
            </w:r>
          </w:p>
        </w:tc>
        <w:tc>
          <w:tcPr>
            <w:tcW w:w="1246" w:type="dxa"/>
            <w:vAlign w:val="center"/>
          </w:tcPr>
          <w:p w:rsidR="00C37C39" w:rsidRPr="00E148FC" w:rsidRDefault="00C37C39" w:rsidP="00364028">
            <w:pPr>
              <w:pStyle w:val="Tabletext0"/>
              <w:keepNext/>
              <w:jc w:val="center"/>
            </w:pPr>
            <w:r w:rsidRPr="00E148FC">
              <w:t>8.36 (0.83)</w:t>
            </w:r>
          </w:p>
        </w:tc>
        <w:tc>
          <w:tcPr>
            <w:tcW w:w="1204" w:type="dxa"/>
            <w:vAlign w:val="center"/>
          </w:tcPr>
          <w:p w:rsidR="00C37C39" w:rsidRPr="00E148FC" w:rsidRDefault="00C37C39" w:rsidP="00364028">
            <w:pPr>
              <w:pStyle w:val="Tabletext0"/>
              <w:keepNext/>
              <w:jc w:val="center"/>
            </w:pPr>
            <w:r w:rsidRPr="00E148FC">
              <w:t>6.92 (0.09)</w:t>
            </w:r>
          </w:p>
        </w:tc>
        <w:tc>
          <w:tcPr>
            <w:tcW w:w="1357" w:type="dxa"/>
            <w:vAlign w:val="center"/>
          </w:tcPr>
          <w:p w:rsidR="00C37C39" w:rsidRPr="00E148FC" w:rsidRDefault="00C37C39" w:rsidP="00364028">
            <w:pPr>
              <w:pStyle w:val="Tabletext0"/>
              <w:keepNext/>
              <w:jc w:val="center"/>
            </w:pPr>
            <w:r w:rsidRPr="00E148FC">
              <w:t>-1.45 (0.09)</w:t>
            </w:r>
          </w:p>
        </w:tc>
        <w:tc>
          <w:tcPr>
            <w:tcW w:w="3073" w:type="dxa"/>
            <w:vAlign w:val="center"/>
          </w:tcPr>
          <w:p w:rsidR="00C37C39" w:rsidRPr="00E148FC" w:rsidRDefault="00C37C39" w:rsidP="00364028">
            <w:pPr>
              <w:pStyle w:val="Tabletext0"/>
              <w:jc w:val="center"/>
            </w:pPr>
            <w:r w:rsidRPr="00E148FC">
              <w:rPr>
                <w:b/>
              </w:rPr>
              <w:t>-1.35 (-1.61, -1.10)</w:t>
            </w:r>
          </w:p>
        </w:tc>
      </w:tr>
      <w:tr w:rsidR="00C37C39" w:rsidRPr="00E148FC" w:rsidTr="00464EA2">
        <w:tc>
          <w:tcPr>
            <w:tcW w:w="1571" w:type="dxa"/>
            <w:vAlign w:val="center"/>
          </w:tcPr>
          <w:p w:rsidR="00C37C39" w:rsidRPr="00E148FC" w:rsidRDefault="00C37C39" w:rsidP="00364028">
            <w:pPr>
              <w:pStyle w:val="TableText"/>
            </w:pPr>
            <w:r w:rsidRPr="00E148FC">
              <w:t>Sema 1.0 mg</w:t>
            </w:r>
          </w:p>
        </w:tc>
        <w:tc>
          <w:tcPr>
            <w:tcW w:w="566" w:type="dxa"/>
            <w:vAlign w:val="center"/>
          </w:tcPr>
          <w:p w:rsidR="00C37C39" w:rsidRPr="00E148FC" w:rsidRDefault="00C37C39" w:rsidP="00364028">
            <w:pPr>
              <w:pStyle w:val="TableText"/>
              <w:jc w:val="center"/>
            </w:pPr>
            <w:r w:rsidRPr="00E148FC">
              <w:t>131</w:t>
            </w:r>
          </w:p>
        </w:tc>
        <w:tc>
          <w:tcPr>
            <w:tcW w:w="1246" w:type="dxa"/>
            <w:vAlign w:val="center"/>
          </w:tcPr>
          <w:p w:rsidR="00C37C39" w:rsidRPr="00E148FC" w:rsidRDefault="00C37C39" w:rsidP="00364028">
            <w:pPr>
              <w:pStyle w:val="Tabletext0"/>
              <w:keepNext/>
              <w:jc w:val="center"/>
            </w:pPr>
            <w:r w:rsidRPr="00E148FC">
              <w:t>8.31 (0.82)</w:t>
            </w:r>
          </w:p>
        </w:tc>
        <w:tc>
          <w:tcPr>
            <w:tcW w:w="1204" w:type="dxa"/>
            <w:vAlign w:val="center"/>
          </w:tcPr>
          <w:p w:rsidR="00C37C39" w:rsidRPr="00E148FC" w:rsidRDefault="00C37C39" w:rsidP="00364028">
            <w:pPr>
              <w:pStyle w:val="Tabletext0"/>
              <w:keepNext/>
              <w:jc w:val="center"/>
            </w:pPr>
            <w:r w:rsidRPr="00E148FC">
              <w:t>6.52 (0.09)</w:t>
            </w:r>
          </w:p>
        </w:tc>
        <w:tc>
          <w:tcPr>
            <w:tcW w:w="1357" w:type="dxa"/>
            <w:vAlign w:val="center"/>
          </w:tcPr>
          <w:p w:rsidR="00C37C39" w:rsidRPr="00E148FC" w:rsidRDefault="00C37C39" w:rsidP="00364028">
            <w:pPr>
              <w:pStyle w:val="Tabletext0"/>
              <w:keepNext/>
              <w:jc w:val="center"/>
            </w:pPr>
            <w:r w:rsidRPr="00E148FC">
              <w:t>-1.85 (0.09)</w:t>
            </w:r>
          </w:p>
        </w:tc>
        <w:tc>
          <w:tcPr>
            <w:tcW w:w="3073" w:type="dxa"/>
            <w:vAlign w:val="center"/>
          </w:tcPr>
          <w:p w:rsidR="00C37C39" w:rsidRPr="00E148FC" w:rsidRDefault="00C37C39" w:rsidP="00364028">
            <w:pPr>
              <w:pStyle w:val="Tabletext0"/>
              <w:jc w:val="center"/>
            </w:pPr>
            <w:r w:rsidRPr="00E148FC">
              <w:rPr>
                <w:b/>
              </w:rPr>
              <w:t>-1.75 (-2.01, -1.50)</w:t>
            </w:r>
          </w:p>
        </w:tc>
      </w:tr>
      <w:tr w:rsidR="00C37C39" w:rsidRPr="00E148FC" w:rsidTr="00464EA2">
        <w:tc>
          <w:tcPr>
            <w:tcW w:w="1571" w:type="dxa"/>
            <w:vAlign w:val="center"/>
          </w:tcPr>
          <w:p w:rsidR="00C37C39" w:rsidRPr="00E148FC" w:rsidRDefault="00C37C39" w:rsidP="00364028">
            <w:pPr>
              <w:pStyle w:val="TableText"/>
            </w:pPr>
            <w:r w:rsidRPr="00E148FC">
              <w:t>Placebo</w:t>
            </w:r>
          </w:p>
        </w:tc>
        <w:tc>
          <w:tcPr>
            <w:tcW w:w="566" w:type="dxa"/>
            <w:vAlign w:val="center"/>
          </w:tcPr>
          <w:p w:rsidR="00C37C39" w:rsidRPr="00E148FC" w:rsidRDefault="00C37C39" w:rsidP="00364028">
            <w:pPr>
              <w:pStyle w:val="TableText"/>
              <w:jc w:val="center"/>
            </w:pPr>
            <w:r w:rsidRPr="00E148FC">
              <w:t>133</w:t>
            </w:r>
          </w:p>
        </w:tc>
        <w:tc>
          <w:tcPr>
            <w:tcW w:w="1246" w:type="dxa"/>
            <w:vAlign w:val="center"/>
          </w:tcPr>
          <w:p w:rsidR="00C37C39" w:rsidRPr="00E148FC" w:rsidRDefault="00C37C39" w:rsidP="00364028">
            <w:pPr>
              <w:pStyle w:val="TableText"/>
              <w:jc w:val="center"/>
            </w:pPr>
            <w:r w:rsidRPr="00E148FC">
              <w:t>8.42 (0.88)</w:t>
            </w:r>
          </w:p>
        </w:tc>
        <w:tc>
          <w:tcPr>
            <w:tcW w:w="1204" w:type="dxa"/>
            <w:vAlign w:val="center"/>
          </w:tcPr>
          <w:p w:rsidR="00C37C39" w:rsidRPr="00E148FC" w:rsidRDefault="00C37C39" w:rsidP="00364028">
            <w:pPr>
              <w:pStyle w:val="Tabletext0"/>
              <w:keepNext/>
              <w:jc w:val="center"/>
            </w:pPr>
            <w:r w:rsidRPr="00E148FC">
              <w:t>8.27 (0.09)</w:t>
            </w:r>
          </w:p>
        </w:tc>
        <w:tc>
          <w:tcPr>
            <w:tcW w:w="1357" w:type="dxa"/>
            <w:vAlign w:val="center"/>
          </w:tcPr>
          <w:p w:rsidR="00C37C39" w:rsidRPr="00E148FC" w:rsidRDefault="00C37C39" w:rsidP="00364028">
            <w:pPr>
              <w:pStyle w:val="TableText"/>
              <w:jc w:val="center"/>
            </w:pPr>
            <w:r w:rsidRPr="00E148FC">
              <w:t>-0.09 (0.09)</w:t>
            </w:r>
          </w:p>
        </w:tc>
        <w:tc>
          <w:tcPr>
            <w:tcW w:w="3073" w:type="dxa"/>
            <w:vAlign w:val="center"/>
          </w:tcPr>
          <w:p w:rsidR="00C37C39" w:rsidRPr="00E148FC" w:rsidRDefault="00C37C39" w:rsidP="00364028">
            <w:pPr>
              <w:pStyle w:val="TableText"/>
              <w:jc w:val="center"/>
            </w:pPr>
            <w:r w:rsidRPr="00E148FC">
              <w:t>-</w:t>
            </w:r>
          </w:p>
        </w:tc>
      </w:tr>
      <w:tr w:rsidR="00C37C39" w:rsidRPr="00E148FC" w:rsidTr="00464EA2">
        <w:tc>
          <w:tcPr>
            <w:tcW w:w="1571" w:type="dxa"/>
            <w:vAlign w:val="center"/>
          </w:tcPr>
          <w:p w:rsidR="00C37C39" w:rsidRPr="00E148FC" w:rsidRDefault="00C37C39" w:rsidP="00364028">
            <w:pPr>
              <w:pStyle w:val="TableText"/>
            </w:pPr>
            <w:r w:rsidRPr="00E148FC">
              <w:rPr>
                <w:b/>
              </w:rPr>
              <w:t>Treatment arms</w:t>
            </w:r>
          </w:p>
        </w:tc>
        <w:tc>
          <w:tcPr>
            <w:tcW w:w="566" w:type="dxa"/>
            <w:vAlign w:val="center"/>
          </w:tcPr>
          <w:p w:rsidR="00C37C39" w:rsidRPr="00E148FC" w:rsidRDefault="00C37C39" w:rsidP="00364028">
            <w:pPr>
              <w:pStyle w:val="TableText"/>
              <w:jc w:val="center"/>
            </w:pPr>
            <w:r w:rsidRPr="00E148FC">
              <w:rPr>
                <w:b/>
              </w:rPr>
              <w:t>N</w:t>
            </w:r>
          </w:p>
        </w:tc>
        <w:tc>
          <w:tcPr>
            <w:tcW w:w="3807" w:type="dxa"/>
            <w:gridSpan w:val="3"/>
            <w:vAlign w:val="center"/>
          </w:tcPr>
          <w:p w:rsidR="00C37C39" w:rsidRPr="00E148FC" w:rsidRDefault="00C37C39" w:rsidP="00364028">
            <w:pPr>
              <w:pStyle w:val="TableText"/>
              <w:jc w:val="center"/>
            </w:pPr>
            <w:r w:rsidRPr="00E148FC">
              <w:rPr>
                <w:b/>
              </w:rPr>
              <w:t>Patients, n/N (%)</w:t>
            </w:r>
          </w:p>
        </w:tc>
        <w:tc>
          <w:tcPr>
            <w:tcW w:w="3073" w:type="dxa"/>
            <w:vAlign w:val="center"/>
          </w:tcPr>
          <w:p w:rsidR="00C37C39" w:rsidRPr="00E148FC" w:rsidRDefault="00C37C39" w:rsidP="00364028">
            <w:pPr>
              <w:pStyle w:val="TableText"/>
              <w:jc w:val="center"/>
            </w:pPr>
            <w:r w:rsidRPr="00E148FC">
              <w:rPr>
                <w:b/>
              </w:rPr>
              <w:t>Odds ratio (95% CI)</w:t>
            </w:r>
          </w:p>
        </w:tc>
      </w:tr>
      <w:tr w:rsidR="00C37C39" w:rsidRPr="00E148FC" w:rsidTr="00364028">
        <w:tc>
          <w:tcPr>
            <w:tcW w:w="9017" w:type="dxa"/>
            <w:gridSpan w:val="6"/>
            <w:vAlign w:val="center"/>
          </w:tcPr>
          <w:p w:rsidR="00C37C39" w:rsidRPr="00E148FC" w:rsidRDefault="00C37C39" w:rsidP="00364028">
            <w:pPr>
              <w:pStyle w:val="TableText"/>
              <w:rPr>
                <w:b/>
              </w:rPr>
            </w:pPr>
            <w:r w:rsidRPr="00E148FC">
              <w:rPr>
                <w:b/>
              </w:rPr>
              <w:t>Proportion of subjects achieving an HbA1c target of &lt; 7.0% at week 30</w:t>
            </w:r>
            <w:r w:rsidR="002B7A61" w:rsidRPr="00E148FC">
              <w:rPr>
                <w:b/>
              </w:rPr>
              <w:t xml:space="preserve"> [secondary outcome]</w:t>
            </w:r>
          </w:p>
        </w:tc>
      </w:tr>
      <w:tr w:rsidR="00C37C39" w:rsidRPr="00E148FC" w:rsidTr="00364028">
        <w:trPr>
          <w:trHeight w:val="56"/>
        </w:trPr>
        <w:tc>
          <w:tcPr>
            <w:tcW w:w="1571" w:type="dxa"/>
            <w:vAlign w:val="center"/>
          </w:tcPr>
          <w:p w:rsidR="00C37C39" w:rsidRPr="00E148FC" w:rsidRDefault="00C37C39" w:rsidP="00364028">
            <w:pPr>
              <w:pStyle w:val="TableText"/>
            </w:pPr>
            <w:r w:rsidRPr="00E148FC">
              <w:t>Sema 0.5 mg</w:t>
            </w:r>
          </w:p>
        </w:tc>
        <w:tc>
          <w:tcPr>
            <w:tcW w:w="566" w:type="dxa"/>
            <w:vAlign w:val="center"/>
          </w:tcPr>
          <w:p w:rsidR="00C37C39" w:rsidRPr="00E148FC" w:rsidRDefault="00C37C39" w:rsidP="00364028">
            <w:pPr>
              <w:pStyle w:val="TableText"/>
              <w:jc w:val="center"/>
            </w:pPr>
            <w:r w:rsidRPr="00E148FC">
              <w:t>132</w:t>
            </w:r>
          </w:p>
        </w:tc>
        <w:tc>
          <w:tcPr>
            <w:tcW w:w="3807" w:type="dxa"/>
            <w:gridSpan w:val="3"/>
            <w:vAlign w:val="center"/>
          </w:tcPr>
          <w:p w:rsidR="00C37C39" w:rsidRPr="00E148FC" w:rsidRDefault="00C37C39" w:rsidP="00364028">
            <w:pPr>
              <w:pStyle w:val="TableText"/>
              <w:jc w:val="center"/>
            </w:pPr>
            <w:r w:rsidRPr="00E148FC">
              <w:t>80/132 (61)</w:t>
            </w:r>
          </w:p>
        </w:tc>
        <w:tc>
          <w:tcPr>
            <w:tcW w:w="3073" w:type="dxa"/>
            <w:vAlign w:val="center"/>
          </w:tcPr>
          <w:p w:rsidR="00C37C39" w:rsidRPr="00E148FC" w:rsidRDefault="00C37C39" w:rsidP="00364028">
            <w:pPr>
              <w:pStyle w:val="TableText"/>
              <w:jc w:val="center"/>
              <w:rPr>
                <w:b/>
              </w:rPr>
            </w:pPr>
            <w:r w:rsidRPr="00E148FC">
              <w:rPr>
                <w:b/>
              </w:rPr>
              <w:t>14.68 (7.43, 29.02)</w:t>
            </w:r>
          </w:p>
        </w:tc>
      </w:tr>
      <w:tr w:rsidR="00C37C39" w:rsidRPr="00E148FC" w:rsidTr="00364028">
        <w:tc>
          <w:tcPr>
            <w:tcW w:w="1571" w:type="dxa"/>
            <w:vAlign w:val="center"/>
          </w:tcPr>
          <w:p w:rsidR="00C37C39" w:rsidRPr="00E148FC" w:rsidRDefault="00C37C39" w:rsidP="00364028">
            <w:pPr>
              <w:pStyle w:val="TableText"/>
            </w:pPr>
            <w:r w:rsidRPr="00E148FC">
              <w:t>Sema 1.0 mg</w:t>
            </w:r>
          </w:p>
        </w:tc>
        <w:tc>
          <w:tcPr>
            <w:tcW w:w="566" w:type="dxa"/>
            <w:vAlign w:val="center"/>
          </w:tcPr>
          <w:p w:rsidR="00C37C39" w:rsidRPr="00E148FC" w:rsidRDefault="00C37C39" w:rsidP="00364028">
            <w:pPr>
              <w:pStyle w:val="TableText"/>
              <w:jc w:val="center"/>
            </w:pPr>
            <w:r w:rsidRPr="00E148FC">
              <w:t>131</w:t>
            </w:r>
          </w:p>
        </w:tc>
        <w:tc>
          <w:tcPr>
            <w:tcW w:w="3807" w:type="dxa"/>
            <w:gridSpan w:val="3"/>
            <w:vAlign w:val="center"/>
          </w:tcPr>
          <w:p w:rsidR="00C37C39" w:rsidRPr="00E148FC" w:rsidRDefault="00C37C39" w:rsidP="00364028">
            <w:pPr>
              <w:pStyle w:val="TableText"/>
              <w:jc w:val="center"/>
            </w:pPr>
            <w:r w:rsidRPr="00E148FC">
              <w:t>103/131 (79)</w:t>
            </w:r>
          </w:p>
        </w:tc>
        <w:tc>
          <w:tcPr>
            <w:tcW w:w="3073" w:type="dxa"/>
            <w:vAlign w:val="center"/>
          </w:tcPr>
          <w:p w:rsidR="00C37C39" w:rsidRPr="00E148FC" w:rsidRDefault="00C37C39" w:rsidP="00364028">
            <w:pPr>
              <w:pStyle w:val="TableText"/>
              <w:jc w:val="center"/>
              <w:rPr>
                <w:b/>
              </w:rPr>
            </w:pPr>
            <w:r w:rsidRPr="00E148FC">
              <w:rPr>
                <w:b/>
              </w:rPr>
              <w:t>34.28 (16.59, 70.83)</w:t>
            </w:r>
          </w:p>
        </w:tc>
      </w:tr>
      <w:tr w:rsidR="00C37C39" w:rsidRPr="00E148FC" w:rsidTr="00364028">
        <w:tc>
          <w:tcPr>
            <w:tcW w:w="1571" w:type="dxa"/>
            <w:vAlign w:val="center"/>
          </w:tcPr>
          <w:p w:rsidR="00C37C39" w:rsidRPr="00E148FC" w:rsidRDefault="00C37C39" w:rsidP="00364028">
            <w:pPr>
              <w:pStyle w:val="TableText"/>
            </w:pPr>
            <w:r w:rsidRPr="00E148FC">
              <w:t>Placebo</w:t>
            </w:r>
          </w:p>
        </w:tc>
        <w:tc>
          <w:tcPr>
            <w:tcW w:w="566" w:type="dxa"/>
            <w:vAlign w:val="center"/>
          </w:tcPr>
          <w:p w:rsidR="00C37C39" w:rsidRPr="00E148FC" w:rsidRDefault="00C37C39" w:rsidP="00364028">
            <w:pPr>
              <w:pStyle w:val="TableText"/>
              <w:jc w:val="center"/>
            </w:pPr>
            <w:r w:rsidRPr="00E148FC">
              <w:t>133</w:t>
            </w:r>
          </w:p>
        </w:tc>
        <w:tc>
          <w:tcPr>
            <w:tcW w:w="3807" w:type="dxa"/>
            <w:gridSpan w:val="3"/>
            <w:vAlign w:val="center"/>
          </w:tcPr>
          <w:p w:rsidR="00C37C39" w:rsidRPr="00E148FC" w:rsidRDefault="00C37C39" w:rsidP="00364028">
            <w:pPr>
              <w:pStyle w:val="TableText"/>
              <w:jc w:val="center"/>
            </w:pPr>
            <w:r w:rsidRPr="00E148FC">
              <w:t>14/133 (11)</w:t>
            </w:r>
          </w:p>
        </w:tc>
        <w:tc>
          <w:tcPr>
            <w:tcW w:w="3073" w:type="dxa"/>
            <w:vAlign w:val="center"/>
          </w:tcPr>
          <w:p w:rsidR="00C37C39" w:rsidRPr="00E148FC" w:rsidRDefault="00C37C39" w:rsidP="00364028">
            <w:pPr>
              <w:pStyle w:val="TableText"/>
              <w:jc w:val="center"/>
            </w:pPr>
            <w:r w:rsidRPr="00E148FC">
              <w:t>-</w:t>
            </w:r>
          </w:p>
        </w:tc>
      </w:tr>
      <w:tr w:rsidR="00C37C39" w:rsidRPr="00E148FC" w:rsidTr="00364028">
        <w:tc>
          <w:tcPr>
            <w:tcW w:w="9017" w:type="dxa"/>
            <w:gridSpan w:val="6"/>
            <w:vAlign w:val="center"/>
          </w:tcPr>
          <w:p w:rsidR="00C37C39" w:rsidRPr="00E148FC" w:rsidRDefault="00C37C39" w:rsidP="00364028">
            <w:pPr>
              <w:pStyle w:val="TableText"/>
              <w:rPr>
                <w:b/>
              </w:rPr>
            </w:pPr>
            <w:r w:rsidRPr="00E148FC">
              <w:rPr>
                <w:b/>
              </w:rPr>
              <w:t>Proportion of subjects achieving an HbA1c target of ≤ 6.5% at week 30</w:t>
            </w:r>
            <w:r w:rsidR="002B7A61" w:rsidRPr="00E148FC">
              <w:rPr>
                <w:b/>
              </w:rPr>
              <w:t xml:space="preserve"> [secondary outcome]</w:t>
            </w:r>
          </w:p>
        </w:tc>
      </w:tr>
      <w:tr w:rsidR="00C37C39" w:rsidRPr="00E148FC" w:rsidTr="00364028">
        <w:trPr>
          <w:trHeight w:val="56"/>
        </w:trPr>
        <w:tc>
          <w:tcPr>
            <w:tcW w:w="1571" w:type="dxa"/>
            <w:vAlign w:val="center"/>
          </w:tcPr>
          <w:p w:rsidR="00C37C39" w:rsidRPr="00E148FC" w:rsidRDefault="00C37C39" w:rsidP="00364028">
            <w:pPr>
              <w:pStyle w:val="TableText"/>
            </w:pPr>
            <w:r w:rsidRPr="00E148FC">
              <w:t>Sema 0.5 mg</w:t>
            </w:r>
          </w:p>
        </w:tc>
        <w:tc>
          <w:tcPr>
            <w:tcW w:w="566" w:type="dxa"/>
            <w:vAlign w:val="center"/>
          </w:tcPr>
          <w:p w:rsidR="00C37C39" w:rsidRPr="00E148FC" w:rsidRDefault="00C37C39" w:rsidP="00364028">
            <w:pPr>
              <w:pStyle w:val="TableText"/>
              <w:jc w:val="center"/>
            </w:pPr>
            <w:r w:rsidRPr="00E148FC">
              <w:t>132</w:t>
            </w:r>
          </w:p>
        </w:tc>
        <w:tc>
          <w:tcPr>
            <w:tcW w:w="3807" w:type="dxa"/>
            <w:gridSpan w:val="3"/>
            <w:vAlign w:val="center"/>
          </w:tcPr>
          <w:p w:rsidR="00C37C39" w:rsidRPr="00E148FC" w:rsidRDefault="00C37C39" w:rsidP="00364028">
            <w:pPr>
              <w:pStyle w:val="TableText"/>
              <w:jc w:val="center"/>
            </w:pPr>
            <w:r w:rsidRPr="00E148FC">
              <w:t>54/132 (41)</w:t>
            </w:r>
          </w:p>
        </w:tc>
        <w:tc>
          <w:tcPr>
            <w:tcW w:w="3073" w:type="dxa"/>
            <w:vAlign w:val="center"/>
          </w:tcPr>
          <w:p w:rsidR="00C37C39" w:rsidRPr="00E148FC" w:rsidRDefault="00C37C39" w:rsidP="00364028">
            <w:pPr>
              <w:pStyle w:val="Tabletext0"/>
              <w:jc w:val="center"/>
              <w:rPr>
                <w:b/>
              </w:rPr>
            </w:pPr>
            <w:r w:rsidRPr="00E148FC">
              <w:rPr>
                <w:b/>
              </w:rPr>
              <w:t>15.61 (6.47, 37.64)</w:t>
            </w:r>
          </w:p>
        </w:tc>
      </w:tr>
      <w:tr w:rsidR="00C37C39" w:rsidRPr="00E148FC" w:rsidTr="00364028">
        <w:tc>
          <w:tcPr>
            <w:tcW w:w="1571" w:type="dxa"/>
            <w:vAlign w:val="center"/>
          </w:tcPr>
          <w:p w:rsidR="00C37C39" w:rsidRPr="00E148FC" w:rsidRDefault="00C37C39" w:rsidP="00364028">
            <w:pPr>
              <w:pStyle w:val="TableText"/>
            </w:pPr>
            <w:r w:rsidRPr="00E148FC">
              <w:t>Sema 1.0 mg</w:t>
            </w:r>
          </w:p>
        </w:tc>
        <w:tc>
          <w:tcPr>
            <w:tcW w:w="566" w:type="dxa"/>
            <w:vAlign w:val="center"/>
          </w:tcPr>
          <w:p w:rsidR="00C37C39" w:rsidRPr="00E148FC" w:rsidRDefault="00C37C39" w:rsidP="00364028">
            <w:pPr>
              <w:pStyle w:val="TableText"/>
              <w:jc w:val="center"/>
            </w:pPr>
            <w:r w:rsidRPr="00E148FC">
              <w:t>131</w:t>
            </w:r>
          </w:p>
        </w:tc>
        <w:tc>
          <w:tcPr>
            <w:tcW w:w="3807" w:type="dxa"/>
            <w:gridSpan w:val="3"/>
            <w:vAlign w:val="center"/>
          </w:tcPr>
          <w:p w:rsidR="00C37C39" w:rsidRPr="00E148FC" w:rsidRDefault="00C37C39" w:rsidP="00364028">
            <w:pPr>
              <w:pStyle w:val="TableText"/>
              <w:jc w:val="center"/>
            </w:pPr>
            <w:r w:rsidRPr="00E148FC">
              <w:t>80/131 (61)</w:t>
            </w:r>
          </w:p>
        </w:tc>
        <w:tc>
          <w:tcPr>
            <w:tcW w:w="3073" w:type="dxa"/>
            <w:vAlign w:val="center"/>
          </w:tcPr>
          <w:p w:rsidR="00C37C39" w:rsidRPr="00E148FC" w:rsidRDefault="00C37C39" w:rsidP="00364028">
            <w:pPr>
              <w:pStyle w:val="Tabletext0"/>
              <w:jc w:val="center"/>
              <w:rPr>
                <w:b/>
              </w:rPr>
            </w:pPr>
            <w:r w:rsidRPr="00E148FC">
              <w:rPr>
                <w:b/>
              </w:rPr>
              <w:t>35.84 (14.72, 87.27)</w:t>
            </w:r>
          </w:p>
        </w:tc>
      </w:tr>
      <w:tr w:rsidR="00C37C39" w:rsidRPr="00E148FC" w:rsidTr="00364028">
        <w:tc>
          <w:tcPr>
            <w:tcW w:w="1571" w:type="dxa"/>
            <w:vAlign w:val="center"/>
          </w:tcPr>
          <w:p w:rsidR="00C37C39" w:rsidRPr="00E148FC" w:rsidRDefault="00C37C39" w:rsidP="00364028">
            <w:pPr>
              <w:pStyle w:val="TableText"/>
            </w:pPr>
            <w:r w:rsidRPr="00E148FC">
              <w:t>Placebo</w:t>
            </w:r>
          </w:p>
        </w:tc>
        <w:tc>
          <w:tcPr>
            <w:tcW w:w="566" w:type="dxa"/>
            <w:vAlign w:val="center"/>
          </w:tcPr>
          <w:p w:rsidR="00C37C39" w:rsidRPr="00E148FC" w:rsidRDefault="00C37C39" w:rsidP="00364028">
            <w:pPr>
              <w:pStyle w:val="TableText"/>
              <w:jc w:val="center"/>
            </w:pPr>
            <w:r w:rsidRPr="00E148FC">
              <w:t>133</w:t>
            </w:r>
          </w:p>
        </w:tc>
        <w:tc>
          <w:tcPr>
            <w:tcW w:w="3807" w:type="dxa"/>
            <w:gridSpan w:val="3"/>
            <w:vAlign w:val="center"/>
          </w:tcPr>
          <w:p w:rsidR="00C37C39" w:rsidRPr="00E148FC" w:rsidRDefault="00C37C39" w:rsidP="00364028">
            <w:pPr>
              <w:pStyle w:val="TableText"/>
              <w:jc w:val="center"/>
            </w:pPr>
            <w:r w:rsidRPr="00E148FC">
              <w:t>6/133 (5)</w:t>
            </w:r>
          </w:p>
        </w:tc>
        <w:tc>
          <w:tcPr>
            <w:tcW w:w="3073" w:type="dxa"/>
            <w:vAlign w:val="center"/>
          </w:tcPr>
          <w:p w:rsidR="00C37C39" w:rsidRPr="00E148FC" w:rsidRDefault="00C37C39" w:rsidP="00364028">
            <w:pPr>
              <w:pStyle w:val="TableText"/>
              <w:jc w:val="center"/>
            </w:pPr>
            <w:r w:rsidRPr="00E148FC">
              <w:t>-</w:t>
            </w:r>
          </w:p>
        </w:tc>
      </w:tr>
    </w:tbl>
    <w:p w:rsidR="00C37C39" w:rsidRPr="00E148FC" w:rsidRDefault="00C37C39" w:rsidP="00C37C39">
      <w:pPr>
        <w:pStyle w:val="TableFooter"/>
      </w:pPr>
      <w:r w:rsidRPr="00E148FC">
        <w:t>Source: Table 2.5.1, p65; Table 2.5.3, Table 2.5.4, p67 of the submission.</w:t>
      </w:r>
    </w:p>
    <w:p w:rsidR="00C37C39" w:rsidRPr="00E148FC" w:rsidRDefault="00C37C39" w:rsidP="00C37C39">
      <w:pPr>
        <w:pStyle w:val="TableFooter"/>
      </w:pPr>
      <w:r w:rsidRPr="00E148FC">
        <w:t>Abbreviations: CI, confidence interval; SD, standard deviation; SE, standard error; sema, semaglutide</w:t>
      </w:r>
    </w:p>
    <w:p w:rsidR="00C37C39" w:rsidRPr="00E148FC" w:rsidRDefault="00C37C39" w:rsidP="00C37C39">
      <w:pPr>
        <w:pStyle w:val="TableFooter"/>
      </w:pPr>
      <w:r w:rsidRPr="00E148FC">
        <w:rPr>
          <w:vertAlign w:val="superscript"/>
        </w:rPr>
        <w:t>a</w:t>
      </w:r>
      <w:r w:rsidRPr="00E148FC">
        <w:t xml:space="preserve"> Estimated using a mixed model for repeated measures, with treatment, country and stratification variable (HbA1c level at screening [≤ 8.0% or &gt; 8.0%] crossed with use of metformin [yes or no]; 2 by 2 levels) as fixed factors and baseline value as covariate, all nested within visit.</w:t>
      </w:r>
    </w:p>
    <w:p w:rsidR="00F969D3" w:rsidRPr="00E148FC" w:rsidRDefault="00F969D3" w:rsidP="00C37C39">
      <w:pPr>
        <w:pStyle w:val="TableFooter"/>
      </w:pPr>
    </w:p>
    <w:p w:rsidR="007234CB" w:rsidRPr="00E148FC" w:rsidRDefault="00295D49" w:rsidP="00EC5836">
      <w:pPr>
        <w:pStyle w:val="ExecSumBodyText"/>
      </w:pPr>
      <w:r w:rsidRPr="00E148FC">
        <w:rPr>
          <w:snapToGrid/>
        </w:rPr>
        <w:t>For the primary outcome (change from baseline to week 30 in HbA1c) from SUSTAIN</w:t>
      </w:r>
      <w:r w:rsidR="00344613" w:rsidRPr="00E148FC">
        <w:rPr>
          <w:snapToGrid/>
        </w:rPr>
        <w:t> </w:t>
      </w:r>
      <w:r w:rsidRPr="00E148FC">
        <w:rPr>
          <w:snapToGrid/>
        </w:rPr>
        <w:t xml:space="preserve">5, the PBAC noted there was a statistically significant mean treatment difference versus placebo (95% CI) of -1.35 (-1.61, -1.10) and -1.75 (-2.01, -1.50) for semaglutide 0.5 mg and semaglutide 1.0 mg respectively. </w:t>
      </w:r>
      <w:r w:rsidR="007234CB" w:rsidRPr="00E148FC">
        <w:t>The proportion of treatment responders was</w:t>
      </w:r>
      <w:r w:rsidRPr="00E148FC">
        <w:t xml:space="preserve"> also</w:t>
      </w:r>
      <w:r w:rsidR="007234CB" w:rsidRPr="00E148FC">
        <w:t xml:space="preserve"> statistically significantly greater in the semaglutide treatment arm compared with placebo.</w:t>
      </w:r>
      <w:r w:rsidR="005F0C10" w:rsidRPr="00E148FC">
        <w:t xml:space="preserve"> For the proportion of patients achieving an HbA1c target of &lt; 7.0% at week 30 (a common goal in </w:t>
      </w:r>
      <w:r w:rsidR="00B675D8" w:rsidRPr="00E148FC">
        <w:t>T2DM</w:t>
      </w:r>
      <w:r w:rsidR="005F0C10" w:rsidRPr="00E148FC">
        <w:t xml:space="preserve"> management), the PBAC noted that </w:t>
      </w:r>
      <w:r w:rsidR="005F0C10" w:rsidRPr="00E148FC">
        <w:rPr>
          <w:snapToGrid/>
        </w:rPr>
        <w:t xml:space="preserve">79% and 61% of </w:t>
      </w:r>
      <w:r w:rsidR="005F0C10" w:rsidRPr="00E148FC">
        <w:rPr>
          <w:snapToGrid/>
        </w:rPr>
        <w:lastRenderedPageBreak/>
        <w:t xml:space="preserve">patients achieved this target in the semaglutide 1.0 mg and 0.5 mg groups respectively, compared to 11% of patients in the placebo group. </w:t>
      </w:r>
      <w:r w:rsidR="007234CB" w:rsidRPr="00E148FC">
        <w:t xml:space="preserve">The study authors noted that the lack of </w:t>
      </w:r>
      <w:r w:rsidR="0029050C" w:rsidRPr="00E148FC">
        <w:t xml:space="preserve">insulin </w:t>
      </w:r>
      <w:r w:rsidR="007234CB" w:rsidRPr="00E148FC">
        <w:t>dose up</w:t>
      </w:r>
      <w:r w:rsidR="00C170AA" w:rsidRPr="00E148FC">
        <w:t>-</w:t>
      </w:r>
      <w:r w:rsidR="007234CB" w:rsidRPr="00E148FC">
        <w:t xml:space="preserve"> titration in the placebo arm may have been responsible for HbA1c levels remaining elevated in this arm (Rodbard 2018).</w:t>
      </w:r>
      <w:r w:rsidRPr="00E148FC">
        <w:t xml:space="preserve"> </w:t>
      </w:r>
    </w:p>
    <w:p w:rsidR="00535FC6" w:rsidRPr="00E148FC" w:rsidRDefault="00535FC6" w:rsidP="00CF00BE">
      <w:pPr>
        <w:pStyle w:val="ExecSumBodyText"/>
      </w:pPr>
      <w:r w:rsidRPr="00E148FC">
        <w:t xml:space="preserve">Treatment with both semaglutide 0.5 mg and 1.0 mg once weekly was also associated with a statistically significant reduction in both mean 7-point self-monitored plasma glucose and mean fasting plasma glucose from baseline to week 30 compared with placebo, in combination with basal insulin. </w:t>
      </w:r>
      <w:r w:rsidR="0056781F" w:rsidRPr="00E148FC">
        <w:t>Similar to the results for change in HbA1c in Table 4, the PBAC noted that, w</w:t>
      </w:r>
      <w:r w:rsidR="00CF00BE" w:rsidRPr="00E148FC">
        <w:t>ith respect to mean fasting plas</w:t>
      </w:r>
      <w:r w:rsidR="0056781F" w:rsidRPr="00E148FC">
        <w:t xml:space="preserve">ma glucose, </w:t>
      </w:r>
      <w:r w:rsidR="00CF00BE" w:rsidRPr="00E148FC">
        <w:t xml:space="preserve">there was a </w:t>
      </w:r>
      <w:r w:rsidRPr="00E148FC">
        <w:t>statistically significant mean treatment difference versus placebo (95% CI) of -1.14 (-1.75, -0.54) for semaglutide 0.5 mg, and -1.88 (-2.48</w:t>
      </w:r>
      <w:r w:rsidR="00CF00BE" w:rsidRPr="00E148FC">
        <w:t>, -1</w:t>
      </w:r>
      <w:r w:rsidR="0056781F" w:rsidRPr="00E148FC">
        <w:t>.28) for semaglutide 1.0 mg</w:t>
      </w:r>
      <w:r w:rsidR="00E148FC">
        <w:t xml:space="preserve">. </w:t>
      </w:r>
    </w:p>
    <w:p w:rsidR="006B57BE" w:rsidRPr="00E148FC" w:rsidRDefault="006B57BE" w:rsidP="006B57BE">
      <w:pPr>
        <w:pStyle w:val="ExecSumBodyText"/>
      </w:pPr>
      <w:r w:rsidRPr="00E148FC">
        <w:t>Change in body weight from baseline to week 30 in the SUSTAIN 5 trial is presented in the table below.</w:t>
      </w:r>
    </w:p>
    <w:p w:rsidR="006B57BE" w:rsidRPr="00E148FC" w:rsidRDefault="006B57BE" w:rsidP="006B57BE">
      <w:pPr>
        <w:pStyle w:val="TableHeading"/>
        <w:spacing w:after="0"/>
        <w:jc w:val="both"/>
      </w:pPr>
      <w:r w:rsidRPr="00E148FC">
        <w:t xml:space="preserve">Table </w:t>
      </w:r>
      <w:r w:rsidR="00DF16BF" w:rsidRPr="00E148FC">
        <w:t>5</w:t>
      </w:r>
      <w:r w:rsidRPr="00E148FC">
        <w:t>: Change in bodyweight (kg) from baseline to week 30 (on treatment without rescue medication)</w:t>
      </w:r>
    </w:p>
    <w:tbl>
      <w:tblPr>
        <w:tblStyle w:val="TableGrid"/>
        <w:tblW w:w="5000" w:type="pct"/>
        <w:tblLook w:val="04A0" w:firstRow="1" w:lastRow="0" w:firstColumn="1" w:lastColumn="0" w:noHBand="0" w:noVBand="1"/>
        <w:tblCaption w:val="Table 5: Change in bodyweight (kg) from baseline to week 30 (on treatment without rescue medication)"/>
      </w:tblPr>
      <w:tblGrid>
        <w:gridCol w:w="1571"/>
        <w:gridCol w:w="566"/>
        <w:gridCol w:w="1246"/>
        <w:gridCol w:w="1204"/>
        <w:gridCol w:w="1357"/>
        <w:gridCol w:w="3073"/>
      </w:tblGrid>
      <w:tr w:rsidR="006B57BE" w:rsidRPr="00E148FC" w:rsidTr="00284919">
        <w:trPr>
          <w:tblHeader/>
        </w:trPr>
        <w:tc>
          <w:tcPr>
            <w:tcW w:w="1571" w:type="dxa"/>
            <w:vAlign w:val="center"/>
          </w:tcPr>
          <w:p w:rsidR="006B57BE" w:rsidRPr="00E148FC" w:rsidRDefault="006B57BE" w:rsidP="00364028">
            <w:pPr>
              <w:pStyle w:val="TableText"/>
              <w:rPr>
                <w:b/>
              </w:rPr>
            </w:pPr>
            <w:r w:rsidRPr="00E148FC">
              <w:rPr>
                <w:b/>
              </w:rPr>
              <w:t>Treatment arms</w:t>
            </w:r>
          </w:p>
        </w:tc>
        <w:tc>
          <w:tcPr>
            <w:tcW w:w="566" w:type="dxa"/>
            <w:vAlign w:val="center"/>
          </w:tcPr>
          <w:p w:rsidR="006B57BE" w:rsidRPr="00E148FC" w:rsidRDefault="006B57BE" w:rsidP="00364028">
            <w:pPr>
              <w:pStyle w:val="TableText"/>
              <w:jc w:val="center"/>
              <w:rPr>
                <w:b/>
              </w:rPr>
            </w:pPr>
            <w:r w:rsidRPr="00E148FC">
              <w:rPr>
                <w:b/>
              </w:rPr>
              <w:t>N</w:t>
            </w:r>
          </w:p>
        </w:tc>
        <w:tc>
          <w:tcPr>
            <w:tcW w:w="1246" w:type="dxa"/>
            <w:vAlign w:val="center"/>
          </w:tcPr>
          <w:p w:rsidR="006B57BE" w:rsidRPr="00E148FC" w:rsidRDefault="006B57BE" w:rsidP="00364028">
            <w:pPr>
              <w:pStyle w:val="TableText"/>
              <w:jc w:val="center"/>
              <w:rPr>
                <w:b/>
              </w:rPr>
            </w:pPr>
            <w:r w:rsidRPr="00E148FC">
              <w:rPr>
                <w:b/>
              </w:rPr>
              <w:t>Baseline, mean (SD)</w:t>
            </w:r>
          </w:p>
        </w:tc>
        <w:tc>
          <w:tcPr>
            <w:tcW w:w="1204" w:type="dxa"/>
            <w:vAlign w:val="center"/>
          </w:tcPr>
          <w:p w:rsidR="006B57BE" w:rsidRPr="00E148FC" w:rsidRDefault="006B57BE" w:rsidP="00364028">
            <w:pPr>
              <w:pStyle w:val="TableText"/>
              <w:jc w:val="center"/>
              <w:rPr>
                <w:b/>
                <w:vertAlign w:val="superscript"/>
              </w:rPr>
            </w:pPr>
            <w:r w:rsidRPr="00E148FC">
              <w:rPr>
                <w:b/>
              </w:rPr>
              <w:t>Week 30, mean (SE)</w:t>
            </w:r>
            <w:r w:rsidRPr="00E148FC">
              <w:rPr>
                <w:b/>
                <w:vertAlign w:val="superscript"/>
              </w:rPr>
              <w:t>a</w:t>
            </w:r>
          </w:p>
        </w:tc>
        <w:tc>
          <w:tcPr>
            <w:tcW w:w="1357" w:type="dxa"/>
            <w:vAlign w:val="center"/>
          </w:tcPr>
          <w:p w:rsidR="006B57BE" w:rsidRPr="00E148FC" w:rsidRDefault="006B57BE" w:rsidP="00364028">
            <w:pPr>
              <w:pStyle w:val="TableText"/>
              <w:jc w:val="center"/>
              <w:rPr>
                <w:b/>
                <w:vertAlign w:val="superscript"/>
              </w:rPr>
            </w:pPr>
            <w:r w:rsidRPr="00E148FC">
              <w:rPr>
                <w:b/>
              </w:rPr>
              <w:t>Mean change (SE)</w:t>
            </w:r>
            <w:r w:rsidRPr="00E148FC">
              <w:rPr>
                <w:b/>
                <w:vertAlign w:val="superscript"/>
              </w:rPr>
              <w:t>a</w:t>
            </w:r>
          </w:p>
        </w:tc>
        <w:tc>
          <w:tcPr>
            <w:tcW w:w="3073" w:type="dxa"/>
            <w:vAlign w:val="center"/>
          </w:tcPr>
          <w:p w:rsidR="006B57BE" w:rsidRPr="00E148FC" w:rsidRDefault="006B57BE" w:rsidP="00364028">
            <w:pPr>
              <w:pStyle w:val="TableText"/>
              <w:jc w:val="center"/>
              <w:rPr>
                <w:b/>
                <w:vertAlign w:val="superscript"/>
              </w:rPr>
            </w:pPr>
            <w:r w:rsidRPr="00E148FC">
              <w:rPr>
                <w:b/>
              </w:rPr>
              <w:t>Mean treatment difference versus placebo (95% CI)</w:t>
            </w:r>
            <w:r w:rsidRPr="00E148FC">
              <w:rPr>
                <w:b/>
                <w:vertAlign w:val="superscript"/>
              </w:rPr>
              <w:t>a</w:t>
            </w:r>
          </w:p>
        </w:tc>
      </w:tr>
      <w:tr w:rsidR="006B57BE" w:rsidRPr="00E148FC" w:rsidTr="00364028">
        <w:tc>
          <w:tcPr>
            <w:tcW w:w="9017" w:type="dxa"/>
            <w:gridSpan w:val="6"/>
            <w:vAlign w:val="center"/>
          </w:tcPr>
          <w:p w:rsidR="006B57BE" w:rsidRPr="00E148FC" w:rsidRDefault="006B57BE" w:rsidP="00364028">
            <w:pPr>
              <w:pStyle w:val="TableText"/>
              <w:rPr>
                <w:b/>
              </w:rPr>
            </w:pPr>
            <w:r w:rsidRPr="00E148FC">
              <w:rPr>
                <w:b/>
              </w:rPr>
              <w:t>Change in body weight from baseline to week 30 [secondary outcome]</w:t>
            </w:r>
          </w:p>
        </w:tc>
      </w:tr>
      <w:tr w:rsidR="006B57BE" w:rsidRPr="00E148FC" w:rsidTr="00364028">
        <w:trPr>
          <w:trHeight w:val="56"/>
        </w:trPr>
        <w:tc>
          <w:tcPr>
            <w:tcW w:w="1571" w:type="dxa"/>
            <w:vAlign w:val="center"/>
          </w:tcPr>
          <w:p w:rsidR="006B57BE" w:rsidRPr="00E148FC" w:rsidRDefault="006B57BE" w:rsidP="00364028">
            <w:pPr>
              <w:pStyle w:val="TableText"/>
            </w:pPr>
            <w:r w:rsidRPr="00E148FC">
              <w:t>Sema 0.5 mg</w:t>
            </w:r>
          </w:p>
        </w:tc>
        <w:tc>
          <w:tcPr>
            <w:tcW w:w="566" w:type="dxa"/>
            <w:vAlign w:val="center"/>
          </w:tcPr>
          <w:p w:rsidR="006B57BE" w:rsidRPr="00E148FC" w:rsidRDefault="006B57BE" w:rsidP="00364028">
            <w:pPr>
              <w:pStyle w:val="TableText"/>
              <w:jc w:val="center"/>
            </w:pPr>
            <w:r w:rsidRPr="00E148FC">
              <w:t>132</w:t>
            </w:r>
          </w:p>
        </w:tc>
        <w:tc>
          <w:tcPr>
            <w:tcW w:w="1246" w:type="dxa"/>
            <w:vAlign w:val="center"/>
          </w:tcPr>
          <w:p w:rsidR="006B57BE" w:rsidRPr="00E148FC" w:rsidRDefault="006B57BE" w:rsidP="00364028">
            <w:pPr>
              <w:pStyle w:val="Tabletext0"/>
              <w:keepNext/>
              <w:jc w:val="center"/>
            </w:pPr>
            <w:r w:rsidRPr="00E148FC">
              <w:t>92.74 (19.57)</w:t>
            </w:r>
          </w:p>
        </w:tc>
        <w:tc>
          <w:tcPr>
            <w:tcW w:w="1204" w:type="dxa"/>
            <w:vAlign w:val="center"/>
          </w:tcPr>
          <w:p w:rsidR="006B57BE" w:rsidRPr="00E148FC" w:rsidRDefault="006B57BE" w:rsidP="00364028">
            <w:pPr>
              <w:pStyle w:val="Tabletext0"/>
              <w:keepNext/>
              <w:jc w:val="center"/>
            </w:pPr>
            <w:r w:rsidRPr="00E148FC">
              <w:t>88.02 (0.36)</w:t>
            </w:r>
          </w:p>
        </w:tc>
        <w:tc>
          <w:tcPr>
            <w:tcW w:w="1357" w:type="dxa"/>
            <w:vAlign w:val="center"/>
          </w:tcPr>
          <w:p w:rsidR="006B57BE" w:rsidRPr="00E148FC" w:rsidRDefault="006B57BE" w:rsidP="00364028">
            <w:pPr>
              <w:pStyle w:val="Tabletext0"/>
              <w:keepNext/>
              <w:jc w:val="center"/>
            </w:pPr>
            <w:r w:rsidRPr="00E148FC">
              <w:t>-3.67 (0.36)</w:t>
            </w:r>
          </w:p>
        </w:tc>
        <w:tc>
          <w:tcPr>
            <w:tcW w:w="3073" w:type="dxa"/>
            <w:vAlign w:val="center"/>
          </w:tcPr>
          <w:p w:rsidR="006B57BE" w:rsidRPr="00E148FC" w:rsidRDefault="006B57BE" w:rsidP="00364028">
            <w:pPr>
              <w:pStyle w:val="Tabletext0"/>
              <w:jc w:val="center"/>
              <w:rPr>
                <w:b/>
              </w:rPr>
            </w:pPr>
            <w:r w:rsidRPr="00E148FC">
              <w:rPr>
                <w:b/>
              </w:rPr>
              <w:t>-2.31 (-3.33, -1.29)</w:t>
            </w:r>
          </w:p>
        </w:tc>
      </w:tr>
      <w:tr w:rsidR="006B57BE" w:rsidRPr="00E148FC" w:rsidTr="00364028">
        <w:tc>
          <w:tcPr>
            <w:tcW w:w="1571" w:type="dxa"/>
            <w:tcBorders>
              <w:bottom w:val="single" w:sz="4" w:space="0" w:color="auto"/>
            </w:tcBorders>
            <w:vAlign w:val="center"/>
          </w:tcPr>
          <w:p w:rsidR="006B57BE" w:rsidRPr="00E148FC" w:rsidRDefault="006B57BE" w:rsidP="00364028">
            <w:pPr>
              <w:pStyle w:val="TableText"/>
            </w:pPr>
            <w:r w:rsidRPr="00E148FC">
              <w:t>Sema 1.0 mg</w:t>
            </w:r>
          </w:p>
        </w:tc>
        <w:tc>
          <w:tcPr>
            <w:tcW w:w="566" w:type="dxa"/>
            <w:tcBorders>
              <w:bottom w:val="single" w:sz="4" w:space="0" w:color="auto"/>
            </w:tcBorders>
            <w:vAlign w:val="center"/>
          </w:tcPr>
          <w:p w:rsidR="006B57BE" w:rsidRPr="00E148FC" w:rsidRDefault="006B57BE" w:rsidP="00364028">
            <w:pPr>
              <w:pStyle w:val="TableText"/>
              <w:jc w:val="center"/>
            </w:pPr>
            <w:r w:rsidRPr="00E148FC">
              <w:t>131</w:t>
            </w:r>
          </w:p>
        </w:tc>
        <w:tc>
          <w:tcPr>
            <w:tcW w:w="1246" w:type="dxa"/>
            <w:tcBorders>
              <w:bottom w:val="single" w:sz="4" w:space="0" w:color="auto"/>
            </w:tcBorders>
            <w:vAlign w:val="center"/>
          </w:tcPr>
          <w:p w:rsidR="006B57BE" w:rsidRPr="00E148FC" w:rsidRDefault="006B57BE" w:rsidP="00364028">
            <w:pPr>
              <w:pStyle w:val="Tabletext0"/>
              <w:keepNext/>
              <w:jc w:val="center"/>
            </w:pPr>
            <w:r w:rsidRPr="00E148FC">
              <w:t>92.49 (22.23)</w:t>
            </w:r>
          </w:p>
        </w:tc>
        <w:tc>
          <w:tcPr>
            <w:tcW w:w="1204" w:type="dxa"/>
            <w:tcBorders>
              <w:bottom w:val="single" w:sz="4" w:space="0" w:color="auto"/>
            </w:tcBorders>
            <w:vAlign w:val="center"/>
          </w:tcPr>
          <w:p w:rsidR="006B57BE" w:rsidRPr="00E148FC" w:rsidRDefault="006B57BE" w:rsidP="00364028">
            <w:pPr>
              <w:pStyle w:val="Tabletext0"/>
              <w:keepNext/>
              <w:jc w:val="center"/>
            </w:pPr>
            <w:r w:rsidRPr="00E148FC">
              <w:t>85.27 (0.36)</w:t>
            </w:r>
          </w:p>
        </w:tc>
        <w:tc>
          <w:tcPr>
            <w:tcW w:w="1357" w:type="dxa"/>
            <w:tcBorders>
              <w:bottom w:val="single" w:sz="4" w:space="0" w:color="auto"/>
            </w:tcBorders>
            <w:vAlign w:val="center"/>
          </w:tcPr>
          <w:p w:rsidR="006B57BE" w:rsidRPr="00E148FC" w:rsidRDefault="006B57BE" w:rsidP="00364028">
            <w:pPr>
              <w:pStyle w:val="Tabletext0"/>
              <w:keepNext/>
              <w:keepLines/>
              <w:jc w:val="center"/>
            </w:pPr>
            <w:r w:rsidRPr="00E148FC">
              <w:t>-6.42 (0.36)</w:t>
            </w:r>
          </w:p>
        </w:tc>
        <w:tc>
          <w:tcPr>
            <w:tcW w:w="3073" w:type="dxa"/>
            <w:tcBorders>
              <w:bottom w:val="single" w:sz="4" w:space="0" w:color="auto"/>
            </w:tcBorders>
            <w:vAlign w:val="center"/>
          </w:tcPr>
          <w:p w:rsidR="006B57BE" w:rsidRPr="00E148FC" w:rsidRDefault="006B57BE" w:rsidP="00364028">
            <w:pPr>
              <w:pStyle w:val="Tabletext0"/>
              <w:jc w:val="center"/>
              <w:rPr>
                <w:b/>
              </w:rPr>
            </w:pPr>
            <w:r w:rsidRPr="00E148FC">
              <w:rPr>
                <w:b/>
              </w:rPr>
              <w:t>-5.06 (-6.08, -4.04)</w:t>
            </w:r>
          </w:p>
        </w:tc>
      </w:tr>
      <w:tr w:rsidR="006B57BE" w:rsidRPr="00E148FC" w:rsidTr="00364028">
        <w:tc>
          <w:tcPr>
            <w:tcW w:w="1571" w:type="dxa"/>
            <w:tcBorders>
              <w:bottom w:val="single" w:sz="4" w:space="0" w:color="auto"/>
            </w:tcBorders>
            <w:vAlign w:val="center"/>
          </w:tcPr>
          <w:p w:rsidR="006B57BE" w:rsidRPr="00E148FC" w:rsidRDefault="006B57BE" w:rsidP="00364028">
            <w:pPr>
              <w:pStyle w:val="TableText"/>
            </w:pPr>
            <w:r w:rsidRPr="00E148FC">
              <w:t>Placebo</w:t>
            </w:r>
          </w:p>
        </w:tc>
        <w:tc>
          <w:tcPr>
            <w:tcW w:w="566" w:type="dxa"/>
            <w:tcBorders>
              <w:bottom w:val="single" w:sz="4" w:space="0" w:color="auto"/>
            </w:tcBorders>
            <w:vAlign w:val="center"/>
          </w:tcPr>
          <w:p w:rsidR="006B57BE" w:rsidRPr="00E148FC" w:rsidRDefault="006B57BE" w:rsidP="00364028">
            <w:pPr>
              <w:pStyle w:val="TableText"/>
              <w:jc w:val="center"/>
            </w:pPr>
            <w:r w:rsidRPr="00E148FC">
              <w:t>133</w:t>
            </w:r>
          </w:p>
        </w:tc>
        <w:tc>
          <w:tcPr>
            <w:tcW w:w="1246" w:type="dxa"/>
            <w:tcBorders>
              <w:bottom w:val="single" w:sz="4" w:space="0" w:color="auto"/>
            </w:tcBorders>
            <w:vAlign w:val="center"/>
          </w:tcPr>
          <w:p w:rsidR="006B57BE" w:rsidRPr="00E148FC" w:rsidRDefault="006B57BE" w:rsidP="00364028">
            <w:pPr>
              <w:pStyle w:val="TableText"/>
              <w:jc w:val="center"/>
            </w:pPr>
            <w:r w:rsidRPr="00E148FC">
              <w:t>89.88 (21.06)</w:t>
            </w:r>
          </w:p>
        </w:tc>
        <w:tc>
          <w:tcPr>
            <w:tcW w:w="1204" w:type="dxa"/>
            <w:tcBorders>
              <w:bottom w:val="single" w:sz="4" w:space="0" w:color="auto"/>
            </w:tcBorders>
            <w:vAlign w:val="center"/>
          </w:tcPr>
          <w:p w:rsidR="006B57BE" w:rsidRPr="00E148FC" w:rsidRDefault="006B57BE" w:rsidP="00364028">
            <w:pPr>
              <w:pStyle w:val="Tabletext0"/>
              <w:keepNext/>
              <w:jc w:val="center"/>
            </w:pPr>
            <w:r w:rsidRPr="00E148FC">
              <w:t>90.33 (0.37)</w:t>
            </w:r>
          </w:p>
        </w:tc>
        <w:tc>
          <w:tcPr>
            <w:tcW w:w="1357" w:type="dxa"/>
            <w:tcBorders>
              <w:bottom w:val="single" w:sz="4" w:space="0" w:color="auto"/>
            </w:tcBorders>
            <w:vAlign w:val="center"/>
          </w:tcPr>
          <w:p w:rsidR="006B57BE" w:rsidRPr="00E148FC" w:rsidRDefault="006B57BE" w:rsidP="00364028">
            <w:pPr>
              <w:pStyle w:val="TableText"/>
              <w:jc w:val="center"/>
            </w:pPr>
            <w:r w:rsidRPr="00E148FC">
              <w:t>-1.36 (0.37)</w:t>
            </w:r>
          </w:p>
        </w:tc>
        <w:tc>
          <w:tcPr>
            <w:tcW w:w="3073" w:type="dxa"/>
            <w:tcBorders>
              <w:bottom w:val="single" w:sz="4" w:space="0" w:color="auto"/>
            </w:tcBorders>
            <w:vAlign w:val="center"/>
          </w:tcPr>
          <w:p w:rsidR="006B57BE" w:rsidRPr="00E148FC" w:rsidRDefault="006B57BE" w:rsidP="00364028">
            <w:pPr>
              <w:pStyle w:val="TableText"/>
              <w:jc w:val="center"/>
            </w:pPr>
            <w:r w:rsidRPr="00E148FC">
              <w:t>-</w:t>
            </w:r>
          </w:p>
        </w:tc>
      </w:tr>
    </w:tbl>
    <w:p w:rsidR="006B57BE" w:rsidRPr="00E148FC" w:rsidRDefault="006B57BE" w:rsidP="006B57BE">
      <w:pPr>
        <w:pStyle w:val="TableFooter"/>
      </w:pPr>
      <w:r w:rsidRPr="00E148FC">
        <w:t>Source: Table 2.5.2, p66 of the submission.</w:t>
      </w:r>
    </w:p>
    <w:p w:rsidR="006B57BE" w:rsidRPr="00E148FC" w:rsidRDefault="006B57BE" w:rsidP="006B57BE">
      <w:pPr>
        <w:pStyle w:val="TableFooter"/>
      </w:pPr>
      <w:r w:rsidRPr="00E148FC">
        <w:t>Abbreviations: CI, confidence interval; SD, standard deviation; SE, standard error; sema, semaglutide</w:t>
      </w:r>
    </w:p>
    <w:p w:rsidR="006B57BE" w:rsidRPr="00E148FC" w:rsidRDefault="006B57BE" w:rsidP="006B57BE">
      <w:pPr>
        <w:pStyle w:val="TableFooter"/>
      </w:pPr>
      <w:r w:rsidRPr="00E148FC">
        <w:rPr>
          <w:vertAlign w:val="superscript"/>
        </w:rPr>
        <w:t>a</w:t>
      </w:r>
      <w:r w:rsidRPr="00E148FC">
        <w:t xml:space="preserve"> Estimated using a mixed model for repeated measures, with treatment, country and stratification variable (HbA1c level at screening [&lt;= 8.0% or &gt; 8.0%] crossed with use of metformin [yes or no]; 2 by 2 levels) as fixed factors and baseline value as covariate, all nested within visit.</w:t>
      </w:r>
    </w:p>
    <w:p w:rsidR="00F969D3" w:rsidRPr="00E148FC" w:rsidRDefault="00F969D3" w:rsidP="006B57BE">
      <w:pPr>
        <w:pStyle w:val="TableFooter"/>
      </w:pPr>
    </w:p>
    <w:p w:rsidR="006B57BE" w:rsidRPr="00E148FC" w:rsidRDefault="006B57BE" w:rsidP="00295D49">
      <w:pPr>
        <w:pStyle w:val="ExecSumBodyText"/>
      </w:pPr>
      <w:r w:rsidRPr="00E148FC">
        <w:t>Treatment with both semaglutide 0.5 mg and 1.0 mg once weekly was associated with a statistically significant reduction in body weight from baseline to week 30 compared with placebo, in combination with basal insulin</w:t>
      </w:r>
      <w:r w:rsidR="00295D49" w:rsidRPr="00E148FC">
        <w:t xml:space="preserve"> (a secondary outcome)</w:t>
      </w:r>
      <w:r w:rsidRPr="00E148FC">
        <w:t>. The change in body weight was notably greater in the semaglutide 1.0 mg dose arm</w:t>
      </w:r>
      <w:r w:rsidR="00295D49" w:rsidRPr="00E148FC">
        <w:t xml:space="preserve"> (-5.06; 95% CI: -6.08, -4.04) </w:t>
      </w:r>
      <w:r w:rsidRPr="00E148FC">
        <w:t>compared to the 0.5 mg dose</w:t>
      </w:r>
      <w:r w:rsidR="00295D49" w:rsidRPr="00E148FC">
        <w:t xml:space="preserve"> (-2.31; 95% CI: -3.33, -1.29), and there was a small proportion (mean change -1.36 kg) who lost weight in the placebo arm. </w:t>
      </w:r>
      <w:r w:rsidR="00BB40B0" w:rsidRPr="00E148FC">
        <w:t xml:space="preserve">The PBAC noted there was another secondary outcome for patients achieving a weight loss target of </w:t>
      </w:r>
      <w:r w:rsidR="00BB40B0" w:rsidRPr="00E148FC">
        <w:rPr>
          <w:snapToGrid/>
          <w:u w:val="single"/>
        </w:rPr>
        <w:t>&gt;</w:t>
      </w:r>
      <w:r w:rsidR="00BB40B0" w:rsidRPr="00E148FC">
        <w:rPr>
          <w:snapToGrid/>
        </w:rPr>
        <w:t>5%, and considered this to be a</w:t>
      </w:r>
      <w:r w:rsidR="005C75AC" w:rsidRPr="00E148FC">
        <w:rPr>
          <w:snapToGrid/>
        </w:rPr>
        <w:t>nother</w:t>
      </w:r>
      <w:r w:rsidR="00BB40B0" w:rsidRPr="00E148FC">
        <w:rPr>
          <w:snapToGrid/>
        </w:rPr>
        <w:t xml:space="preserve"> common goal </w:t>
      </w:r>
      <w:r w:rsidR="00486837" w:rsidRPr="00E148FC">
        <w:rPr>
          <w:snapToGrid/>
        </w:rPr>
        <w:t xml:space="preserve">in </w:t>
      </w:r>
      <w:r w:rsidR="00B675D8" w:rsidRPr="00E148FC">
        <w:rPr>
          <w:snapToGrid/>
        </w:rPr>
        <w:t>T2DM</w:t>
      </w:r>
      <w:r w:rsidR="00486837" w:rsidRPr="00E148FC">
        <w:rPr>
          <w:snapToGrid/>
        </w:rPr>
        <w:t xml:space="preserve"> management; </w:t>
      </w:r>
      <w:r w:rsidR="00BB40B0" w:rsidRPr="00E148FC">
        <w:rPr>
          <w:snapToGrid/>
        </w:rPr>
        <w:t>6</w:t>
      </w:r>
      <w:r w:rsidR="00486837" w:rsidRPr="00E148FC">
        <w:rPr>
          <w:snapToGrid/>
        </w:rPr>
        <w:t>6% and 42% of patients achieved this target</w:t>
      </w:r>
      <w:r w:rsidR="00BB40B0" w:rsidRPr="00E148FC">
        <w:rPr>
          <w:snapToGrid/>
        </w:rPr>
        <w:t xml:space="preserve"> in the semaglutide 1.0 mg and 0.5 mg group</w:t>
      </w:r>
      <w:r w:rsidR="00527CF7" w:rsidRPr="00E148FC">
        <w:rPr>
          <w:snapToGrid/>
        </w:rPr>
        <w:t>s</w:t>
      </w:r>
      <w:r w:rsidR="00BB40B0" w:rsidRPr="00E148FC">
        <w:rPr>
          <w:snapToGrid/>
        </w:rPr>
        <w:t xml:space="preserve"> respectively, compared to 11% of patients in the placebo group. </w:t>
      </w:r>
    </w:p>
    <w:p w:rsidR="00F969D3" w:rsidRPr="00E148FC" w:rsidRDefault="00F969D3" w:rsidP="00F969D3">
      <w:pPr>
        <w:pStyle w:val="ExecSumBodyText"/>
      </w:pPr>
      <w:r w:rsidRPr="00E148FC">
        <w:t>The table below summarises the change in mean basal insulin dose from baseline to week 30 in the SUSTAIN 5 trial.</w:t>
      </w:r>
    </w:p>
    <w:p w:rsidR="00C3361B" w:rsidRDefault="00C3361B">
      <w:pPr>
        <w:jc w:val="left"/>
        <w:rPr>
          <w:rFonts w:ascii="Arial Narrow" w:eastAsiaTheme="minorHAnsi" w:hAnsi="Arial Narrow" w:cstheme="minorBidi"/>
          <w:b/>
          <w:sz w:val="20"/>
          <w:szCs w:val="22"/>
          <w:lang w:eastAsia="en-US"/>
        </w:rPr>
      </w:pPr>
      <w:r>
        <w:br w:type="page"/>
      </w:r>
    </w:p>
    <w:p w:rsidR="00F969D3" w:rsidRPr="00E148FC" w:rsidRDefault="00F969D3" w:rsidP="00F969D3">
      <w:pPr>
        <w:pStyle w:val="TableHeading"/>
        <w:spacing w:after="0"/>
        <w:jc w:val="both"/>
      </w:pPr>
      <w:r w:rsidRPr="00E148FC">
        <w:lastRenderedPageBreak/>
        <w:t xml:space="preserve">Table </w:t>
      </w:r>
      <w:r w:rsidR="00DF16BF" w:rsidRPr="00E148FC">
        <w:t>6</w:t>
      </w:r>
      <w:r w:rsidRPr="00E148FC">
        <w:t>: Change in basal insulin dose from baseline to week 30 (on treatment without rescue medication)</w:t>
      </w:r>
    </w:p>
    <w:tbl>
      <w:tblPr>
        <w:tblStyle w:val="TableGrid"/>
        <w:tblW w:w="5000" w:type="pct"/>
        <w:tblLook w:val="04A0" w:firstRow="1" w:lastRow="0" w:firstColumn="1" w:lastColumn="0" w:noHBand="0" w:noVBand="1"/>
        <w:tblCaption w:val="Table 6: Change in basal insulin dose from baseline to week 30 (on treatment without rescue medication)"/>
      </w:tblPr>
      <w:tblGrid>
        <w:gridCol w:w="1571"/>
        <w:gridCol w:w="566"/>
        <w:gridCol w:w="1246"/>
        <w:gridCol w:w="1204"/>
        <w:gridCol w:w="1357"/>
        <w:gridCol w:w="3073"/>
      </w:tblGrid>
      <w:tr w:rsidR="00F969D3" w:rsidRPr="00E148FC" w:rsidTr="00284919">
        <w:trPr>
          <w:tblHeader/>
        </w:trPr>
        <w:tc>
          <w:tcPr>
            <w:tcW w:w="1571" w:type="dxa"/>
            <w:vAlign w:val="center"/>
          </w:tcPr>
          <w:p w:rsidR="00F969D3" w:rsidRPr="00E148FC" w:rsidRDefault="00F969D3" w:rsidP="00364028">
            <w:pPr>
              <w:pStyle w:val="TableText"/>
              <w:rPr>
                <w:b/>
              </w:rPr>
            </w:pPr>
            <w:r w:rsidRPr="00E148FC">
              <w:rPr>
                <w:b/>
              </w:rPr>
              <w:t>Treatment arms</w:t>
            </w:r>
          </w:p>
        </w:tc>
        <w:tc>
          <w:tcPr>
            <w:tcW w:w="566" w:type="dxa"/>
            <w:vAlign w:val="center"/>
          </w:tcPr>
          <w:p w:rsidR="00F969D3" w:rsidRPr="00E148FC" w:rsidRDefault="00F969D3" w:rsidP="00364028">
            <w:pPr>
              <w:pStyle w:val="TableText"/>
              <w:jc w:val="center"/>
              <w:rPr>
                <w:b/>
              </w:rPr>
            </w:pPr>
            <w:r w:rsidRPr="00E148FC">
              <w:rPr>
                <w:b/>
              </w:rPr>
              <w:t>N</w:t>
            </w:r>
          </w:p>
        </w:tc>
        <w:tc>
          <w:tcPr>
            <w:tcW w:w="1246" w:type="dxa"/>
            <w:vAlign w:val="center"/>
          </w:tcPr>
          <w:p w:rsidR="00F969D3" w:rsidRPr="00E148FC" w:rsidRDefault="00F969D3" w:rsidP="00364028">
            <w:pPr>
              <w:pStyle w:val="TableText"/>
              <w:jc w:val="center"/>
              <w:rPr>
                <w:b/>
              </w:rPr>
            </w:pPr>
            <w:r w:rsidRPr="00E148FC">
              <w:rPr>
                <w:b/>
              </w:rPr>
              <w:t>Baseline, mean (SD)</w:t>
            </w:r>
          </w:p>
        </w:tc>
        <w:tc>
          <w:tcPr>
            <w:tcW w:w="1204" w:type="dxa"/>
            <w:vAlign w:val="center"/>
          </w:tcPr>
          <w:p w:rsidR="00F969D3" w:rsidRPr="00E148FC" w:rsidRDefault="00F969D3" w:rsidP="00364028">
            <w:pPr>
              <w:pStyle w:val="TableText"/>
              <w:jc w:val="center"/>
              <w:rPr>
                <w:b/>
                <w:vertAlign w:val="superscript"/>
              </w:rPr>
            </w:pPr>
            <w:r w:rsidRPr="00E148FC">
              <w:rPr>
                <w:b/>
              </w:rPr>
              <w:t>Week 30, mean (SD)</w:t>
            </w:r>
            <w:r w:rsidRPr="00E148FC">
              <w:rPr>
                <w:b/>
                <w:vertAlign w:val="superscript"/>
              </w:rPr>
              <w:t>a</w:t>
            </w:r>
          </w:p>
        </w:tc>
        <w:tc>
          <w:tcPr>
            <w:tcW w:w="1357" w:type="dxa"/>
            <w:vAlign w:val="center"/>
          </w:tcPr>
          <w:p w:rsidR="00F969D3" w:rsidRPr="00E148FC" w:rsidRDefault="00F969D3" w:rsidP="00364028">
            <w:pPr>
              <w:pStyle w:val="TableText"/>
              <w:jc w:val="center"/>
              <w:rPr>
                <w:b/>
                <w:vertAlign w:val="superscript"/>
              </w:rPr>
            </w:pPr>
            <w:r w:rsidRPr="00E148FC">
              <w:rPr>
                <w:b/>
              </w:rPr>
              <w:t>Mean change (SE)</w:t>
            </w:r>
            <w:r w:rsidRPr="00E148FC">
              <w:rPr>
                <w:b/>
                <w:vertAlign w:val="superscript"/>
              </w:rPr>
              <w:t>a</w:t>
            </w:r>
          </w:p>
        </w:tc>
        <w:tc>
          <w:tcPr>
            <w:tcW w:w="3073" w:type="dxa"/>
            <w:vAlign w:val="center"/>
          </w:tcPr>
          <w:p w:rsidR="00F969D3" w:rsidRPr="00E148FC" w:rsidRDefault="00F969D3" w:rsidP="00364028">
            <w:pPr>
              <w:pStyle w:val="TableText"/>
              <w:jc w:val="center"/>
              <w:rPr>
                <w:b/>
                <w:vertAlign w:val="superscript"/>
              </w:rPr>
            </w:pPr>
            <w:r w:rsidRPr="00E148FC">
              <w:rPr>
                <w:b/>
              </w:rPr>
              <w:t>Mean treatment difference versus placebo (95% CI)</w:t>
            </w:r>
            <w:r w:rsidRPr="00E148FC">
              <w:rPr>
                <w:b/>
                <w:vertAlign w:val="superscript"/>
              </w:rPr>
              <w:t>a</w:t>
            </w:r>
          </w:p>
        </w:tc>
      </w:tr>
      <w:tr w:rsidR="00F969D3" w:rsidRPr="00E148FC" w:rsidTr="00364028">
        <w:tc>
          <w:tcPr>
            <w:tcW w:w="9017" w:type="dxa"/>
            <w:gridSpan w:val="6"/>
            <w:vAlign w:val="center"/>
          </w:tcPr>
          <w:p w:rsidR="00F969D3" w:rsidRPr="00E148FC" w:rsidRDefault="00F969D3" w:rsidP="00364028">
            <w:pPr>
              <w:pStyle w:val="TableText"/>
              <w:rPr>
                <w:b/>
              </w:rPr>
            </w:pPr>
            <w:r w:rsidRPr="00E148FC">
              <w:rPr>
                <w:b/>
              </w:rPr>
              <w:t>Change in geometric mean basal insulin dose (U/day) from baseline to week 30 [secondary outcome]</w:t>
            </w:r>
          </w:p>
        </w:tc>
      </w:tr>
      <w:tr w:rsidR="00F969D3" w:rsidRPr="00E148FC" w:rsidTr="00364028">
        <w:trPr>
          <w:trHeight w:val="56"/>
        </w:trPr>
        <w:tc>
          <w:tcPr>
            <w:tcW w:w="1571" w:type="dxa"/>
            <w:vAlign w:val="center"/>
          </w:tcPr>
          <w:p w:rsidR="00F969D3" w:rsidRPr="00E148FC" w:rsidRDefault="00F969D3" w:rsidP="00364028">
            <w:pPr>
              <w:pStyle w:val="TableText"/>
            </w:pPr>
            <w:r w:rsidRPr="00E148FC">
              <w:t>Sema 0.5 mg</w:t>
            </w:r>
          </w:p>
        </w:tc>
        <w:tc>
          <w:tcPr>
            <w:tcW w:w="566" w:type="dxa"/>
            <w:vAlign w:val="center"/>
          </w:tcPr>
          <w:p w:rsidR="00F969D3" w:rsidRPr="00E148FC" w:rsidRDefault="00F969D3" w:rsidP="00364028">
            <w:pPr>
              <w:pStyle w:val="TableText"/>
              <w:jc w:val="center"/>
            </w:pPr>
            <w:r w:rsidRPr="00E148FC">
              <w:t>132</w:t>
            </w:r>
          </w:p>
        </w:tc>
        <w:tc>
          <w:tcPr>
            <w:tcW w:w="1246" w:type="dxa"/>
            <w:vAlign w:val="center"/>
          </w:tcPr>
          <w:p w:rsidR="00F969D3" w:rsidRPr="00E148FC" w:rsidRDefault="00F969D3" w:rsidP="00364028">
            <w:pPr>
              <w:pStyle w:val="Tabletext0"/>
              <w:keepNext/>
              <w:jc w:val="center"/>
            </w:pPr>
            <w:r w:rsidRPr="00E148FC">
              <w:t>39.30 (</w:t>
            </w:r>
            <w:r w:rsidRPr="00E148FC">
              <w:rPr>
                <w:i/>
              </w:rPr>
              <w:t>0.68</w:t>
            </w:r>
            <w:r w:rsidRPr="00E148FC">
              <w:t>)</w:t>
            </w:r>
          </w:p>
        </w:tc>
        <w:tc>
          <w:tcPr>
            <w:tcW w:w="1204" w:type="dxa"/>
            <w:vAlign w:val="center"/>
          </w:tcPr>
          <w:p w:rsidR="00F969D3" w:rsidRPr="00E148FC" w:rsidRDefault="00F969D3" w:rsidP="00364028">
            <w:pPr>
              <w:pStyle w:val="TableText"/>
              <w:jc w:val="center"/>
            </w:pPr>
            <w:r w:rsidRPr="00E148FC">
              <w:t>35.45 (</w:t>
            </w:r>
            <w:r w:rsidRPr="00E148FC">
              <w:rPr>
                <w:i/>
              </w:rPr>
              <w:t>0.63</w:t>
            </w:r>
            <w:r w:rsidRPr="00E148FC">
              <w:t>)</w:t>
            </w:r>
          </w:p>
        </w:tc>
        <w:tc>
          <w:tcPr>
            <w:tcW w:w="1357" w:type="dxa"/>
            <w:vAlign w:val="center"/>
          </w:tcPr>
          <w:p w:rsidR="00F969D3" w:rsidRPr="00E148FC" w:rsidRDefault="00F969D3" w:rsidP="00364028">
            <w:pPr>
              <w:pStyle w:val="Tabletext0"/>
              <w:keepNext/>
              <w:jc w:val="center"/>
              <w:rPr>
                <w:i/>
              </w:rPr>
            </w:pPr>
            <w:r w:rsidRPr="00E148FC">
              <w:rPr>
                <w:i/>
              </w:rPr>
              <w:t>-3.85 (0.1)</w:t>
            </w:r>
          </w:p>
        </w:tc>
        <w:tc>
          <w:tcPr>
            <w:tcW w:w="3073" w:type="dxa"/>
            <w:vAlign w:val="center"/>
          </w:tcPr>
          <w:p w:rsidR="00F969D3" w:rsidRPr="00E148FC" w:rsidRDefault="00F969D3" w:rsidP="00364028">
            <w:pPr>
              <w:pStyle w:val="Tabletext0"/>
              <w:jc w:val="center"/>
              <w:rPr>
                <w:b/>
                <w:i/>
              </w:rPr>
            </w:pPr>
            <w:r w:rsidRPr="00E148FC">
              <w:rPr>
                <w:b/>
                <w:i/>
              </w:rPr>
              <w:t>-2.5 (-2.7, -2.2)</w:t>
            </w:r>
          </w:p>
        </w:tc>
      </w:tr>
      <w:tr w:rsidR="00F969D3" w:rsidRPr="00E148FC" w:rsidTr="00364028">
        <w:tc>
          <w:tcPr>
            <w:tcW w:w="1571" w:type="dxa"/>
            <w:tcBorders>
              <w:bottom w:val="single" w:sz="4" w:space="0" w:color="auto"/>
            </w:tcBorders>
            <w:vAlign w:val="center"/>
          </w:tcPr>
          <w:p w:rsidR="00F969D3" w:rsidRPr="00E148FC" w:rsidRDefault="00F969D3" w:rsidP="00364028">
            <w:pPr>
              <w:pStyle w:val="TableText"/>
            </w:pPr>
            <w:r w:rsidRPr="00E148FC">
              <w:t>Sema 1.0 mg</w:t>
            </w:r>
          </w:p>
        </w:tc>
        <w:tc>
          <w:tcPr>
            <w:tcW w:w="566" w:type="dxa"/>
            <w:tcBorders>
              <w:bottom w:val="single" w:sz="4" w:space="0" w:color="auto"/>
            </w:tcBorders>
            <w:vAlign w:val="center"/>
          </w:tcPr>
          <w:p w:rsidR="00F969D3" w:rsidRPr="00E148FC" w:rsidRDefault="00F969D3" w:rsidP="00364028">
            <w:pPr>
              <w:pStyle w:val="TableText"/>
              <w:jc w:val="center"/>
            </w:pPr>
            <w:r w:rsidRPr="00E148FC">
              <w:t>131</w:t>
            </w:r>
          </w:p>
        </w:tc>
        <w:tc>
          <w:tcPr>
            <w:tcW w:w="1246" w:type="dxa"/>
            <w:tcBorders>
              <w:bottom w:val="single" w:sz="4" w:space="0" w:color="auto"/>
            </w:tcBorders>
            <w:vAlign w:val="center"/>
          </w:tcPr>
          <w:p w:rsidR="00F969D3" w:rsidRPr="00E148FC" w:rsidRDefault="00F969D3" w:rsidP="00364028">
            <w:pPr>
              <w:pStyle w:val="Tabletext0"/>
              <w:keepNext/>
              <w:jc w:val="center"/>
            </w:pPr>
            <w:r w:rsidRPr="00E148FC">
              <w:t>37.35 (</w:t>
            </w:r>
            <w:r w:rsidRPr="00E148FC">
              <w:rPr>
                <w:i/>
              </w:rPr>
              <w:t>0.64</w:t>
            </w:r>
            <w:r w:rsidRPr="00E148FC">
              <w:t>)</w:t>
            </w:r>
          </w:p>
        </w:tc>
        <w:tc>
          <w:tcPr>
            <w:tcW w:w="1204" w:type="dxa"/>
            <w:tcBorders>
              <w:bottom w:val="single" w:sz="4" w:space="0" w:color="auto"/>
            </w:tcBorders>
            <w:vAlign w:val="center"/>
          </w:tcPr>
          <w:p w:rsidR="00F969D3" w:rsidRPr="00E148FC" w:rsidRDefault="00F969D3" w:rsidP="00364028">
            <w:pPr>
              <w:pStyle w:val="TableText"/>
              <w:jc w:val="center"/>
            </w:pPr>
            <w:r w:rsidRPr="00E148FC">
              <w:t>31.50 (</w:t>
            </w:r>
            <w:r w:rsidRPr="00E148FC">
              <w:rPr>
                <w:i/>
              </w:rPr>
              <w:t>0.47</w:t>
            </w:r>
            <w:r w:rsidRPr="00E148FC">
              <w:t>)</w:t>
            </w:r>
          </w:p>
        </w:tc>
        <w:tc>
          <w:tcPr>
            <w:tcW w:w="1357" w:type="dxa"/>
            <w:tcBorders>
              <w:bottom w:val="single" w:sz="4" w:space="0" w:color="auto"/>
            </w:tcBorders>
            <w:vAlign w:val="center"/>
          </w:tcPr>
          <w:p w:rsidR="00F969D3" w:rsidRPr="00E148FC" w:rsidRDefault="00F969D3" w:rsidP="00364028">
            <w:pPr>
              <w:pStyle w:val="Tabletext0"/>
              <w:keepNext/>
              <w:keepLines/>
              <w:jc w:val="center"/>
              <w:rPr>
                <w:i/>
              </w:rPr>
            </w:pPr>
            <w:r w:rsidRPr="00E148FC">
              <w:rPr>
                <w:i/>
              </w:rPr>
              <w:t xml:space="preserve">-5.85 (0.1) </w:t>
            </w:r>
          </w:p>
        </w:tc>
        <w:tc>
          <w:tcPr>
            <w:tcW w:w="3073" w:type="dxa"/>
            <w:tcBorders>
              <w:bottom w:val="single" w:sz="4" w:space="0" w:color="auto"/>
            </w:tcBorders>
            <w:vAlign w:val="center"/>
          </w:tcPr>
          <w:p w:rsidR="00F969D3" w:rsidRPr="00E148FC" w:rsidRDefault="00F969D3" w:rsidP="00364028">
            <w:pPr>
              <w:pStyle w:val="Tabletext0"/>
              <w:jc w:val="center"/>
              <w:rPr>
                <w:b/>
                <w:i/>
              </w:rPr>
            </w:pPr>
            <w:r w:rsidRPr="00E148FC">
              <w:rPr>
                <w:b/>
                <w:i/>
              </w:rPr>
              <w:t>-4.5 (-4.3, -4.7)</w:t>
            </w:r>
          </w:p>
        </w:tc>
      </w:tr>
      <w:tr w:rsidR="00F969D3" w:rsidRPr="00E148FC" w:rsidTr="00364028">
        <w:tc>
          <w:tcPr>
            <w:tcW w:w="1571" w:type="dxa"/>
            <w:tcBorders>
              <w:bottom w:val="single" w:sz="4" w:space="0" w:color="auto"/>
            </w:tcBorders>
            <w:vAlign w:val="center"/>
          </w:tcPr>
          <w:p w:rsidR="00F969D3" w:rsidRPr="00E148FC" w:rsidRDefault="00F969D3" w:rsidP="00364028">
            <w:pPr>
              <w:pStyle w:val="TableText"/>
            </w:pPr>
            <w:r w:rsidRPr="00E148FC">
              <w:t>Placebo</w:t>
            </w:r>
          </w:p>
        </w:tc>
        <w:tc>
          <w:tcPr>
            <w:tcW w:w="566" w:type="dxa"/>
            <w:tcBorders>
              <w:bottom w:val="single" w:sz="4" w:space="0" w:color="auto"/>
            </w:tcBorders>
            <w:vAlign w:val="center"/>
          </w:tcPr>
          <w:p w:rsidR="00F969D3" w:rsidRPr="00E148FC" w:rsidRDefault="00F969D3" w:rsidP="00364028">
            <w:pPr>
              <w:pStyle w:val="TableText"/>
              <w:jc w:val="center"/>
            </w:pPr>
            <w:r w:rsidRPr="00E148FC">
              <w:t>133</w:t>
            </w:r>
          </w:p>
        </w:tc>
        <w:tc>
          <w:tcPr>
            <w:tcW w:w="1246" w:type="dxa"/>
            <w:tcBorders>
              <w:bottom w:val="single" w:sz="4" w:space="0" w:color="auto"/>
            </w:tcBorders>
            <w:vAlign w:val="center"/>
          </w:tcPr>
          <w:p w:rsidR="00F969D3" w:rsidRPr="00E148FC" w:rsidRDefault="00F969D3" w:rsidP="00364028">
            <w:pPr>
              <w:pStyle w:val="Tabletext0"/>
              <w:keepNext/>
              <w:jc w:val="center"/>
            </w:pPr>
            <w:r w:rsidRPr="00E148FC">
              <w:t>36.64 (</w:t>
            </w:r>
            <w:r w:rsidRPr="00E148FC">
              <w:rPr>
                <w:i/>
              </w:rPr>
              <w:t>0.65</w:t>
            </w:r>
            <w:r w:rsidRPr="00E148FC">
              <w:t>)</w:t>
            </w:r>
          </w:p>
        </w:tc>
        <w:tc>
          <w:tcPr>
            <w:tcW w:w="1204" w:type="dxa"/>
            <w:tcBorders>
              <w:bottom w:val="single" w:sz="4" w:space="0" w:color="auto"/>
            </w:tcBorders>
            <w:vAlign w:val="center"/>
          </w:tcPr>
          <w:p w:rsidR="00F969D3" w:rsidRPr="00E148FC" w:rsidRDefault="00F969D3" w:rsidP="00364028">
            <w:pPr>
              <w:pStyle w:val="TableText"/>
              <w:jc w:val="center"/>
            </w:pPr>
            <w:r w:rsidRPr="00E148FC">
              <w:t>35.25 (</w:t>
            </w:r>
            <w:r w:rsidRPr="00E148FC">
              <w:rPr>
                <w:i/>
              </w:rPr>
              <w:t>0.60</w:t>
            </w:r>
            <w:r w:rsidRPr="00E148FC">
              <w:t>)</w:t>
            </w:r>
          </w:p>
        </w:tc>
        <w:tc>
          <w:tcPr>
            <w:tcW w:w="1357" w:type="dxa"/>
            <w:tcBorders>
              <w:bottom w:val="single" w:sz="4" w:space="0" w:color="auto"/>
            </w:tcBorders>
            <w:vAlign w:val="center"/>
          </w:tcPr>
          <w:p w:rsidR="00F969D3" w:rsidRPr="00E148FC" w:rsidRDefault="00F969D3" w:rsidP="00364028">
            <w:pPr>
              <w:pStyle w:val="TableText"/>
              <w:jc w:val="center"/>
              <w:rPr>
                <w:i/>
              </w:rPr>
            </w:pPr>
            <w:r w:rsidRPr="00E148FC">
              <w:rPr>
                <w:i/>
              </w:rPr>
              <w:t>-1.39 (0.1)</w:t>
            </w:r>
          </w:p>
        </w:tc>
        <w:tc>
          <w:tcPr>
            <w:tcW w:w="3073" w:type="dxa"/>
            <w:tcBorders>
              <w:bottom w:val="single" w:sz="4" w:space="0" w:color="auto"/>
            </w:tcBorders>
            <w:vAlign w:val="center"/>
          </w:tcPr>
          <w:p w:rsidR="00F969D3" w:rsidRPr="00E148FC" w:rsidRDefault="00F969D3" w:rsidP="00364028">
            <w:pPr>
              <w:pStyle w:val="TableText"/>
              <w:jc w:val="center"/>
            </w:pPr>
            <w:r w:rsidRPr="00E148FC">
              <w:t>-</w:t>
            </w:r>
          </w:p>
        </w:tc>
      </w:tr>
    </w:tbl>
    <w:p w:rsidR="00F969D3" w:rsidRPr="00E148FC" w:rsidRDefault="00F969D3" w:rsidP="00F969D3">
      <w:pPr>
        <w:pStyle w:val="TableFooter"/>
      </w:pPr>
      <w:r w:rsidRPr="00E148FC">
        <w:t>Source: Table 2.5.6, p69 of the submission.</w:t>
      </w:r>
    </w:p>
    <w:p w:rsidR="00F969D3" w:rsidRPr="00E148FC" w:rsidRDefault="00F969D3" w:rsidP="00F969D3">
      <w:pPr>
        <w:pStyle w:val="TableFooter"/>
      </w:pPr>
      <w:r w:rsidRPr="00E148FC">
        <w:t>Abbreviations: CI, confidence interval; SD, standard deviation; SE, standard error; sema, semaglutide; U, insulin units</w:t>
      </w:r>
    </w:p>
    <w:p w:rsidR="00F969D3" w:rsidRPr="00E148FC" w:rsidRDefault="00F969D3" w:rsidP="00F969D3">
      <w:pPr>
        <w:pStyle w:val="TableFooter"/>
      </w:pPr>
      <w:r w:rsidRPr="00E148FC">
        <w:rPr>
          <w:vertAlign w:val="superscript"/>
        </w:rPr>
        <w:t>a</w:t>
      </w:r>
      <w:r w:rsidRPr="00E148FC">
        <w:t xml:space="preserve"> Estimated using a mixed model for repeated measures, with treatment, country and stratification variable (HbA1c level at screening [&lt;= 8.0% or &gt; 8.0%] crossed with use of metformin [yes or no]; 2 by 2 levels) as fixed factors and baseline value as covariate, all nested within visit.</w:t>
      </w:r>
    </w:p>
    <w:p w:rsidR="00F969D3" w:rsidRPr="00E148FC" w:rsidRDefault="00F969D3" w:rsidP="00F969D3">
      <w:pPr>
        <w:pStyle w:val="TableFooter"/>
      </w:pPr>
      <w:r w:rsidRPr="00E148FC">
        <w:t xml:space="preserve">Numbers in italics were calculated for the submission. </w:t>
      </w:r>
      <w:r w:rsidRPr="00B00157">
        <w:t>Calculations could not be found during the evaluation and could not be verified.</w:t>
      </w:r>
      <w:r w:rsidRPr="00E148FC">
        <w:t xml:space="preserve"> The SUSTAIN 5 Clinical Study Report presented Ratio at </w:t>
      </w:r>
      <w:r w:rsidR="0089189C" w:rsidRPr="00E148FC">
        <w:t>week</w:t>
      </w:r>
      <w:r w:rsidRPr="00E148FC">
        <w:t xml:space="preserve"> 30 compared to baseline, and compared the Treatment Ratio for semaglutide versus placebo. Results for this measure were also statistically significantly different in favour of semaglutide.</w:t>
      </w:r>
    </w:p>
    <w:p w:rsidR="00F969D3" w:rsidRPr="00E148FC" w:rsidRDefault="00F969D3" w:rsidP="00F969D3">
      <w:pPr>
        <w:pStyle w:val="TableFooter"/>
      </w:pPr>
    </w:p>
    <w:p w:rsidR="00F969D3" w:rsidRPr="00E148FC" w:rsidRDefault="00F969D3" w:rsidP="00F969D3">
      <w:pPr>
        <w:pStyle w:val="ExecSumBodyText"/>
      </w:pPr>
      <w:r w:rsidRPr="00E148FC">
        <w:t xml:space="preserve">The reduction in mean daily basal insulin dose was statistically </w:t>
      </w:r>
      <w:r w:rsidR="0029050C" w:rsidRPr="00E148FC">
        <w:t xml:space="preserve">significantly </w:t>
      </w:r>
      <w:r w:rsidRPr="00E148FC">
        <w:t>greater in the semaglutide arm compared to the placebo arm. The submission stated that this was expected to be primarily caused by the insulin titration protocol used in the trial. The largest overall decrease in insulin dose was in patients with baseline HbA1c ≤8%, where patients reduced their insulin dose by 20% from randomisation as required by the study protocol. The difference between treatment groups for change in insulin dose in patients with HbA1c &gt;8% was not as pronounced.</w:t>
      </w:r>
    </w:p>
    <w:p w:rsidR="00DC3CD4" w:rsidRPr="00E148FC" w:rsidRDefault="00DC3CD4" w:rsidP="00364028">
      <w:pPr>
        <w:pStyle w:val="ExecSumBodyText"/>
        <w:rPr>
          <w:color w:val="0066FF"/>
        </w:rPr>
      </w:pPr>
      <w:r w:rsidRPr="00E148FC">
        <w:t xml:space="preserve">The submission also presented quality of life data comparing change in scores from baseline to </w:t>
      </w:r>
      <w:r w:rsidR="0089189C" w:rsidRPr="00E148FC">
        <w:t>week</w:t>
      </w:r>
      <w:r w:rsidRPr="00E148FC">
        <w:t xml:space="preserve"> 30, from the 36-item Short Form health survey (SF-36v2), and the Diabetes Treatment Satisfaction Questionnaire (DTSQ). At week 30, most domains of the SF-36v2 showed improvement for all three treatment groups, but there were no statistically significant differences between either semaglutide 0.5mg or semaglutide 1.0 mg and placebo for the </w:t>
      </w:r>
      <w:r w:rsidR="008E0D47" w:rsidRPr="00E148FC">
        <w:t>change from baseline to week 30.</w:t>
      </w:r>
      <w:r w:rsidRPr="00E148FC">
        <w:t xml:space="preserve"> At week 30, all nine components of the DTSQ (including the ‘treatment satisfaction’ summary domain score) showed improvements for all three treatment groups. Three components plus the overall treatment satisfaction score showed statistically significantly greater improvement in the semaglutide 0.5 mg arm over placebo, and seven components plus the overall treatment satisfaction score showed statistically significantly greater improvements in the sema</w:t>
      </w:r>
      <w:r w:rsidR="008E0D47" w:rsidRPr="00E148FC">
        <w:t xml:space="preserve">glutide 1.0 mg arm over placebo. </w:t>
      </w:r>
    </w:p>
    <w:p w:rsidR="00114914" w:rsidRPr="00E148FC" w:rsidRDefault="00DC3CD4" w:rsidP="00486837">
      <w:pPr>
        <w:pStyle w:val="Heading2"/>
        <w:spacing w:after="120"/>
        <w:rPr>
          <w:i w:val="0"/>
          <w:sz w:val="24"/>
        </w:rPr>
      </w:pPr>
      <w:bookmarkStart w:id="20" w:name="_Toc62027968"/>
      <w:r w:rsidRPr="00E148FC">
        <w:rPr>
          <w:i w:val="0"/>
          <w:sz w:val="24"/>
        </w:rPr>
        <w:t>Indirect comparisons</w:t>
      </w:r>
      <w:bookmarkEnd w:id="20"/>
    </w:p>
    <w:p w:rsidR="007234CB" w:rsidRPr="00E148FC" w:rsidRDefault="00114914" w:rsidP="00D85D93">
      <w:pPr>
        <w:pStyle w:val="ExecSumBodyText"/>
        <w:rPr>
          <w:snapToGrid/>
        </w:rPr>
      </w:pPr>
      <w:r w:rsidRPr="00E148FC">
        <w:t xml:space="preserve">The submission presented </w:t>
      </w:r>
      <w:r w:rsidR="00855214" w:rsidRPr="00E148FC">
        <w:t xml:space="preserve">two </w:t>
      </w:r>
      <w:r w:rsidRPr="00E148FC">
        <w:t xml:space="preserve">separate indirect comparisons of semaglutide (either 0.5 mg or 1.0 mg) with dulaglutide 1.5 mg, </w:t>
      </w:r>
      <w:r w:rsidR="00855214" w:rsidRPr="00E148FC">
        <w:t xml:space="preserve">and </w:t>
      </w:r>
      <w:r w:rsidRPr="00E148FC">
        <w:t xml:space="preserve">exenatide 10 mcg twice daily, with placebo as common reference, and with all treatments in combination with basal insulin. </w:t>
      </w:r>
      <w:r w:rsidR="007234CB" w:rsidRPr="00E148FC">
        <w:rPr>
          <w:snapToGrid/>
        </w:rPr>
        <w:t>The submission used the Bucher single pairwise method for the indirect comparisons, which were based on the primary outcome for all trials (change from baseline in HbA1c) and secondary outcomes from SUSTAIN 5 that were also reported in the comparator studies (change from baseline in body weight, proportion achieving HbA1c targets, change in 7-point self-monitored plasma glucose profile, change in basal insulin dose, and safety outcomes).</w:t>
      </w:r>
      <w:r w:rsidR="00D85D93" w:rsidRPr="00E148FC">
        <w:rPr>
          <w:snapToGrid/>
        </w:rPr>
        <w:t xml:space="preserve"> The submission’s indirect comparison used the ‘on treatment without rescue medication’ analysis set from SUSTAIN 5, which </w:t>
      </w:r>
      <w:r w:rsidR="00D85D93" w:rsidRPr="00E148FC">
        <w:rPr>
          <w:snapToGrid/>
        </w:rPr>
        <w:lastRenderedPageBreak/>
        <w:t xml:space="preserve">excluded observation periods beyond premature treatment discontinuation and after initiation of rescue medication. </w:t>
      </w:r>
    </w:p>
    <w:p w:rsidR="007234CB" w:rsidRPr="00E148FC" w:rsidRDefault="00F37B2C" w:rsidP="007234CB">
      <w:pPr>
        <w:pStyle w:val="ExecSumBodyText"/>
        <w:rPr>
          <w:snapToGrid/>
        </w:rPr>
      </w:pPr>
      <w:r w:rsidRPr="00E148FC">
        <w:rPr>
          <w:snapToGrid/>
        </w:rPr>
        <w:t>The PBAC noted that t</w:t>
      </w:r>
      <w:r w:rsidR="007234CB" w:rsidRPr="00E148FC">
        <w:rPr>
          <w:snapToGrid/>
        </w:rPr>
        <w:t>he submission nominated a non-inferiority margin of 0.3% to 0.4%, whereby non</w:t>
      </w:r>
      <w:r w:rsidR="00B14722" w:rsidRPr="00E148FC">
        <w:rPr>
          <w:snapToGrid/>
        </w:rPr>
        <w:t>-</w:t>
      </w:r>
      <w:r w:rsidR="007234CB" w:rsidRPr="00E148FC">
        <w:rPr>
          <w:snapToGrid/>
        </w:rPr>
        <w:t>inferiority is demonstrated when the upper 95% confidence limit does not cross this boundary for the outcome of change from baseline in HbA1c, as used in the March 2018 lixisenatide submission (Para 7.6, lixisenatide with insulin glargine, Public Summary Document</w:t>
      </w:r>
      <w:r w:rsidR="0089189C" w:rsidRPr="00E148FC">
        <w:rPr>
          <w:snapToGrid/>
        </w:rPr>
        <w:t xml:space="preserve"> (PSD)</w:t>
      </w:r>
      <w:r w:rsidR="007234CB" w:rsidRPr="00E148FC">
        <w:rPr>
          <w:snapToGrid/>
        </w:rPr>
        <w:t xml:space="preserve">, March 2018 PBAC meeting), and the March 2015 exenatide twice daily submission (Para 6.7, exenatide, </w:t>
      </w:r>
      <w:r w:rsidR="0089189C" w:rsidRPr="00E148FC">
        <w:rPr>
          <w:snapToGrid/>
        </w:rPr>
        <w:t>PSD</w:t>
      </w:r>
      <w:r w:rsidR="007234CB" w:rsidRPr="00E148FC">
        <w:rPr>
          <w:snapToGrid/>
        </w:rPr>
        <w:t xml:space="preserve">, March 2015 PBAC meeting). Similarly, in the November 2019 dulaglutide submission (Para 6.16, dulaglutide, </w:t>
      </w:r>
      <w:r w:rsidR="0089189C" w:rsidRPr="00E148FC">
        <w:rPr>
          <w:snapToGrid/>
        </w:rPr>
        <w:t>PSD</w:t>
      </w:r>
      <w:r w:rsidR="007234CB" w:rsidRPr="00E148FC">
        <w:rPr>
          <w:snapToGrid/>
        </w:rPr>
        <w:t>, November 2019 PBAC meeting) a non-inferiority margin of 0.3% was nominated for change from baseline in HbA1c.</w:t>
      </w:r>
    </w:p>
    <w:p w:rsidR="00DC3CD4" w:rsidRPr="00E148FC" w:rsidRDefault="007234CB" w:rsidP="00DC3CD4">
      <w:pPr>
        <w:pStyle w:val="ExecSumBodyText"/>
      </w:pPr>
      <w:r w:rsidRPr="00E148FC">
        <w:rPr>
          <w:snapToGrid/>
        </w:rPr>
        <w:t xml:space="preserve">The submission noted that in the November 2019 consideration of semaglutide for </w:t>
      </w:r>
      <w:r w:rsidR="003E340A" w:rsidRPr="00E148FC">
        <w:rPr>
          <w:snapToGrid/>
        </w:rPr>
        <w:t>dual/triple therapy with metformin and/or a sulfonylurea</w:t>
      </w:r>
      <w:r w:rsidRPr="00E148FC">
        <w:rPr>
          <w:snapToGrid/>
        </w:rPr>
        <w:t xml:space="preserve">, the PBAC considered a 0.5% reduction in HbA1c to be more relevant than 0.3% for a superiority claim (Para 5.10, November 2019, semaglutide PSD). </w:t>
      </w:r>
      <w:r w:rsidR="00F37B2C" w:rsidRPr="00E148FC">
        <w:rPr>
          <w:snapToGrid/>
        </w:rPr>
        <w:t>The PBAC noted that, w</w:t>
      </w:r>
      <w:r w:rsidRPr="00E148FC">
        <w:rPr>
          <w:snapToGrid/>
        </w:rPr>
        <w:t>hile the current submission is based on a claim of non-inferiority, the results of the indirect comparisons were also assessed for superiority.</w:t>
      </w:r>
    </w:p>
    <w:p w:rsidR="00114914" w:rsidRPr="00E148FC" w:rsidRDefault="00DC3CD4" w:rsidP="00486837">
      <w:pPr>
        <w:pStyle w:val="Heading2"/>
        <w:keepNext/>
        <w:spacing w:after="120"/>
        <w:rPr>
          <w:i w:val="0"/>
          <w:sz w:val="24"/>
        </w:rPr>
      </w:pPr>
      <w:bookmarkStart w:id="21" w:name="_Toc62027969"/>
      <w:r w:rsidRPr="00E148FC">
        <w:rPr>
          <w:i w:val="0"/>
          <w:sz w:val="24"/>
        </w:rPr>
        <w:t>Indirect comparison of semaglutide and dulaglutide</w:t>
      </w:r>
      <w:bookmarkEnd w:id="21"/>
    </w:p>
    <w:p w:rsidR="00DC3CD4" w:rsidRPr="00E148FC" w:rsidRDefault="00114914" w:rsidP="00DC3CD4">
      <w:pPr>
        <w:pStyle w:val="ExecSumBodyText"/>
      </w:pPr>
      <w:r w:rsidRPr="00E148FC">
        <w:t xml:space="preserve">Results of the indirect comparison of semaglutide and dulaglutide for the primary outcome of change from baseline in HbA1c are presented in the table below. The endpoint for SUSTAIN 5 was </w:t>
      </w:r>
      <w:r w:rsidR="0089189C" w:rsidRPr="00E148FC">
        <w:t>week</w:t>
      </w:r>
      <w:r w:rsidRPr="00E148FC">
        <w:t xml:space="preserve"> 30, and for AWARD-9 was </w:t>
      </w:r>
      <w:r w:rsidR="0089189C" w:rsidRPr="00E148FC">
        <w:t>week</w:t>
      </w:r>
      <w:r w:rsidRPr="00E148FC">
        <w:t xml:space="preserve"> 28.</w:t>
      </w:r>
    </w:p>
    <w:p w:rsidR="00114914" w:rsidRPr="00E148FC" w:rsidRDefault="00114914" w:rsidP="00114914">
      <w:pPr>
        <w:pStyle w:val="TableHeading"/>
        <w:spacing w:after="0"/>
        <w:jc w:val="both"/>
      </w:pPr>
      <w:r w:rsidRPr="00E148FC">
        <w:t xml:space="preserve">Table </w:t>
      </w:r>
      <w:r w:rsidR="00DF16BF" w:rsidRPr="00E148FC">
        <w:t>7</w:t>
      </w:r>
      <w:r w:rsidRPr="00E148FC">
        <w:t>: Indirect comparison of semaglutide and dulaglutide for change from baseline in HbA1c (%) at week 28/30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867"/>
        <w:gridCol w:w="1713"/>
        <w:gridCol w:w="1336"/>
        <w:gridCol w:w="2521"/>
      </w:tblGrid>
      <w:tr w:rsidR="00114914" w:rsidRPr="00E148FC" w:rsidTr="00381293">
        <w:trPr>
          <w:tblHeader/>
          <w:jc w:val="center"/>
        </w:trPr>
        <w:tc>
          <w:tcPr>
            <w:tcW w:w="876" w:type="pct"/>
            <w:vMerge w:val="restart"/>
            <w:shd w:val="clear" w:color="auto" w:fill="auto"/>
            <w:vAlign w:val="center"/>
          </w:tcPr>
          <w:p w:rsidR="00114914" w:rsidRPr="00E148FC" w:rsidRDefault="00114914" w:rsidP="00364028">
            <w:pPr>
              <w:pStyle w:val="Tableheadingrow"/>
              <w:rPr>
                <w:lang w:val="en-AU"/>
              </w:rPr>
            </w:pPr>
            <w:r w:rsidRPr="00E148FC">
              <w:rPr>
                <w:lang w:val="en-AU"/>
              </w:rPr>
              <w:t>Trial</w:t>
            </w:r>
          </w:p>
        </w:tc>
        <w:tc>
          <w:tcPr>
            <w:tcW w:w="2726" w:type="pct"/>
            <w:gridSpan w:val="3"/>
            <w:shd w:val="clear" w:color="auto" w:fill="auto"/>
            <w:vAlign w:val="center"/>
          </w:tcPr>
          <w:p w:rsidR="00114914" w:rsidRPr="00E148FC" w:rsidRDefault="00114914" w:rsidP="00364028">
            <w:pPr>
              <w:pStyle w:val="Tableheadingrow"/>
              <w:jc w:val="center"/>
              <w:rPr>
                <w:lang w:val="en-AU"/>
              </w:rPr>
            </w:pPr>
            <w:r w:rsidRPr="00E148FC">
              <w:rPr>
                <w:lang w:val="en-AU"/>
              </w:rPr>
              <w:t>Change from baseline in HbA1c % LSM (SE)</w:t>
            </w:r>
          </w:p>
        </w:tc>
        <w:tc>
          <w:tcPr>
            <w:tcW w:w="1398" w:type="pct"/>
            <w:vMerge w:val="restart"/>
            <w:shd w:val="clear" w:color="auto" w:fill="auto"/>
            <w:vAlign w:val="center"/>
          </w:tcPr>
          <w:p w:rsidR="00114914" w:rsidRPr="00E148FC" w:rsidRDefault="00114914" w:rsidP="00364028">
            <w:pPr>
              <w:pStyle w:val="Tableheadingrow"/>
              <w:jc w:val="center"/>
              <w:rPr>
                <w:lang w:val="en-AU"/>
              </w:rPr>
            </w:pPr>
            <w:r w:rsidRPr="00E148FC">
              <w:rPr>
                <w:lang w:val="en-AU"/>
              </w:rPr>
              <w:t>LSM (95% CI)</w:t>
            </w:r>
          </w:p>
        </w:tc>
      </w:tr>
      <w:tr w:rsidR="00114914" w:rsidRPr="00E148FC" w:rsidTr="00381293">
        <w:trPr>
          <w:tblHeader/>
          <w:jc w:val="center"/>
        </w:trPr>
        <w:tc>
          <w:tcPr>
            <w:tcW w:w="876" w:type="pct"/>
            <w:vMerge/>
            <w:shd w:val="clear" w:color="auto" w:fill="auto"/>
            <w:vAlign w:val="center"/>
          </w:tcPr>
          <w:p w:rsidR="00114914" w:rsidRPr="00E148FC" w:rsidRDefault="00114914" w:rsidP="00364028"/>
        </w:tc>
        <w:tc>
          <w:tcPr>
            <w:tcW w:w="1035" w:type="pct"/>
            <w:shd w:val="clear" w:color="auto" w:fill="auto"/>
            <w:vAlign w:val="center"/>
          </w:tcPr>
          <w:p w:rsidR="00114914" w:rsidRPr="00E148FC" w:rsidRDefault="00114914" w:rsidP="00364028">
            <w:pPr>
              <w:pStyle w:val="Tableheadingrow"/>
              <w:jc w:val="center"/>
              <w:rPr>
                <w:lang w:val="en-AU"/>
              </w:rPr>
            </w:pPr>
            <w:r w:rsidRPr="00E148FC">
              <w:rPr>
                <w:lang w:val="en-AU"/>
              </w:rPr>
              <w:t>Semaglutide</w:t>
            </w:r>
          </w:p>
          <w:p w:rsidR="00114914" w:rsidRPr="00E148FC" w:rsidRDefault="00114914" w:rsidP="00364028">
            <w:pPr>
              <w:pStyle w:val="Tableheadingrow"/>
              <w:jc w:val="center"/>
              <w:rPr>
                <w:lang w:val="en-AU"/>
              </w:rPr>
            </w:pPr>
            <w:r w:rsidRPr="00E148FC">
              <w:rPr>
                <w:lang w:val="en-AU"/>
              </w:rPr>
              <w:t>(30 weeks)</w:t>
            </w:r>
          </w:p>
        </w:tc>
        <w:tc>
          <w:tcPr>
            <w:tcW w:w="950" w:type="pct"/>
            <w:shd w:val="clear" w:color="auto" w:fill="auto"/>
            <w:vAlign w:val="center"/>
          </w:tcPr>
          <w:p w:rsidR="00114914" w:rsidRPr="00E148FC" w:rsidRDefault="00114914" w:rsidP="00364028">
            <w:pPr>
              <w:pStyle w:val="Tableheadingrow"/>
              <w:jc w:val="center"/>
              <w:rPr>
                <w:lang w:val="en-AU"/>
              </w:rPr>
            </w:pPr>
            <w:r w:rsidRPr="00E148FC">
              <w:rPr>
                <w:lang w:val="en-AU"/>
              </w:rPr>
              <w:t>Placebo</w:t>
            </w:r>
          </w:p>
        </w:tc>
        <w:tc>
          <w:tcPr>
            <w:tcW w:w="741" w:type="pct"/>
            <w:shd w:val="clear" w:color="auto" w:fill="auto"/>
            <w:vAlign w:val="center"/>
          </w:tcPr>
          <w:p w:rsidR="00114914" w:rsidRPr="00E148FC" w:rsidRDefault="00114914" w:rsidP="00364028">
            <w:pPr>
              <w:pStyle w:val="Tableheadingrow"/>
              <w:jc w:val="center"/>
              <w:rPr>
                <w:lang w:val="en-AU"/>
              </w:rPr>
            </w:pPr>
            <w:r w:rsidRPr="00E148FC">
              <w:rPr>
                <w:lang w:val="en-AU"/>
              </w:rPr>
              <w:t>Dulaglutide</w:t>
            </w:r>
          </w:p>
          <w:p w:rsidR="00114914" w:rsidRPr="00E148FC" w:rsidRDefault="00114914" w:rsidP="00364028">
            <w:pPr>
              <w:pStyle w:val="Tableheadingrow"/>
              <w:jc w:val="center"/>
              <w:rPr>
                <w:lang w:val="en-AU"/>
              </w:rPr>
            </w:pPr>
            <w:r w:rsidRPr="00E148FC">
              <w:rPr>
                <w:lang w:val="en-AU"/>
              </w:rPr>
              <w:t>(28 weeks)</w:t>
            </w:r>
          </w:p>
        </w:tc>
        <w:tc>
          <w:tcPr>
            <w:tcW w:w="1398" w:type="pct"/>
            <w:vMerge/>
            <w:shd w:val="clear" w:color="auto" w:fill="auto"/>
            <w:vAlign w:val="center"/>
          </w:tcPr>
          <w:p w:rsidR="00114914" w:rsidRPr="00E148FC" w:rsidRDefault="00114914" w:rsidP="00364028">
            <w:pPr>
              <w:jc w:val="center"/>
            </w:pPr>
          </w:p>
        </w:tc>
      </w:tr>
      <w:tr w:rsidR="00114914" w:rsidRPr="00E148FC" w:rsidTr="00381293">
        <w:trPr>
          <w:jc w:val="center"/>
        </w:trPr>
        <w:tc>
          <w:tcPr>
            <w:tcW w:w="5000" w:type="pct"/>
            <w:gridSpan w:val="5"/>
            <w:shd w:val="clear" w:color="auto" w:fill="auto"/>
            <w:vAlign w:val="center"/>
          </w:tcPr>
          <w:p w:rsidR="00114914" w:rsidRPr="00E148FC" w:rsidRDefault="00114914" w:rsidP="00364028">
            <w:pPr>
              <w:pStyle w:val="TableText"/>
            </w:pPr>
            <w:r w:rsidRPr="00E148FC">
              <w:t>Semaglutide 0.5 mg vs dulaglutide 1.5 mg</w:t>
            </w:r>
          </w:p>
        </w:tc>
      </w:tr>
      <w:tr w:rsidR="00114914" w:rsidRPr="00E148FC" w:rsidTr="00381293">
        <w:trPr>
          <w:jc w:val="center"/>
        </w:trPr>
        <w:tc>
          <w:tcPr>
            <w:tcW w:w="876" w:type="pct"/>
            <w:shd w:val="clear" w:color="auto" w:fill="auto"/>
            <w:vAlign w:val="center"/>
          </w:tcPr>
          <w:p w:rsidR="00114914" w:rsidRPr="00E148FC" w:rsidRDefault="00114914" w:rsidP="00364028">
            <w:pPr>
              <w:pStyle w:val="TableText"/>
            </w:pPr>
            <w:r w:rsidRPr="00E148FC">
              <w:t>SUSTAIN 5</w:t>
            </w:r>
          </w:p>
        </w:tc>
        <w:tc>
          <w:tcPr>
            <w:tcW w:w="1035" w:type="pct"/>
            <w:shd w:val="clear" w:color="auto" w:fill="auto"/>
            <w:vAlign w:val="center"/>
          </w:tcPr>
          <w:p w:rsidR="00114914" w:rsidRPr="00E148FC" w:rsidRDefault="00114914" w:rsidP="00364028">
            <w:pPr>
              <w:pStyle w:val="TableText"/>
              <w:jc w:val="center"/>
            </w:pPr>
            <w:r w:rsidRPr="00E148FC">
              <w:t>-1.45 (0.09)</w:t>
            </w:r>
          </w:p>
        </w:tc>
        <w:tc>
          <w:tcPr>
            <w:tcW w:w="950" w:type="pct"/>
            <w:shd w:val="clear" w:color="auto" w:fill="auto"/>
            <w:vAlign w:val="center"/>
          </w:tcPr>
          <w:p w:rsidR="00114914" w:rsidRPr="00E148FC" w:rsidRDefault="00114914" w:rsidP="00364028">
            <w:pPr>
              <w:pStyle w:val="TableText"/>
              <w:jc w:val="center"/>
            </w:pPr>
            <w:r w:rsidRPr="00E148FC">
              <w:t>-0.09 (0.09)</w:t>
            </w:r>
          </w:p>
        </w:tc>
        <w:tc>
          <w:tcPr>
            <w:tcW w:w="741" w:type="pct"/>
            <w:shd w:val="clear" w:color="auto" w:fill="auto"/>
            <w:vAlign w:val="center"/>
          </w:tcPr>
          <w:p w:rsidR="00114914" w:rsidRPr="00E148FC" w:rsidRDefault="00114914" w:rsidP="00364028">
            <w:pPr>
              <w:pStyle w:val="TableText"/>
              <w:jc w:val="center"/>
            </w:pPr>
            <w:r w:rsidRPr="00E148FC">
              <w:t>-</w:t>
            </w:r>
          </w:p>
        </w:tc>
        <w:tc>
          <w:tcPr>
            <w:tcW w:w="1398" w:type="pct"/>
            <w:shd w:val="clear" w:color="auto" w:fill="auto"/>
          </w:tcPr>
          <w:p w:rsidR="00114914" w:rsidRPr="00E148FC" w:rsidRDefault="00114914" w:rsidP="00364028">
            <w:pPr>
              <w:pStyle w:val="TableText"/>
              <w:jc w:val="center"/>
            </w:pPr>
            <w:r w:rsidRPr="00E148FC">
              <w:t>-1.35 (-1.61, -1.10)</w:t>
            </w:r>
          </w:p>
        </w:tc>
      </w:tr>
      <w:tr w:rsidR="00114914" w:rsidRPr="00E148FC" w:rsidTr="00381293">
        <w:trPr>
          <w:jc w:val="center"/>
        </w:trPr>
        <w:tc>
          <w:tcPr>
            <w:tcW w:w="876" w:type="pct"/>
            <w:shd w:val="clear" w:color="auto" w:fill="auto"/>
            <w:vAlign w:val="center"/>
          </w:tcPr>
          <w:p w:rsidR="00114914" w:rsidRPr="00E148FC" w:rsidRDefault="00114914" w:rsidP="00364028">
            <w:pPr>
              <w:pStyle w:val="TableText"/>
            </w:pPr>
            <w:r w:rsidRPr="00E148FC">
              <w:t>AWARD-9</w:t>
            </w:r>
          </w:p>
        </w:tc>
        <w:tc>
          <w:tcPr>
            <w:tcW w:w="1035" w:type="pct"/>
            <w:shd w:val="clear" w:color="auto" w:fill="auto"/>
            <w:vAlign w:val="center"/>
          </w:tcPr>
          <w:p w:rsidR="00114914" w:rsidRPr="00E148FC" w:rsidRDefault="00114914" w:rsidP="00364028">
            <w:pPr>
              <w:pStyle w:val="TableText"/>
              <w:jc w:val="center"/>
            </w:pPr>
            <w:r w:rsidRPr="00E148FC">
              <w:t>-</w:t>
            </w:r>
          </w:p>
        </w:tc>
        <w:tc>
          <w:tcPr>
            <w:tcW w:w="950" w:type="pct"/>
            <w:shd w:val="clear" w:color="auto" w:fill="auto"/>
            <w:vAlign w:val="center"/>
          </w:tcPr>
          <w:p w:rsidR="00114914" w:rsidRPr="00E148FC" w:rsidRDefault="00114914" w:rsidP="00364028">
            <w:pPr>
              <w:pStyle w:val="TableText"/>
              <w:jc w:val="center"/>
            </w:pPr>
            <w:r w:rsidRPr="00E148FC">
              <w:t>-0.67 (0.09)</w:t>
            </w:r>
          </w:p>
        </w:tc>
        <w:tc>
          <w:tcPr>
            <w:tcW w:w="741" w:type="pct"/>
            <w:shd w:val="clear" w:color="auto" w:fill="auto"/>
            <w:vAlign w:val="center"/>
          </w:tcPr>
          <w:p w:rsidR="00114914" w:rsidRPr="00E148FC" w:rsidRDefault="00114914" w:rsidP="00364028">
            <w:pPr>
              <w:pStyle w:val="TableText"/>
              <w:jc w:val="center"/>
            </w:pPr>
            <w:r w:rsidRPr="00E148FC">
              <w:t>-1.44 (0.09)</w:t>
            </w:r>
          </w:p>
        </w:tc>
        <w:tc>
          <w:tcPr>
            <w:tcW w:w="1398" w:type="pct"/>
            <w:shd w:val="clear" w:color="auto" w:fill="auto"/>
          </w:tcPr>
          <w:p w:rsidR="00114914" w:rsidRPr="00E148FC" w:rsidRDefault="00114914" w:rsidP="00364028">
            <w:pPr>
              <w:pStyle w:val="TableText"/>
              <w:jc w:val="center"/>
            </w:pPr>
            <w:r w:rsidRPr="00E148FC">
              <w:t>-0.77 (-0.97, -0.56)</w:t>
            </w:r>
          </w:p>
        </w:tc>
      </w:tr>
      <w:tr w:rsidR="00114914" w:rsidRPr="00E148FC" w:rsidTr="00381293">
        <w:trPr>
          <w:jc w:val="center"/>
        </w:trPr>
        <w:tc>
          <w:tcPr>
            <w:tcW w:w="3602" w:type="pct"/>
            <w:gridSpan w:val="4"/>
            <w:shd w:val="clear" w:color="auto" w:fill="auto"/>
            <w:vAlign w:val="center"/>
          </w:tcPr>
          <w:p w:rsidR="00114914" w:rsidRPr="00E148FC" w:rsidRDefault="00114914" w:rsidP="00364028">
            <w:pPr>
              <w:pStyle w:val="TableText"/>
              <w:jc w:val="right"/>
            </w:pPr>
            <w:r w:rsidRPr="00E148FC">
              <w:t>Indirect mean difference &lt; 0 favours semaglutide</w:t>
            </w:r>
          </w:p>
        </w:tc>
        <w:tc>
          <w:tcPr>
            <w:tcW w:w="1398" w:type="pct"/>
            <w:shd w:val="clear" w:color="auto" w:fill="auto"/>
            <w:vAlign w:val="center"/>
          </w:tcPr>
          <w:p w:rsidR="00114914" w:rsidRPr="00E148FC" w:rsidRDefault="00114914" w:rsidP="00364028">
            <w:pPr>
              <w:pStyle w:val="TableText"/>
              <w:jc w:val="center"/>
              <w:rPr>
                <w:b/>
              </w:rPr>
            </w:pPr>
            <w:r w:rsidRPr="00E148FC">
              <w:rPr>
                <w:b/>
              </w:rPr>
              <w:t>-0.58 (-0.91, -0.25)</w:t>
            </w:r>
          </w:p>
        </w:tc>
      </w:tr>
      <w:tr w:rsidR="00114914" w:rsidRPr="00E148FC" w:rsidTr="00381293">
        <w:trPr>
          <w:jc w:val="center"/>
        </w:trPr>
        <w:tc>
          <w:tcPr>
            <w:tcW w:w="5000" w:type="pct"/>
            <w:gridSpan w:val="5"/>
            <w:shd w:val="clear" w:color="auto" w:fill="auto"/>
            <w:vAlign w:val="center"/>
          </w:tcPr>
          <w:p w:rsidR="00114914" w:rsidRPr="00E148FC" w:rsidRDefault="00114914" w:rsidP="00364028">
            <w:pPr>
              <w:pStyle w:val="TableText"/>
            </w:pPr>
            <w:r w:rsidRPr="00E148FC">
              <w:t>Semaglutide 1.0 mg vs dulaglutide 1.5 mg</w:t>
            </w:r>
          </w:p>
        </w:tc>
      </w:tr>
      <w:tr w:rsidR="00114914" w:rsidRPr="00E148FC" w:rsidTr="00381293">
        <w:trPr>
          <w:jc w:val="center"/>
        </w:trPr>
        <w:tc>
          <w:tcPr>
            <w:tcW w:w="876" w:type="pct"/>
            <w:shd w:val="clear" w:color="auto" w:fill="auto"/>
            <w:vAlign w:val="center"/>
          </w:tcPr>
          <w:p w:rsidR="00114914" w:rsidRPr="00E148FC" w:rsidRDefault="00114914" w:rsidP="00364028">
            <w:pPr>
              <w:pStyle w:val="TableText"/>
            </w:pPr>
            <w:r w:rsidRPr="00E148FC">
              <w:t>SUSTAIN 5</w:t>
            </w:r>
          </w:p>
        </w:tc>
        <w:tc>
          <w:tcPr>
            <w:tcW w:w="1035" w:type="pct"/>
            <w:shd w:val="clear" w:color="auto" w:fill="auto"/>
          </w:tcPr>
          <w:p w:rsidR="00114914" w:rsidRPr="00E148FC" w:rsidRDefault="00114914" w:rsidP="00364028">
            <w:pPr>
              <w:pStyle w:val="TableText"/>
              <w:jc w:val="center"/>
            </w:pPr>
            <w:r w:rsidRPr="00E148FC">
              <w:t>-1.85 (0.09)</w:t>
            </w:r>
          </w:p>
        </w:tc>
        <w:tc>
          <w:tcPr>
            <w:tcW w:w="950" w:type="pct"/>
            <w:shd w:val="clear" w:color="auto" w:fill="auto"/>
          </w:tcPr>
          <w:p w:rsidR="00114914" w:rsidRPr="00E148FC" w:rsidRDefault="00114914" w:rsidP="00364028">
            <w:pPr>
              <w:pStyle w:val="TableText"/>
              <w:jc w:val="center"/>
            </w:pPr>
            <w:r w:rsidRPr="00E148FC">
              <w:t>-0.09 (0.09)</w:t>
            </w:r>
          </w:p>
        </w:tc>
        <w:tc>
          <w:tcPr>
            <w:tcW w:w="741" w:type="pct"/>
            <w:shd w:val="clear" w:color="auto" w:fill="auto"/>
            <w:vAlign w:val="center"/>
          </w:tcPr>
          <w:p w:rsidR="00114914" w:rsidRPr="00E148FC" w:rsidRDefault="00114914" w:rsidP="00364028">
            <w:pPr>
              <w:pStyle w:val="TableText"/>
              <w:jc w:val="center"/>
            </w:pPr>
            <w:r w:rsidRPr="00E148FC">
              <w:t>-</w:t>
            </w:r>
          </w:p>
        </w:tc>
        <w:tc>
          <w:tcPr>
            <w:tcW w:w="1398" w:type="pct"/>
            <w:shd w:val="clear" w:color="auto" w:fill="auto"/>
            <w:vAlign w:val="bottom"/>
          </w:tcPr>
          <w:p w:rsidR="00114914" w:rsidRPr="00E148FC" w:rsidRDefault="00114914" w:rsidP="00364028">
            <w:pPr>
              <w:pStyle w:val="TableText"/>
              <w:jc w:val="center"/>
            </w:pPr>
            <w:r w:rsidRPr="00E148FC">
              <w:rPr>
                <w:szCs w:val="18"/>
              </w:rPr>
              <w:t>-1.75 (-2.01, -1.50)</w:t>
            </w:r>
          </w:p>
        </w:tc>
      </w:tr>
      <w:tr w:rsidR="00114914" w:rsidRPr="00E148FC" w:rsidTr="00381293">
        <w:trPr>
          <w:jc w:val="center"/>
        </w:trPr>
        <w:tc>
          <w:tcPr>
            <w:tcW w:w="876" w:type="pct"/>
            <w:shd w:val="clear" w:color="auto" w:fill="auto"/>
            <w:vAlign w:val="center"/>
          </w:tcPr>
          <w:p w:rsidR="00114914" w:rsidRPr="00E148FC" w:rsidRDefault="00114914" w:rsidP="00364028">
            <w:pPr>
              <w:pStyle w:val="TableText"/>
            </w:pPr>
            <w:r w:rsidRPr="00E148FC">
              <w:t>AWARD-9</w:t>
            </w:r>
          </w:p>
        </w:tc>
        <w:tc>
          <w:tcPr>
            <w:tcW w:w="1035" w:type="pct"/>
            <w:shd w:val="clear" w:color="auto" w:fill="auto"/>
            <w:vAlign w:val="center"/>
          </w:tcPr>
          <w:p w:rsidR="00114914" w:rsidRPr="00E148FC" w:rsidRDefault="00114914" w:rsidP="00364028">
            <w:pPr>
              <w:pStyle w:val="TableText"/>
              <w:jc w:val="center"/>
            </w:pPr>
            <w:r w:rsidRPr="00E148FC">
              <w:t>-</w:t>
            </w:r>
          </w:p>
        </w:tc>
        <w:tc>
          <w:tcPr>
            <w:tcW w:w="950" w:type="pct"/>
            <w:shd w:val="clear" w:color="auto" w:fill="auto"/>
            <w:vAlign w:val="center"/>
          </w:tcPr>
          <w:p w:rsidR="00114914" w:rsidRPr="00E148FC" w:rsidRDefault="00114914" w:rsidP="00364028">
            <w:pPr>
              <w:pStyle w:val="TableText"/>
              <w:jc w:val="center"/>
            </w:pPr>
            <w:r w:rsidRPr="00E148FC">
              <w:t>-0.67 (0.09)</w:t>
            </w:r>
          </w:p>
        </w:tc>
        <w:tc>
          <w:tcPr>
            <w:tcW w:w="741" w:type="pct"/>
            <w:shd w:val="clear" w:color="auto" w:fill="auto"/>
            <w:vAlign w:val="center"/>
          </w:tcPr>
          <w:p w:rsidR="00114914" w:rsidRPr="00E148FC" w:rsidRDefault="00114914" w:rsidP="00364028">
            <w:pPr>
              <w:pStyle w:val="TableText"/>
              <w:jc w:val="center"/>
            </w:pPr>
            <w:r w:rsidRPr="00E148FC">
              <w:t>-1.44 (0.09)</w:t>
            </w:r>
          </w:p>
        </w:tc>
        <w:tc>
          <w:tcPr>
            <w:tcW w:w="1398" w:type="pct"/>
            <w:shd w:val="clear" w:color="auto" w:fill="auto"/>
            <w:vAlign w:val="bottom"/>
          </w:tcPr>
          <w:p w:rsidR="00114914" w:rsidRPr="00E148FC" w:rsidRDefault="00114914" w:rsidP="00364028">
            <w:pPr>
              <w:pStyle w:val="TableText"/>
              <w:jc w:val="center"/>
            </w:pPr>
            <w:r w:rsidRPr="00E148FC">
              <w:rPr>
                <w:szCs w:val="18"/>
              </w:rPr>
              <w:t>-0.77 (-0.97, -0.56)</w:t>
            </w:r>
          </w:p>
        </w:tc>
      </w:tr>
      <w:tr w:rsidR="00114914" w:rsidRPr="00E148FC" w:rsidTr="00381293">
        <w:trPr>
          <w:jc w:val="center"/>
        </w:trPr>
        <w:tc>
          <w:tcPr>
            <w:tcW w:w="3602" w:type="pct"/>
            <w:gridSpan w:val="4"/>
            <w:shd w:val="clear" w:color="auto" w:fill="auto"/>
            <w:vAlign w:val="center"/>
          </w:tcPr>
          <w:p w:rsidR="00114914" w:rsidRPr="00E148FC" w:rsidRDefault="00114914" w:rsidP="00364028">
            <w:pPr>
              <w:pStyle w:val="TableText"/>
              <w:jc w:val="right"/>
            </w:pPr>
            <w:r w:rsidRPr="00E148FC">
              <w:t>Indirect mean difference &lt; 0 favours semaglutide</w:t>
            </w:r>
          </w:p>
        </w:tc>
        <w:tc>
          <w:tcPr>
            <w:tcW w:w="1398" w:type="pct"/>
            <w:shd w:val="clear" w:color="auto" w:fill="auto"/>
            <w:vAlign w:val="center"/>
          </w:tcPr>
          <w:p w:rsidR="00114914" w:rsidRPr="00E148FC" w:rsidRDefault="00114914" w:rsidP="00364028">
            <w:pPr>
              <w:pStyle w:val="Tabletext0"/>
              <w:keepNext/>
              <w:keepLines/>
              <w:jc w:val="center"/>
              <w:rPr>
                <w:rFonts w:ascii="Calibri" w:hAnsi="Calibri"/>
                <w:b/>
                <w:sz w:val="18"/>
                <w:szCs w:val="18"/>
              </w:rPr>
            </w:pPr>
            <w:r w:rsidRPr="00E148FC">
              <w:rPr>
                <w:b/>
                <w:szCs w:val="18"/>
              </w:rPr>
              <w:t>-0.98 (-1.31, -0.65)</w:t>
            </w:r>
          </w:p>
        </w:tc>
      </w:tr>
    </w:tbl>
    <w:p w:rsidR="00114914" w:rsidRPr="00E148FC" w:rsidRDefault="00114914" w:rsidP="00114914">
      <w:pPr>
        <w:pStyle w:val="TableFooter"/>
      </w:pPr>
      <w:r w:rsidRPr="00E148FC">
        <w:t>Source: Table 2.6.2, p81; Table 2.6.3, p82 of the submission; Attachment 5 of the submission.</w:t>
      </w:r>
    </w:p>
    <w:p w:rsidR="00114914" w:rsidRPr="00E148FC" w:rsidRDefault="00114914" w:rsidP="00114914">
      <w:pPr>
        <w:pStyle w:val="TableFooter"/>
      </w:pPr>
      <w:r w:rsidRPr="00E148FC">
        <w:t>Abbreviations: CI, confidence interval; LSM, least square mean; SE, standard error; MD, mean difference; bold = statistically significant</w:t>
      </w:r>
    </w:p>
    <w:p w:rsidR="00114914" w:rsidRPr="00E148FC" w:rsidRDefault="00114914" w:rsidP="00114914">
      <w:pPr>
        <w:pStyle w:val="TableFooter"/>
      </w:pPr>
      <w:r w:rsidRPr="00E148FC">
        <w:t>Note: SE were calculated with the assumption of a normal distribution.</w:t>
      </w:r>
    </w:p>
    <w:p w:rsidR="00114914" w:rsidRPr="00E148FC" w:rsidRDefault="00114914" w:rsidP="00114914">
      <w:pPr>
        <w:pStyle w:val="TableFooter"/>
      </w:pPr>
    </w:p>
    <w:p w:rsidR="00114914" w:rsidRPr="00E148FC" w:rsidRDefault="00114914" w:rsidP="00114914">
      <w:pPr>
        <w:pStyle w:val="ExecSumBodyText"/>
        <w:rPr>
          <w:snapToGrid/>
        </w:rPr>
      </w:pPr>
      <w:r w:rsidRPr="00E148FC">
        <w:rPr>
          <w:snapToGrid/>
        </w:rPr>
        <w:t>Both semaglutide treatment arms had a statistically significantly greater reduction from baseline in HbA1c compared to dulaglutide. The submission noted that the point estimates for the mean differences with both semaglutide dose</w:t>
      </w:r>
      <w:r w:rsidR="00D933CE" w:rsidRPr="00E148FC">
        <w:rPr>
          <w:snapToGrid/>
        </w:rPr>
        <w:t xml:space="preserve">s exceeded 0.5%, which has </w:t>
      </w:r>
      <w:r w:rsidRPr="00E148FC">
        <w:rPr>
          <w:snapToGrid/>
        </w:rPr>
        <w:t>previously</w:t>
      </w:r>
      <w:r w:rsidR="00D933CE" w:rsidRPr="00E148FC">
        <w:rPr>
          <w:snapToGrid/>
        </w:rPr>
        <w:t xml:space="preserve"> been</w:t>
      </w:r>
      <w:r w:rsidRPr="00E148FC">
        <w:rPr>
          <w:snapToGrid/>
        </w:rPr>
        <w:t xml:space="preserve"> considered to be a potentially relevant </w:t>
      </w:r>
      <w:r w:rsidR="00B14722" w:rsidRPr="00E148FC">
        <w:rPr>
          <w:snapToGrid/>
        </w:rPr>
        <w:t>minimal clinically important difference (</w:t>
      </w:r>
      <w:r w:rsidRPr="00E148FC">
        <w:rPr>
          <w:snapToGrid/>
        </w:rPr>
        <w:t>MCID</w:t>
      </w:r>
      <w:r w:rsidR="00B14722" w:rsidRPr="00E148FC">
        <w:rPr>
          <w:snapToGrid/>
        </w:rPr>
        <w:t>)</w:t>
      </w:r>
      <w:r w:rsidR="008E0D47" w:rsidRPr="00E148FC">
        <w:rPr>
          <w:snapToGrid/>
        </w:rPr>
        <w:t xml:space="preserve"> for testing superiority.</w:t>
      </w:r>
      <w:r w:rsidRPr="00E148FC">
        <w:rPr>
          <w:snapToGrid/>
        </w:rPr>
        <w:t xml:space="preserve"> However, there were large differences in HbA1c outcomes across the placebo arms of the trials</w:t>
      </w:r>
      <w:r w:rsidR="00CD7213" w:rsidRPr="00E148FC">
        <w:rPr>
          <w:snapToGrid/>
        </w:rPr>
        <w:t xml:space="preserve"> (HbA1c mean change from baseline</w:t>
      </w:r>
      <w:r w:rsidR="00845D5D" w:rsidRPr="00E148FC">
        <w:rPr>
          <w:snapToGrid/>
        </w:rPr>
        <w:t xml:space="preserve"> -0.09% vs -0.67%</w:t>
      </w:r>
      <w:r w:rsidR="00CD7213" w:rsidRPr="00E148FC">
        <w:rPr>
          <w:snapToGrid/>
        </w:rPr>
        <w:t>)</w:t>
      </w:r>
      <w:r w:rsidRPr="00E148FC">
        <w:rPr>
          <w:snapToGrid/>
        </w:rPr>
        <w:t>, indicating that there may be differences between the trials that limit their exchangeability.</w:t>
      </w:r>
      <w:r w:rsidR="00CD7213" w:rsidRPr="00E148FC">
        <w:rPr>
          <w:snapToGrid/>
        </w:rPr>
        <w:t xml:space="preserve"> </w:t>
      </w:r>
      <w:r w:rsidR="00CD7213" w:rsidRPr="00E148FC">
        <w:t xml:space="preserve">Limiting the ability of patients in </w:t>
      </w:r>
      <w:r w:rsidR="00CD7213" w:rsidRPr="00E148FC">
        <w:lastRenderedPageBreak/>
        <w:t>the SUSTAIN 5 trial to titrate insulin doses, and excluding patients who required rescue medication from the analysis, appeared to result in poorer outcomes for patients in the placebo arm of the trial compared to the placebo arms from the comparator trials, which favours semaglutide.</w:t>
      </w:r>
    </w:p>
    <w:p w:rsidR="0029050C" w:rsidRPr="00E148FC" w:rsidRDefault="003F7235" w:rsidP="00D85D93">
      <w:pPr>
        <w:pStyle w:val="ExecSumBodyText"/>
        <w:rPr>
          <w:snapToGrid/>
        </w:rPr>
      </w:pPr>
      <w:r w:rsidRPr="00E148FC">
        <w:t xml:space="preserve">An alternative indirect comparison between the ‘in-trial’ analysis set from SUSTAIN 5 (not censoring for rescue medication or premature treatment discontinuations, see Figure 11-3, p152 of the SUSTAIN 5 Clinical Study Report) and the dulaglutide ITT analysis for change from baseline in HbA1c was conducted during the evaluation. </w:t>
      </w:r>
      <w:r w:rsidR="004356DD" w:rsidRPr="00E148FC">
        <w:t>R</w:t>
      </w:r>
      <w:r w:rsidRPr="00E148FC">
        <w:t xml:space="preserve">esults remained statistically significant in favour of semaglutide, however the magnitude of </w:t>
      </w:r>
      <w:r w:rsidR="00144C4B" w:rsidRPr="00E148FC">
        <w:t>the difference</w:t>
      </w:r>
      <w:r w:rsidRPr="00E148FC">
        <w:t xml:space="preserve"> was smaller </w:t>
      </w:r>
      <w:r w:rsidR="00D85D93" w:rsidRPr="00E148FC">
        <w:rPr>
          <w:snapToGrid/>
        </w:rPr>
        <w:t>(semaglutide 0.5 mg vs dulaglutide: -0.46, 95% CI -0.79, -0.13; semaglutide 1.0 mg vs dulaglutide: -0.83, 95% CI -1.16, -0.50).</w:t>
      </w:r>
    </w:p>
    <w:p w:rsidR="00114914" w:rsidRPr="00E148FC" w:rsidRDefault="00114914" w:rsidP="00114914">
      <w:pPr>
        <w:pStyle w:val="ExecSumBodyText"/>
        <w:rPr>
          <w:snapToGrid/>
        </w:rPr>
      </w:pPr>
      <w:r w:rsidRPr="00E148FC">
        <w:rPr>
          <w:snapToGrid/>
        </w:rPr>
        <w:t xml:space="preserve">Similarly, </w:t>
      </w:r>
      <w:r w:rsidR="000745E9" w:rsidRPr="00E148FC">
        <w:rPr>
          <w:snapToGrid/>
        </w:rPr>
        <w:t>the indirect comparison of the proportion of patients reaching HbA1c targets of ≤6.5% or &lt;7.0% suggested a statistically significant difference in favour of semaglutide 0.5 mg or 1.0 mg over dulaglutide</w:t>
      </w:r>
      <w:r w:rsidR="008E0D47" w:rsidRPr="00E148FC">
        <w:rPr>
          <w:snapToGrid/>
        </w:rPr>
        <w:t xml:space="preserve">. </w:t>
      </w:r>
      <w:r w:rsidR="000745E9" w:rsidRPr="00E148FC">
        <w:rPr>
          <w:snapToGrid/>
        </w:rPr>
        <w:t>There were large differences in proportion of HbA1c responders in the placebo arms of the trials</w:t>
      </w:r>
      <w:r w:rsidR="00030432" w:rsidRPr="00E148FC">
        <w:rPr>
          <w:snapToGrid/>
        </w:rPr>
        <w:t xml:space="preserve"> (proportion of placebo patients achieving HbA1c of ≤6.5% or &lt;7.0% at endpoint was 4.5% and 10.5%, respectively, in the SUSTAIN 5 semaglutide trial, compared to 16.7% and 33.3%, respectively, in the AWARD-9 dulaglutide trial)</w:t>
      </w:r>
      <w:r w:rsidR="000745E9" w:rsidRPr="00E148FC">
        <w:rPr>
          <w:snapToGrid/>
        </w:rPr>
        <w:t xml:space="preserve">, which </w:t>
      </w:r>
      <w:r w:rsidR="0056781F" w:rsidRPr="00E148FC">
        <w:rPr>
          <w:snapToGrid/>
        </w:rPr>
        <w:t xml:space="preserve">the </w:t>
      </w:r>
      <w:r w:rsidR="00855214" w:rsidRPr="00E148FC">
        <w:rPr>
          <w:snapToGrid/>
        </w:rPr>
        <w:t xml:space="preserve">PBAC considered </w:t>
      </w:r>
      <w:r w:rsidR="0056781F" w:rsidRPr="00E148FC">
        <w:rPr>
          <w:snapToGrid/>
        </w:rPr>
        <w:t xml:space="preserve">may limit their exchangeability. </w:t>
      </w:r>
    </w:p>
    <w:p w:rsidR="000745E9" w:rsidRPr="00E148FC" w:rsidRDefault="000745E9" w:rsidP="000745E9">
      <w:pPr>
        <w:pStyle w:val="ExecSumBodyText"/>
        <w:rPr>
          <w:snapToGrid/>
        </w:rPr>
      </w:pPr>
      <w:r w:rsidRPr="00E148FC">
        <w:rPr>
          <w:snapToGrid/>
        </w:rPr>
        <w:t>Result</w:t>
      </w:r>
      <w:r w:rsidR="00377CD9" w:rsidRPr="00E148FC">
        <w:rPr>
          <w:snapToGrid/>
        </w:rPr>
        <w:t>s</w:t>
      </w:r>
      <w:r w:rsidRPr="00E148FC">
        <w:rPr>
          <w:snapToGrid/>
        </w:rPr>
        <w:t xml:space="preserve"> of the indirect comparison between semaglutide and dulaglutide for change from baseline in body weight (kg) at week 28/30 are presented in the table below.</w:t>
      </w:r>
    </w:p>
    <w:p w:rsidR="000745E9" w:rsidRPr="00E148FC" w:rsidRDefault="000745E9" w:rsidP="000745E9">
      <w:pPr>
        <w:pStyle w:val="TableHeading"/>
        <w:spacing w:after="0"/>
        <w:jc w:val="both"/>
      </w:pPr>
      <w:r w:rsidRPr="00E148FC">
        <w:t xml:space="preserve">Table </w:t>
      </w:r>
      <w:r w:rsidR="00DF16BF" w:rsidRPr="00E148FC">
        <w:t>8</w:t>
      </w:r>
      <w:r w:rsidRPr="00E148FC">
        <w:t>: Indirect comparison of semaglutide and dulaglutide for change from baseline in body weight (kg) at week 28/30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867"/>
        <w:gridCol w:w="1713"/>
        <w:gridCol w:w="1336"/>
        <w:gridCol w:w="2521"/>
      </w:tblGrid>
      <w:tr w:rsidR="000745E9" w:rsidRPr="00E148FC" w:rsidTr="00381293">
        <w:trPr>
          <w:tblHeader/>
          <w:jc w:val="center"/>
        </w:trPr>
        <w:tc>
          <w:tcPr>
            <w:tcW w:w="876" w:type="pct"/>
            <w:vMerge w:val="restart"/>
            <w:shd w:val="clear" w:color="auto" w:fill="auto"/>
            <w:vAlign w:val="center"/>
          </w:tcPr>
          <w:p w:rsidR="000745E9" w:rsidRPr="00E148FC" w:rsidRDefault="000745E9" w:rsidP="00364028">
            <w:pPr>
              <w:pStyle w:val="Tableheadingrow"/>
              <w:rPr>
                <w:lang w:val="en-AU"/>
              </w:rPr>
            </w:pPr>
            <w:r w:rsidRPr="00E148FC">
              <w:rPr>
                <w:lang w:val="en-AU"/>
              </w:rPr>
              <w:t>Trial</w:t>
            </w:r>
          </w:p>
        </w:tc>
        <w:tc>
          <w:tcPr>
            <w:tcW w:w="2726" w:type="pct"/>
            <w:gridSpan w:val="3"/>
            <w:shd w:val="clear" w:color="auto" w:fill="auto"/>
            <w:vAlign w:val="center"/>
          </w:tcPr>
          <w:p w:rsidR="000745E9" w:rsidRPr="00E148FC" w:rsidRDefault="000745E9" w:rsidP="00364028">
            <w:pPr>
              <w:pStyle w:val="Tableheadingrow"/>
              <w:jc w:val="center"/>
              <w:rPr>
                <w:lang w:val="en-AU"/>
              </w:rPr>
            </w:pPr>
            <w:r w:rsidRPr="00E148FC">
              <w:rPr>
                <w:lang w:val="en-AU"/>
              </w:rPr>
              <w:t>Change from baseline in body weight, kg, LSM (SE)</w:t>
            </w:r>
          </w:p>
        </w:tc>
        <w:tc>
          <w:tcPr>
            <w:tcW w:w="1398" w:type="pct"/>
            <w:vMerge w:val="restart"/>
            <w:shd w:val="clear" w:color="auto" w:fill="auto"/>
            <w:vAlign w:val="center"/>
          </w:tcPr>
          <w:p w:rsidR="000745E9" w:rsidRPr="00E148FC" w:rsidRDefault="000745E9" w:rsidP="00364028">
            <w:pPr>
              <w:pStyle w:val="Tableheadingrow"/>
              <w:jc w:val="center"/>
              <w:rPr>
                <w:lang w:val="en-AU"/>
              </w:rPr>
            </w:pPr>
            <w:r w:rsidRPr="00E148FC">
              <w:rPr>
                <w:lang w:val="en-AU"/>
              </w:rPr>
              <w:t>LSM (95% CI)</w:t>
            </w:r>
          </w:p>
        </w:tc>
      </w:tr>
      <w:tr w:rsidR="000745E9" w:rsidRPr="00E148FC" w:rsidTr="00381293">
        <w:trPr>
          <w:tblHeader/>
          <w:jc w:val="center"/>
        </w:trPr>
        <w:tc>
          <w:tcPr>
            <w:tcW w:w="876" w:type="pct"/>
            <w:vMerge/>
            <w:shd w:val="clear" w:color="auto" w:fill="auto"/>
            <w:vAlign w:val="center"/>
          </w:tcPr>
          <w:p w:rsidR="000745E9" w:rsidRPr="00E148FC" w:rsidRDefault="000745E9" w:rsidP="00364028"/>
        </w:tc>
        <w:tc>
          <w:tcPr>
            <w:tcW w:w="1035" w:type="pct"/>
            <w:shd w:val="clear" w:color="auto" w:fill="auto"/>
            <w:vAlign w:val="center"/>
          </w:tcPr>
          <w:p w:rsidR="000745E9" w:rsidRPr="00E148FC" w:rsidRDefault="000745E9" w:rsidP="00364028">
            <w:pPr>
              <w:pStyle w:val="Tableheadingrow"/>
              <w:jc w:val="center"/>
              <w:rPr>
                <w:lang w:val="en-AU"/>
              </w:rPr>
            </w:pPr>
            <w:r w:rsidRPr="00E148FC">
              <w:rPr>
                <w:lang w:val="en-AU"/>
              </w:rPr>
              <w:t>Semaglutide</w:t>
            </w:r>
          </w:p>
          <w:p w:rsidR="000745E9" w:rsidRPr="00E148FC" w:rsidRDefault="000745E9" w:rsidP="00364028">
            <w:pPr>
              <w:pStyle w:val="Tableheadingrow"/>
              <w:jc w:val="center"/>
              <w:rPr>
                <w:lang w:val="en-AU"/>
              </w:rPr>
            </w:pPr>
            <w:r w:rsidRPr="00E148FC">
              <w:rPr>
                <w:lang w:val="en-AU"/>
              </w:rPr>
              <w:t>(30 weeks)</w:t>
            </w:r>
          </w:p>
        </w:tc>
        <w:tc>
          <w:tcPr>
            <w:tcW w:w="950" w:type="pct"/>
            <w:shd w:val="clear" w:color="auto" w:fill="auto"/>
            <w:vAlign w:val="center"/>
          </w:tcPr>
          <w:p w:rsidR="000745E9" w:rsidRPr="00E148FC" w:rsidRDefault="000745E9" w:rsidP="00364028">
            <w:pPr>
              <w:pStyle w:val="Tableheadingrow"/>
              <w:jc w:val="center"/>
              <w:rPr>
                <w:lang w:val="en-AU"/>
              </w:rPr>
            </w:pPr>
            <w:r w:rsidRPr="00E148FC">
              <w:rPr>
                <w:lang w:val="en-AU"/>
              </w:rPr>
              <w:t>Placebo</w:t>
            </w:r>
          </w:p>
        </w:tc>
        <w:tc>
          <w:tcPr>
            <w:tcW w:w="741" w:type="pct"/>
            <w:shd w:val="clear" w:color="auto" w:fill="auto"/>
            <w:vAlign w:val="center"/>
          </w:tcPr>
          <w:p w:rsidR="000745E9" w:rsidRPr="00E148FC" w:rsidRDefault="000745E9" w:rsidP="00364028">
            <w:pPr>
              <w:pStyle w:val="Tableheadingrow"/>
              <w:jc w:val="center"/>
              <w:rPr>
                <w:lang w:val="en-AU"/>
              </w:rPr>
            </w:pPr>
            <w:r w:rsidRPr="00E148FC">
              <w:rPr>
                <w:lang w:val="en-AU"/>
              </w:rPr>
              <w:t>Dulaglutide</w:t>
            </w:r>
          </w:p>
          <w:p w:rsidR="000745E9" w:rsidRPr="00E148FC" w:rsidRDefault="000745E9" w:rsidP="00364028">
            <w:pPr>
              <w:pStyle w:val="Tableheadingrow"/>
              <w:jc w:val="center"/>
              <w:rPr>
                <w:lang w:val="en-AU"/>
              </w:rPr>
            </w:pPr>
            <w:r w:rsidRPr="00E148FC">
              <w:rPr>
                <w:lang w:val="en-AU"/>
              </w:rPr>
              <w:t>(28 weeks)</w:t>
            </w:r>
          </w:p>
        </w:tc>
        <w:tc>
          <w:tcPr>
            <w:tcW w:w="1398" w:type="pct"/>
            <w:vMerge/>
            <w:shd w:val="clear" w:color="auto" w:fill="auto"/>
            <w:vAlign w:val="center"/>
          </w:tcPr>
          <w:p w:rsidR="000745E9" w:rsidRPr="00E148FC" w:rsidRDefault="000745E9" w:rsidP="00364028">
            <w:pPr>
              <w:jc w:val="center"/>
            </w:pPr>
          </w:p>
        </w:tc>
      </w:tr>
      <w:tr w:rsidR="000745E9" w:rsidRPr="00E148FC" w:rsidTr="00381293">
        <w:trPr>
          <w:jc w:val="center"/>
        </w:trPr>
        <w:tc>
          <w:tcPr>
            <w:tcW w:w="5000" w:type="pct"/>
            <w:gridSpan w:val="5"/>
            <w:shd w:val="clear" w:color="auto" w:fill="auto"/>
            <w:vAlign w:val="center"/>
          </w:tcPr>
          <w:p w:rsidR="000745E9" w:rsidRPr="00E148FC" w:rsidRDefault="000745E9" w:rsidP="00364028">
            <w:pPr>
              <w:pStyle w:val="TableText"/>
            </w:pPr>
            <w:r w:rsidRPr="00E148FC">
              <w:t>Semaglutide 0.5 mg vs dulaglutide 1.5 mg</w:t>
            </w:r>
          </w:p>
        </w:tc>
      </w:tr>
      <w:tr w:rsidR="000745E9" w:rsidRPr="00E148FC" w:rsidTr="00381293">
        <w:trPr>
          <w:jc w:val="center"/>
        </w:trPr>
        <w:tc>
          <w:tcPr>
            <w:tcW w:w="876" w:type="pct"/>
            <w:shd w:val="clear" w:color="auto" w:fill="auto"/>
            <w:vAlign w:val="center"/>
          </w:tcPr>
          <w:p w:rsidR="000745E9" w:rsidRPr="00E148FC" w:rsidRDefault="000745E9" w:rsidP="00364028">
            <w:pPr>
              <w:pStyle w:val="TableText"/>
            </w:pPr>
            <w:r w:rsidRPr="00E148FC">
              <w:t>SUSTAIN 5</w:t>
            </w:r>
          </w:p>
        </w:tc>
        <w:tc>
          <w:tcPr>
            <w:tcW w:w="1035" w:type="pct"/>
            <w:shd w:val="clear" w:color="auto" w:fill="auto"/>
          </w:tcPr>
          <w:p w:rsidR="000745E9" w:rsidRPr="00E148FC" w:rsidRDefault="000745E9" w:rsidP="00364028">
            <w:pPr>
              <w:pStyle w:val="TableText"/>
              <w:jc w:val="center"/>
            </w:pPr>
            <w:r w:rsidRPr="00E148FC">
              <w:t>-3.67 (0.36)</w:t>
            </w:r>
          </w:p>
        </w:tc>
        <w:tc>
          <w:tcPr>
            <w:tcW w:w="950" w:type="pct"/>
            <w:shd w:val="clear" w:color="auto" w:fill="auto"/>
          </w:tcPr>
          <w:p w:rsidR="000745E9" w:rsidRPr="00E148FC" w:rsidRDefault="000745E9" w:rsidP="00364028">
            <w:pPr>
              <w:pStyle w:val="TableText"/>
              <w:jc w:val="center"/>
            </w:pPr>
            <w:r w:rsidRPr="00E148FC">
              <w:t>-1.36 (0.37)</w:t>
            </w:r>
          </w:p>
        </w:tc>
        <w:tc>
          <w:tcPr>
            <w:tcW w:w="741" w:type="pct"/>
            <w:shd w:val="clear" w:color="auto" w:fill="auto"/>
            <w:vAlign w:val="center"/>
          </w:tcPr>
          <w:p w:rsidR="000745E9" w:rsidRPr="00E148FC" w:rsidRDefault="000745E9" w:rsidP="00364028">
            <w:pPr>
              <w:pStyle w:val="TableText"/>
              <w:jc w:val="center"/>
            </w:pPr>
            <w:r w:rsidRPr="00E148FC">
              <w:t>-</w:t>
            </w:r>
          </w:p>
        </w:tc>
        <w:tc>
          <w:tcPr>
            <w:tcW w:w="1398" w:type="pct"/>
            <w:shd w:val="clear" w:color="auto" w:fill="auto"/>
            <w:vAlign w:val="bottom"/>
          </w:tcPr>
          <w:p w:rsidR="000745E9" w:rsidRPr="00E148FC" w:rsidRDefault="000745E9" w:rsidP="00364028">
            <w:pPr>
              <w:pStyle w:val="TableText"/>
              <w:jc w:val="center"/>
            </w:pPr>
            <w:r w:rsidRPr="00E148FC">
              <w:rPr>
                <w:szCs w:val="18"/>
              </w:rPr>
              <w:t>-2.31 (-3.33, -1.29)</w:t>
            </w:r>
          </w:p>
        </w:tc>
      </w:tr>
      <w:tr w:rsidR="000745E9" w:rsidRPr="00E148FC" w:rsidTr="00381293">
        <w:trPr>
          <w:jc w:val="center"/>
        </w:trPr>
        <w:tc>
          <w:tcPr>
            <w:tcW w:w="876" w:type="pct"/>
            <w:shd w:val="clear" w:color="auto" w:fill="auto"/>
            <w:vAlign w:val="center"/>
          </w:tcPr>
          <w:p w:rsidR="000745E9" w:rsidRPr="00E148FC" w:rsidRDefault="000745E9" w:rsidP="00364028">
            <w:pPr>
              <w:pStyle w:val="TableText"/>
            </w:pPr>
            <w:r w:rsidRPr="00E148FC">
              <w:t>AWARD-9</w:t>
            </w:r>
          </w:p>
        </w:tc>
        <w:tc>
          <w:tcPr>
            <w:tcW w:w="1035" w:type="pct"/>
            <w:shd w:val="clear" w:color="auto" w:fill="auto"/>
            <w:vAlign w:val="center"/>
          </w:tcPr>
          <w:p w:rsidR="000745E9" w:rsidRPr="00E148FC" w:rsidRDefault="000745E9" w:rsidP="00364028">
            <w:pPr>
              <w:pStyle w:val="TableText"/>
              <w:jc w:val="center"/>
            </w:pPr>
            <w:r w:rsidRPr="00E148FC">
              <w:t>-</w:t>
            </w:r>
          </w:p>
        </w:tc>
        <w:tc>
          <w:tcPr>
            <w:tcW w:w="950" w:type="pct"/>
            <w:shd w:val="clear" w:color="auto" w:fill="auto"/>
            <w:vAlign w:val="center"/>
          </w:tcPr>
          <w:p w:rsidR="000745E9" w:rsidRPr="00E148FC" w:rsidRDefault="000745E9" w:rsidP="00364028">
            <w:pPr>
              <w:pStyle w:val="TableText"/>
              <w:jc w:val="center"/>
            </w:pPr>
            <w:r w:rsidRPr="00E148FC">
              <w:t>0.7 (0.2)</w:t>
            </w:r>
          </w:p>
        </w:tc>
        <w:tc>
          <w:tcPr>
            <w:tcW w:w="741" w:type="pct"/>
            <w:shd w:val="clear" w:color="auto" w:fill="auto"/>
            <w:vAlign w:val="center"/>
          </w:tcPr>
          <w:p w:rsidR="000745E9" w:rsidRPr="00E148FC" w:rsidRDefault="000745E9" w:rsidP="00364028">
            <w:pPr>
              <w:pStyle w:val="TableText"/>
              <w:jc w:val="center"/>
            </w:pPr>
            <w:r w:rsidRPr="00E148FC">
              <w:t>-0.7 (0.2)</w:t>
            </w:r>
          </w:p>
        </w:tc>
        <w:tc>
          <w:tcPr>
            <w:tcW w:w="1398" w:type="pct"/>
            <w:shd w:val="clear" w:color="auto" w:fill="auto"/>
            <w:vAlign w:val="bottom"/>
          </w:tcPr>
          <w:p w:rsidR="000745E9" w:rsidRPr="00E148FC" w:rsidRDefault="000745E9" w:rsidP="00364028">
            <w:pPr>
              <w:pStyle w:val="TableText"/>
              <w:jc w:val="center"/>
            </w:pPr>
            <w:r w:rsidRPr="00E148FC">
              <w:rPr>
                <w:szCs w:val="18"/>
              </w:rPr>
              <w:t>-2.41 (-3.19, -1.64)</w:t>
            </w:r>
          </w:p>
        </w:tc>
      </w:tr>
      <w:tr w:rsidR="000745E9" w:rsidRPr="00E148FC" w:rsidTr="00381293">
        <w:trPr>
          <w:jc w:val="center"/>
        </w:trPr>
        <w:tc>
          <w:tcPr>
            <w:tcW w:w="3602" w:type="pct"/>
            <w:gridSpan w:val="4"/>
            <w:shd w:val="clear" w:color="auto" w:fill="auto"/>
            <w:vAlign w:val="center"/>
          </w:tcPr>
          <w:p w:rsidR="000745E9" w:rsidRPr="00E148FC" w:rsidRDefault="000745E9" w:rsidP="00364028">
            <w:pPr>
              <w:pStyle w:val="TableText"/>
              <w:jc w:val="right"/>
            </w:pPr>
            <w:r w:rsidRPr="00E148FC">
              <w:t>Indirect mean difference &lt; 0 favours semaglutide</w:t>
            </w:r>
          </w:p>
        </w:tc>
        <w:tc>
          <w:tcPr>
            <w:tcW w:w="1398" w:type="pct"/>
            <w:shd w:val="clear" w:color="auto" w:fill="auto"/>
            <w:vAlign w:val="center"/>
          </w:tcPr>
          <w:p w:rsidR="000745E9" w:rsidRPr="00E148FC" w:rsidRDefault="000745E9" w:rsidP="00364028">
            <w:pPr>
              <w:pStyle w:val="TableText"/>
              <w:jc w:val="center"/>
            </w:pPr>
            <w:r w:rsidRPr="00E148FC">
              <w:t>0.10 (-1.18, 1.38)</w:t>
            </w:r>
          </w:p>
        </w:tc>
      </w:tr>
      <w:tr w:rsidR="000745E9" w:rsidRPr="00E148FC" w:rsidTr="00381293">
        <w:trPr>
          <w:jc w:val="center"/>
        </w:trPr>
        <w:tc>
          <w:tcPr>
            <w:tcW w:w="5000" w:type="pct"/>
            <w:gridSpan w:val="5"/>
            <w:shd w:val="clear" w:color="auto" w:fill="auto"/>
            <w:vAlign w:val="center"/>
          </w:tcPr>
          <w:p w:rsidR="000745E9" w:rsidRPr="00E148FC" w:rsidRDefault="000745E9" w:rsidP="00364028">
            <w:pPr>
              <w:pStyle w:val="TableText"/>
            </w:pPr>
            <w:r w:rsidRPr="00E148FC">
              <w:t>Semaglutide 1.0 mg vs dulaglutide 1.5 mg</w:t>
            </w:r>
          </w:p>
        </w:tc>
      </w:tr>
      <w:tr w:rsidR="000745E9" w:rsidRPr="00E148FC" w:rsidTr="00381293">
        <w:trPr>
          <w:jc w:val="center"/>
        </w:trPr>
        <w:tc>
          <w:tcPr>
            <w:tcW w:w="876" w:type="pct"/>
            <w:shd w:val="clear" w:color="auto" w:fill="auto"/>
            <w:vAlign w:val="center"/>
          </w:tcPr>
          <w:p w:rsidR="000745E9" w:rsidRPr="00E148FC" w:rsidRDefault="000745E9" w:rsidP="00364028">
            <w:pPr>
              <w:pStyle w:val="TableText"/>
            </w:pPr>
            <w:r w:rsidRPr="00E148FC">
              <w:t>SUSTAIN 5</w:t>
            </w:r>
          </w:p>
        </w:tc>
        <w:tc>
          <w:tcPr>
            <w:tcW w:w="1035" w:type="pct"/>
            <w:shd w:val="clear" w:color="auto" w:fill="auto"/>
          </w:tcPr>
          <w:p w:rsidR="000745E9" w:rsidRPr="00E148FC" w:rsidRDefault="000745E9" w:rsidP="00364028">
            <w:pPr>
              <w:pStyle w:val="TableText"/>
              <w:jc w:val="center"/>
            </w:pPr>
            <w:r w:rsidRPr="00E148FC">
              <w:t>-6.42 (0.36)</w:t>
            </w:r>
          </w:p>
        </w:tc>
        <w:tc>
          <w:tcPr>
            <w:tcW w:w="950" w:type="pct"/>
            <w:shd w:val="clear" w:color="auto" w:fill="auto"/>
          </w:tcPr>
          <w:p w:rsidR="000745E9" w:rsidRPr="00E148FC" w:rsidRDefault="000745E9" w:rsidP="00364028">
            <w:pPr>
              <w:pStyle w:val="TableText"/>
              <w:jc w:val="center"/>
            </w:pPr>
            <w:r w:rsidRPr="00E148FC">
              <w:t>-1.36 (0.37)</w:t>
            </w:r>
          </w:p>
        </w:tc>
        <w:tc>
          <w:tcPr>
            <w:tcW w:w="741" w:type="pct"/>
            <w:shd w:val="clear" w:color="auto" w:fill="auto"/>
            <w:vAlign w:val="center"/>
          </w:tcPr>
          <w:p w:rsidR="000745E9" w:rsidRPr="00E148FC" w:rsidRDefault="000745E9" w:rsidP="00364028">
            <w:pPr>
              <w:pStyle w:val="TableText"/>
              <w:jc w:val="center"/>
            </w:pPr>
            <w:r w:rsidRPr="00E148FC">
              <w:t>-</w:t>
            </w:r>
          </w:p>
        </w:tc>
        <w:tc>
          <w:tcPr>
            <w:tcW w:w="1398" w:type="pct"/>
            <w:shd w:val="clear" w:color="auto" w:fill="auto"/>
            <w:vAlign w:val="bottom"/>
          </w:tcPr>
          <w:p w:rsidR="000745E9" w:rsidRPr="00E148FC" w:rsidRDefault="000745E9" w:rsidP="00364028">
            <w:pPr>
              <w:pStyle w:val="TableText"/>
              <w:jc w:val="center"/>
            </w:pPr>
            <w:r w:rsidRPr="00E148FC">
              <w:rPr>
                <w:szCs w:val="18"/>
              </w:rPr>
              <w:t>-5.06 (-6.08, -4.04)</w:t>
            </w:r>
          </w:p>
        </w:tc>
      </w:tr>
      <w:tr w:rsidR="000745E9" w:rsidRPr="00E148FC" w:rsidTr="00381293">
        <w:trPr>
          <w:jc w:val="center"/>
        </w:trPr>
        <w:tc>
          <w:tcPr>
            <w:tcW w:w="876" w:type="pct"/>
            <w:shd w:val="clear" w:color="auto" w:fill="auto"/>
            <w:vAlign w:val="center"/>
          </w:tcPr>
          <w:p w:rsidR="000745E9" w:rsidRPr="00E148FC" w:rsidRDefault="000745E9" w:rsidP="00364028">
            <w:pPr>
              <w:pStyle w:val="TableText"/>
            </w:pPr>
            <w:r w:rsidRPr="00E148FC">
              <w:t>AWARD-9</w:t>
            </w:r>
          </w:p>
        </w:tc>
        <w:tc>
          <w:tcPr>
            <w:tcW w:w="1035" w:type="pct"/>
            <w:shd w:val="clear" w:color="auto" w:fill="auto"/>
            <w:vAlign w:val="center"/>
          </w:tcPr>
          <w:p w:rsidR="000745E9" w:rsidRPr="00E148FC" w:rsidRDefault="000745E9" w:rsidP="00364028">
            <w:pPr>
              <w:pStyle w:val="TableText"/>
              <w:jc w:val="center"/>
            </w:pPr>
            <w:r w:rsidRPr="00E148FC">
              <w:t>-</w:t>
            </w:r>
          </w:p>
        </w:tc>
        <w:tc>
          <w:tcPr>
            <w:tcW w:w="950" w:type="pct"/>
            <w:shd w:val="clear" w:color="auto" w:fill="auto"/>
            <w:vAlign w:val="center"/>
          </w:tcPr>
          <w:p w:rsidR="000745E9" w:rsidRPr="00E148FC" w:rsidRDefault="000745E9" w:rsidP="00364028">
            <w:pPr>
              <w:pStyle w:val="TableText"/>
              <w:jc w:val="center"/>
            </w:pPr>
            <w:r w:rsidRPr="00E148FC">
              <w:t>0.7 (0.2)</w:t>
            </w:r>
          </w:p>
        </w:tc>
        <w:tc>
          <w:tcPr>
            <w:tcW w:w="741" w:type="pct"/>
            <w:shd w:val="clear" w:color="auto" w:fill="auto"/>
            <w:vAlign w:val="center"/>
          </w:tcPr>
          <w:p w:rsidR="000745E9" w:rsidRPr="00E148FC" w:rsidRDefault="000745E9" w:rsidP="00364028">
            <w:pPr>
              <w:pStyle w:val="TableText"/>
              <w:jc w:val="center"/>
            </w:pPr>
            <w:r w:rsidRPr="00E148FC">
              <w:t>-0.7 (0.2)</w:t>
            </w:r>
          </w:p>
        </w:tc>
        <w:tc>
          <w:tcPr>
            <w:tcW w:w="1398" w:type="pct"/>
            <w:shd w:val="clear" w:color="auto" w:fill="auto"/>
            <w:vAlign w:val="bottom"/>
          </w:tcPr>
          <w:p w:rsidR="000745E9" w:rsidRPr="00E148FC" w:rsidRDefault="000745E9" w:rsidP="00364028">
            <w:pPr>
              <w:pStyle w:val="TableText"/>
              <w:jc w:val="center"/>
            </w:pPr>
            <w:r w:rsidRPr="00E148FC">
              <w:rPr>
                <w:szCs w:val="18"/>
              </w:rPr>
              <w:t>-2.41 (-3.19, -1.64)</w:t>
            </w:r>
          </w:p>
        </w:tc>
      </w:tr>
      <w:tr w:rsidR="000745E9" w:rsidRPr="00E148FC" w:rsidTr="00381293">
        <w:trPr>
          <w:jc w:val="center"/>
        </w:trPr>
        <w:tc>
          <w:tcPr>
            <w:tcW w:w="3602" w:type="pct"/>
            <w:gridSpan w:val="4"/>
            <w:shd w:val="clear" w:color="auto" w:fill="auto"/>
            <w:vAlign w:val="center"/>
          </w:tcPr>
          <w:p w:rsidR="000745E9" w:rsidRPr="00E148FC" w:rsidRDefault="000745E9" w:rsidP="00364028">
            <w:pPr>
              <w:pStyle w:val="TableText"/>
              <w:jc w:val="right"/>
            </w:pPr>
            <w:r w:rsidRPr="00E148FC">
              <w:t>Indirect mean difference &lt; 0 favours semaglutide</w:t>
            </w:r>
          </w:p>
        </w:tc>
        <w:tc>
          <w:tcPr>
            <w:tcW w:w="1398" w:type="pct"/>
            <w:shd w:val="clear" w:color="auto" w:fill="auto"/>
            <w:vAlign w:val="center"/>
          </w:tcPr>
          <w:p w:rsidR="000745E9" w:rsidRPr="00E148FC" w:rsidRDefault="000745E9" w:rsidP="00364028">
            <w:pPr>
              <w:pStyle w:val="Tabletext0"/>
              <w:keepNext/>
              <w:keepLines/>
              <w:jc w:val="center"/>
              <w:rPr>
                <w:rFonts w:ascii="Calibri" w:hAnsi="Calibri"/>
                <w:b/>
                <w:sz w:val="18"/>
                <w:szCs w:val="18"/>
              </w:rPr>
            </w:pPr>
            <w:r w:rsidRPr="00E148FC">
              <w:rPr>
                <w:b/>
                <w:szCs w:val="18"/>
              </w:rPr>
              <w:t>-2.65 (-3.93, -1.37)</w:t>
            </w:r>
          </w:p>
        </w:tc>
      </w:tr>
    </w:tbl>
    <w:p w:rsidR="000745E9" w:rsidRPr="00E148FC" w:rsidRDefault="000745E9" w:rsidP="000745E9">
      <w:pPr>
        <w:pStyle w:val="TableFooter"/>
      </w:pPr>
      <w:r w:rsidRPr="00E148FC">
        <w:t>Source: Table 2.6.4, p82; Table 2.6.5, p83 of the submission; Attachment 5 of the submission.</w:t>
      </w:r>
    </w:p>
    <w:p w:rsidR="000745E9" w:rsidRPr="00E148FC" w:rsidRDefault="000745E9" w:rsidP="000745E9">
      <w:pPr>
        <w:pStyle w:val="TableFooter"/>
      </w:pPr>
      <w:r w:rsidRPr="00E148FC">
        <w:t>Abbreviations: CI, confidence interval; LSM, least square mean; SE, standard error; MD, mean difference; bold = statistically significant</w:t>
      </w:r>
    </w:p>
    <w:p w:rsidR="000745E9" w:rsidRPr="00E148FC" w:rsidRDefault="000745E9" w:rsidP="000745E9">
      <w:pPr>
        <w:pStyle w:val="TableFooter"/>
      </w:pPr>
      <w:r w:rsidRPr="00E148FC">
        <w:t>Note: SE were calculated with the assumption of a normal distribution.</w:t>
      </w:r>
    </w:p>
    <w:p w:rsidR="000745E9" w:rsidRPr="00E148FC" w:rsidRDefault="000745E9" w:rsidP="000745E9">
      <w:pPr>
        <w:pStyle w:val="TableFooter"/>
      </w:pPr>
    </w:p>
    <w:p w:rsidR="004356DD" w:rsidRPr="00E148FC" w:rsidRDefault="000745E9" w:rsidP="005C75AC">
      <w:pPr>
        <w:pStyle w:val="ExecSumBodyText"/>
        <w:rPr>
          <w:snapToGrid/>
        </w:rPr>
      </w:pPr>
      <w:r w:rsidRPr="00E148FC">
        <w:rPr>
          <w:snapToGrid/>
        </w:rPr>
        <w:t>Change from baseline in body weight was statistically significantly greater in the semaglutide 1.0 mg arm compared to dulaglutide, but not for semaglutide 0.5 mg versus dulaglutide. There were large differences in body weight change between the placebo groups of the trials</w:t>
      </w:r>
      <w:r w:rsidR="00030432" w:rsidRPr="00E148FC">
        <w:rPr>
          <w:snapToGrid/>
        </w:rPr>
        <w:t xml:space="preserve"> </w:t>
      </w:r>
      <w:r w:rsidR="00377CD9" w:rsidRPr="00E148FC">
        <w:rPr>
          <w:snapToGrid/>
        </w:rPr>
        <w:t>(mean change in body weight from baseline -1.36 kg versus +0.7 kg</w:t>
      </w:r>
      <w:r w:rsidR="00030432" w:rsidRPr="00E148FC">
        <w:rPr>
          <w:snapToGrid/>
        </w:rPr>
        <w:t>)</w:t>
      </w:r>
      <w:r w:rsidRPr="00E148FC">
        <w:rPr>
          <w:snapToGrid/>
        </w:rPr>
        <w:t>.</w:t>
      </w:r>
    </w:p>
    <w:p w:rsidR="00C3361B" w:rsidRDefault="00C3361B">
      <w:pPr>
        <w:jc w:val="left"/>
        <w:rPr>
          <w:b/>
        </w:rPr>
      </w:pPr>
      <w:bookmarkStart w:id="22" w:name="_Toc62027970"/>
      <w:r>
        <w:rPr>
          <w:i/>
        </w:rPr>
        <w:br w:type="page"/>
      </w:r>
    </w:p>
    <w:p w:rsidR="000745E9" w:rsidRPr="00E148FC" w:rsidRDefault="000745E9" w:rsidP="00486837">
      <w:pPr>
        <w:pStyle w:val="Heading2"/>
        <w:spacing w:after="120"/>
        <w:rPr>
          <w:i w:val="0"/>
          <w:sz w:val="24"/>
        </w:rPr>
      </w:pPr>
      <w:r w:rsidRPr="00E148FC">
        <w:rPr>
          <w:i w:val="0"/>
          <w:sz w:val="24"/>
        </w:rPr>
        <w:lastRenderedPageBreak/>
        <w:t>Indirect comparison of semaglutide and exenatide</w:t>
      </w:r>
      <w:bookmarkEnd w:id="22"/>
    </w:p>
    <w:p w:rsidR="000745E9" w:rsidRPr="00E148FC" w:rsidRDefault="000745E9" w:rsidP="000745E9">
      <w:pPr>
        <w:pStyle w:val="ExecSumBodyText"/>
      </w:pPr>
      <w:r w:rsidRPr="00E148FC">
        <w:t>Results of the indirect comparison of semaglutide and exenatide for the primary outcome of change from baseline in HbA1c ar</w:t>
      </w:r>
      <w:r w:rsidR="00D51790" w:rsidRPr="00E148FC">
        <w:t>e presented in the table below.</w:t>
      </w:r>
    </w:p>
    <w:p w:rsidR="000648B5" w:rsidRPr="00E148FC" w:rsidRDefault="000648B5" w:rsidP="000648B5">
      <w:pPr>
        <w:pStyle w:val="TableHeading"/>
        <w:spacing w:after="0"/>
        <w:jc w:val="both"/>
      </w:pPr>
      <w:r w:rsidRPr="00E148FC">
        <w:t xml:space="preserve">Table </w:t>
      </w:r>
      <w:r w:rsidR="00DF16BF" w:rsidRPr="00E148FC">
        <w:t>9</w:t>
      </w:r>
      <w:r w:rsidRPr="00E148FC">
        <w:t>: Indirect comparison of semaglutide and exenatide for change from baseline in HbA1c (%) at week 30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867"/>
        <w:gridCol w:w="1713"/>
        <w:gridCol w:w="1336"/>
        <w:gridCol w:w="2521"/>
      </w:tblGrid>
      <w:tr w:rsidR="000648B5" w:rsidRPr="00E148FC" w:rsidTr="00381293">
        <w:trPr>
          <w:tblHeader/>
          <w:jc w:val="center"/>
        </w:trPr>
        <w:tc>
          <w:tcPr>
            <w:tcW w:w="876" w:type="pct"/>
            <w:vMerge w:val="restart"/>
            <w:shd w:val="clear" w:color="auto" w:fill="auto"/>
            <w:vAlign w:val="center"/>
          </w:tcPr>
          <w:p w:rsidR="000648B5" w:rsidRPr="00E148FC" w:rsidRDefault="000648B5" w:rsidP="00364028">
            <w:pPr>
              <w:pStyle w:val="Tableheadingrow"/>
              <w:rPr>
                <w:lang w:val="en-AU"/>
              </w:rPr>
            </w:pPr>
            <w:r w:rsidRPr="00E148FC">
              <w:rPr>
                <w:lang w:val="en-AU"/>
              </w:rPr>
              <w:t>Trial</w:t>
            </w:r>
          </w:p>
        </w:tc>
        <w:tc>
          <w:tcPr>
            <w:tcW w:w="2726" w:type="pct"/>
            <w:gridSpan w:val="3"/>
            <w:shd w:val="clear" w:color="auto" w:fill="auto"/>
            <w:vAlign w:val="center"/>
          </w:tcPr>
          <w:p w:rsidR="000648B5" w:rsidRPr="00E148FC" w:rsidRDefault="000648B5" w:rsidP="00364028">
            <w:pPr>
              <w:pStyle w:val="Tableheadingrow"/>
              <w:jc w:val="center"/>
              <w:rPr>
                <w:lang w:val="en-AU"/>
              </w:rPr>
            </w:pPr>
            <w:r w:rsidRPr="00E148FC">
              <w:rPr>
                <w:lang w:val="en-AU"/>
              </w:rPr>
              <w:t>Change from baseline in HbA1c % LSM (SE)</w:t>
            </w:r>
          </w:p>
        </w:tc>
        <w:tc>
          <w:tcPr>
            <w:tcW w:w="1398" w:type="pct"/>
            <w:vMerge w:val="restart"/>
            <w:shd w:val="clear" w:color="auto" w:fill="auto"/>
            <w:vAlign w:val="center"/>
          </w:tcPr>
          <w:p w:rsidR="000648B5" w:rsidRPr="00E148FC" w:rsidRDefault="000648B5" w:rsidP="00364028">
            <w:pPr>
              <w:pStyle w:val="Tableheadingrow"/>
              <w:jc w:val="center"/>
              <w:rPr>
                <w:lang w:val="en-AU"/>
              </w:rPr>
            </w:pPr>
            <w:r w:rsidRPr="00E148FC">
              <w:rPr>
                <w:lang w:val="en-AU"/>
              </w:rPr>
              <w:t>LSM (95% CI)</w:t>
            </w:r>
          </w:p>
        </w:tc>
      </w:tr>
      <w:tr w:rsidR="000648B5" w:rsidRPr="00E148FC" w:rsidTr="00381293">
        <w:trPr>
          <w:tblHeader/>
          <w:jc w:val="center"/>
        </w:trPr>
        <w:tc>
          <w:tcPr>
            <w:tcW w:w="876" w:type="pct"/>
            <w:vMerge/>
            <w:shd w:val="clear" w:color="auto" w:fill="auto"/>
            <w:vAlign w:val="center"/>
          </w:tcPr>
          <w:p w:rsidR="000648B5" w:rsidRPr="00E148FC" w:rsidRDefault="000648B5" w:rsidP="00364028"/>
        </w:tc>
        <w:tc>
          <w:tcPr>
            <w:tcW w:w="1035" w:type="pct"/>
            <w:shd w:val="clear" w:color="auto" w:fill="auto"/>
            <w:vAlign w:val="center"/>
          </w:tcPr>
          <w:p w:rsidR="000648B5" w:rsidRPr="00E148FC" w:rsidRDefault="000648B5" w:rsidP="00364028">
            <w:pPr>
              <w:pStyle w:val="Tableheadingrow"/>
              <w:jc w:val="center"/>
              <w:rPr>
                <w:lang w:val="en-AU"/>
              </w:rPr>
            </w:pPr>
            <w:r w:rsidRPr="00E148FC">
              <w:rPr>
                <w:lang w:val="en-AU"/>
              </w:rPr>
              <w:t>Semaglutide</w:t>
            </w:r>
          </w:p>
          <w:p w:rsidR="000648B5" w:rsidRPr="00E148FC" w:rsidRDefault="000648B5" w:rsidP="00364028">
            <w:pPr>
              <w:pStyle w:val="Tableheadingrow"/>
              <w:jc w:val="center"/>
              <w:rPr>
                <w:lang w:val="en-AU"/>
              </w:rPr>
            </w:pPr>
            <w:r w:rsidRPr="00E148FC">
              <w:rPr>
                <w:lang w:val="en-AU"/>
              </w:rPr>
              <w:t>(30 weeks)</w:t>
            </w:r>
          </w:p>
        </w:tc>
        <w:tc>
          <w:tcPr>
            <w:tcW w:w="950" w:type="pct"/>
            <w:shd w:val="clear" w:color="auto" w:fill="auto"/>
            <w:vAlign w:val="center"/>
          </w:tcPr>
          <w:p w:rsidR="000648B5" w:rsidRPr="00E148FC" w:rsidRDefault="000648B5" w:rsidP="00364028">
            <w:pPr>
              <w:pStyle w:val="Tableheadingrow"/>
              <w:jc w:val="center"/>
              <w:rPr>
                <w:lang w:val="en-AU"/>
              </w:rPr>
            </w:pPr>
            <w:r w:rsidRPr="00E148FC">
              <w:rPr>
                <w:lang w:val="en-AU"/>
              </w:rPr>
              <w:t>Placebo</w:t>
            </w:r>
          </w:p>
        </w:tc>
        <w:tc>
          <w:tcPr>
            <w:tcW w:w="741" w:type="pct"/>
            <w:shd w:val="clear" w:color="auto" w:fill="auto"/>
            <w:vAlign w:val="center"/>
          </w:tcPr>
          <w:p w:rsidR="000648B5" w:rsidRPr="00E148FC" w:rsidRDefault="000648B5" w:rsidP="00364028">
            <w:pPr>
              <w:pStyle w:val="Tableheadingrow"/>
              <w:jc w:val="center"/>
              <w:rPr>
                <w:lang w:val="en-AU"/>
              </w:rPr>
            </w:pPr>
            <w:r w:rsidRPr="00E148FC">
              <w:rPr>
                <w:lang w:val="en-AU"/>
              </w:rPr>
              <w:t>Exenatide</w:t>
            </w:r>
          </w:p>
          <w:p w:rsidR="000648B5" w:rsidRPr="00E148FC" w:rsidRDefault="000648B5" w:rsidP="00364028">
            <w:pPr>
              <w:pStyle w:val="Tableheadingrow"/>
              <w:jc w:val="center"/>
              <w:rPr>
                <w:lang w:val="en-AU"/>
              </w:rPr>
            </w:pPr>
            <w:r w:rsidRPr="00E148FC">
              <w:rPr>
                <w:lang w:val="en-AU"/>
              </w:rPr>
              <w:t>(30 weeks)</w:t>
            </w:r>
          </w:p>
        </w:tc>
        <w:tc>
          <w:tcPr>
            <w:tcW w:w="1398" w:type="pct"/>
            <w:vMerge/>
            <w:shd w:val="clear" w:color="auto" w:fill="auto"/>
            <w:vAlign w:val="center"/>
          </w:tcPr>
          <w:p w:rsidR="000648B5" w:rsidRPr="00E148FC" w:rsidRDefault="000648B5" w:rsidP="00364028">
            <w:pPr>
              <w:jc w:val="center"/>
            </w:pPr>
          </w:p>
        </w:tc>
      </w:tr>
      <w:tr w:rsidR="000648B5" w:rsidRPr="00E148FC" w:rsidTr="00381293">
        <w:trPr>
          <w:jc w:val="center"/>
        </w:trPr>
        <w:tc>
          <w:tcPr>
            <w:tcW w:w="5000" w:type="pct"/>
            <w:gridSpan w:val="5"/>
            <w:shd w:val="clear" w:color="auto" w:fill="auto"/>
            <w:vAlign w:val="center"/>
          </w:tcPr>
          <w:p w:rsidR="000648B5" w:rsidRPr="00E148FC" w:rsidRDefault="000648B5" w:rsidP="00364028">
            <w:pPr>
              <w:pStyle w:val="TableText"/>
            </w:pPr>
            <w:r w:rsidRPr="00E148FC">
              <w:t>Semaglutide 0.5 mg vs exenatide 10 mcg</w:t>
            </w:r>
          </w:p>
        </w:tc>
      </w:tr>
      <w:tr w:rsidR="000648B5" w:rsidRPr="00E148FC" w:rsidTr="00381293">
        <w:trPr>
          <w:jc w:val="center"/>
        </w:trPr>
        <w:tc>
          <w:tcPr>
            <w:tcW w:w="876" w:type="pct"/>
            <w:shd w:val="clear" w:color="auto" w:fill="auto"/>
            <w:vAlign w:val="center"/>
          </w:tcPr>
          <w:p w:rsidR="000648B5" w:rsidRPr="00E148FC" w:rsidRDefault="000648B5" w:rsidP="00364028">
            <w:pPr>
              <w:pStyle w:val="TableText"/>
            </w:pPr>
            <w:r w:rsidRPr="00E148FC">
              <w:t>SUSTAIN 5</w:t>
            </w:r>
          </w:p>
        </w:tc>
        <w:tc>
          <w:tcPr>
            <w:tcW w:w="1035" w:type="pct"/>
            <w:shd w:val="clear" w:color="auto" w:fill="auto"/>
            <w:vAlign w:val="center"/>
          </w:tcPr>
          <w:p w:rsidR="000648B5" w:rsidRPr="00E148FC" w:rsidRDefault="000648B5" w:rsidP="00364028">
            <w:pPr>
              <w:pStyle w:val="TableText"/>
              <w:jc w:val="center"/>
            </w:pPr>
            <w:r w:rsidRPr="00E148FC">
              <w:t>-1.45 (0.09)</w:t>
            </w:r>
          </w:p>
        </w:tc>
        <w:tc>
          <w:tcPr>
            <w:tcW w:w="950" w:type="pct"/>
            <w:shd w:val="clear" w:color="auto" w:fill="auto"/>
            <w:vAlign w:val="center"/>
          </w:tcPr>
          <w:p w:rsidR="000648B5" w:rsidRPr="00E148FC" w:rsidRDefault="000648B5" w:rsidP="00364028">
            <w:pPr>
              <w:pStyle w:val="TableText"/>
              <w:jc w:val="center"/>
            </w:pPr>
            <w:r w:rsidRPr="00E148FC">
              <w:t>-0.09 (0.09)</w:t>
            </w:r>
          </w:p>
        </w:tc>
        <w:tc>
          <w:tcPr>
            <w:tcW w:w="741" w:type="pct"/>
            <w:shd w:val="clear" w:color="auto" w:fill="auto"/>
            <w:vAlign w:val="center"/>
          </w:tcPr>
          <w:p w:rsidR="000648B5" w:rsidRPr="00E148FC" w:rsidRDefault="000648B5" w:rsidP="00364028">
            <w:pPr>
              <w:pStyle w:val="TableText"/>
              <w:jc w:val="center"/>
            </w:pPr>
            <w:r w:rsidRPr="00E148FC">
              <w:t>-</w:t>
            </w:r>
          </w:p>
        </w:tc>
        <w:tc>
          <w:tcPr>
            <w:tcW w:w="1398" w:type="pct"/>
            <w:shd w:val="clear" w:color="auto" w:fill="auto"/>
          </w:tcPr>
          <w:p w:rsidR="000648B5" w:rsidRPr="00E148FC" w:rsidRDefault="000648B5" w:rsidP="00364028">
            <w:pPr>
              <w:pStyle w:val="TableText"/>
              <w:jc w:val="center"/>
            </w:pPr>
            <w:r w:rsidRPr="00E148FC">
              <w:t>-1.35 (-1.61, -1.10)</w:t>
            </w:r>
          </w:p>
        </w:tc>
      </w:tr>
      <w:tr w:rsidR="000648B5" w:rsidRPr="00E148FC" w:rsidTr="00381293">
        <w:trPr>
          <w:jc w:val="center"/>
        </w:trPr>
        <w:tc>
          <w:tcPr>
            <w:tcW w:w="876" w:type="pct"/>
            <w:shd w:val="clear" w:color="auto" w:fill="auto"/>
            <w:vAlign w:val="center"/>
          </w:tcPr>
          <w:p w:rsidR="000648B5" w:rsidRPr="00E148FC" w:rsidRDefault="000648B5" w:rsidP="00364028">
            <w:pPr>
              <w:pStyle w:val="TableText"/>
            </w:pPr>
            <w:r w:rsidRPr="00E148FC">
              <w:t>GWCO</w:t>
            </w:r>
          </w:p>
        </w:tc>
        <w:tc>
          <w:tcPr>
            <w:tcW w:w="1035" w:type="pct"/>
            <w:shd w:val="clear" w:color="auto" w:fill="auto"/>
            <w:vAlign w:val="center"/>
          </w:tcPr>
          <w:p w:rsidR="000648B5" w:rsidRPr="00E148FC" w:rsidRDefault="000648B5" w:rsidP="00364028">
            <w:pPr>
              <w:pStyle w:val="TableText"/>
              <w:jc w:val="center"/>
            </w:pPr>
            <w:r w:rsidRPr="00E148FC">
              <w:t>-</w:t>
            </w:r>
          </w:p>
        </w:tc>
        <w:tc>
          <w:tcPr>
            <w:tcW w:w="950" w:type="pct"/>
            <w:shd w:val="clear" w:color="auto" w:fill="auto"/>
            <w:vAlign w:val="center"/>
          </w:tcPr>
          <w:p w:rsidR="000648B5" w:rsidRPr="00E148FC" w:rsidRDefault="000648B5" w:rsidP="00364028">
            <w:pPr>
              <w:pStyle w:val="TableText"/>
              <w:jc w:val="center"/>
            </w:pPr>
            <w:r w:rsidRPr="00E148FC">
              <w:t>-1.04 (NR)</w:t>
            </w:r>
          </w:p>
        </w:tc>
        <w:tc>
          <w:tcPr>
            <w:tcW w:w="741" w:type="pct"/>
            <w:shd w:val="clear" w:color="auto" w:fill="auto"/>
            <w:vAlign w:val="center"/>
          </w:tcPr>
          <w:p w:rsidR="000648B5" w:rsidRPr="00E148FC" w:rsidRDefault="000648B5" w:rsidP="00364028">
            <w:pPr>
              <w:pStyle w:val="TableText"/>
              <w:jc w:val="center"/>
            </w:pPr>
            <w:r w:rsidRPr="00E148FC">
              <w:t>-1.74 (NR)</w:t>
            </w:r>
          </w:p>
        </w:tc>
        <w:tc>
          <w:tcPr>
            <w:tcW w:w="1398" w:type="pct"/>
            <w:shd w:val="clear" w:color="auto" w:fill="auto"/>
          </w:tcPr>
          <w:p w:rsidR="000648B5" w:rsidRPr="00E148FC" w:rsidRDefault="000648B5" w:rsidP="00364028">
            <w:pPr>
              <w:pStyle w:val="TableText"/>
              <w:jc w:val="center"/>
            </w:pPr>
            <w:r w:rsidRPr="00E148FC">
              <w:t>-</w:t>
            </w:r>
            <w:r w:rsidR="00AB6CB4" w:rsidRPr="00E148FC">
              <w:t>0.69 (-0.93, -0.46</w:t>
            </w:r>
            <w:r w:rsidRPr="00E148FC">
              <w:t>)</w:t>
            </w:r>
          </w:p>
        </w:tc>
      </w:tr>
      <w:tr w:rsidR="000648B5" w:rsidRPr="00E148FC" w:rsidTr="00381293">
        <w:trPr>
          <w:jc w:val="center"/>
        </w:trPr>
        <w:tc>
          <w:tcPr>
            <w:tcW w:w="3602" w:type="pct"/>
            <w:gridSpan w:val="4"/>
            <w:shd w:val="clear" w:color="auto" w:fill="auto"/>
            <w:vAlign w:val="center"/>
          </w:tcPr>
          <w:p w:rsidR="000648B5" w:rsidRPr="00E148FC" w:rsidRDefault="000648B5" w:rsidP="00364028">
            <w:pPr>
              <w:pStyle w:val="TableText"/>
              <w:jc w:val="right"/>
            </w:pPr>
            <w:r w:rsidRPr="00E148FC">
              <w:t>Indirect mean difference &lt; 0 favours semaglutide</w:t>
            </w:r>
          </w:p>
        </w:tc>
        <w:tc>
          <w:tcPr>
            <w:tcW w:w="1398" w:type="pct"/>
            <w:shd w:val="clear" w:color="auto" w:fill="auto"/>
            <w:vAlign w:val="center"/>
          </w:tcPr>
          <w:p w:rsidR="000648B5" w:rsidRPr="00E148FC" w:rsidRDefault="000648B5" w:rsidP="00364028">
            <w:pPr>
              <w:pStyle w:val="TableText"/>
              <w:jc w:val="center"/>
              <w:rPr>
                <w:b/>
              </w:rPr>
            </w:pPr>
            <w:r w:rsidRPr="00E148FC">
              <w:rPr>
                <w:b/>
              </w:rPr>
              <w:t>-0.66 (-1.00, -0.32)</w:t>
            </w:r>
          </w:p>
        </w:tc>
      </w:tr>
      <w:tr w:rsidR="000648B5" w:rsidRPr="00E148FC" w:rsidTr="00381293">
        <w:trPr>
          <w:jc w:val="center"/>
        </w:trPr>
        <w:tc>
          <w:tcPr>
            <w:tcW w:w="5000" w:type="pct"/>
            <w:gridSpan w:val="5"/>
            <w:shd w:val="clear" w:color="auto" w:fill="auto"/>
            <w:vAlign w:val="center"/>
          </w:tcPr>
          <w:p w:rsidR="000648B5" w:rsidRPr="00E148FC" w:rsidRDefault="000648B5" w:rsidP="00364028">
            <w:pPr>
              <w:pStyle w:val="TableText"/>
            </w:pPr>
            <w:r w:rsidRPr="00E148FC">
              <w:t>Semaglutide 1.0 mg vs exenatide 10 mcg</w:t>
            </w:r>
          </w:p>
        </w:tc>
      </w:tr>
      <w:tr w:rsidR="000648B5" w:rsidRPr="00E148FC" w:rsidTr="00381293">
        <w:trPr>
          <w:jc w:val="center"/>
        </w:trPr>
        <w:tc>
          <w:tcPr>
            <w:tcW w:w="876" w:type="pct"/>
            <w:shd w:val="clear" w:color="auto" w:fill="auto"/>
            <w:vAlign w:val="center"/>
          </w:tcPr>
          <w:p w:rsidR="000648B5" w:rsidRPr="00E148FC" w:rsidRDefault="000648B5" w:rsidP="00364028">
            <w:pPr>
              <w:pStyle w:val="TableText"/>
            </w:pPr>
            <w:r w:rsidRPr="00E148FC">
              <w:t>SUSTAIN 5</w:t>
            </w:r>
          </w:p>
        </w:tc>
        <w:tc>
          <w:tcPr>
            <w:tcW w:w="1035" w:type="pct"/>
            <w:shd w:val="clear" w:color="auto" w:fill="auto"/>
          </w:tcPr>
          <w:p w:rsidR="000648B5" w:rsidRPr="00E148FC" w:rsidRDefault="000648B5" w:rsidP="00364028">
            <w:pPr>
              <w:pStyle w:val="TableText"/>
              <w:jc w:val="center"/>
            </w:pPr>
            <w:r w:rsidRPr="00E148FC">
              <w:t>-1.85 (0.09)</w:t>
            </w:r>
          </w:p>
        </w:tc>
        <w:tc>
          <w:tcPr>
            <w:tcW w:w="950" w:type="pct"/>
            <w:shd w:val="clear" w:color="auto" w:fill="auto"/>
          </w:tcPr>
          <w:p w:rsidR="000648B5" w:rsidRPr="00E148FC" w:rsidRDefault="000648B5" w:rsidP="00364028">
            <w:pPr>
              <w:pStyle w:val="TableText"/>
              <w:jc w:val="center"/>
            </w:pPr>
            <w:r w:rsidRPr="00E148FC">
              <w:t>-0.09 (0.09)</w:t>
            </w:r>
          </w:p>
        </w:tc>
        <w:tc>
          <w:tcPr>
            <w:tcW w:w="741" w:type="pct"/>
            <w:shd w:val="clear" w:color="auto" w:fill="auto"/>
            <w:vAlign w:val="center"/>
          </w:tcPr>
          <w:p w:rsidR="000648B5" w:rsidRPr="00E148FC" w:rsidRDefault="000648B5" w:rsidP="00364028">
            <w:pPr>
              <w:pStyle w:val="TableText"/>
              <w:jc w:val="center"/>
            </w:pPr>
            <w:r w:rsidRPr="00E148FC">
              <w:t>-</w:t>
            </w:r>
          </w:p>
        </w:tc>
        <w:tc>
          <w:tcPr>
            <w:tcW w:w="1398" w:type="pct"/>
            <w:shd w:val="clear" w:color="auto" w:fill="auto"/>
            <w:vAlign w:val="bottom"/>
          </w:tcPr>
          <w:p w:rsidR="000648B5" w:rsidRPr="00E148FC" w:rsidRDefault="000648B5" w:rsidP="00364028">
            <w:pPr>
              <w:pStyle w:val="TableText"/>
              <w:jc w:val="center"/>
            </w:pPr>
            <w:r w:rsidRPr="00E148FC">
              <w:rPr>
                <w:szCs w:val="18"/>
              </w:rPr>
              <w:t>-1.75 (-2.01, -1.50)</w:t>
            </w:r>
          </w:p>
        </w:tc>
      </w:tr>
      <w:tr w:rsidR="000648B5" w:rsidRPr="00E148FC" w:rsidTr="00381293">
        <w:trPr>
          <w:jc w:val="center"/>
        </w:trPr>
        <w:tc>
          <w:tcPr>
            <w:tcW w:w="876" w:type="pct"/>
            <w:shd w:val="clear" w:color="auto" w:fill="auto"/>
            <w:vAlign w:val="center"/>
          </w:tcPr>
          <w:p w:rsidR="000648B5" w:rsidRPr="00E148FC" w:rsidRDefault="000648B5" w:rsidP="00364028">
            <w:pPr>
              <w:pStyle w:val="TableText"/>
            </w:pPr>
            <w:r w:rsidRPr="00E148FC">
              <w:t>GWCO</w:t>
            </w:r>
          </w:p>
        </w:tc>
        <w:tc>
          <w:tcPr>
            <w:tcW w:w="1035" w:type="pct"/>
            <w:shd w:val="clear" w:color="auto" w:fill="auto"/>
            <w:vAlign w:val="center"/>
          </w:tcPr>
          <w:p w:rsidR="000648B5" w:rsidRPr="00E148FC" w:rsidRDefault="000648B5" w:rsidP="00364028">
            <w:pPr>
              <w:pStyle w:val="TableText"/>
              <w:jc w:val="center"/>
            </w:pPr>
            <w:r w:rsidRPr="00E148FC">
              <w:t>-</w:t>
            </w:r>
          </w:p>
        </w:tc>
        <w:tc>
          <w:tcPr>
            <w:tcW w:w="950" w:type="pct"/>
            <w:shd w:val="clear" w:color="auto" w:fill="auto"/>
            <w:vAlign w:val="center"/>
          </w:tcPr>
          <w:p w:rsidR="000648B5" w:rsidRPr="00E148FC" w:rsidRDefault="000648B5" w:rsidP="00364028">
            <w:pPr>
              <w:pStyle w:val="TableText"/>
              <w:jc w:val="center"/>
            </w:pPr>
            <w:r w:rsidRPr="00E148FC">
              <w:t>-1.04 (NR)</w:t>
            </w:r>
          </w:p>
        </w:tc>
        <w:tc>
          <w:tcPr>
            <w:tcW w:w="741" w:type="pct"/>
            <w:shd w:val="clear" w:color="auto" w:fill="auto"/>
            <w:vAlign w:val="center"/>
          </w:tcPr>
          <w:p w:rsidR="000648B5" w:rsidRPr="00E148FC" w:rsidRDefault="000648B5" w:rsidP="00364028">
            <w:pPr>
              <w:pStyle w:val="TableText"/>
              <w:jc w:val="center"/>
            </w:pPr>
            <w:r w:rsidRPr="00E148FC">
              <w:t>-1.74 (NR)</w:t>
            </w:r>
          </w:p>
        </w:tc>
        <w:tc>
          <w:tcPr>
            <w:tcW w:w="1398" w:type="pct"/>
            <w:shd w:val="clear" w:color="auto" w:fill="auto"/>
            <w:vAlign w:val="bottom"/>
          </w:tcPr>
          <w:p w:rsidR="000648B5" w:rsidRPr="00E148FC" w:rsidRDefault="00AB6CB4" w:rsidP="00364028">
            <w:pPr>
              <w:pStyle w:val="TableText"/>
              <w:jc w:val="center"/>
            </w:pPr>
            <w:r w:rsidRPr="00E148FC">
              <w:t>-0.69 (-0.93, -0.46</w:t>
            </w:r>
            <w:r w:rsidR="000648B5" w:rsidRPr="00E148FC">
              <w:t>)</w:t>
            </w:r>
          </w:p>
        </w:tc>
      </w:tr>
      <w:tr w:rsidR="000648B5" w:rsidRPr="00E148FC" w:rsidTr="00381293">
        <w:trPr>
          <w:jc w:val="center"/>
        </w:trPr>
        <w:tc>
          <w:tcPr>
            <w:tcW w:w="3602" w:type="pct"/>
            <w:gridSpan w:val="4"/>
            <w:shd w:val="clear" w:color="auto" w:fill="auto"/>
            <w:vAlign w:val="center"/>
          </w:tcPr>
          <w:p w:rsidR="000648B5" w:rsidRPr="00E148FC" w:rsidRDefault="000648B5" w:rsidP="00364028">
            <w:pPr>
              <w:pStyle w:val="TableText"/>
              <w:jc w:val="right"/>
            </w:pPr>
            <w:r w:rsidRPr="00E148FC">
              <w:t>Indirect mean difference &lt; 0 favours semaglutide</w:t>
            </w:r>
          </w:p>
        </w:tc>
        <w:tc>
          <w:tcPr>
            <w:tcW w:w="1398" w:type="pct"/>
            <w:shd w:val="clear" w:color="auto" w:fill="auto"/>
            <w:vAlign w:val="center"/>
          </w:tcPr>
          <w:p w:rsidR="000648B5" w:rsidRPr="00E148FC" w:rsidRDefault="000648B5" w:rsidP="00364028">
            <w:pPr>
              <w:pStyle w:val="Tabletext0"/>
              <w:keepNext/>
              <w:keepLines/>
              <w:jc w:val="center"/>
              <w:rPr>
                <w:rFonts w:ascii="Calibri" w:hAnsi="Calibri"/>
                <w:b/>
                <w:sz w:val="18"/>
                <w:szCs w:val="18"/>
              </w:rPr>
            </w:pPr>
            <w:r w:rsidRPr="00E148FC">
              <w:rPr>
                <w:rFonts w:eastAsiaTheme="majorEastAsia" w:cstheme="majorBidi"/>
                <w:b/>
                <w:bCs/>
                <w:szCs w:val="24"/>
                <w:lang w:eastAsia="en-AU"/>
              </w:rPr>
              <w:t>-1.06 (-1.40, -0.72)</w:t>
            </w:r>
          </w:p>
        </w:tc>
      </w:tr>
    </w:tbl>
    <w:p w:rsidR="000648B5" w:rsidRPr="00E148FC" w:rsidRDefault="000648B5" w:rsidP="000648B5">
      <w:pPr>
        <w:pStyle w:val="TableFooter"/>
      </w:pPr>
      <w:r w:rsidRPr="00E148FC">
        <w:t>Source: Table 2.6.2, p81; Table 2.6.3, p82 of the submission; Attachment 5 of the submission.</w:t>
      </w:r>
    </w:p>
    <w:p w:rsidR="000648B5" w:rsidRPr="00E148FC" w:rsidRDefault="000648B5" w:rsidP="000648B5">
      <w:pPr>
        <w:pStyle w:val="TableFooter"/>
      </w:pPr>
      <w:r w:rsidRPr="00E148FC">
        <w:t>Abbreviations: CI, confidence interval; LSM, least square mean; SE, standard error; MD, mean difference; bold = statistically significant</w:t>
      </w:r>
    </w:p>
    <w:p w:rsidR="000648B5" w:rsidRPr="00E148FC" w:rsidRDefault="000648B5" w:rsidP="000648B5">
      <w:pPr>
        <w:pStyle w:val="TableFooter"/>
      </w:pPr>
      <w:r w:rsidRPr="00E148FC">
        <w:t>Note: SE were calculated with the assumption of a normal distribution.</w:t>
      </w:r>
    </w:p>
    <w:p w:rsidR="00DE525B" w:rsidRPr="00E148FC" w:rsidRDefault="00DE525B" w:rsidP="000648B5">
      <w:pPr>
        <w:pStyle w:val="TableFooter"/>
      </w:pPr>
    </w:p>
    <w:p w:rsidR="000648B5" w:rsidRPr="00E148FC" w:rsidRDefault="000648B5" w:rsidP="00DE525B">
      <w:pPr>
        <w:pStyle w:val="ExecSumBodyText"/>
      </w:pPr>
      <w:r w:rsidRPr="00E148FC">
        <w:t>Both semaglutide treatment arms had a statistically significantly greater reduction from baseline in HbA1c at week 30 compared to exenatide. The submission noted that the point estimates for the mean differences with both semaglutide doses exceeded 0.5%, which has been previously considered to be a potentially releva</w:t>
      </w:r>
      <w:r w:rsidR="008E0D47" w:rsidRPr="00E148FC">
        <w:t>nt MCID for testing superiority.</w:t>
      </w:r>
      <w:r w:rsidR="00DE525B" w:rsidRPr="00E148FC">
        <w:t xml:space="preserve"> Similarly, a significantly greater proportion of patients receiving semaglutide 0.5 mg or 1.0 mg reached HbA1c targets of ≤6.5% or &lt;7.0% (≤7.0% in the GWCO trial) compared with exenatide at week 30</w:t>
      </w:r>
      <w:r w:rsidR="008E0D47" w:rsidRPr="00E148FC">
        <w:t>.</w:t>
      </w:r>
      <w:r w:rsidRPr="00E148FC">
        <w:t xml:space="preserve"> However, </w:t>
      </w:r>
      <w:r w:rsidR="0056781F" w:rsidRPr="00E148FC">
        <w:t>t</w:t>
      </w:r>
      <w:r w:rsidR="006F58C8" w:rsidRPr="00E148FC">
        <w:t xml:space="preserve">he PBAC considered </w:t>
      </w:r>
      <w:r w:rsidRPr="00E148FC">
        <w:t>there were large differences in HbA1c outcomes across the placebo arms of the trials</w:t>
      </w:r>
      <w:r w:rsidR="00030432" w:rsidRPr="00E148FC">
        <w:t xml:space="preserve"> </w:t>
      </w:r>
      <w:r w:rsidR="00030432" w:rsidRPr="00E148FC">
        <w:rPr>
          <w:snapToGrid/>
        </w:rPr>
        <w:t>(</w:t>
      </w:r>
      <w:r w:rsidR="00953114" w:rsidRPr="00E148FC">
        <w:rPr>
          <w:snapToGrid/>
        </w:rPr>
        <w:t>mean change from baseline i</w:t>
      </w:r>
      <w:r w:rsidR="00030432" w:rsidRPr="00E148FC">
        <w:rPr>
          <w:snapToGrid/>
        </w:rPr>
        <w:t>n HbA1c</w:t>
      </w:r>
      <w:r w:rsidR="00953114" w:rsidRPr="00E148FC">
        <w:rPr>
          <w:snapToGrid/>
        </w:rPr>
        <w:t xml:space="preserve"> -0.09% versus -1.04%</w:t>
      </w:r>
      <w:r w:rsidR="00B27A9D" w:rsidRPr="00E148FC">
        <w:rPr>
          <w:snapToGrid/>
        </w:rPr>
        <w:t xml:space="preserve">; HbA1c </w:t>
      </w:r>
      <w:r w:rsidR="00B27A9D" w:rsidRPr="00E148FC">
        <w:t xml:space="preserve">≤6.5%: 4.5% vs 12.3%; HbA1c &lt;7.0%: </w:t>
      </w:r>
      <w:r w:rsidR="00B27A9D" w:rsidRPr="00E148FC">
        <w:rPr>
          <w:snapToGrid/>
        </w:rPr>
        <w:t xml:space="preserve"> 10.5% versus 35.2%</w:t>
      </w:r>
      <w:r w:rsidR="00030432" w:rsidRPr="00E148FC">
        <w:rPr>
          <w:snapToGrid/>
        </w:rPr>
        <w:t>)</w:t>
      </w:r>
      <w:r w:rsidRPr="00E148FC">
        <w:t>, indicating that there may be differences between the trials that limit their exchangeability.</w:t>
      </w:r>
    </w:p>
    <w:p w:rsidR="00D85D93" w:rsidRPr="00E148FC" w:rsidRDefault="003F7235" w:rsidP="00DE525B">
      <w:pPr>
        <w:pStyle w:val="ExecSumBodyText"/>
      </w:pPr>
      <w:r w:rsidRPr="00E148FC">
        <w:t>An alternative indirect comparison between the ‘in-trial’ analysis set from SUSTAIN 5 (not censoring for rescue medication or premature treatment discontinuations, see Figure 11-3, p152 of the SUSTAIN 5 Clinical Study Report) and the exenatide ITT analysis for change from baseline in HbA1c was conducted during the evaluation.</w:t>
      </w:r>
      <w:r w:rsidR="004356DD" w:rsidRPr="00E148FC">
        <w:t xml:space="preserve"> R</w:t>
      </w:r>
      <w:r w:rsidRPr="00E148FC">
        <w:t>esults</w:t>
      </w:r>
      <w:r w:rsidR="00D85D93" w:rsidRPr="00E148FC">
        <w:t xml:space="preserve"> remained statistically significant in favour of semaglutide, however the magnitude of </w:t>
      </w:r>
      <w:r w:rsidR="00144C4B" w:rsidRPr="00E148FC">
        <w:t>the difference</w:t>
      </w:r>
      <w:r w:rsidR="00D85D93" w:rsidRPr="00E148FC">
        <w:t xml:space="preserve"> was smaller (semaglutide 0.5 mg vs exenatide: -0.54, 95% CI -0.88, -0.20; semaglutide 1.0 mg vs exenatide: -0.91, 95% CI -1.25, -0.57).</w:t>
      </w:r>
    </w:p>
    <w:p w:rsidR="000648B5" w:rsidRPr="00E148FC" w:rsidRDefault="00DE525B" w:rsidP="00DE525B">
      <w:pPr>
        <w:pStyle w:val="ExecSumBodyText"/>
      </w:pPr>
      <w:r w:rsidRPr="00E148FC">
        <w:t>The table below</w:t>
      </w:r>
      <w:r w:rsidR="000648B5" w:rsidRPr="00E148FC">
        <w:t xml:space="preserve"> presents results of the indirect comparison between semaglutide and exenatide for change from baseline in body weight (kg) at week 30.</w:t>
      </w:r>
    </w:p>
    <w:p w:rsidR="000648B5" w:rsidRPr="00E148FC" w:rsidRDefault="000648B5" w:rsidP="000648B5">
      <w:pPr>
        <w:pStyle w:val="TableHeading"/>
        <w:spacing w:after="0"/>
        <w:jc w:val="both"/>
      </w:pPr>
      <w:r w:rsidRPr="00E148FC">
        <w:lastRenderedPageBreak/>
        <w:t xml:space="preserve">Table </w:t>
      </w:r>
      <w:r w:rsidR="00DF16BF" w:rsidRPr="00E148FC">
        <w:t>10</w:t>
      </w:r>
      <w:r w:rsidRPr="00E148FC">
        <w:t>: Indirect comparison of semaglutide and exenatide for change from baseline in body weight at week 30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867"/>
        <w:gridCol w:w="1713"/>
        <w:gridCol w:w="1336"/>
        <w:gridCol w:w="2521"/>
      </w:tblGrid>
      <w:tr w:rsidR="000648B5" w:rsidRPr="00E148FC" w:rsidTr="00381293">
        <w:trPr>
          <w:tblHeader/>
          <w:jc w:val="center"/>
        </w:trPr>
        <w:tc>
          <w:tcPr>
            <w:tcW w:w="876" w:type="pct"/>
            <w:vMerge w:val="restart"/>
            <w:shd w:val="clear" w:color="auto" w:fill="auto"/>
            <w:vAlign w:val="center"/>
          </w:tcPr>
          <w:p w:rsidR="000648B5" w:rsidRPr="00E148FC" w:rsidRDefault="000648B5" w:rsidP="00364028">
            <w:pPr>
              <w:pStyle w:val="Tableheadingrow"/>
              <w:rPr>
                <w:lang w:val="en-AU"/>
              </w:rPr>
            </w:pPr>
            <w:r w:rsidRPr="00E148FC">
              <w:rPr>
                <w:lang w:val="en-AU"/>
              </w:rPr>
              <w:t>Trial</w:t>
            </w:r>
          </w:p>
        </w:tc>
        <w:tc>
          <w:tcPr>
            <w:tcW w:w="2726" w:type="pct"/>
            <w:gridSpan w:val="3"/>
            <w:shd w:val="clear" w:color="auto" w:fill="auto"/>
            <w:vAlign w:val="center"/>
          </w:tcPr>
          <w:p w:rsidR="000648B5" w:rsidRPr="00E148FC" w:rsidRDefault="000648B5" w:rsidP="00364028">
            <w:pPr>
              <w:pStyle w:val="Tableheadingrow"/>
              <w:jc w:val="center"/>
              <w:rPr>
                <w:lang w:val="en-AU"/>
              </w:rPr>
            </w:pPr>
            <w:r w:rsidRPr="00E148FC">
              <w:rPr>
                <w:lang w:val="en-AU"/>
              </w:rPr>
              <w:t>Change from baseline in body weight, kg, LSM (SE)</w:t>
            </w:r>
          </w:p>
        </w:tc>
        <w:tc>
          <w:tcPr>
            <w:tcW w:w="1398" w:type="pct"/>
            <w:vMerge w:val="restart"/>
            <w:shd w:val="clear" w:color="auto" w:fill="auto"/>
            <w:vAlign w:val="center"/>
          </w:tcPr>
          <w:p w:rsidR="000648B5" w:rsidRPr="00E148FC" w:rsidRDefault="000648B5" w:rsidP="00364028">
            <w:pPr>
              <w:pStyle w:val="Tableheadingrow"/>
              <w:jc w:val="center"/>
              <w:rPr>
                <w:lang w:val="en-AU"/>
              </w:rPr>
            </w:pPr>
            <w:r w:rsidRPr="00E148FC">
              <w:rPr>
                <w:lang w:val="en-AU"/>
              </w:rPr>
              <w:t>LSM (95% CI)</w:t>
            </w:r>
          </w:p>
        </w:tc>
      </w:tr>
      <w:tr w:rsidR="000648B5" w:rsidRPr="00E148FC" w:rsidTr="00381293">
        <w:trPr>
          <w:tblHeader/>
          <w:jc w:val="center"/>
        </w:trPr>
        <w:tc>
          <w:tcPr>
            <w:tcW w:w="876" w:type="pct"/>
            <w:vMerge/>
            <w:shd w:val="clear" w:color="auto" w:fill="auto"/>
            <w:vAlign w:val="center"/>
          </w:tcPr>
          <w:p w:rsidR="000648B5" w:rsidRPr="00E148FC" w:rsidRDefault="000648B5" w:rsidP="00364028"/>
        </w:tc>
        <w:tc>
          <w:tcPr>
            <w:tcW w:w="1035" w:type="pct"/>
            <w:shd w:val="clear" w:color="auto" w:fill="auto"/>
            <w:vAlign w:val="center"/>
          </w:tcPr>
          <w:p w:rsidR="000648B5" w:rsidRPr="00E148FC" w:rsidRDefault="000648B5" w:rsidP="00364028">
            <w:pPr>
              <w:pStyle w:val="Tableheadingrow"/>
              <w:jc w:val="center"/>
              <w:rPr>
                <w:lang w:val="en-AU"/>
              </w:rPr>
            </w:pPr>
            <w:r w:rsidRPr="00E148FC">
              <w:rPr>
                <w:lang w:val="en-AU"/>
              </w:rPr>
              <w:t>Semaglutide</w:t>
            </w:r>
          </w:p>
          <w:p w:rsidR="000648B5" w:rsidRPr="00E148FC" w:rsidRDefault="000648B5" w:rsidP="00364028">
            <w:pPr>
              <w:pStyle w:val="Tableheadingrow"/>
              <w:jc w:val="center"/>
              <w:rPr>
                <w:lang w:val="en-AU"/>
              </w:rPr>
            </w:pPr>
            <w:r w:rsidRPr="00E148FC">
              <w:rPr>
                <w:lang w:val="en-AU"/>
              </w:rPr>
              <w:t>(30 weeks)</w:t>
            </w:r>
          </w:p>
        </w:tc>
        <w:tc>
          <w:tcPr>
            <w:tcW w:w="950" w:type="pct"/>
            <w:shd w:val="clear" w:color="auto" w:fill="auto"/>
            <w:vAlign w:val="center"/>
          </w:tcPr>
          <w:p w:rsidR="000648B5" w:rsidRPr="00E148FC" w:rsidRDefault="000648B5" w:rsidP="00364028">
            <w:pPr>
              <w:pStyle w:val="Tableheadingrow"/>
              <w:jc w:val="center"/>
              <w:rPr>
                <w:lang w:val="en-AU"/>
              </w:rPr>
            </w:pPr>
            <w:r w:rsidRPr="00E148FC">
              <w:rPr>
                <w:lang w:val="en-AU"/>
              </w:rPr>
              <w:t>Placebo</w:t>
            </w:r>
          </w:p>
        </w:tc>
        <w:tc>
          <w:tcPr>
            <w:tcW w:w="741" w:type="pct"/>
            <w:shd w:val="clear" w:color="auto" w:fill="auto"/>
            <w:vAlign w:val="center"/>
          </w:tcPr>
          <w:p w:rsidR="000648B5" w:rsidRPr="00E148FC" w:rsidRDefault="000648B5" w:rsidP="00364028">
            <w:pPr>
              <w:pStyle w:val="Tableheadingrow"/>
              <w:jc w:val="center"/>
              <w:rPr>
                <w:lang w:val="en-AU"/>
              </w:rPr>
            </w:pPr>
            <w:r w:rsidRPr="00E148FC">
              <w:rPr>
                <w:lang w:val="en-AU"/>
              </w:rPr>
              <w:t>Exenatide</w:t>
            </w:r>
          </w:p>
          <w:p w:rsidR="000648B5" w:rsidRPr="00E148FC" w:rsidRDefault="000648B5" w:rsidP="00364028">
            <w:pPr>
              <w:pStyle w:val="Tableheadingrow"/>
              <w:jc w:val="center"/>
              <w:rPr>
                <w:lang w:val="en-AU"/>
              </w:rPr>
            </w:pPr>
            <w:r w:rsidRPr="00E148FC">
              <w:rPr>
                <w:lang w:val="en-AU"/>
              </w:rPr>
              <w:t>(30 weeks)</w:t>
            </w:r>
          </w:p>
        </w:tc>
        <w:tc>
          <w:tcPr>
            <w:tcW w:w="1398" w:type="pct"/>
            <w:vMerge/>
            <w:shd w:val="clear" w:color="auto" w:fill="auto"/>
            <w:vAlign w:val="center"/>
          </w:tcPr>
          <w:p w:rsidR="000648B5" w:rsidRPr="00E148FC" w:rsidRDefault="000648B5" w:rsidP="00364028">
            <w:pPr>
              <w:jc w:val="center"/>
            </w:pPr>
          </w:p>
        </w:tc>
      </w:tr>
      <w:tr w:rsidR="000648B5" w:rsidRPr="00E148FC" w:rsidTr="00381293">
        <w:trPr>
          <w:jc w:val="center"/>
        </w:trPr>
        <w:tc>
          <w:tcPr>
            <w:tcW w:w="5000" w:type="pct"/>
            <w:gridSpan w:val="5"/>
            <w:shd w:val="clear" w:color="auto" w:fill="auto"/>
            <w:vAlign w:val="center"/>
          </w:tcPr>
          <w:p w:rsidR="000648B5" w:rsidRPr="00E148FC" w:rsidRDefault="000648B5" w:rsidP="00364028">
            <w:pPr>
              <w:pStyle w:val="TableText"/>
            </w:pPr>
            <w:r w:rsidRPr="00E148FC">
              <w:t>Semaglutide 0.5 mg vs exenatide 10 mcg</w:t>
            </w:r>
          </w:p>
        </w:tc>
      </w:tr>
      <w:tr w:rsidR="000648B5" w:rsidRPr="00E148FC" w:rsidTr="00381293">
        <w:trPr>
          <w:jc w:val="center"/>
        </w:trPr>
        <w:tc>
          <w:tcPr>
            <w:tcW w:w="876" w:type="pct"/>
            <w:shd w:val="clear" w:color="auto" w:fill="auto"/>
            <w:vAlign w:val="center"/>
          </w:tcPr>
          <w:p w:rsidR="000648B5" w:rsidRPr="00E148FC" w:rsidRDefault="000648B5" w:rsidP="00364028">
            <w:pPr>
              <w:pStyle w:val="TableText"/>
            </w:pPr>
            <w:r w:rsidRPr="00E148FC">
              <w:t>SUSTAIN 5</w:t>
            </w:r>
          </w:p>
        </w:tc>
        <w:tc>
          <w:tcPr>
            <w:tcW w:w="1035" w:type="pct"/>
            <w:shd w:val="clear" w:color="auto" w:fill="auto"/>
          </w:tcPr>
          <w:p w:rsidR="000648B5" w:rsidRPr="00E148FC" w:rsidRDefault="000648B5" w:rsidP="00364028">
            <w:pPr>
              <w:pStyle w:val="TableText"/>
              <w:jc w:val="center"/>
            </w:pPr>
            <w:r w:rsidRPr="00E148FC">
              <w:t>-3.67 (0.36)</w:t>
            </w:r>
          </w:p>
        </w:tc>
        <w:tc>
          <w:tcPr>
            <w:tcW w:w="950" w:type="pct"/>
            <w:shd w:val="clear" w:color="auto" w:fill="auto"/>
          </w:tcPr>
          <w:p w:rsidR="000648B5" w:rsidRPr="00E148FC" w:rsidRDefault="000648B5" w:rsidP="00364028">
            <w:pPr>
              <w:pStyle w:val="TableText"/>
              <w:jc w:val="center"/>
            </w:pPr>
            <w:r w:rsidRPr="00E148FC">
              <w:t>-1.36 (0.37)</w:t>
            </w:r>
          </w:p>
        </w:tc>
        <w:tc>
          <w:tcPr>
            <w:tcW w:w="741" w:type="pct"/>
            <w:shd w:val="clear" w:color="auto" w:fill="auto"/>
            <w:vAlign w:val="center"/>
          </w:tcPr>
          <w:p w:rsidR="000648B5" w:rsidRPr="00E148FC" w:rsidRDefault="000648B5" w:rsidP="00364028">
            <w:pPr>
              <w:pStyle w:val="TableText"/>
              <w:jc w:val="center"/>
            </w:pPr>
            <w:r w:rsidRPr="00E148FC">
              <w:t>-</w:t>
            </w:r>
          </w:p>
        </w:tc>
        <w:tc>
          <w:tcPr>
            <w:tcW w:w="1398" w:type="pct"/>
            <w:shd w:val="clear" w:color="auto" w:fill="auto"/>
            <w:vAlign w:val="bottom"/>
          </w:tcPr>
          <w:p w:rsidR="000648B5" w:rsidRPr="00E148FC" w:rsidRDefault="000648B5" w:rsidP="00364028">
            <w:pPr>
              <w:pStyle w:val="TableText"/>
              <w:jc w:val="center"/>
            </w:pPr>
            <w:r w:rsidRPr="00E148FC">
              <w:rPr>
                <w:szCs w:val="18"/>
              </w:rPr>
              <w:t>-2.31 (-3.33, -1.29)</w:t>
            </w:r>
          </w:p>
        </w:tc>
      </w:tr>
      <w:tr w:rsidR="000648B5" w:rsidRPr="00E148FC" w:rsidTr="00381293">
        <w:trPr>
          <w:jc w:val="center"/>
        </w:trPr>
        <w:tc>
          <w:tcPr>
            <w:tcW w:w="876" w:type="pct"/>
            <w:shd w:val="clear" w:color="auto" w:fill="auto"/>
            <w:vAlign w:val="center"/>
          </w:tcPr>
          <w:p w:rsidR="000648B5" w:rsidRPr="00E148FC" w:rsidRDefault="000648B5" w:rsidP="00364028">
            <w:pPr>
              <w:pStyle w:val="TableText"/>
            </w:pPr>
            <w:r w:rsidRPr="00E148FC">
              <w:t>GWCO</w:t>
            </w:r>
          </w:p>
        </w:tc>
        <w:tc>
          <w:tcPr>
            <w:tcW w:w="1035" w:type="pct"/>
            <w:shd w:val="clear" w:color="auto" w:fill="auto"/>
            <w:vAlign w:val="center"/>
          </w:tcPr>
          <w:p w:rsidR="000648B5" w:rsidRPr="00E148FC" w:rsidRDefault="000648B5" w:rsidP="00364028">
            <w:pPr>
              <w:pStyle w:val="TableText"/>
              <w:jc w:val="center"/>
            </w:pPr>
            <w:r w:rsidRPr="00E148FC">
              <w:t>-</w:t>
            </w:r>
          </w:p>
        </w:tc>
        <w:tc>
          <w:tcPr>
            <w:tcW w:w="950" w:type="pct"/>
            <w:shd w:val="clear" w:color="auto" w:fill="auto"/>
            <w:vAlign w:val="center"/>
          </w:tcPr>
          <w:p w:rsidR="000648B5" w:rsidRPr="00E148FC" w:rsidRDefault="000648B5" w:rsidP="00364028">
            <w:pPr>
              <w:pStyle w:val="TableText"/>
              <w:jc w:val="center"/>
            </w:pPr>
            <w:r w:rsidRPr="00E148FC">
              <w:t>0.96 (NR)</w:t>
            </w:r>
          </w:p>
        </w:tc>
        <w:tc>
          <w:tcPr>
            <w:tcW w:w="741" w:type="pct"/>
            <w:shd w:val="clear" w:color="auto" w:fill="auto"/>
            <w:vAlign w:val="center"/>
          </w:tcPr>
          <w:p w:rsidR="000648B5" w:rsidRPr="00E148FC" w:rsidRDefault="000648B5" w:rsidP="00364028">
            <w:pPr>
              <w:pStyle w:val="TableText"/>
              <w:jc w:val="center"/>
            </w:pPr>
            <w:r w:rsidRPr="00E148FC">
              <w:t>-1.78 (NR)</w:t>
            </w:r>
          </w:p>
        </w:tc>
        <w:tc>
          <w:tcPr>
            <w:tcW w:w="1398" w:type="pct"/>
            <w:shd w:val="clear" w:color="auto" w:fill="auto"/>
            <w:vAlign w:val="bottom"/>
          </w:tcPr>
          <w:p w:rsidR="000648B5" w:rsidRPr="00E148FC" w:rsidRDefault="000648B5" w:rsidP="00364028">
            <w:pPr>
              <w:pStyle w:val="TableText"/>
              <w:jc w:val="center"/>
            </w:pPr>
            <w:r w:rsidRPr="00E148FC">
              <w:t>-2.74 (-3.74, -1.74)</w:t>
            </w:r>
          </w:p>
        </w:tc>
      </w:tr>
      <w:tr w:rsidR="000648B5" w:rsidRPr="00E148FC" w:rsidTr="00381293">
        <w:trPr>
          <w:jc w:val="center"/>
        </w:trPr>
        <w:tc>
          <w:tcPr>
            <w:tcW w:w="3602" w:type="pct"/>
            <w:gridSpan w:val="4"/>
            <w:shd w:val="clear" w:color="auto" w:fill="auto"/>
            <w:vAlign w:val="center"/>
          </w:tcPr>
          <w:p w:rsidR="000648B5" w:rsidRPr="00E148FC" w:rsidRDefault="000648B5" w:rsidP="00364028">
            <w:pPr>
              <w:pStyle w:val="TableText"/>
              <w:jc w:val="right"/>
            </w:pPr>
            <w:r w:rsidRPr="00E148FC">
              <w:t>Indirect mean difference &lt; 0 favours semaglutide</w:t>
            </w:r>
          </w:p>
        </w:tc>
        <w:tc>
          <w:tcPr>
            <w:tcW w:w="1398" w:type="pct"/>
            <w:shd w:val="clear" w:color="auto" w:fill="auto"/>
            <w:vAlign w:val="center"/>
          </w:tcPr>
          <w:p w:rsidR="000648B5" w:rsidRPr="00E148FC" w:rsidRDefault="000648B5" w:rsidP="00364028">
            <w:pPr>
              <w:pStyle w:val="TableText"/>
              <w:jc w:val="center"/>
            </w:pPr>
            <w:r w:rsidRPr="00E148FC">
              <w:t>0.43 (-1.00, 1.86)</w:t>
            </w:r>
          </w:p>
        </w:tc>
      </w:tr>
      <w:tr w:rsidR="000648B5" w:rsidRPr="00E148FC" w:rsidTr="00381293">
        <w:trPr>
          <w:jc w:val="center"/>
        </w:trPr>
        <w:tc>
          <w:tcPr>
            <w:tcW w:w="5000" w:type="pct"/>
            <w:gridSpan w:val="5"/>
            <w:shd w:val="clear" w:color="auto" w:fill="auto"/>
            <w:vAlign w:val="center"/>
          </w:tcPr>
          <w:p w:rsidR="000648B5" w:rsidRPr="00E148FC" w:rsidRDefault="000648B5" w:rsidP="00364028">
            <w:pPr>
              <w:pStyle w:val="TableText"/>
            </w:pPr>
            <w:r w:rsidRPr="00E148FC">
              <w:t>Semaglutide 1.0 mg vs exenatide 10 mcg</w:t>
            </w:r>
          </w:p>
        </w:tc>
      </w:tr>
      <w:tr w:rsidR="000648B5" w:rsidRPr="00E148FC" w:rsidTr="00381293">
        <w:trPr>
          <w:jc w:val="center"/>
        </w:trPr>
        <w:tc>
          <w:tcPr>
            <w:tcW w:w="876" w:type="pct"/>
            <w:shd w:val="clear" w:color="auto" w:fill="auto"/>
            <w:vAlign w:val="center"/>
          </w:tcPr>
          <w:p w:rsidR="000648B5" w:rsidRPr="00E148FC" w:rsidRDefault="000648B5" w:rsidP="00364028">
            <w:pPr>
              <w:pStyle w:val="TableText"/>
            </w:pPr>
            <w:r w:rsidRPr="00E148FC">
              <w:t>SUSTAIN 5</w:t>
            </w:r>
          </w:p>
        </w:tc>
        <w:tc>
          <w:tcPr>
            <w:tcW w:w="1035" w:type="pct"/>
            <w:shd w:val="clear" w:color="auto" w:fill="auto"/>
          </w:tcPr>
          <w:p w:rsidR="000648B5" w:rsidRPr="00E148FC" w:rsidRDefault="000648B5" w:rsidP="00364028">
            <w:pPr>
              <w:pStyle w:val="TableText"/>
              <w:jc w:val="center"/>
            </w:pPr>
            <w:r w:rsidRPr="00E148FC">
              <w:t>-6.42 (0.36)</w:t>
            </w:r>
          </w:p>
        </w:tc>
        <w:tc>
          <w:tcPr>
            <w:tcW w:w="950" w:type="pct"/>
            <w:shd w:val="clear" w:color="auto" w:fill="auto"/>
          </w:tcPr>
          <w:p w:rsidR="000648B5" w:rsidRPr="00E148FC" w:rsidRDefault="000648B5" w:rsidP="00364028">
            <w:pPr>
              <w:pStyle w:val="TableText"/>
              <w:jc w:val="center"/>
            </w:pPr>
            <w:r w:rsidRPr="00E148FC">
              <w:t>-1.36 (0.37)</w:t>
            </w:r>
          </w:p>
        </w:tc>
        <w:tc>
          <w:tcPr>
            <w:tcW w:w="741" w:type="pct"/>
            <w:shd w:val="clear" w:color="auto" w:fill="auto"/>
            <w:vAlign w:val="center"/>
          </w:tcPr>
          <w:p w:rsidR="000648B5" w:rsidRPr="00E148FC" w:rsidRDefault="000648B5" w:rsidP="00364028">
            <w:pPr>
              <w:pStyle w:val="TableText"/>
              <w:jc w:val="center"/>
            </w:pPr>
          </w:p>
        </w:tc>
        <w:tc>
          <w:tcPr>
            <w:tcW w:w="1398" w:type="pct"/>
            <w:shd w:val="clear" w:color="auto" w:fill="auto"/>
            <w:vAlign w:val="bottom"/>
          </w:tcPr>
          <w:p w:rsidR="000648B5" w:rsidRPr="00E148FC" w:rsidRDefault="000648B5" w:rsidP="00364028">
            <w:pPr>
              <w:pStyle w:val="TableText"/>
              <w:jc w:val="center"/>
            </w:pPr>
            <w:r w:rsidRPr="00E148FC">
              <w:rPr>
                <w:szCs w:val="18"/>
              </w:rPr>
              <w:t>-5.06 (-6.08, -4.04)</w:t>
            </w:r>
          </w:p>
        </w:tc>
      </w:tr>
      <w:tr w:rsidR="000648B5" w:rsidRPr="00E148FC" w:rsidTr="00381293">
        <w:trPr>
          <w:jc w:val="center"/>
        </w:trPr>
        <w:tc>
          <w:tcPr>
            <w:tcW w:w="876" w:type="pct"/>
            <w:shd w:val="clear" w:color="auto" w:fill="auto"/>
            <w:vAlign w:val="center"/>
          </w:tcPr>
          <w:p w:rsidR="000648B5" w:rsidRPr="00E148FC" w:rsidRDefault="000648B5" w:rsidP="00364028">
            <w:pPr>
              <w:pStyle w:val="TableText"/>
            </w:pPr>
            <w:r w:rsidRPr="00E148FC">
              <w:t>GWCO</w:t>
            </w:r>
          </w:p>
        </w:tc>
        <w:tc>
          <w:tcPr>
            <w:tcW w:w="1035" w:type="pct"/>
            <w:shd w:val="clear" w:color="auto" w:fill="auto"/>
            <w:vAlign w:val="center"/>
          </w:tcPr>
          <w:p w:rsidR="000648B5" w:rsidRPr="00E148FC" w:rsidRDefault="000648B5" w:rsidP="00364028">
            <w:pPr>
              <w:pStyle w:val="TableText"/>
              <w:jc w:val="center"/>
            </w:pPr>
            <w:r w:rsidRPr="00E148FC">
              <w:t>-</w:t>
            </w:r>
          </w:p>
        </w:tc>
        <w:tc>
          <w:tcPr>
            <w:tcW w:w="950" w:type="pct"/>
            <w:shd w:val="clear" w:color="auto" w:fill="auto"/>
            <w:vAlign w:val="center"/>
          </w:tcPr>
          <w:p w:rsidR="000648B5" w:rsidRPr="00E148FC" w:rsidRDefault="000648B5" w:rsidP="00364028">
            <w:pPr>
              <w:pStyle w:val="TableText"/>
              <w:jc w:val="center"/>
            </w:pPr>
            <w:r w:rsidRPr="00E148FC">
              <w:t>0.96 (NR)</w:t>
            </w:r>
          </w:p>
        </w:tc>
        <w:tc>
          <w:tcPr>
            <w:tcW w:w="741" w:type="pct"/>
            <w:shd w:val="clear" w:color="auto" w:fill="auto"/>
            <w:vAlign w:val="center"/>
          </w:tcPr>
          <w:p w:rsidR="000648B5" w:rsidRPr="00E148FC" w:rsidRDefault="000648B5" w:rsidP="00364028">
            <w:pPr>
              <w:pStyle w:val="TableText"/>
              <w:jc w:val="center"/>
            </w:pPr>
            <w:r w:rsidRPr="00E148FC">
              <w:t>-1.78 (NR)</w:t>
            </w:r>
          </w:p>
        </w:tc>
        <w:tc>
          <w:tcPr>
            <w:tcW w:w="1398" w:type="pct"/>
            <w:shd w:val="clear" w:color="auto" w:fill="auto"/>
            <w:vAlign w:val="bottom"/>
          </w:tcPr>
          <w:p w:rsidR="000648B5" w:rsidRPr="00E148FC" w:rsidRDefault="000648B5" w:rsidP="00364028">
            <w:pPr>
              <w:pStyle w:val="TableText"/>
              <w:jc w:val="center"/>
            </w:pPr>
            <w:r w:rsidRPr="00E148FC">
              <w:t>-2.74 (-3.74, -1.74)</w:t>
            </w:r>
          </w:p>
        </w:tc>
      </w:tr>
      <w:tr w:rsidR="000648B5" w:rsidRPr="00E148FC" w:rsidTr="00381293">
        <w:trPr>
          <w:jc w:val="center"/>
        </w:trPr>
        <w:tc>
          <w:tcPr>
            <w:tcW w:w="3602" w:type="pct"/>
            <w:gridSpan w:val="4"/>
            <w:shd w:val="clear" w:color="auto" w:fill="auto"/>
            <w:vAlign w:val="center"/>
          </w:tcPr>
          <w:p w:rsidR="000648B5" w:rsidRPr="00E148FC" w:rsidRDefault="000648B5" w:rsidP="00364028">
            <w:pPr>
              <w:pStyle w:val="TableText"/>
              <w:jc w:val="right"/>
            </w:pPr>
            <w:r w:rsidRPr="00E148FC">
              <w:t>Indirect mean difference &lt; 0 favours semaglutide</w:t>
            </w:r>
          </w:p>
        </w:tc>
        <w:tc>
          <w:tcPr>
            <w:tcW w:w="1398" w:type="pct"/>
            <w:shd w:val="clear" w:color="auto" w:fill="auto"/>
            <w:vAlign w:val="center"/>
          </w:tcPr>
          <w:p w:rsidR="000648B5" w:rsidRPr="00E148FC" w:rsidRDefault="000648B5" w:rsidP="00364028">
            <w:pPr>
              <w:pStyle w:val="Tabletext0"/>
              <w:keepNext/>
              <w:keepLines/>
              <w:jc w:val="center"/>
              <w:rPr>
                <w:b/>
                <w:szCs w:val="20"/>
              </w:rPr>
            </w:pPr>
            <w:r w:rsidRPr="00E148FC">
              <w:rPr>
                <w:b/>
                <w:szCs w:val="20"/>
              </w:rPr>
              <w:t>-2.32 (-3.75, -0.89)</w:t>
            </w:r>
          </w:p>
        </w:tc>
      </w:tr>
    </w:tbl>
    <w:p w:rsidR="000648B5" w:rsidRPr="00E148FC" w:rsidRDefault="000648B5" w:rsidP="000648B5">
      <w:pPr>
        <w:pStyle w:val="TableFooter"/>
      </w:pPr>
      <w:r w:rsidRPr="00E148FC">
        <w:t>Source: Table 2.6.4, p82; Table 2.6.5, p83 of the submission; Attachment 5 of the submission.</w:t>
      </w:r>
    </w:p>
    <w:p w:rsidR="000648B5" w:rsidRPr="00E148FC" w:rsidRDefault="000648B5" w:rsidP="000648B5">
      <w:pPr>
        <w:pStyle w:val="TableFooter"/>
      </w:pPr>
      <w:r w:rsidRPr="00E148FC">
        <w:t>Abbreviations: CI, confidence interval; LSM, least square mean; SE, standard error; MD, mean difference; bold = statistically significant</w:t>
      </w:r>
    </w:p>
    <w:p w:rsidR="000648B5" w:rsidRPr="00E148FC" w:rsidRDefault="000648B5" w:rsidP="000648B5">
      <w:pPr>
        <w:pStyle w:val="TableFooter"/>
      </w:pPr>
      <w:r w:rsidRPr="00E148FC">
        <w:t>Note: SE were calculated with the assumption of a normal distribution.</w:t>
      </w:r>
    </w:p>
    <w:p w:rsidR="000648B5" w:rsidRPr="00E148FC" w:rsidRDefault="000648B5" w:rsidP="000648B5">
      <w:pPr>
        <w:pStyle w:val="TableFooter"/>
      </w:pPr>
    </w:p>
    <w:p w:rsidR="000648B5" w:rsidRPr="00E148FC" w:rsidRDefault="000648B5" w:rsidP="000648B5">
      <w:pPr>
        <w:pStyle w:val="ExecSumBodyText"/>
        <w:rPr>
          <w:snapToGrid/>
        </w:rPr>
      </w:pPr>
      <w:r w:rsidRPr="00E148FC">
        <w:rPr>
          <w:snapToGrid/>
        </w:rPr>
        <w:t>Change from baseline in body weight was statistically significantly greater in the semaglutide 1.0 mg arm compared to exenatide, but not for semaglutide 0.5 mg versus exenatide. There were large differences in change from baseline in body weight between placebo arms of the trials</w:t>
      </w:r>
      <w:r w:rsidR="00527017" w:rsidRPr="00E148FC">
        <w:rPr>
          <w:snapToGrid/>
        </w:rPr>
        <w:t xml:space="preserve"> (mean</w:t>
      </w:r>
      <w:r w:rsidR="00953114" w:rsidRPr="00E148FC">
        <w:rPr>
          <w:snapToGrid/>
        </w:rPr>
        <w:t xml:space="preserve"> change from baseline in </w:t>
      </w:r>
      <w:r w:rsidR="00527017" w:rsidRPr="00E148FC">
        <w:rPr>
          <w:snapToGrid/>
        </w:rPr>
        <w:t xml:space="preserve">body weight </w:t>
      </w:r>
      <w:r w:rsidR="00953114" w:rsidRPr="00E148FC">
        <w:rPr>
          <w:snapToGrid/>
        </w:rPr>
        <w:t>-1.36 kg versus +0.96 kg)</w:t>
      </w:r>
      <w:r w:rsidRPr="00E148FC">
        <w:rPr>
          <w:snapToGrid/>
        </w:rPr>
        <w:t>.</w:t>
      </w:r>
    </w:p>
    <w:p w:rsidR="00B60939" w:rsidRPr="00E148FC" w:rsidRDefault="00B60939" w:rsidP="00D86231">
      <w:pPr>
        <w:pStyle w:val="3-SubsectionHeading"/>
      </w:pPr>
      <w:bookmarkStart w:id="23" w:name="_Toc22897642"/>
      <w:bookmarkStart w:id="24" w:name="_Toc62027972"/>
      <w:r w:rsidRPr="00E148FC">
        <w:t>Comparative harms</w:t>
      </w:r>
      <w:bookmarkEnd w:id="23"/>
      <w:bookmarkEnd w:id="24"/>
    </w:p>
    <w:p w:rsidR="009256D1" w:rsidRPr="00E148FC" w:rsidRDefault="009256D1" w:rsidP="00364028">
      <w:pPr>
        <w:pStyle w:val="ExecSumBodyText"/>
      </w:pPr>
      <w:r w:rsidRPr="00E148FC">
        <w:t>Key adverse events from the SUSTAIN 5 trial are summarised in the table below.</w:t>
      </w:r>
    </w:p>
    <w:p w:rsidR="009256D1" w:rsidRPr="00E148FC" w:rsidRDefault="009256D1" w:rsidP="009256D1">
      <w:pPr>
        <w:pStyle w:val="TableHeading"/>
        <w:spacing w:after="0"/>
        <w:jc w:val="both"/>
      </w:pPr>
      <w:r w:rsidRPr="00E148FC">
        <w:t xml:space="preserve">Table </w:t>
      </w:r>
      <w:r w:rsidR="00DF16BF" w:rsidRPr="00E148FC">
        <w:t>11</w:t>
      </w:r>
      <w:r w:rsidRPr="00E148FC">
        <w:t xml:space="preserve">: Summary of key adverse events in the SUSTAIN 5 trial (on-treatment without rescue medication analysis)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967"/>
        <w:gridCol w:w="1968"/>
        <w:gridCol w:w="1968"/>
      </w:tblGrid>
      <w:tr w:rsidR="009256D1" w:rsidRPr="00E148FC" w:rsidTr="00364028">
        <w:trPr>
          <w:tblHeader/>
        </w:trPr>
        <w:tc>
          <w:tcPr>
            <w:tcW w:w="3114" w:type="dxa"/>
            <w:tcBorders>
              <w:top w:val="single" w:sz="4" w:space="0" w:color="auto"/>
              <w:bottom w:val="single" w:sz="4" w:space="0" w:color="auto"/>
            </w:tcBorders>
            <w:vAlign w:val="center"/>
          </w:tcPr>
          <w:p w:rsidR="009256D1" w:rsidRPr="00E148FC" w:rsidRDefault="009256D1" w:rsidP="00364028">
            <w:pPr>
              <w:pStyle w:val="Tableheadingrow"/>
              <w:rPr>
                <w:lang w:val="en-AU"/>
              </w:rPr>
            </w:pPr>
            <w:r w:rsidRPr="00E148FC">
              <w:rPr>
                <w:lang w:val="en-AU"/>
              </w:rPr>
              <w:t>Adverse event of interest</w:t>
            </w:r>
          </w:p>
        </w:tc>
        <w:tc>
          <w:tcPr>
            <w:tcW w:w="1967" w:type="dxa"/>
            <w:tcBorders>
              <w:top w:val="single" w:sz="4" w:space="0" w:color="auto"/>
              <w:bottom w:val="single" w:sz="4" w:space="0" w:color="auto"/>
            </w:tcBorders>
            <w:vAlign w:val="center"/>
          </w:tcPr>
          <w:p w:rsidR="009256D1" w:rsidRPr="00E148FC" w:rsidRDefault="009256D1" w:rsidP="00364028">
            <w:pPr>
              <w:pStyle w:val="Tableheadingrow"/>
              <w:jc w:val="center"/>
              <w:rPr>
                <w:lang w:val="en-AU"/>
              </w:rPr>
            </w:pPr>
            <w:r w:rsidRPr="00E148FC">
              <w:rPr>
                <w:lang w:val="en-AU"/>
              </w:rPr>
              <w:t>Semaglutide 0.5 mg</w:t>
            </w:r>
          </w:p>
          <w:p w:rsidR="009256D1" w:rsidRPr="00E148FC" w:rsidRDefault="009256D1" w:rsidP="00364028">
            <w:pPr>
              <w:pStyle w:val="Tableheadingrow"/>
              <w:jc w:val="center"/>
              <w:rPr>
                <w:lang w:val="en-AU"/>
              </w:rPr>
            </w:pPr>
            <w:r w:rsidRPr="00E148FC">
              <w:rPr>
                <w:lang w:val="en-AU"/>
              </w:rPr>
              <w:t>N=132, n (%)</w:t>
            </w:r>
          </w:p>
        </w:tc>
        <w:tc>
          <w:tcPr>
            <w:tcW w:w="1968" w:type="dxa"/>
            <w:tcBorders>
              <w:top w:val="single" w:sz="4" w:space="0" w:color="auto"/>
              <w:bottom w:val="single" w:sz="4" w:space="0" w:color="auto"/>
            </w:tcBorders>
            <w:vAlign w:val="center"/>
          </w:tcPr>
          <w:p w:rsidR="009256D1" w:rsidRPr="00E148FC" w:rsidRDefault="009256D1" w:rsidP="00364028">
            <w:pPr>
              <w:pStyle w:val="Tableheadingrow"/>
              <w:jc w:val="center"/>
              <w:rPr>
                <w:lang w:val="en-AU"/>
              </w:rPr>
            </w:pPr>
            <w:r w:rsidRPr="00E148FC">
              <w:rPr>
                <w:lang w:val="en-AU"/>
              </w:rPr>
              <w:t>Semaglutide 1.0 mg</w:t>
            </w:r>
          </w:p>
          <w:p w:rsidR="009256D1" w:rsidRPr="00E148FC" w:rsidRDefault="009256D1" w:rsidP="00364028">
            <w:pPr>
              <w:pStyle w:val="Tableheadingrow"/>
              <w:jc w:val="center"/>
              <w:rPr>
                <w:lang w:val="en-AU"/>
              </w:rPr>
            </w:pPr>
            <w:r w:rsidRPr="00E148FC">
              <w:rPr>
                <w:lang w:val="en-AU"/>
              </w:rPr>
              <w:t>N=131, n (%)</w:t>
            </w:r>
          </w:p>
        </w:tc>
        <w:tc>
          <w:tcPr>
            <w:tcW w:w="1968" w:type="dxa"/>
            <w:tcBorders>
              <w:top w:val="single" w:sz="4" w:space="0" w:color="auto"/>
              <w:bottom w:val="single" w:sz="4" w:space="0" w:color="auto"/>
            </w:tcBorders>
            <w:vAlign w:val="center"/>
          </w:tcPr>
          <w:p w:rsidR="009256D1" w:rsidRPr="00E148FC" w:rsidRDefault="009256D1" w:rsidP="00364028">
            <w:pPr>
              <w:pStyle w:val="Tableheadingrow"/>
              <w:jc w:val="center"/>
              <w:rPr>
                <w:lang w:val="en-AU"/>
              </w:rPr>
            </w:pPr>
            <w:r w:rsidRPr="00E148FC">
              <w:rPr>
                <w:lang w:val="en-AU"/>
              </w:rPr>
              <w:t>Placebo</w:t>
            </w:r>
          </w:p>
          <w:p w:rsidR="009256D1" w:rsidRPr="00E148FC" w:rsidRDefault="009256D1" w:rsidP="00364028">
            <w:pPr>
              <w:pStyle w:val="Tableheadingrow"/>
              <w:jc w:val="center"/>
              <w:rPr>
                <w:lang w:val="en-AU"/>
              </w:rPr>
            </w:pPr>
            <w:r w:rsidRPr="00E148FC">
              <w:rPr>
                <w:lang w:val="en-AU"/>
              </w:rPr>
              <w:t>N=133, n (%)</w:t>
            </w:r>
          </w:p>
        </w:tc>
      </w:tr>
      <w:tr w:rsidR="009256D1" w:rsidRPr="00E148FC" w:rsidTr="00364028">
        <w:trPr>
          <w:tblHeader/>
        </w:trPr>
        <w:tc>
          <w:tcPr>
            <w:tcW w:w="3114" w:type="dxa"/>
            <w:tcBorders>
              <w:top w:val="single" w:sz="4" w:space="0" w:color="auto"/>
              <w:bottom w:val="single" w:sz="4" w:space="0" w:color="auto"/>
            </w:tcBorders>
            <w:vAlign w:val="center"/>
          </w:tcPr>
          <w:p w:rsidR="009256D1" w:rsidRPr="00E148FC" w:rsidRDefault="009256D1" w:rsidP="00364028">
            <w:pPr>
              <w:pStyle w:val="Tableheadingrow"/>
              <w:rPr>
                <w:lang w:val="en-AU"/>
              </w:rPr>
            </w:pPr>
            <w:r w:rsidRPr="00E148FC">
              <w:rPr>
                <w:b w:val="0"/>
                <w:lang w:val="en-AU"/>
              </w:rPr>
              <w:t>Any adverse event</w:t>
            </w:r>
          </w:p>
        </w:tc>
        <w:tc>
          <w:tcPr>
            <w:tcW w:w="1967" w:type="dxa"/>
            <w:tcBorders>
              <w:top w:val="single" w:sz="4" w:space="0" w:color="auto"/>
              <w:bottom w:val="single" w:sz="4" w:space="0" w:color="auto"/>
            </w:tcBorders>
            <w:vAlign w:val="center"/>
          </w:tcPr>
          <w:p w:rsidR="009256D1" w:rsidRPr="00E148FC" w:rsidRDefault="009256D1" w:rsidP="00364028">
            <w:pPr>
              <w:pStyle w:val="Tableheadingrow"/>
              <w:jc w:val="center"/>
              <w:rPr>
                <w:lang w:val="en-AU"/>
              </w:rPr>
            </w:pPr>
            <w:r w:rsidRPr="00E148FC">
              <w:rPr>
                <w:b w:val="0"/>
                <w:lang w:val="en-AU"/>
              </w:rPr>
              <w:t>91 (68.9)</w:t>
            </w:r>
          </w:p>
        </w:tc>
        <w:tc>
          <w:tcPr>
            <w:tcW w:w="1968" w:type="dxa"/>
            <w:tcBorders>
              <w:top w:val="single" w:sz="4" w:space="0" w:color="auto"/>
              <w:bottom w:val="single" w:sz="4" w:space="0" w:color="auto"/>
            </w:tcBorders>
            <w:vAlign w:val="center"/>
          </w:tcPr>
          <w:p w:rsidR="009256D1" w:rsidRPr="00E148FC" w:rsidRDefault="009256D1" w:rsidP="00364028">
            <w:pPr>
              <w:pStyle w:val="Tableheadingrow"/>
              <w:jc w:val="center"/>
              <w:rPr>
                <w:lang w:val="en-AU"/>
              </w:rPr>
            </w:pPr>
            <w:r w:rsidRPr="00E148FC">
              <w:rPr>
                <w:b w:val="0"/>
                <w:lang w:val="en-AU"/>
              </w:rPr>
              <w:t>84 (64.1)</w:t>
            </w:r>
          </w:p>
        </w:tc>
        <w:tc>
          <w:tcPr>
            <w:tcW w:w="1968" w:type="dxa"/>
            <w:tcBorders>
              <w:top w:val="single" w:sz="4" w:space="0" w:color="auto"/>
              <w:bottom w:val="single" w:sz="4" w:space="0" w:color="auto"/>
            </w:tcBorders>
            <w:vAlign w:val="center"/>
          </w:tcPr>
          <w:p w:rsidR="009256D1" w:rsidRPr="00E148FC" w:rsidRDefault="009256D1" w:rsidP="00364028">
            <w:pPr>
              <w:pStyle w:val="Tableheadingrow"/>
              <w:jc w:val="center"/>
              <w:rPr>
                <w:lang w:val="en-AU"/>
              </w:rPr>
            </w:pPr>
            <w:r w:rsidRPr="00E148FC">
              <w:rPr>
                <w:b w:val="0"/>
                <w:lang w:val="en-AU"/>
              </w:rPr>
              <w:t>77 (57.9)</w:t>
            </w:r>
          </w:p>
        </w:tc>
      </w:tr>
      <w:tr w:rsidR="009256D1" w:rsidRPr="00E148FC" w:rsidTr="00364028">
        <w:trPr>
          <w:tblHeader/>
        </w:trPr>
        <w:tc>
          <w:tcPr>
            <w:tcW w:w="3114" w:type="dxa"/>
            <w:tcBorders>
              <w:top w:val="single" w:sz="4" w:space="0" w:color="auto"/>
              <w:bottom w:val="single" w:sz="4" w:space="0" w:color="auto"/>
            </w:tcBorders>
            <w:vAlign w:val="center"/>
          </w:tcPr>
          <w:p w:rsidR="009256D1" w:rsidRPr="00E148FC" w:rsidRDefault="009256D1" w:rsidP="00364028">
            <w:pPr>
              <w:pStyle w:val="Tableheadingrow"/>
              <w:rPr>
                <w:lang w:val="en-AU"/>
              </w:rPr>
            </w:pPr>
            <w:r w:rsidRPr="00E148FC">
              <w:rPr>
                <w:b w:val="0"/>
                <w:lang w:val="en-AU"/>
              </w:rPr>
              <w:t>Serious adverse event</w:t>
            </w:r>
          </w:p>
        </w:tc>
        <w:tc>
          <w:tcPr>
            <w:tcW w:w="1967" w:type="dxa"/>
            <w:tcBorders>
              <w:top w:val="single" w:sz="4" w:space="0" w:color="auto"/>
              <w:bottom w:val="single" w:sz="4" w:space="0" w:color="auto"/>
            </w:tcBorders>
            <w:vAlign w:val="center"/>
          </w:tcPr>
          <w:p w:rsidR="009256D1" w:rsidRPr="00E148FC" w:rsidRDefault="009256D1" w:rsidP="00364028">
            <w:pPr>
              <w:pStyle w:val="Tableheadingrow"/>
              <w:jc w:val="center"/>
              <w:rPr>
                <w:lang w:val="en-AU"/>
              </w:rPr>
            </w:pPr>
            <w:r w:rsidRPr="00E148FC">
              <w:rPr>
                <w:b w:val="0"/>
                <w:lang w:val="en-AU"/>
              </w:rPr>
              <w:t>8 (6.1)</w:t>
            </w:r>
          </w:p>
        </w:tc>
        <w:tc>
          <w:tcPr>
            <w:tcW w:w="1968" w:type="dxa"/>
            <w:tcBorders>
              <w:top w:val="single" w:sz="4" w:space="0" w:color="auto"/>
              <w:bottom w:val="single" w:sz="4" w:space="0" w:color="auto"/>
            </w:tcBorders>
            <w:vAlign w:val="center"/>
          </w:tcPr>
          <w:p w:rsidR="009256D1" w:rsidRPr="00E148FC" w:rsidRDefault="009256D1" w:rsidP="00364028">
            <w:pPr>
              <w:pStyle w:val="Tableheadingrow"/>
              <w:jc w:val="center"/>
              <w:rPr>
                <w:lang w:val="en-AU"/>
              </w:rPr>
            </w:pPr>
            <w:r w:rsidRPr="00E148FC">
              <w:rPr>
                <w:b w:val="0"/>
                <w:lang w:val="en-AU"/>
              </w:rPr>
              <w:t>12 (9.2)</w:t>
            </w:r>
          </w:p>
        </w:tc>
        <w:tc>
          <w:tcPr>
            <w:tcW w:w="1968" w:type="dxa"/>
            <w:tcBorders>
              <w:top w:val="single" w:sz="4" w:space="0" w:color="auto"/>
              <w:bottom w:val="single" w:sz="4" w:space="0" w:color="auto"/>
            </w:tcBorders>
            <w:vAlign w:val="center"/>
          </w:tcPr>
          <w:p w:rsidR="009256D1" w:rsidRPr="00E148FC" w:rsidRDefault="009256D1" w:rsidP="00364028">
            <w:pPr>
              <w:pStyle w:val="Tableheadingrow"/>
              <w:jc w:val="center"/>
              <w:rPr>
                <w:lang w:val="en-AU"/>
              </w:rPr>
            </w:pPr>
            <w:r w:rsidRPr="00E148FC">
              <w:rPr>
                <w:b w:val="0"/>
                <w:lang w:val="en-AU"/>
              </w:rPr>
              <w:t>9 (6.8)</w:t>
            </w:r>
          </w:p>
        </w:tc>
      </w:tr>
      <w:tr w:rsidR="009256D1" w:rsidRPr="00E148FC" w:rsidTr="00364028">
        <w:trPr>
          <w:tblHeader/>
        </w:trPr>
        <w:tc>
          <w:tcPr>
            <w:tcW w:w="3114" w:type="dxa"/>
            <w:tcBorders>
              <w:top w:val="single" w:sz="4" w:space="0" w:color="auto"/>
              <w:bottom w:val="single" w:sz="4" w:space="0" w:color="auto"/>
            </w:tcBorders>
            <w:vAlign w:val="center"/>
          </w:tcPr>
          <w:p w:rsidR="009256D1" w:rsidRPr="00E148FC" w:rsidRDefault="009256D1" w:rsidP="00364028">
            <w:pPr>
              <w:pStyle w:val="Tableheadingrow"/>
              <w:rPr>
                <w:lang w:val="en-AU"/>
              </w:rPr>
            </w:pPr>
            <w:r w:rsidRPr="00E148FC">
              <w:rPr>
                <w:b w:val="0"/>
                <w:lang w:val="en-AU"/>
              </w:rPr>
              <w:t>Discontinuation due to adverse event</w:t>
            </w:r>
          </w:p>
        </w:tc>
        <w:tc>
          <w:tcPr>
            <w:tcW w:w="1967" w:type="dxa"/>
            <w:tcBorders>
              <w:top w:val="single" w:sz="4" w:space="0" w:color="auto"/>
              <w:bottom w:val="single" w:sz="4" w:space="0" w:color="auto"/>
            </w:tcBorders>
            <w:vAlign w:val="center"/>
          </w:tcPr>
          <w:p w:rsidR="009256D1" w:rsidRPr="00E148FC" w:rsidRDefault="009256D1" w:rsidP="00364028">
            <w:pPr>
              <w:pStyle w:val="Tableheadingrow"/>
              <w:jc w:val="center"/>
              <w:rPr>
                <w:lang w:val="en-AU"/>
              </w:rPr>
            </w:pPr>
            <w:r w:rsidRPr="00E148FC">
              <w:rPr>
                <w:b w:val="0"/>
                <w:lang w:val="en-AU"/>
              </w:rPr>
              <w:t>6 (4.5)</w:t>
            </w:r>
          </w:p>
        </w:tc>
        <w:tc>
          <w:tcPr>
            <w:tcW w:w="1968" w:type="dxa"/>
            <w:tcBorders>
              <w:top w:val="single" w:sz="4" w:space="0" w:color="auto"/>
              <w:bottom w:val="single" w:sz="4" w:space="0" w:color="auto"/>
            </w:tcBorders>
            <w:vAlign w:val="center"/>
          </w:tcPr>
          <w:p w:rsidR="009256D1" w:rsidRPr="00E148FC" w:rsidRDefault="009256D1" w:rsidP="00364028">
            <w:pPr>
              <w:pStyle w:val="Tableheadingrow"/>
              <w:jc w:val="center"/>
              <w:rPr>
                <w:lang w:val="en-AU"/>
              </w:rPr>
            </w:pPr>
            <w:r w:rsidRPr="00E148FC">
              <w:rPr>
                <w:b w:val="0"/>
                <w:lang w:val="en-AU"/>
              </w:rPr>
              <w:t>8 (6.1)</w:t>
            </w:r>
          </w:p>
        </w:tc>
        <w:tc>
          <w:tcPr>
            <w:tcW w:w="1968" w:type="dxa"/>
            <w:tcBorders>
              <w:top w:val="single" w:sz="4" w:space="0" w:color="auto"/>
              <w:bottom w:val="single" w:sz="4" w:space="0" w:color="auto"/>
            </w:tcBorders>
            <w:vAlign w:val="center"/>
          </w:tcPr>
          <w:p w:rsidR="009256D1" w:rsidRPr="00E148FC" w:rsidRDefault="009256D1" w:rsidP="00364028">
            <w:pPr>
              <w:pStyle w:val="Tableheadingrow"/>
              <w:jc w:val="center"/>
              <w:rPr>
                <w:lang w:val="en-AU"/>
              </w:rPr>
            </w:pPr>
            <w:r w:rsidRPr="00E148FC">
              <w:rPr>
                <w:b w:val="0"/>
                <w:lang w:val="en-AU"/>
              </w:rPr>
              <w:t>1 (0.8)</w:t>
            </w:r>
          </w:p>
        </w:tc>
      </w:tr>
      <w:tr w:rsidR="009256D1" w:rsidRPr="00E148FC" w:rsidTr="00364028">
        <w:trPr>
          <w:tblHeader/>
        </w:trPr>
        <w:tc>
          <w:tcPr>
            <w:tcW w:w="3114" w:type="dxa"/>
            <w:tcBorders>
              <w:top w:val="single" w:sz="4" w:space="0" w:color="auto"/>
              <w:bottom w:val="single" w:sz="4" w:space="0" w:color="auto"/>
            </w:tcBorders>
            <w:vAlign w:val="center"/>
          </w:tcPr>
          <w:p w:rsidR="009256D1" w:rsidRPr="00E148FC" w:rsidRDefault="009256D1" w:rsidP="00364028">
            <w:pPr>
              <w:pStyle w:val="Tableheadingrow"/>
              <w:rPr>
                <w:lang w:val="en-AU"/>
              </w:rPr>
            </w:pPr>
            <w:r w:rsidRPr="00E148FC">
              <w:rPr>
                <w:b w:val="0"/>
                <w:lang w:val="en-AU"/>
              </w:rPr>
              <w:t>Deaths</w:t>
            </w:r>
          </w:p>
        </w:tc>
        <w:tc>
          <w:tcPr>
            <w:tcW w:w="1967" w:type="dxa"/>
            <w:tcBorders>
              <w:top w:val="single" w:sz="4" w:space="0" w:color="auto"/>
              <w:bottom w:val="single" w:sz="4" w:space="0" w:color="auto"/>
            </w:tcBorders>
            <w:vAlign w:val="center"/>
          </w:tcPr>
          <w:p w:rsidR="009256D1" w:rsidRPr="00E148FC" w:rsidRDefault="009256D1" w:rsidP="00364028">
            <w:pPr>
              <w:pStyle w:val="Tableheadingrow"/>
              <w:jc w:val="center"/>
              <w:rPr>
                <w:lang w:val="en-AU"/>
              </w:rPr>
            </w:pPr>
            <w:r w:rsidRPr="00E148FC">
              <w:rPr>
                <w:b w:val="0"/>
                <w:lang w:val="en-AU"/>
              </w:rPr>
              <w:t>0 (0)</w:t>
            </w:r>
          </w:p>
        </w:tc>
        <w:tc>
          <w:tcPr>
            <w:tcW w:w="1968" w:type="dxa"/>
            <w:tcBorders>
              <w:top w:val="single" w:sz="4" w:space="0" w:color="auto"/>
              <w:bottom w:val="single" w:sz="4" w:space="0" w:color="auto"/>
            </w:tcBorders>
            <w:vAlign w:val="center"/>
          </w:tcPr>
          <w:p w:rsidR="009256D1" w:rsidRPr="00E148FC" w:rsidRDefault="009256D1" w:rsidP="00364028">
            <w:pPr>
              <w:pStyle w:val="Tableheadingrow"/>
              <w:jc w:val="center"/>
              <w:rPr>
                <w:lang w:val="en-AU"/>
              </w:rPr>
            </w:pPr>
            <w:r w:rsidRPr="00E148FC">
              <w:rPr>
                <w:b w:val="0"/>
                <w:lang w:val="en-AU"/>
              </w:rPr>
              <w:t>0 (0)</w:t>
            </w:r>
          </w:p>
        </w:tc>
        <w:tc>
          <w:tcPr>
            <w:tcW w:w="1968" w:type="dxa"/>
            <w:tcBorders>
              <w:top w:val="single" w:sz="4" w:space="0" w:color="auto"/>
              <w:bottom w:val="single" w:sz="4" w:space="0" w:color="auto"/>
            </w:tcBorders>
            <w:vAlign w:val="center"/>
          </w:tcPr>
          <w:p w:rsidR="009256D1" w:rsidRPr="00E148FC" w:rsidRDefault="009256D1" w:rsidP="00364028">
            <w:pPr>
              <w:pStyle w:val="Tableheadingrow"/>
              <w:jc w:val="center"/>
              <w:rPr>
                <w:lang w:val="en-AU"/>
              </w:rPr>
            </w:pPr>
            <w:r w:rsidRPr="00E148FC">
              <w:rPr>
                <w:b w:val="0"/>
                <w:lang w:val="en-AU"/>
              </w:rPr>
              <w:t>0 (0)</w:t>
            </w:r>
          </w:p>
        </w:tc>
      </w:tr>
      <w:tr w:rsidR="009256D1" w:rsidRPr="00E148FC" w:rsidTr="00364028">
        <w:tc>
          <w:tcPr>
            <w:tcW w:w="3114" w:type="dxa"/>
            <w:tcBorders>
              <w:top w:val="single" w:sz="4" w:space="0" w:color="auto"/>
            </w:tcBorders>
            <w:vAlign w:val="center"/>
          </w:tcPr>
          <w:p w:rsidR="009256D1" w:rsidRPr="00E148FC" w:rsidRDefault="009256D1" w:rsidP="00364028">
            <w:pPr>
              <w:pStyle w:val="TableText"/>
            </w:pPr>
            <w:r w:rsidRPr="00E148FC">
              <w:t>Gastrointestinal adverse events</w:t>
            </w:r>
          </w:p>
        </w:tc>
        <w:tc>
          <w:tcPr>
            <w:tcW w:w="1967" w:type="dxa"/>
            <w:tcBorders>
              <w:top w:val="single" w:sz="4" w:space="0" w:color="auto"/>
            </w:tcBorders>
            <w:vAlign w:val="center"/>
          </w:tcPr>
          <w:p w:rsidR="009256D1" w:rsidRPr="00E148FC" w:rsidRDefault="009256D1" w:rsidP="00364028">
            <w:pPr>
              <w:pStyle w:val="TableText"/>
              <w:jc w:val="center"/>
            </w:pPr>
            <w:r w:rsidRPr="00E148FC">
              <w:t>36 (27.3)</w:t>
            </w:r>
          </w:p>
        </w:tc>
        <w:tc>
          <w:tcPr>
            <w:tcW w:w="1968" w:type="dxa"/>
            <w:tcBorders>
              <w:top w:val="single" w:sz="4" w:space="0" w:color="auto"/>
            </w:tcBorders>
            <w:vAlign w:val="center"/>
          </w:tcPr>
          <w:p w:rsidR="009256D1" w:rsidRPr="00E148FC" w:rsidRDefault="009256D1" w:rsidP="00364028">
            <w:pPr>
              <w:pStyle w:val="TableText"/>
              <w:jc w:val="center"/>
            </w:pPr>
            <w:r w:rsidRPr="00E148FC">
              <w:t>45 (34.4)</w:t>
            </w:r>
          </w:p>
        </w:tc>
        <w:tc>
          <w:tcPr>
            <w:tcW w:w="1968" w:type="dxa"/>
            <w:tcBorders>
              <w:top w:val="single" w:sz="4" w:space="0" w:color="auto"/>
            </w:tcBorders>
            <w:vAlign w:val="center"/>
          </w:tcPr>
          <w:p w:rsidR="009256D1" w:rsidRPr="00E148FC" w:rsidRDefault="009256D1" w:rsidP="00364028">
            <w:pPr>
              <w:pStyle w:val="TableText"/>
              <w:jc w:val="center"/>
            </w:pPr>
            <w:r w:rsidRPr="00E148FC">
              <w:t>21 (15.8)</w:t>
            </w:r>
          </w:p>
        </w:tc>
      </w:tr>
      <w:tr w:rsidR="009256D1" w:rsidRPr="00E148FC" w:rsidTr="00364028">
        <w:tc>
          <w:tcPr>
            <w:tcW w:w="3114" w:type="dxa"/>
            <w:vAlign w:val="center"/>
          </w:tcPr>
          <w:p w:rsidR="009256D1" w:rsidRPr="00E148FC" w:rsidRDefault="009256D1" w:rsidP="00364028">
            <w:pPr>
              <w:pStyle w:val="TableText"/>
              <w:ind w:left="313"/>
            </w:pPr>
            <w:r w:rsidRPr="00E148FC">
              <w:t>Nausea</w:t>
            </w:r>
          </w:p>
        </w:tc>
        <w:tc>
          <w:tcPr>
            <w:tcW w:w="1967" w:type="dxa"/>
            <w:vAlign w:val="center"/>
          </w:tcPr>
          <w:p w:rsidR="009256D1" w:rsidRPr="00E148FC" w:rsidRDefault="009256D1" w:rsidP="00364028">
            <w:pPr>
              <w:pStyle w:val="TableText"/>
              <w:jc w:val="center"/>
            </w:pPr>
            <w:r w:rsidRPr="00E148FC">
              <w:t>15 (11.4)</w:t>
            </w:r>
          </w:p>
        </w:tc>
        <w:tc>
          <w:tcPr>
            <w:tcW w:w="1968" w:type="dxa"/>
            <w:vAlign w:val="center"/>
          </w:tcPr>
          <w:p w:rsidR="009256D1" w:rsidRPr="00E148FC" w:rsidRDefault="009256D1" w:rsidP="00364028">
            <w:pPr>
              <w:pStyle w:val="TableText"/>
              <w:jc w:val="center"/>
            </w:pPr>
            <w:r w:rsidRPr="00E148FC">
              <w:t>22 (16.8)</w:t>
            </w:r>
          </w:p>
        </w:tc>
        <w:tc>
          <w:tcPr>
            <w:tcW w:w="1968" w:type="dxa"/>
            <w:vAlign w:val="center"/>
          </w:tcPr>
          <w:p w:rsidR="009256D1" w:rsidRPr="00E148FC" w:rsidRDefault="009256D1" w:rsidP="00364028">
            <w:pPr>
              <w:pStyle w:val="TableText"/>
              <w:jc w:val="center"/>
            </w:pPr>
            <w:r w:rsidRPr="00E148FC">
              <w:t>6 (4.5)</w:t>
            </w:r>
          </w:p>
        </w:tc>
      </w:tr>
      <w:tr w:rsidR="009256D1" w:rsidRPr="00E148FC" w:rsidTr="00364028">
        <w:tc>
          <w:tcPr>
            <w:tcW w:w="3114" w:type="dxa"/>
            <w:vAlign w:val="center"/>
          </w:tcPr>
          <w:p w:rsidR="009256D1" w:rsidRPr="00E148FC" w:rsidRDefault="009256D1" w:rsidP="00364028">
            <w:pPr>
              <w:pStyle w:val="TableText"/>
              <w:ind w:left="313"/>
            </w:pPr>
            <w:r w:rsidRPr="00E148FC">
              <w:t>Vomiting</w:t>
            </w:r>
          </w:p>
        </w:tc>
        <w:tc>
          <w:tcPr>
            <w:tcW w:w="1967" w:type="dxa"/>
            <w:vAlign w:val="center"/>
          </w:tcPr>
          <w:p w:rsidR="009256D1" w:rsidRPr="00E148FC" w:rsidRDefault="009256D1" w:rsidP="00364028">
            <w:pPr>
              <w:pStyle w:val="TableText"/>
              <w:jc w:val="center"/>
            </w:pPr>
            <w:r w:rsidRPr="00E148FC">
              <w:t>8 (6.1)</w:t>
            </w:r>
          </w:p>
        </w:tc>
        <w:tc>
          <w:tcPr>
            <w:tcW w:w="1968" w:type="dxa"/>
            <w:vAlign w:val="center"/>
          </w:tcPr>
          <w:p w:rsidR="009256D1" w:rsidRPr="00E148FC" w:rsidRDefault="009256D1" w:rsidP="00364028">
            <w:pPr>
              <w:pStyle w:val="TableText"/>
              <w:jc w:val="center"/>
            </w:pPr>
            <w:r w:rsidRPr="00E148FC">
              <w:t>15 (11.5)</w:t>
            </w:r>
          </w:p>
        </w:tc>
        <w:tc>
          <w:tcPr>
            <w:tcW w:w="1968" w:type="dxa"/>
            <w:vAlign w:val="center"/>
          </w:tcPr>
          <w:p w:rsidR="009256D1" w:rsidRPr="00E148FC" w:rsidRDefault="009256D1" w:rsidP="00364028">
            <w:pPr>
              <w:pStyle w:val="TableText"/>
              <w:jc w:val="center"/>
            </w:pPr>
            <w:r w:rsidRPr="00E148FC">
              <w:t>4 (3.0)</w:t>
            </w:r>
          </w:p>
        </w:tc>
      </w:tr>
      <w:tr w:rsidR="009256D1" w:rsidRPr="00E148FC" w:rsidTr="00364028">
        <w:tc>
          <w:tcPr>
            <w:tcW w:w="3114" w:type="dxa"/>
            <w:vAlign w:val="center"/>
          </w:tcPr>
          <w:p w:rsidR="009256D1" w:rsidRPr="00E148FC" w:rsidRDefault="009256D1" w:rsidP="00364028">
            <w:pPr>
              <w:pStyle w:val="TableText"/>
              <w:ind w:left="313"/>
            </w:pPr>
            <w:r w:rsidRPr="00E148FC">
              <w:t>Diarrhoea</w:t>
            </w:r>
          </w:p>
        </w:tc>
        <w:tc>
          <w:tcPr>
            <w:tcW w:w="1967" w:type="dxa"/>
            <w:vAlign w:val="center"/>
          </w:tcPr>
          <w:p w:rsidR="009256D1" w:rsidRPr="00E148FC" w:rsidRDefault="009256D1" w:rsidP="00364028">
            <w:pPr>
              <w:pStyle w:val="TableText"/>
              <w:jc w:val="center"/>
            </w:pPr>
            <w:r w:rsidRPr="00E148FC">
              <w:t>6 (4.5)</w:t>
            </w:r>
          </w:p>
        </w:tc>
        <w:tc>
          <w:tcPr>
            <w:tcW w:w="1968" w:type="dxa"/>
            <w:vAlign w:val="center"/>
          </w:tcPr>
          <w:p w:rsidR="009256D1" w:rsidRPr="00E148FC" w:rsidRDefault="009256D1" w:rsidP="00364028">
            <w:pPr>
              <w:pStyle w:val="TableText"/>
              <w:jc w:val="center"/>
            </w:pPr>
            <w:r w:rsidRPr="00E148FC">
              <w:t>9 (6.9)</w:t>
            </w:r>
          </w:p>
        </w:tc>
        <w:tc>
          <w:tcPr>
            <w:tcW w:w="1968" w:type="dxa"/>
            <w:vAlign w:val="center"/>
          </w:tcPr>
          <w:p w:rsidR="009256D1" w:rsidRPr="00E148FC" w:rsidRDefault="009256D1" w:rsidP="00364028">
            <w:pPr>
              <w:pStyle w:val="TableText"/>
              <w:jc w:val="center"/>
            </w:pPr>
            <w:r w:rsidRPr="00E148FC">
              <w:t>2 (1.5)</w:t>
            </w:r>
          </w:p>
        </w:tc>
      </w:tr>
    </w:tbl>
    <w:p w:rsidR="009256D1" w:rsidRPr="00E148FC" w:rsidRDefault="009256D1" w:rsidP="009256D1">
      <w:pPr>
        <w:pStyle w:val="TableFooter"/>
      </w:pPr>
      <w:r w:rsidRPr="00E148FC">
        <w:t>Source: Table 2.5.7, p74; Table 2.5.8, Table 2.5.9, p75; Table 2.5.10, Table 2.5.11, p76 of the submission</w:t>
      </w:r>
    </w:p>
    <w:p w:rsidR="009256D1" w:rsidRPr="00E148FC" w:rsidRDefault="009256D1" w:rsidP="00C648E6">
      <w:pPr>
        <w:pStyle w:val="TableFooter"/>
      </w:pPr>
      <w:r w:rsidRPr="00E148FC">
        <w:t>Abbreviations: CI, confidence interval; GI, gastrointestinal; OR, odds ratio; RD, risk difference; RR, relative risk; Sema, semaglutide</w:t>
      </w:r>
    </w:p>
    <w:p w:rsidR="00994608" w:rsidRPr="00E148FC" w:rsidRDefault="00994608" w:rsidP="00994608">
      <w:pPr>
        <w:pStyle w:val="ExecSumBodyText"/>
        <w:numPr>
          <w:ilvl w:val="0"/>
          <w:numId w:val="0"/>
        </w:numPr>
        <w:ind w:left="720" w:hanging="720"/>
        <w:rPr>
          <w:rFonts w:eastAsia="Calibri"/>
        </w:rPr>
      </w:pPr>
    </w:p>
    <w:p w:rsidR="00FB06DF" w:rsidRPr="00E148FC" w:rsidRDefault="00FB06DF" w:rsidP="00F640E7">
      <w:pPr>
        <w:pStyle w:val="ExecSumBodyText"/>
        <w:rPr>
          <w:rFonts w:eastAsia="Calibri"/>
        </w:rPr>
      </w:pPr>
      <w:r w:rsidRPr="00E148FC">
        <w:t xml:space="preserve">There were no differences between treatment groups in the number of adverse events or serious adverse events, and no treatment related pattern was observed. </w:t>
      </w:r>
      <w:r w:rsidR="005F0C10" w:rsidRPr="00E148FC">
        <w:t>The PBAC noted that g</w:t>
      </w:r>
      <w:r w:rsidRPr="00E148FC">
        <w:t>astrointestinal adverse events (a well-described side effect of GLP-1 RAs) were the most frequently reported adverse events with semaglutide, particularly nausea, vomiting and diarrhoea, all of which were reported at a higher rate and by a higher proportion of subjects with each of the semaglutide doses than with placebo.</w:t>
      </w:r>
      <w:r w:rsidR="00F640E7" w:rsidRPr="00E148FC">
        <w:t xml:space="preserve"> The PBAC considered there was only a small number of patients who discontinued in the active arms due to adverse events (4.5% and 6.1% for semaglutide 0.5 mg and 1.0 mg respectively)</w:t>
      </w:r>
      <w:r w:rsidR="00E148FC">
        <w:t xml:space="preserve">. </w:t>
      </w:r>
    </w:p>
    <w:p w:rsidR="00FB06DF" w:rsidRPr="00E148FC" w:rsidRDefault="008E0D47" w:rsidP="00FB06DF">
      <w:pPr>
        <w:pStyle w:val="ExecSumBodyText"/>
      </w:pPr>
      <w:r w:rsidRPr="00E148FC">
        <w:lastRenderedPageBreak/>
        <w:t>The evaluation considered n</w:t>
      </w:r>
      <w:r w:rsidR="00FB06DF" w:rsidRPr="00E148FC">
        <w:t xml:space="preserve">umbers of hypoglycaemic events using either the sponsor-defined “severe or blood glucose confirmed symptomatic episodes of hypoglycaemia”, or the American Diabetes Association-defined </w:t>
      </w:r>
      <w:r w:rsidR="00BA0A23" w:rsidRPr="00E148FC">
        <w:t xml:space="preserve">hypoglycaemia </w:t>
      </w:r>
      <w:r w:rsidRPr="00E148FC">
        <w:t xml:space="preserve">categories. </w:t>
      </w:r>
      <w:r w:rsidR="00F640E7" w:rsidRPr="00E148FC">
        <w:t>The PBAC noted that t</w:t>
      </w:r>
      <w:r w:rsidR="00FB06DF" w:rsidRPr="00E148FC">
        <w:t>he rate of hypoglycaemic episodes was higher in the semaglutide arms of the SUSTAIN 5 trial compared to the placebo arm</w:t>
      </w:r>
      <w:r w:rsidR="00F640E7" w:rsidRPr="00E148FC">
        <w:t xml:space="preserve"> (particularly for patients commencing treatment with an HbA1c ≤8.0% and for those on the</w:t>
      </w:r>
      <w:r w:rsidR="00527CF7" w:rsidRPr="00E148FC">
        <w:t xml:space="preserve"> higher</w:t>
      </w:r>
      <w:r w:rsidR="00F640E7" w:rsidRPr="00E148FC">
        <w:t xml:space="preserve"> 1.0 mg dose), </w:t>
      </w:r>
      <w:r w:rsidR="00FB06DF" w:rsidRPr="00E148FC">
        <w:t>but the difference was not statistically significant. The rates of severe hypoglycaemic events in all treatment arms was very low and not statistically significantly different between the semaglutide and placebo arms of SUSTAIN 5.</w:t>
      </w:r>
    </w:p>
    <w:p w:rsidR="0079674C" w:rsidRPr="00E148FC" w:rsidRDefault="00FB06DF" w:rsidP="00FB06DF">
      <w:pPr>
        <w:pStyle w:val="ExecSumBodyText"/>
      </w:pPr>
      <w:r w:rsidRPr="00E148FC">
        <w:t xml:space="preserve">The submission presented an indirect comparison of safety outcomes between semaglutide and </w:t>
      </w:r>
      <w:r w:rsidR="0079674C" w:rsidRPr="00E148FC">
        <w:t xml:space="preserve">each of the three </w:t>
      </w:r>
      <w:r w:rsidRPr="00E148FC">
        <w:t xml:space="preserve">comparators, including treatment emergent adverse events, serious adverse events, withdrawal due to an adverse event, and deaths. </w:t>
      </w:r>
      <w:r w:rsidR="005F0C10" w:rsidRPr="00E148FC">
        <w:t>The PBAC noted t</w:t>
      </w:r>
      <w:r w:rsidRPr="00E148FC">
        <w:t>here w</w:t>
      </w:r>
      <w:r w:rsidR="00D22E53" w:rsidRPr="00E148FC">
        <w:t>ere</w:t>
      </w:r>
      <w:r w:rsidRPr="00E148FC">
        <w:t xml:space="preserve"> no statistically significant difference</w:t>
      </w:r>
      <w:r w:rsidR="00D22E53" w:rsidRPr="00E148FC">
        <w:t>s</w:t>
      </w:r>
      <w:r w:rsidRPr="00E148FC">
        <w:t xml:space="preserve"> between either dose strength of semaglutide and dulaglutide</w:t>
      </w:r>
      <w:r w:rsidR="002433C1" w:rsidRPr="00E148FC">
        <w:t xml:space="preserve"> or</w:t>
      </w:r>
      <w:r w:rsidRPr="00E148FC">
        <w:t xml:space="preserve"> exenatide for any of these outcomes.</w:t>
      </w:r>
    </w:p>
    <w:p w:rsidR="00FB06DF" w:rsidRPr="00E148FC" w:rsidRDefault="0079674C" w:rsidP="00953114">
      <w:pPr>
        <w:pStyle w:val="ExecSumBodyText"/>
      </w:pPr>
      <w:r w:rsidRPr="00E148FC">
        <w:t>Results of indirect comparisons of documented hypoglycaemic events suggest that patients treated with dulaglutide have statistically significantly fewer documented hypoglycaemic events than patients treated with semaglutide 0.5 mg (Event rate ratio [ERR] vs dulaglutide 1.28, 95% CI 1.05, 1.56) or 1.0 mg (ERR vs dulaglutide 1.74, 95% CI 1.40, 2.17). The submission suggested that this may be a result of trial design differences whereby patients in SUSTAIN 5 were more limited in their ability to up- or down-titrate insulin.</w:t>
      </w:r>
      <w:r w:rsidR="00FB06DF" w:rsidRPr="00E148FC">
        <w:t xml:space="preserve"> </w:t>
      </w:r>
      <w:r w:rsidR="00953114" w:rsidRPr="00E148FC">
        <w:t>Based on differences observed in the placebo groups of SUSTAIN 5 and the comparator trials (AWARD-9</w:t>
      </w:r>
      <w:r w:rsidR="002433C1" w:rsidRPr="00E148FC">
        <w:t xml:space="preserve"> and</w:t>
      </w:r>
      <w:r w:rsidR="00953114" w:rsidRPr="00E148FC">
        <w:t xml:space="preserve"> GWCO), the differences in trial design are</w:t>
      </w:r>
      <w:r w:rsidR="00F66042" w:rsidRPr="00E148FC">
        <w:t xml:space="preserve"> also</w:t>
      </w:r>
      <w:r w:rsidR="00953114" w:rsidRPr="00E148FC">
        <w:t xml:space="preserve"> likely to impact the exchangeability of the trial results </w:t>
      </w:r>
      <w:r w:rsidR="00F66042" w:rsidRPr="00E148FC">
        <w:t xml:space="preserve">for </w:t>
      </w:r>
      <w:r w:rsidR="003E20FC" w:rsidRPr="00E148FC">
        <w:t xml:space="preserve">the </w:t>
      </w:r>
      <w:r w:rsidR="00F66042" w:rsidRPr="00E148FC">
        <w:t xml:space="preserve">hypoglycaemia outcomes. </w:t>
      </w:r>
    </w:p>
    <w:p w:rsidR="00B60939" w:rsidRPr="00E148FC" w:rsidRDefault="00B60939" w:rsidP="00953114">
      <w:pPr>
        <w:pStyle w:val="3-SubsectionHeading"/>
      </w:pPr>
      <w:bookmarkStart w:id="25" w:name="_Toc22897644"/>
      <w:bookmarkStart w:id="26" w:name="_Toc62027973"/>
      <w:r w:rsidRPr="00E148FC">
        <w:t>Clinical claim</w:t>
      </w:r>
      <w:bookmarkEnd w:id="25"/>
      <w:bookmarkEnd w:id="26"/>
    </w:p>
    <w:p w:rsidR="00887A30" w:rsidRPr="00E148FC" w:rsidRDefault="00552DE3" w:rsidP="004F4AE5">
      <w:pPr>
        <w:pStyle w:val="ExecSumBodyText"/>
        <w:rPr>
          <w:rFonts w:eastAsia="Calibri"/>
        </w:rPr>
      </w:pPr>
      <w:r w:rsidRPr="00E148FC">
        <w:rPr>
          <w:rFonts w:eastAsia="Calibri"/>
        </w:rPr>
        <w:t>The submission described semaglutide as non-inferior in terms of effectiveness compared to dulaglutide</w:t>
      </w:r>
      <w:r w:rsidR="0067361E" w:rsidRPr="00E148FC">
        <w:rPr>
          <w:rFonts w:eastAsia="Calibri"/>
        </w:rPr>
        <w:t xml:space="preserve"> and</w:t>
      </w:r>
      <w:r w:rsidRPr="00E148FC">
        <w:rPr>
          <w:rFonts w:eastAsia="Calibri"/>
        </w:rPr>
        <w:t xml:space="preserve"> exenatide tw</w:t>
      </w:r>
      <w:r w:rsidR="00F66042" w:rsidRPr="00E148FC">
        <w:rPr>
          <w:rFonts w:eastAsia="Calibri"/>
        </w:rPr>
        <w:t>ice daily. The evaluation considered</w:t>
      </w:r>
      <w:r w:rsidR="00486837" w:rsidRPr="00E148FC">
        <w:rPr>
          <w:rFonts w:eastAsia="Calibri"/>
        </w:rPr>
        <w:t xml:space="preserve"> that the</w:t>
      </w:r>
      <w:r w:rsidRPr="00E148FC">
        <w:rPr>
          <w:rFonts w:eastAsia="Calibri"/>
        </w:rPr>
        <w:t xml:space="preserve"> therapeutic conclusion presented in the submission may be reasonable, but differences in placebo group outcomes suggest that the design of the SUSTAIN 5 trial, particularly the differences in insulin titration algorithms, may limit the exchangeability of these trials.</w:t>
      </w:r>
      <w:r w:rsidR="000C6ACD" w:rsidRPr="00E148FC">
        <w:rPr>
          <w:rFonts w:eastAsia="Calibri"/>
        </w:rPr>
        <w:t xml:space="preserve"> </w:t>
      </w:r>
      <w:r w:rsidR="00486837" w:rsidRPr="00E148FC">
        <w:t>L</w:t>
      </w:r>
      <w:r w:rsidR="00365270" w:rsidRPr="00E148FC">
        <w:t xml:space="preserve">imiting the ability of patients in the SUSTAIN 5 trial to titrate insulin doses, and excluding patients who required rescue medication from the analysis, appeared to result in poorer outcomes for patients in the placebo arm of the </w:t>
      </w:r>
      <w:r w:rsidR="00365270" w:rsidRPr="00E148FC">
        <w:rPr>
          <w:rFonts w:cstheme="minorHAnsi"/>
        </w:rPr>
        <w:t>trial compared to the placebo arms in the comparator trials, which favours semaglutide</w:t>
      </w:r>
      <w:r w:rsidR="000C6ACD" w:rsidRPr="00E148FC">
        <w:rPr>
          <w:rFonts w:cstheme="minorHAnsi"/>
        </w:rPr>
        <w:t>.</w:t>
      </w:r>
      <w:r w:rsidR="00887A30" w:rsidRPr="00E148FC">
        <w:rPr>
          <w:rFonts w:cstheme="minorHAnsi"/>
        </w:rPr>
        <w:t xml:space="preserve"> </w:t>
      </w:r>
      <w:r w:rsidR="004F4AE5" w:rsidRPr="00E148FC">
        <w:rPr>
          <w:rFonts w:cstheme="minorHAnsi"/>
        </w:rPr>
        <w:t xml:space="preserve">The pre-PBAC response stated that using the alternative indirect comparisons conducted during the evaluation, i.e. not censoring for rescue medication or premature treatment discontinuations (see paragraphs 6.24 and 6.30), results for both semaglutide doses remained statistically significant in terms of a greater reduction in HbA1c compared with dulaglutide or exenatide, and that this justifies the exchangeability of the trials. The response also stated that, for the </w:t>
      </w:r>
      <w:r w:rsidR="004F4AE5" w:rsidRPr="00E148FC">
        <w:rPr>
          <w:rFonts w:cstheme="minorHAnsi"/>
        </w:rPr>
        <w:lastRenderedPageBreak/>
        <w:t xml:space="preserve">purpose of the submission, a conservative claim of non-inferiority (rather than superiority) </w:t>
      </w:r>
      <w:r w:rsidR="00527CF7" w:rsidRPr="00E148FC">
        <w:rPr>
          <w:rFonts w:cstheme="minorHAnsi"/>
        </w:rPr>
        <w:t>was</w:t>
      </w:r>
      <w:r w:rsidR="004F4AE5" w:rsidRPr="00E148FC">
        <w:rPr>
          <w:rFonts w:cstheme="minorHAnsi"/>
        </w:rPr>
        <w:t xml:space="preserve"> made with respect to relative effectiveness.</w:t>
      </w:r>
    </w:p>
    <w:p w:rsidR="0052495F" w:rsidRPr="00E148FC" w:rsidRDefault="005F7588" w:rsidP="00F66042">
      <w:pPr>
        <w:pStyle w:val="ExecSumBodyText"/>
        <w:rPr>
          <w:rFonts w:eastAsia="Calibri"/>
        </w:rPr>
      </w:pPr>
      <w:r w:rsidRPr="00E148FC">
        <w:rPr>
          <w:rFonts w:eastAsia="Calibri"/>
        </w:rPr>
        <w:t xml:space="preserve">The submission described </w:t>
      </w:r>
      <w:r w:rsidR="000C74A6" w:rsidRPr="00E148FC">
        <w:rPr>
          <w:rFonts w:eastAsia="Calibri"/>
        </w:rPr>
        <w:t>semaglutide</w:t>
      </w:r>
      <w:r w:rsidRPr="00E148FC">
        <w:rPr>
          <w:rFonts w:eastAsia="Calibri"/>
        </w:rPr>
        <w:t xml:space="preserve"> as non-inferior in term</w:t>
      </w:r>
      <w:r w:rsidR="00156F8F" w:rsidRPr="00E148FC">
        <w:rPr>
          <w:rFonts w:eastAsia="Calibri"/>
        </w:rPr>
        <w:t>s</w:t>
      </w:r>
      <w:r w:rsidRPr="00E148FC">
        <w:rPr>
          <w:rFonts w:eastAsia="Calibri"/>
        </w:rPr>
        <w:t xml:space="preserve"> of safety compared to </w:t>
      </w:r>
      <w:r w:rsidR="000C74A6" w:rsidRPr="00E148FC">
        <w:rPr>
          <w:rFonts w:eastAsia="Calibri"/>
        </w:rPr>
        <w:t>dulaglutide</w:t>
      </w:r>
      <w:r w:rsidR="0067361E" w:rsidRPr="00E148FC">
        <w:rPr>
          <w:rFonts w:eastAsia="Calibri"/>
        </w:rPr>
        <w:t xml:space="preserve"> and</w:t>
      </w:r>
      <w:r w:rsidR="000C74A6" w:rsidRPr="00E148FC">
        <w:rPr>
          <w:rFonts w:eastAsia="Calibri"/>
        </w:rPr>
        <w:t xml:space="preserve"> exenatide twice daily</w:t>
      </w:r>
      <w:r w:rsidRPr="00E148FC">
        <w:rPr>
          <w:rFonts w:eastAsia="Calibri"/>
        </w:rPr>
        <w:t xml:space="preserve">. </w:t>
      </w:r>
      <w:r w:rsidR="00F66042" w:rsidRPr="00E148FC">
        <w:rPr>
          <w:rFonts w:eastAsia="Calibri"/>
        </w:rPr>
        <w:t>The evaluation considered t</w:t>
      </w:r>
      <w:r w:rsidRPr="00E148FC">
        <w:rPr>
          <w:rFonts w:eastAsia="Calibri"/>
        </w:rPr>
        <w:t>his claim was adequately supported</w:t>
      </w:r>
      <w:r w:rsidR="007C70FF" w:rsidRPr="00E148FC">
        <w:rPr>
          <w:rFonts w:eastAsia="Calibri"/>
        </w:rPr>
        <w:t>.</w:t>
      </w:r>
      <w:r w:rsidR="006E749B" w:rsidRPr="00E148FC">
        <w:rPr>
          <w:rFonts w:eastAsia="Calibri"/>
        </w:rPr>
        <w:t xml:space="preserve"> </w:t>
      </w:r>
      <w:r w:rsidR="006E749B" w:rsidRPr="00E148FC">
        <w:t>There was a statistically significant higher rate of documented hypoglycaemia events in patients treated with semaglutide 0.5 mg or 1.0 mg compared with dulaglutide</w:t>
      </w:r>
      <w:r w:rsidR="0067361E" w:rsidRPr="00E148FC">
        <w:t>,</w:t>
      </w:r>
      <w:r w:rsidR="006E749B" w:rsidRPr="00E148FC">
        <w:t xml:space="preserve"> but this may have been a result of trial design differences, with SUSTAIN 5 participants more limited in their ability to up</w:t>
      </w:r>
      <w:r w:rsidR="004B5AF2" w:rsidRPr="00E148FC">
        <w:t>-</w:t>
      </w:r>
      <w:r w:rsidR="006E749B" w:rsidRPr="00E148FC">
        <w:t xml:space="preserve"> or down-titrate basal insulin doses compared to the comparator trials.</w:t>
      </w:r>
    </w:p>
    <w:p w:rsidR="00DB24F7" w:rsidRPr="00E148FC" w:rsidRDefault="00DB24F7" w:rsidP="00DB24F7">
      <w:pPr>
        <w:pStyle w:val="ExecSumBodyText"/>
      </w:pPr>
      <w:r w:rsidRPr="00E148FC">
        <w:t>The PBAC considered that the claim of non-inferior comparative effectiveness and safety was reasonable and adequately supported by the available data</w:t>
      </w:r>
      <w:r w:rsidR="00E148FC">
        <w:t xml:space="preserve">. </w:t>
      </w:r>
    </w:p>
    <w:p w:rsidR="00B60939" w:rsidRPr="00E148FC" w:rsidRDefault="00B60939" w:rsidP="00E9094A">
      <w:pPr>
        <w:pStyle w:val="3-SubsectionHeading"/>
      </w:pPr>
      <w:bookmarkStart w:id="27" w:name="_Toc22897645"/>
      <w:bookmarkStart w:id="28" w:name="_Toc62027974"/>
      <w:r w:rsidRPr="00E148FC">
        <w:t>Economic analysis</w:t>
      </w:r>
      <w:bookmarkEnd w:id="27"/>
      <w:bookmarkEnd w:id="28"/>
      <w:r w:rsidR="00491B3A" w:rsidRPr="00E148FC">
        <w:t xml:space="preserve"> </w:t>
      </w:r>
    </w:p>
    <w:p w:rsidR="00A86E8B" w:rsidRPr="00E148FC" w:rsidRDefault="000C74A6" w:rsidP="00BB732D">
      <w:pPr>
        <w:pStyle w:val="ExecSumBodyText"/>
      </w:pPr>
      <w:r w:rsidRPr="00E148FC">
        <w:t xml:space="preserve">The submission presented a cost-minimisation analysis comparing semaglutide 0.5 mg or 1.0 mg with dulaglutide 1.5 mg. </w:t>
      </w:r>
      <w:r w:rsidR="00A86E8B" w:rsidRPr="00E148FC">
        <w:t xml:space="preserve">The equi-effective doses </w:t>
      </w:r>
      <w:r w:rsidR="00F61C18" w:rsidRPr="00E148FC">
        <w:t>we</w:t>
      </w:r>
      <w:r w:rsidR="00A86E8B" w:rsidRPr="00E148FC">
        <w:t xml:space="preserve">re estimated as </w:t>
      </w:r>
      <w:r w:rsidRPr="00E148FC">
        <w:t>semaglutide 0.5 or 1.0 mg once weekly and dulaglutide 1.5 mg once weekly. Treatment is ongoing. The equi-effective doses were trial-based and are the same as the current TGA-approved doses for each medicine, and the same as the current PBS-listed doses for each medicine in dual/triple therapy with metformin and/or a sulfonylurea.</w:t>
      </w:r>
      <w:r w:rsidR="00BC591F" w:rsidRPr="00E148FC">
        <w:rPr>
          <w:color w:val="3366FF"/>
        </w:rPr>
        <w:t xml:space="preserve"> </w:t>
      </w:r>
    </w:p>
    <w:p w:rsidR="00816A54" w:rsidRPr="00E148FC" w:rsidRDefault="000C74A6" w:rsidP="00BB732D">
      <w:pPr>
        <w:pStyle w:val="ExecSumBodyText"/>
        <w:rPr>
          <w:color w:val="0066FF"/>
        </w:rPr>
      </w:pPr>
      <w:r w:rsidRPr="00E148FC">
        <w:t>The cost-minimisation analysis was conducted on a cost per week basis, and included drug costs only.</w:t>
      </w:r>
      <w:r w:rsidR="00816A54" w:rsidRPr="00E148FC">
        <w:t xml:space="preserve"> Results of the cost-minimisation analysis are presented in the table below.</w:t>
      </w:r>
    </w:p>
    <w:p w:rsidR="00816A54" w:rsidRPr="00E148FC" w:rsidRDefault="00816A54" w:rsidP="00816A54">
      <w:pPr>
        <w:pStyle w:val="TableFigureCaption"/>
      </w:pPr>
      <w:r w:rsidRPr="00E148FC">
        <w:t xml:space="preserve">Table </w:t>
      </w:r>
      <w:r w:rsidR="00DF16BF" w:rsidRPr="00E148FC">
        <w:t>12</w:t>
      </w:r>
      <w:r w:rsidRPr="00E148FC">
        <w:t>: Results of the cost-minimisation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3005"/>
        <w:gridCol w:w="3002"/>
      </w:tblGrid>
      <w:tr w:rsidR="00816A54" w:rsidRPr="00E148FC" w:rsidTr="00364028">
        <w:tc>
          <w:tcPr>
            <w:tcW w:w="3010" w:type="dxa"/>
          </w:tcPr>
          <w:p w:rsidR="00816A54" w:rsidRPr="00E148FC" w:rsidRDefault="00816A54" w:rsidP="00364028">
            <w:pPr>
              <w:pStyle w:val="Tableheadingrow"/>
              <w:rPr>
                <w:lang w:val="en-AU"/>
              </w:rPr>
            </w:pPr>
            <w:r w:rsidRPr="00E148FC">
              <w:rPr>
                <w:lang w:val="en-AU"/>
              </w:rPr>
              <w:t>Component</w:t>
            </w:r>
          </w:p>
        </w:tc>
        <w:tc>
          <w:tcPr>
            <w:tcW w:w="3005" w:type="dxa"/>
          </w:tcPr>
          <w:p w:rsidR="00816A54" w:rsidRPr="00E148FC" w:rsidRDefault="00816A54" w:rsidP="00364028">
            <w:pPr>
              <w:pStyle w:val="Tableheadingrow"/>
              <w:jc w:val="center"/>
              <w:rPr>
                <w:lang w:val="en-AU"/>
              </w:rPr>
            </w:pPr>
            <w:r w:rsidRPr="00E148FC">
              <w:rPr>
                <w:lang w:val="en-AU"/>
              </w:rPr>
              <w:t>Semaglutide 0.5 mg or 1.0 mg</w:t>
            </w:r>
          </w:p>
        </w:tc>
        <w:tc>
          <w:tcPr>
            <w:tcW w:w="3002" w:type="dxa"/>
          </w:tcPr>
          <w:p w:rsidR="00816A54" w:rsidRPr="00E148FC" w:rsidRDefault="00816A54" w:rsidP="00364028">
            <w:pPr>
              <w:pStyle w:val="Tableheadingrow"/>
              <w:jc w:val="center"/>
              <w:rPr>
                <w:lang w:val="en-AU"/>
              </w:rPr>
            </w:pPr>
            <w:r w:rsidRPr="00E148FC">
              <w:rPr>
                <w:lang w:val="en-AU"/>
              </w:rPr>
              <w:t>Dulaglutide 1.5 mg</w:t>
            </w:r>
          </w:p>
        </w:tc>
      </w:tr>
      <w:tr w:rsidR="00816A54" w:rsidRPr="00E148FC" w:rsidTr="00364028">
        <w:tc>
          <w:tcPr>
            <w:tcW w:w="3010" w:type="dxa"/>
          </w:tcPr>
          <w:p w:rsidR="00816A54" w:rsidRPr="00E148FC" w:rsidRDefault="00816A54" w:rsidP="00364028">
            <w:pPr>
              <w:pStyle w:val="TableText"/>
            </w:pPr>
            <w:r w:rsidRPr="00E148FC">
              <w:t>Cost per dose</w:t>
            </w:r>
          </w:p>
        </w:tc>
        <w:tc>
          <w:tcPr>
            <w:tcW w:w="3005" w:type="dxa"/>
          </w:tcPr>
          <w:p w:rsidR="00816A54" w:rsidRPr="00E148FC" w:rsidRDefault="00816A54" w:rsidP="00364028">
            <w:pPr>
              <w:pStyle w:val="TableText"/>
            </w:pPr>
            <w:r w:rsidRPr="00E148FC">
              <w:t>$27.86 (AEMP) / $33.21 (DPMQ)</w:t>
            </w:r>
          </w:p>
        </w:tc>
        <w:tc>
          <w:tcPr>
            <w:tcW w:w="3002" w:type="dxa"/>
          </w:tcPr>
          <w:p w:rsidR="00816A54" w:rsidRPr="00E148FC" w:rsidRDefault="00816A54" w:rsidP="00364028">
            <w:pPr>
              <w:pStyle w:val="TableText"/>
            </w:pPr>
            <w:r w:rsidRPr="00E148FC">
              <w:t>$27.86 (AEMP) / $33.21 (DPMQ)</w:t>
            </w:r>
          </w:p>
        </w:tc>
      </w:tr>
      <w:tr w:rsidR="00816A54" w:rsidRPr="00E148FC" w:rsidTr="00364028">
        <w:tc>
          <w:tcPr>
            <w:tcW w:w="3010" w:type="dxa"/>
          </w:tcPr>
          <w:p w:rsidR="00816A54" w:rsidRPr="00E148FC" w:rsidRDefault="00816A54" w:rsidP="00364028">
            <w:pPr>
              <w:pStyle w:val="TableText"/>
            </w:pPr>
            <w:r w:rsidRPr="00E148FC">
              <w:t>Dose duration</w:t>
            </w:r>
          </w:p>
        </w:tc>
        <w:tc>
          <w:tcPr>
            <w:tcW w:w="3005" w:type="dxa"/>
          </w:tcPr>
          <w:p w:rsidR="00816A54" w:rsidRPr="00E148FC" w:rsidRDefault="00816A54" w:rsidP="00364028">
            <w:pPr>
              <w:pStyle w:val="TableText"/>
            </w:pPr>
            <w:r w:rsidRPr="00E148FC">
              <w:t>1 week</w:t>
            </w:r>
          </w:p>
        </w:tc>
        <w:tc>
          <w:tcPr>
            <w:tcW w:w="3002" w:type="dxa"/>
          </w:tcPr>
          <w:p w:rsidR="00816A54" w:rsidRPr="00E148FC" w:rsidRDefault="00816A54" w:rsidP="00364028">
            <w:pPr>
              <w:pStyle w:val="TableText"/>
            </w:pPr>
            <w:r w:rsidRPr="00E148FC">
              <w:t>1 week</w:t>
            </w:r>
          </w:p>
        </w:tc>
      </w:tr>
      <w:tr w:rsidR="00816A54" w:rsidRPr="00E148FC" w:rsidTr="00364028">
        <w:tc>
          <w:tcPr>
            <w:tcW w:w="3010" w:type="dxa"/>
          </w:tcPr>
          <w:p w:rsidR="00816A54" w:rsidRPr="00E148FC" w:rsidRDefault="00816A54" w:rsidP="00364028">
            <w:pPr>
              <w:pStyle w:val="TableText"/>
            </w:pPr>
            <w:r w:rsidRPr="00E148FC">
              <w:t>Administrations per week</w:t>
            </w:r>
          </w:p>
        </w:tc>
        <w:tc>
          <w:tcPr>
            <w:tcW w:w="3005" w:type="dxa"/>
          </w:tcPr>
          <w:p w:rsidR="00816A54" w:rsidRPr="00E148FC" w:rsidRDefault="00816A54" w:rsidP="00364028">
            <w:pPr>
              <w:pStyle w:val="TableText"/>
            </w:pPr>
            <w:r w:rsidRPr="00E148FC">
              <w:t>1</w:t>
            </w:r>
          </w:p>
        </w:tc>
        <w:tc>
          <w:tcPr>
            <w:tcW w:w="3002" w:type="dxa"/>
          </w:tcPr>
          <w:p w:rsidR="00816A54" w:rsidRPr="00E148FC" w:rsidRDefault="00816A54" w:rsidP="00364028">
            <w:pPr>
              <w:pStyle w:val="TableText"/>
            </w:pPr>
            <w:r w:rsidRPr="00E148FC">
              <w:t>1</w:t>
            </w:r>
          </w:p>
        </w:tc>
      </w:tr>
      <w:tr w:rsidR="00816A54" w:rsidRPr="00E148FC" w:rsidTr="00364028">
        <w:tc>
          <w:tcPr>
            <w:tcW w:w="3010" w:type="dxa"/>
          </w:tcPr>
          <w:p w:rsidR="00816A54" w:rsidRPr="00E148FC" w:rsidRDefault="00816A54" w:rsidP="00364028">
            <w:pPr>
              <w:pStyle w:val="TableText"/>
            </w:pPr>
            <w:r w:rsidRPr="00E148FC">
              <w:t>Total medicine cost per week</w:t>
            </w:r>
          </w:p>
        </w:tc>
        <w:tc>
          <w:tcPr>
            <w:tcW w:w="3005" w:type="dxa"/>
          </w:tcPr>
          <w:p w:rsidR="00816A54" w:rsidRPr="00E148FC" w:rsidRDefault="00816A54" w:rsidP="00364028">
            <w:pPr>
              <w:pStyle w:val="TableText"/>
            </w:pPr>
            <w:r w:rsidRPr="00E148FC">
              <w:t>$27.86 (AEMP) / $33.21 (DPMQ)</w:t>
            </w:r>
          </w:p>
        </w:tc>
        <w:tc>
          <w:tcPr>
            <w:tcW w:w="3002" w:type="dxa"/>
          </w:tcPr>
          <w:p w:rsidR="00816A54" w:rsidRPr="00E148FC" w:rsidRDefault="00816A54" w:rsidP="00364028">
            <w:pPr>
              <w:pStyle w:val="TableText"/>
            </w:pPr>
            <w:r w:rsidRPr="00E148FC">
              <w:t>$27.86 (AEMP) / $33.21 (DPMQ)</w:t>
            </w:r>
          </w:p>
        </w:tc>
      </w:tr>
    </w:tbl>
    <w:p w:rsidR="00816A54" w:rsidRPr="00E148FC" w:rsidRDefault="00816A54" w:rsidP="00816A54">
      <w:pPr>
        <w:pStyle w:val="TableFigureFooter"/>
      </w:pPr>
      <w:r w:rsidRPr="00E148FC">
        <w:t>Source: Table 3.4.1, p104 of the submission.</w:t>
      </w:r>
    </w:p>
    <w:p w:rsidR="0061570E" w:rsidRPr="00E148FC" w:rsidRDefault="00816A54" w:rsidP="0061570E">
      <w:pPr>
        <w:pStyle w:val="TableFigureFooter"/>
      </w:pPr>
      <w:r w:rsidRPr="00E148FC">
        <w:t>Abbreviations: AEMP, approved ex-manufacturer price; DPMQ, dispensed price for maximum quantity.</w:t>
      </w:r>
    </w:p>
    <w:p w:rsidR="0061570E" w:rsidRPr="00E148FC" w:rsidRDefault="00816A54" w:rsidP="0061570E">
      <w:pPr>
        <w:pStyle w:val="ExecSumBodyText"/>
      </w:pPr>
      <w:r w:rsidRPr="00E148FC">
        <w:t xml:space="preserve">Dulaglutide and semaglutide both have </w:t>
      </w:r>
      <w:r w:rsidR="002D74EF" w:rsidRPr="00E148FC">
        <w:t>SPA</w:t>
      </w:r>
      <w:r w:rsidR="00E264C4" w:rsidRPr="00E148FC">
        <w:t>s</w:t>
      </w:r>
      <w:r w:rsidRPr="00E148FC">
        <w:t xml:space="preserve"> in the dual/triple therapy indication</w:t>
      </w:r>
      <w:r w:rsidR="00AA3223" w:rsidRPr="00E148FC">
        <w:t xml:space="preserve"> with metformin and/or a sulfonylurea</w:t>
      </w:r>
      <w:r w:rsidRPr="00E148FC">
        <w:t xml:space="preserve">. The </w:t>
      </w:r>
      <w:r w:rsidR="00AD675F" w:rsidRPr="00E148FC">
        <w:t>PSD</w:t>
      </w:r>
      <w:r w:rsidRPr="00E148FC">
        <w:t xml:space="preserve"> for dulaglutide (Para 7.1, dulaglutide </w:t>
      </w:r>
      <w:r w:rsidR="00AD675F" w:rsidRPr="00E148FC">
        <w:t>PSD</w:t>
      </w:r>
      <w:r w:rsidRPr="00E148FC">
        <w:t xml:space="preserve">, July 2020 PBAC meeting) indicates that a </w:t>
      </w:r>
      <w:r w:rsidR="002D74EF" w:rsidRPr="00E148FC">
        <w:t>SPA</w:t>
      </w:r>
      <w:r w:rsidRPr="00E148FC">
        <w:t xml:space="preserve"> was recommended for the use of dulaglutide with insulin</w:t>
      </w:r>
      <w:r w:rsidR="00E264C4" w:rsidRPr="00E148FC">
        <w:t xml:space="preserve"> and metformin</w:t>
      </w:r>
      <w:r w:rsidRPr="00E148FC">
        <w:t>, although at the time of the evaluation t</w:t>
      </w:r>
      <w:bookmarkStart w:id="29" w:name="_Toc22897646"/>
      <w:r w:rsidR="0061570E" w:rsidRPr="00E148FC">
        <w:t>he effective price was unknown.</w:t>
      </w:r>
    </w:p>
    <w:p w:rsidR="00C25D9C" w:rsidRPr="00E148FC" w:rsidRDefault="00C25D9C" w:rsidP="0061570E">
      <w:pPr>
        <w:pStyle w:val="3-SubsectionHeading"/>
      </w:pPr>
      <w:bookmarkStart w:id="30" w:name="_Toc62027975"/>
      <w:r w:rsidRPr="00E148FC">
        <w:t>Drug</w:t>
      </w:r>
      <w:r w:rsidR="00A347E9" w:rsidRPr="00E148FC">
        <w:t xml:space="preserve"> </w:t>
      </w:r>
      <w:r w:rsidRPr="00E148FC">
        <w:t>cost/patient/year</w:t>
      </w:r>
      <w:bookmarkEnd w:id="29"/>
      <w:bookmarkEnd w:id="30"/>
    </w:p>
    <w:p w:rsidR="00133F2C" w:rsidRPr="00E148FC" w:rsidRDefault="002F59A2" w:rsidP="00133F2C">
      <w:pPr>
        <w:pStyle w:val="ExecSumBodyText"/>
        <w:numPr>
          <w:ilvl w:val="1"/>
          <w:numId w:val="1"/>
        </w:numPr>
        <w:rPr>
          <w:color w:val="0066FF"/>
        </w:rPr>
      </w:pPr>
      <w:r w:rsidRPr="00E148FC">
        <w:t xml:space="preserve">The </w:t>
      </w:r>
      <w:r w:rsidR="00DC2C19" w:rsidRPr="00E148FC">
        <w:t xml:space="preserve">estimated drug </w:t>
      </w:r>
      <w:r w:rsidRPr="00E148FC">
        <w:t xml:space="preserve">cost per patient per year for semaglutide 0.5 mg or 1.0 mg once weekly </w:t>
      </w:r>
      <w:r w:rsidR="00C66FCE" w:rsidRPr="00E148FC">
        <w:t>wa</w:t>
      </w:r>
      <w:r w:rsidRPr="00E148FC">
        <w:t>s $</w:t>
      </w:r>
      <w:r w:rsidR="0038568C" w:rsidRPr="00E148FC">
        <w:t>1,732</w:t>
      </w:r>
      <w:r w:rsidR="004C2D9A" w:rsidRPr="00E148FC">
        <w:t>,</w:t>
      </w:r>
      <w:r w:rsidRPr="00E148FC">
        <w:t xml:space="preserve"> </w:t>
      </w:r>
      <w:r w:rsidR="0038568C" w:rsidRPr="00E148FC">
        <w:t xml:space="preserve">based on </w:t>
      </w:r>
      <w:r w:rsidR="00133F2C" w:rsidRPr="00E148FC">
        <w:t xml:space="preserve">a </w:t>
      </w:r>
      <w:r w:rsidR="00C66FCE" w:rsidRPr="00E148FC">
        <w:t>published</w:t>
      </w:r>
      <w:r w:rsidR="0038568C" w:rsidRPr="00E148FC">
        <w:t xml:space="preserve"> DPMQ </w:t>
      </w:r>
      <w:r w:rsidR="00C66FCE" w:rsidRPr="00E148FC">
        <w:t>per script</w:t>
      </w:r>
      <w:r w:rsidR="0038568C" w:rsidRPr="00E148FC">
        <w:t xml:space="preserve"> </w:t>
      </w:r>
      <w:r w:rsidR="00133F2C" w:rsidRPr="00E148FC">
        <w:t xml:space="preserve">of </w:t>
      </w:r>
      <w:r w:rsidR="0038568C" w:rsidRPr="00E148FC">
        <w:t>$132.83</w:t>
      </w:r>
      <w:r w:rsidR="00133F2C" w:rsidRPr="00E148FC">
        <w:t xml:space="preserve"> with 13.04 scripts/patient/year (365.25/28 days treatment per script).</w:t>
      </w:r>
    </w:p>
    <w:p w:rsidR="00816A54" w:rsidRPr="00E148FC" w:rsidRDefault="00816A54" w:rsidP="004C2D9A">
      <w:pPr>
        <w:pStyle w:val="ExecSumBodyText"/>
        <w:rPr>
          <w:color w:val="0066FF"/>
        </w:rPr>
      </w:pPr>
      <w:r w:rsidRPr="00E148FC">
        <w:lastRenderedPageBreak/>
        <w:t xml:space="preserve">The </w:t>
      </w:r>
      <w:r w:rsidR="00DC2C19" w:rsidRPr="00E148FC">
        <w:t xml:space="preserve">estimated drug </w:t>
      </w:r>
      <w:r w:rsidRPr="00E148FC">
        <w:t xml:space="preserve">cost per patient per year for dulaglutide 1.5 mg once weekly </w:t>
      </w:r>
      <w:r w:rsidR="00C66FCE" w:rsidRPr="00E148FC">
        <w:t>wa</w:t>
      </w:r>
      <w:r w:rsidRPr="00E148FC">
        <w:t>s $1,732</w:t>
      </w:r>
      <w:r w:rsidR="004C2D9A" w:rsidRPr="00E148FC">
        <w:t>,</w:t>
      </w:r>
      <w:r w:rsidRPr="00E148FC">
        <w:t xml:space="preserve"> based on </w:t>
      </w:r>
      <w:r w:rsidR="00E24441" w:rsidRPr="00E148FC">
        <w:t>published</w:t>
      </w:r>
      <w:r w:rsidRPr="00E148FC">
        <w:t xml:space="preserve"> DPMQ </w:t>
      </w:r>
      <w:r w:rsidR="00E24441" w:rsidRPr="00E148FC">
        <w:t>per script</w:t>
      </w:r>
      <w:r w:rsidRPr="00E148FC">
        <w:t xml:space="preserve"> $132.83</w:t>
      </w:r>
      <w:r w:rsidR="00133F2C" w:rsidRPr="00E148FC">
        <w:t xml:space="preserve"> with 13.04 scripts/patient/year (365.25/28 days treatment per script)</w:t>
      </w:r>
      <w:r w:rsidRPr="00E148FC">
        <w:t>.</w:t>
      </w:r>
      <w:r w:rsidR="003D42FB" w:rsidRPr="00E148FC">
        <w:t xml:space="preserve"> Dulaglutide costs </w:t>
      </w:r>
      <w:r w:rsidR="00133F2C" w:rsidRPr="00E148FC">
        <w:t>we</w:t>
      </w:r>
      <w:r w:rsidR="003D42FB" w:rsidRPr="00E148FC">
        <w:t>re used in the cost-minimisation analysis.</w:t>
      </w:r>
    </w:p>
    <w:p w:rsidR="00494207" w:rsidRPr="00E148FC" w:rsidRDefault="0038568C" w:rsidP="0061570E">
      <w:pPr>
        <w:pStyle w:val="ExecSumBodyText"/>
      </w:pPr>
      <w:r w:rsidRPr="00E148FC">
        <w:t xml:space="preserve">The </w:t>
      </w:r>
      <w:r w:rsidR="005A7F48" w:rsidRPr="00E148FC">
        <w:t xml:space="preserve">estimated </w:t>
      </w:r>
      <w:r w:rsidRPr="00E148FC">
        <w:t>cost per patient per year for exenatide</w:t>
      </w:r>
      <w:r w:rsidR="00816A54" w:rsidRPr="00E148FC">
        <w:t xml:space="preserve"> 10 mcg</w:t>
      </w:r>
      <w:r w:rsidRPr="00E148FC">
        <w:t xml:space="preserve"> twice d</w:t>
      </w:r>
      <w:r w:rsidR="00816A54" w:rsidRPr="00E148FC">
        <w:t>aily is $1,101</w:t>
      </w:r>
      <w:r w:rsidR="004C2D9A" w:rsidRPr="00E148FC">
        <w:t>,</w:t>
      </w:r>
      <w:r w:rsidR="00816A54" w:rsidRPr="00E148FC">
        <w:t xml:space="preserve"> based on </w:t>
      </w:r>
      <w:r w:rsidR="00E24441" w:rsidRPr="00E148FC">
        <w:t>published</w:t>
      </w:r>
      <w:r w:rsidR="00816A54" w:rsidRPr="00E148FC">
        <w:t xml:space="preserve"> DPMQ </w:t>
      </w:r>
      <w:r w:rsidR="00E24441" w:rsidRPr="00E148FC">
        <w:t>per script</w:t>
      </w:r>
      <w:r w:rsidR="00816A54" w:rsidRPr="00E148FC">
        <w:t xml:space="preserve"> </w:t>
      </w:r>
      <w:r w:rsidRPr="00E148FC">
        <w:t>$</w:t>
      </w:r>
      <w:r w:rsidR="00816A54" w:rsidRPr="00E148FC">
        <w:t>90.47</w:t>
      </w:r>
      <w:r w:rsidR="00133F2C" w:rsidRPr="00E148FC">
        <w:t>, with 12.18 scripts/patient/year (365.25/30 days treatment per script</w:t>
      </w:r>
      <w:r w:rsidR="00DE401A" w:rsidRPr="00E148FC">
        <w:t>)</w:t>
      </w:r>
      <w:r w:rsidR="002F59A2" w:rsidRPr="00E148FC">
        <w:t>.</w:t>
      </w:r>
      <w:r w:rsidR="003D42FB" w:rsidRPr="00E148FC">
        <w:t xml:space="preserve"> Exenatide costs </w:t>
      </w:r>
      <w:r w:rsidR="00133F2C" w:rsidRPr="00E148FC">
        <w:t>we</w:t>
      </w:r>
      <w:r w:rsidR="003D42FB" w:rsidRPr="00E148FC">
        <w:t>re used in the financial estimates.</w:t>
      </w:r>
    </w:p>
    <w:p w:rsidR="00B60939" w:rsidRPr="00E148FC" w:rsidRDefault="00B60939" w:rsidP="002B05A1">
      <w:pPr>
        <w:pStyle w:val="3-SubsectionHeading"/>
      </w:pPr>
      <w:bookmarkStart w:id="31" w:name="_Toc22897647"/>
      <w:bookmarkStart w:id="32" w:name="_Toc62027976"/>
      <w:r w:rsidRPr="00E148FC">
        <w:t>Estimated PBS usage &amp; financial implications</w:t>
      </w:r>
      <w:bookmarkEnd w:id="31"/>
      <w:bookmarkEnd w:id="32"/>
    </w:p>
    <w:p w:rsidR="00FD02B4" w:rsidRPr="00E148FC" w:rsidRDefault="00C25D9C" w:rsidP="00364028">
      <w:pPr>
        <w:pStyle w:val="ExecSumBodyText"/>
        <w:rPr>
          <w:color w:val="0066FF"/>
        </w:rPr>
      </w:pPr>
      <w:r w:rsidRPr="00E148FC">
        <w:t xml:space="preserve">This submission </w:t>
      </w:r>
      <w:r w:rsidR="00E513EA" w:rsidRPr="00E148FC">
        <w:t>was not</w:t>
      </w:r>
      <w:r w:rsidR="00D23D11" w:rsidRPr="00E148FC">
        <w:t xml:space="preserve"> </w:t>
      </w:r>
      <w:r w:rsidRPr="00E148FC">
        <w:t>considered by DUSC.</w:t>
      </w:r>
      <w:r w:rsidR="00FD02B4" w:rsidRPr="00E148FC">
        <w:t xml:space="preserve"> The submission used a market share approach to estimate the utilisation and financial impact of listing semaglutide on the PBS/RPBS for use with insulin</w:t>
      </w:r>
      <w:r w:rsidR="00CD7213" w:rsidRPr="00E148FC">
        <w:t xml:space="preserve"> and metformin</w:t>
      </w:r>
      <w:r w:rsidR="00FD02B4" w:rsidRPr="00E148FC">
        <w:t>.</w:t>
      </w:r>
      <w:r w:rsidR="00205B42" w:rsidRPr="00E148FC">
        <w:t xml:space="preserve"> </w:t>
      </w:r>
      <w:r w:rsidR="00FD02B4" w:rsidRPr="00E148FC">
        <w:t>The estimated budget impact was based on published PBS prices</w:t>
      </w:r>
      <w:r w:rsidR="00C27F21" w:rsidRPr="00E148FC">
        <w:t>, given uncertainties around the yet-to-be determined effective price for dulaglutide in combination with insulin</w:t>
      </w:r>
      <w:r w:rsidR="001E38C7" w:rsidRPr="00E148FC">
        <w:t xml:space="preserve"> and metformin</w:t>
      </w:r>
      <w:r w:rsidR="00FD02B4" w:rsidRPr="00E148FC">
        <w:t>.</w:t>
      </w:r>
    </w:p>
    <w:p w:rsidR="002F59A2" w:rsidRPr="00E148FC" w:rsidRDefault="006B3557" w:rsidP="002F59A2">
      <w:pPr>
        <w:pStyle w:val="ExecSumBodyText"/>
        <w:rPr>
          <w:color w:val="0066FF"/>
        </w:rPr>
      </w:pPr>
      <w:r w:rsidRPr="00E148FC">
        <w:t>At the time of evaluation, d</w:t>
      </w:r>
      <w:r w:rsidR="00FD02B4" w:rsidRPr="00E148FC">
        <w:t xml:space="preserve">ulaglutide </w:t>
      </w:r>
      <w:r w:rsidRPr="00E148FC">
        <w:t>was</w:t>
      </w:r>
      <w:r w:rsidR="00FD02B4" w:rsidRPr="00E148FC">
        <w:t xml:space="preserve"> not PBS-listed for use in combination with insulin</w:t>
      </w:r>
      <w:r w:rsidR="001E38C7" w:rsidRPr="00E148FC">
        <w:t xml:space="preserve"> and metformin</w:t>
      </w:r>
      <w:r w:rsidRPr="00E148FC">
        <w:t>. T</w:t>
      </w:r>
      <w:r w:rsidR="00FD02B4" w:rsidRPr="00E148FC">
        <w:t xml:space="preserve">he submission presented an analysis of the expected utilisation and cost of semaglutide based on substitution of exenatide twice-daily, as it </w:t>
      </w:r>
      <w:r w:rsidRPr="00E148FC">
        <w:t>was</w:t>
      </w:r>
      <w:r w:rsidR="00FD02B4" w:rsidRPr="00E148FC">
        <w:t xml:space="preserve"> the only GLP-1 RA PBS</w:t>
      </w:r>
      <w:r w:rsidR="001E38C7" w:rsidRPr="00E148FC">
        <w:t>-</w:t>
      </w:r>
      <w:r w:rsidR="00FD02B4" w:rsidRPr="00E148FC">
        <w:t>listed for use in combination with insulin</w:t>
      </w:r>
      <w:r w:rsidR="001E38C7" w:rsidRPr="00E148FC">
        <w:t xml:space="preserve"> and metformin</w:t>
      </w:r>
      <w:r w:rsidR="00FD02B4" w:rsidRPr="00E148FC">
        <w:t>. The submission noted that any substitution for future use of dulaglutide would be cost neutral, given the same DPMQ</w:t>
      </w:r>
      <w:r w:rsidR="00682512" w:rsidRPr="00E148FC">
        <w:t xml:space="preserve"> (published and effective)</w:t>
      </w:r>
      <w:r w:rsidR="00FD02B4" w:rsidRPr="00E148FC">
        <w:t xml:space="preserve"> is requested for semaglutide.</w:t>
      </w:r>
    </w:p>
    <w:p w:rsidR="00C648E6" w:rsidRPr="00E148FC" w:rsidRDefault="002F59A2" w:rsidP="002F59A2">
      <w:pPr>
        <w:pStyle w:val="ExecSumBodyText"/>
      </w:pPr>
      <w:r w:rsidRPr="00E148FC">
        <w:t>The submission estimated the market for exenatide in combination with insulin</w:t>
      </w:r>
      <w:r w:rsidR="00C57225" w:rsidRPr="00E148FC">
        <w:t xml:space="preserve"> glargine</w:t>
      </w:r>
      <w:r w:rsidRPr="00E148FC">
        <w:t>, in the absence of a semaglutide listing, using a 10% Medicare sample extrapolated over the 6 years of listing. Uptake of semaglutide was assumed to come only from this market,</w:t>
      </w:r>
      <w:r w:rsidR="00C57225" w:rsidRPr="00E148FC">
        <w:t xml:space="preserve"> although </w:t>
      </w:r>
      <w:r w:rsidRPr="00E148FC">
        <w:t>uptake from patients who would otherwise be treated with other diabetes medicines in combination with insulin</w:t>
      </w:r>
      <w:r w:rsidR="00C57225" w:rsidRPr="00E148FC">
        <w:t xml:space="preserve"> glargine</w:t>
      </w:r>
      <w:r w:rsidRPr="00E148FC">
        <w:t xml:space="preserve"> (such as gliptins, SGLT2 inhibitors or alternative insulin regimens) </w:t>
      </w:r>
      <w:r w:rsidR="00C57225" w:rsidRPr="00E148FC">
        <w:t xml:space="preserve">was considered </w:t>
      </w:r>
      <w:r w:rsidRPr="00E148FC">
        <w:t>in a sensitivity analysis.</w:t>
      </w:r>
    </w:p>
    <w:p w:rsidR="00C3361B" w:rsidRDefault="00C3361B">
      <w:pPr>
        <w:jc w:val="left"/>
        <w:rPr>
          <w:rFonts w:ascii="Arial Narrow" w:eastAsiaTheme="majorEastAsia" w:hAnsi="Arial Narrow" w:cstheme="majorBidi"/>
          <w:b/>
          <w:bCs/>
          <w:sz w:val="20"/>
        </w:rPr>
      </w:pPr>
      <w:r>
        <w:br w:type="page"/>
      </w:r>
    </w:p>
    <w:p w:rsidR="00E42F73" w:rsidRPr="00E148FC" w:rsidRDefault="00E42F73" w:rsidP="00230DB1">
      <w:pPr>
        <w:pStyle w:val="TableFigureCaption"/>
      </w:pPr>
      <w:r w:rsidRPr="00E148FC">
        <w:lastRenderedPageBreak/>
        <w:t xml:space="preserve">Table </w:t>
      </w:r>
      <w:r w:rsidR="00103782" w:rsidRPr="00E148FC">
        <w:t>13</w:t>
      </w:r>
      <w:r w:rsidRPr="00E148FC">
        <w:t>: Key inputs for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459"/>
        <w:gridCol w:w="3219"/>
        <w:gridCol w:w="2976"/>
      </w:tblGrid>
      <w:tr w:rsidR="002F59A2" w:rsidRPr="00E148FC" w:rsidTr="00364028">
        <w:trPr>
          <w:tblHeader/>
        </w:trPr>
        <w:tc>
          <w:tcPr>
            <w:tcW w:w="1526" w:type="dxa"/>
            <w:vAlign w:val="center"/>
          </w:tcPr>
          <w:p w:rsidR="002F59A2" w:rsidRPr="00E148FC" w:rsidRDefault="002F59A2" w:rsidP="00364028">
            <w:pPr>
              <w:pStyle w:val="Tableheadingrow"/>
              <w:jc w:val="center"/>
              <w:rPr>
                <w:lang w:val="en-AU"/>
              </w:rPr>
            </w:pPr>
            <w:r w:rsidRPr="00E148FC">
              <w:rPr>
                <w:lang w:val="en-AU"/>
              </w:rPr>
              <w:t>Data</w:t>
            </w:r>
          </w:p>
        </w:tc>
        <w:tc>
          <w:tcPr>
            <w:tcW w:w="1459" w:type="dxa"/>
            <w:vAlign w:val="center"/>
          </w:tcPr>
          <w:p w:rsidR="002F59A2" w:rsidRPr="00E148FC" w:rsidRDefault="002F59A2" w:rsidP="00364028">
            <w:pPr>
              <w:pStyle w:val="Tableheadingrow"/>
              <w:jc w:val="center"/>
              <w:rPr>
                <w:lang w:val="en-AU"/>
              </w:rPr>
            </w:pPr>
            <w:r w:rsidRPr="00E148FC">
              <w:rPr>
                <w:lang w:val="en-AU"/>
              </w:rPr>
              <w:t>Value</w:t>
            </w:r>
          </w:p>
        </w:tc>
        <w:tc>
          <w:tcPr>
            <w:tcW w:w="3219" w:type="dxa"/>
            <w:vAlign w:val="center"/>
          </w:tcPr>
          <w:p w:rsidR="002F59A2" w:rsidRPr="00E148FC" w:rsidRDefault="002F59A2" w:rsidP="00364028">
            <w:pPr>
              <w:pStyle w:val="Tableheadingrow"/>
              <w:jc w:val="center"/>
              <w:rPr>
                <w:lang w:val="en-AU"/>
              </w:rPr>
            </w:pPr>
            <w:r w:rsidRPr="00E148FC">
              <w:rPr>
                <w:lang w:val="en-AU"/>
              </w:rPr>
              <w:t>Source</w:t>
            </w:r>
          </w:p>
        </w:tc>
        <w:tc>
          <w:tcPr>
            <w:tcW w:w="2976" w:type="dxa"/>
            <w:vAlign w:val="center"/>
          </w:tcPr>
          <w:p w:rsidR="002F59A2" w:rsidRPr="00E148FC" w:rsidRDefault="002F59A2" w:rsidP="00364028">
            <w:pPr>
              <w:pStyle w:val="Tableheadingrow"/>
              <w:jc w:val="center"/>
              <w:rPr>
                <w:lang w:val="en-AU"/>
              </w:rPr>
            </w:pPr>
            <w:r w:rsidRPr="00E148FC">
              <w:rPr>
                <w:lang w:val="en-AU"/>
              </w:rPr>
              <w:t>Comment</w:t>
            </w:r>
          </w:p>
        </w:tc>
      </w:tr>
      <w:tr w:rsidR="002F59A2" w:rsidRPr="00E148FC" w:rsidTr="00364028">
        <w:tc>
          <w:tcPr>
            <w:tcW w:w="9180" w:type="dxa"/>
            <w:gridSpan w:val="4"/>
            <w:vAlign w:val="center"/>
          </w:tcPr>
          <w:p w:rsidR="002F59A2" w:rsidRPr="00E148FC" w:rsidRDefault="002F59A2" w:rsidP="00C57225">
            <w:pPr>
              <w:pStyle w:val="Tableheadingrow"/>
              <w:rPr>
                <w:lang w:val="en-AU"/>
              </w:rPr>
            </w:pPr>
            <w:r w:rsidRPr="00E148FC">
              <w:rPr>
                <w:lang w:val="en-AU"/>
              </w:rPr>
              <w:t>Exenatide scripts in absence of semaglutide listing (in combination with insulin</w:t>
            </w:r>
            <w:r w:rsidR="00C57225" w:rsidRPr="00E148FC">
              <w:rPr>
                <w:lang w:val="en-AU"/>
              </w:rPr>
              <w:t xml:space="preserve"> glargine</w:t>
            </w:r>
            <w:r w:rsidRPr="00E148FC">
              <w:rPr>
                <w:lang w:val="en-AU"/>
              </w:rPr>
              <w:t>)</w:t>
            </w:r>
          </w:p>
        </w:tc>
      </w:tr>
      <w:tr w:rsidR="00C57225" w:rsidRPr="00E148FC" w:rsidTr="00364028">
        <w:trPr>
          <w:trHeight w:val="2065"/>
        </w:trPr>
        <w:tc>
          <w:tcPr>
            <w:tcW w:w="1526" w:type="dxa"/>
            <w:vAlign w:val="center"/>
          </w:tcPr>
          <w:p w:rsidR="00C57225" w:rsidRPr="00E148FC" w:rsidRDefault="00C57225" w:rsidP="00364028">
            <w:pPr>
              <w:pStyle w:val="TableText"/>
            </w:pPr>
            <w:r w:rsidRPr="00E148FC">
              <w:t>Total exenatide 5 mcg and 10 mcg twice daily scripts</w:t>
            </w:r>
          </w:p>
        </w:tc>
        <w:tc>
          <w:tcPr>
            <w:tcW w:w="1459" w:type="dxa"/>
            <w:vAlign w:val="center"/>
          </w:tcPr>
          <w:p w:rsidR="00C57225" w:rsidRPr="00E148FC" w:rsidRDefault="00C57225" w:rsidP="00364028">
            <w:pPr>
              <w:pStyle w:val="TableText"/>
              <w:keepNext w:val="0"/>
            </w:pPr>
            <w:r w:rsidRPr="00E148FC">
              <w:t xml:space="preserve">Yr 1: </w:t>
            </w:r>
            <w:r w:rsidR="00BB0454">
              <w:rPr>
                <w:noProof/>
                <w:color w:val="000000"/>
                <w:highlight w:val="black"/>
              </w:rPr>
              <w:t>'''''''''''''''</w:t>
            </w:r>
            <w:r w:rsidR="0007087E">
              <w:rPr>
                <w:szCs w:val="16"/>
                <w:vertAlign w:val="superscript"/>
              </w:rPr>
              <w:t>1</w:t>
            </w:r>
          </w:p>
          <w:p w:rsidR="00C57225" w:rsidRPr="00E148FC" w:rsidRDefault="00C57225" w:rsidP="00364028">
            <w:pPr>
              <w:pStyle w:val="TableText"/>
              <w:keepNext w:val="0"/>
            </w:pPr>
            <w:r w:rsidRPr="00E148FC">
              <w:t xml:space="preserve">Yr 2: </w:t>
            </w:r>
            <w:r w:rsidR="00BB0454">
              <w:rPr>
                <w:noProof/>
                <w:color w:val="000000"/>
                <w:highlight w:val="black"/>
              </w:rPr>
              <w:t>'''''''''''''''</w:t>
            </w:r>
            <w:r w:rsidR="0007087E">
              <w:rPr>
                <w:szCs w:val="16"/>
                <w:vertAlign w:val="superscript"/>
              </w:rPr>
              <w:t>1</w:t>
            </w:r>
          </w:p>
          <w:p w:rsidR="00C57225" w:rsidRPr="00E148FC" w:rsidRDefault="00C57225" w:rsidP="00364028">
            <w:pPr>
              <w:pStyle w:val="TableText"/>
              <w:keepNext w:val="0"/>
            </w:pPr>
            <w:r w:rsidRPr="00E148FC">
              <w:t xml:space="preserve">Yr 3: </w:t>
            </w:r>
            <w:r w:rsidR="00BB0454">
              <w:rPr>
                <w:noProof/>
                <w:color w:val="000000"/>
                <w:highlight w:val="black"/>
              </w:rPr>
              <w:t>'''''''''''''''''</w:t>
            </w:r>
            <w:r w:rsidR="0007087E">
              <w:rPr>
                <w:szCs w:val="16"/>
                <w:vertAlign w:val="superscript"/>
              </w:rPr>
              <w:t>2</w:t>
            </w:r>
          </w:p>
          <w:p w:rsidR="00C57225" w:rsidRPr="00E148FC" w:rsidRDefault="00C57225" w:rsidP="00364028">
            <w:pPr>
              <w:pStyle w:val="TableText"/>
              <w:keepNext w:val="0"/>
            </w:pPr>
            <w:r w:rsidRPr="00E148FC">
              <w:t xml:space="preserve">Yr 4: </w:t>
            </w:r>
            <w:r w:rsidR="00BB0454">
              <w:rPr>
                <w:noProof/>
                <w:color w:val="000000"/>
                <w:highlight w:val="black"/>
              </w:rPr>
              <w:t>'''''''''''''''''</w:t>
            </w:r>
            <w:r w:rsidR="0007087E">
              <w:rPr>
                <w:szCs w:val="16"/>
                <w:vertAlign w:val="superscript"/>
              </w:rPr>
              <w:t>2</w:t>
            </w:r>
          </w:p>
          <w:p w:rsidR="00C57225" w:rsidRPr="00E148FC" w:rsidRDefault="00C57225" w:rsidP="00364028">
            <w:pPr>
              <w:pStyle w:val="TableText"/>
              <w:keepNext w:val="0"/>
            </w:pPr>
            <w:r w:rsidRPr="00E148FC">
              <w:t xml:space="preserve">Yr 5: </w:t>
            </w:r>
            <w:r w:rsidR="00BB0454">
              <w:rPr>
                <w:noProof/>
                <w:color w:val="000000"/>
                <w:highlight w:val="black"/>
              </w:rPr>
              <w:t>''''''''''''''''</w:t>
            </w:r>
            <w:r w:rsidR="0007087E">
              <w:rPr>
                <w:szCs w:val="16"/>
                <w:vertAlign w:val="superscript"/>
              </w:rPr>
              <w:t>3</w:t>
            </w:r>
          </w:p>
          <w:p w:rsidR="00C57225" w:rsidRPr="00E148FC" w:rsidRDefault="00C57225" w:rsidP="00364028">
            <w:pPr>
              <w:pStyle w:val="TableText"/>
            </w:pPr>
            <w:r w:rsidRPr="00E148FC">
              <w:t xml:space="preserve">Yr 6: </w:t>
            </w:r>
            <w:r w:rsidR="00BB0454">
              <w:rPr>
                <w:noProof/>
                <w:color w:val="000000"/>
                <w:highlight w:val="black"/>
              </w:rPr>
              <w:t>''''''''''''''''</w:t>
            </w:r>
            <w:r w:rsidR="0007087E">
              <w:rPr>
                <w:szCs w:val="16"/>
                <w:vertAlign w:val="superscript"/>
              </w:rPr>
              <w:t>3</w:t>
            </w:r>
          </w:p>
        </w:tc>
        <w:tc>
          <w:tcPr>
            <w:tcW w:w="3219" w:type="dxa"/>
            <w:vAlign w:val="center"/>
          </w:tcPr>
          <w:p w:rsidR="00C57225" w:rsidRPr="00E148FC" w:rsidRDefault="00C57225" w:rsidP="00C57225">
            <w:pPr>
              <w:pStyle w:val="TableText"/>
            </w:pPr>
            <w:r w:rsidRPr="00E148FC">
              <w:t>10% Medicare sample analysis extrapolated using average annual absolute change in pack volumes between 2016 and 2019 over 6 years of listing (Year 1 = 2020), and multiplied by 10 to represent entire Australian population estimates.</w:t>
            </w:r>
          </w:p>
        </w:tc>
        <w:tc>
          <w:tcPr>
            <w:tcW w:w="2976" w:type="dxa"/>
            <w:vMerge w:val="restart"/>
            <w:vAlign w:val="center"/>
          </w:tcPr>
          <w:p w:rsidR="00C57225" w:rsidRPr="00E148FC" w:rsidRDefault="00C57225" w:rsidP="00364028">
            <w:pPr>
              <w:pStyle w:val="TableText"/>
            </w:pPr>
            <w:r w:rsidRPr="00E148FC">
              <w:t>It is likely that the negative growth for exenatide in 2018-2019 depicted in the 10% Medicare sample analysis is due to rapid uptake of dulaglutide with insulin captured in the same analysis. This rapid uptake of dulaglutide was not accounted for in the submission’s projections of the GLP-1 RA with insulin market.</w:t>
            </w:r>
          </w:p>
          <w:p w:rsidR="00C57225" w:rsidRPr="00E148FC" w:rsidRDefault="00C57225" w:rsidP="00364028">
            <w:pPr>
              <w:pStyle w:val="TableText"/>
            </w:pPr>
          </w:p>
          <w:p w:rsidR="00C57225" w:rsidRPr="00E148FC" w:rsidRDefault="00C57225" w:rsidP="00364028">
            <w:pPr>
              <w:pStyle w:val="TableText"/>
            </w:pPr>
            <w:r w:rsidRPr="00E148FC">
              <w:t xml:space="preserve">It is unclear whether the methodology used in the 10% Medicare Sample analysis accurately captured concurrent use of exenatide (in </w:t>
            </w:r>
            <w:r w:rsidR="004B3EE3" w:rsidRPr="00E148FC">
              <w:t>any form) with insulin glargine, or whether some consecutive use was also captured.</w:t>
            </w:r>
          </w:p>
        </w:tc>
      </w:tr>
      <w:tr w:rsidR="002F59A2" w:rsidRPr="00E148FC" w:rsidTr="00364028">
        <w:tc>
          <w:tcPr>
            <w:tcW w:w="1526" w:type="dxa"/>
            <w:vAlign w:val="center"/>
          </w:tcPr>
          <w:p w:rsidR="002F59A2" w:rsidRPr="00E148FC" w:rsidRDefault="002F59A2" w:rsidP="00364028">
            <w:pPr>
              <w:pStyle w:val="TableText"/>
              <w:keepNext w:val="0"/>
            </w:pPr>
            <w:r w:rsidRPr="00E148FC">
              <w:t>Exenatide once weekly total scripts</w:t>
            </w:r>
          </w:p>
        </w:tc>
        <w:tc>
          <w:tcPr>
            <w:tcW w:w="1459" w:type="dxa"/>
            <w:vAlign w:val="center"/>
          </w:tcPr>
          <w:p w:rsidR="002F59A2" w:rsidRPr="00E148FC" w:rsidRDefault="002F59A2" w:rsidP="00364028">
            <w:pPr>
              <w:pStyle w:val="TableText"/>
              <w:keepNext w:val="0"/>
            </w:pPr>
            <w:r w:rsidRPr="00E148FC">
              <w:t xml:space="preserve">Yr 1: </w:t>
            </w:r>
            <w:r w:rsidR="00BB0454">
              <w:rPr>
                <w:noProof/>
                <w:color w:val="000000"/>
                <w:highlight w:val="black"/>
              </w:rPr>
              <w:t>'''''''''''''''</w:t>
            </w:r>
            <w:r w:rsidR="0007087E">
              <w:rPr>
                <w:szCs w:val="16"/>
                <w:vertAlign w:val="superscript"/>
              </w:rPr>
              <w:t>4</w:t>
            </w:r>
          </w:p>
          <w:p w:rsidR="002F59A2" w:rsidRPr="00E148FC" w:rsidRDefault="002F59A2" w:rsidP="00364028">
            <w:pPr>
              <w:pStyle w:val="TableText"/>
              <w:keepNext w:val="0"/>
            </w:pPr>
            <w:r w:rsidRPr="00E148FC">
              <w:t xml:space="preserve">Yr 2: </w:t>
            </w:r>
            <w:r w:rsidR="00BB0454">
              <w:rPr>
                <w:noProof/>
                <w:color w:val="000000"/>
                <w:highlight w:val="black"/>
              </w:rPr>
              <w:t>'''''''''''''''</w:t>
            </w:r>
            <w:r w:rsidR="0007087E">
              <w:rPr>
                <w:szCs w:val="16"/>
                <w:vertAlign w:val="superscript"/>
              </w:rPr>
              <w:t>4</w:t>
            </w:r>
          </w:p>
          <w:p w:rsidR="002F59A2" w:rsidRPr="00E148FC" w:rsidRDefault="002F59A2" w:rsidP="00364028">
            <w:pPr>
              <w:pStyle w:val="TableText"/>
              <w:keepNext w:val="0"/>
            </w:pPr>
            <w:r w:rsidRPr="00E148FC">
              <w:t xml:space="preserve">Yr 3: </w:t>
            </w:r>
            <w:r w:rsidR="00BB0454">
              <w:rPr>
                <w:noProof/>
                <w:color w:val="000000"/>
                <w:highlight w:val="black"/>
              </w:rPr>
              <w:t>''''''''''''''''''</w:t>
            </w:r>
            <w:r w:rsidR="0007087E">
              <w:rPr>
                <w:szCs w:val="16"/>
                <w:vertAlign w:val="superscript"/>
              </w:rPr>
              <w:t>4</w:t>
            </w:r>
          </w:p>
          <w:p w:rsidR="002F59A2" w:rsidRPr="00E148FC" w:rsidRDefault="002F59A2" w:rsidP="00364028">
            <w:pPr>
              <w:pStyle w:val="TableText"/>
              <w:keepNext w:val="0"/>
            </w:pPr>
            <w:r w:rsidRPr="00E148FC">
              <w:t xml:space="preserve">Yr 4: </w:t>
            </w:r>
            <w:r w:rsidR="00BB0454">
              <w:rPr>
                <w:noProof/>
                <w:color w:val="000000"/>
                <w:highlight w:val="black"/>
              </w:rPr>
              <w:t>''''''''''''''''''</w:t>
            </w:r>
            <w:r w:rsidR="0007087E">
              <w:rPr>
                <w:szCs w:val="16"/>
                <w:vertAlign w:val="superscript"/>
              </w:rPr>
              <w:t>5</w:t>
            </w:r>
          </w:p>
          <w:p w:rsidR="002F59A2" w:rsidRPr="00E148FC" w:rsidRDefault="002F59A2" w:rsidP="00364028">
            <w:pPr>
              <w:pStyle w:val="TableText"/>
              <w:keepNext w:val="0"/>
            </w:pPr>
            <w:r w:rsidRPr="00E148FC">
              <w:t xml:space="preserve">Yr 5: </w:t>
            </w:r>
            <w:r w:rsidR="00BB0454">
              <w:rPr>
                <w:noProof/>
                <w:color w:val="000000"/>
                <w:highlight w:val="black"/>
              </w:rPr>
              <w:t>''''''''''''''''''</w:t>
            </w:r>
            <w:r w:rsidR="0007087E">
              <w:rPr>
                <w:szCs w:val="16"/>
                <w:vertAlign w:val="superscript"/>
              </w:rPr>
              <w:t>5</w:t>
            </w:r>
          </w:p>
          <w:p w:rsidR="002F59A2" w:rsidRPr="00E148FC" w:rsidRDefault="002F59A2" w:rsidP="00364028">
            <w:pPr>
              <w:pStyle w:val="TableText"/>
              <w:keepNext w:val="0"/>
            </w:pPr>
            <w:r w:rsidRPr="00E148FC">
              <w:t xml:space="preserve">Yr 6: </w:t>
            </w:r>
            <w:r w:rsidR="00BB0454">
              <w:rPr>
                <w:noProof/>
                <w:color w:val="000000"/>
                <w:highlight w:val="black"/>
              </w:rPr>
              <w:t>''''''''''''''''''</w:t>
            </w:r>
            <w:r w:rsidR="0007087E">
              <w:rPr>
                <w:szCs w:val="16"/>
                <w:vertAlign w:val="superscript"/>
              </w:rPr>
              <w:t>5</w:t>
            </w:r>
          </w:p>
        </w:tc>
        <w:tc>
          <w:tcPr>
            <w:tcW w:w="3219" w:type="dxa"/>
            <w:vAlign w:val="center"/>
          </w:tcPr>
          <w:p w:rsidR="002F59A2" w:rsidRPr="00E148FC" w:rsidRDefault="002F59A2" w:rsidP="00C57225">
            <w:pPr>
              <w:pStyle w:val="TableText"/>
              <w:keepNext w:val="0"/>
            </w:pPr>
            <w:r w:rsidRPr="00E148FC">
              <w:t>10% Medicare sample analysis (use outside of PBS restriction), extrapolated using average annual absolute change in pac</w:t>
            </w:r>
            <w:r w:rsidR="00C57225" w:rsidRPr="00E148FC">
              <w:t>k volumes between 2017 and 2019, and multiplied by 10 to represent entire Australian population estimates.</w:t>
            </w:r>
          </w:p>
        </w:tc>
        <w:tc>
          <w:tcPr>
            <w:tcW w:w="2976" w:type="dxa"/>
            <w:vMerge/>
            <w:vAlign w:val="center"/>
          </w:tcPr>
          <w:p w:rsidR="002F59A2" w:rsidRPr="00E148FC" w:rsidRDefault="002F59A2" w:rsidP="00364028">
            <w:pPr>
              <w:pStyle w:val="TableText"/>
              <w:keepNext w:val="0"/>
            </w:pPr>
          </w:p>
        </w:tc>
      </w:tr>
      <w:tr w:rsidR="002F59A2" w:rsidRPr="00E148FC" w:rsidTr="00364028">
        <w:tc>
          <w:tcPr>
            <w:tcW w:w="9180" w:type="dxa"/>
            <w:gridSpan w:val="4"/>
            <w:vAlign w:val="center"/>
          </w:tcPr>
          <w:p w:rsidR="002F59A2" w:rsidRPr="00E148FC" w:rsidRDefault="00C57225" w:rsidP="00364028">
            <w:pPr>
              <w:pStyle w:val="TableText"/>
              <w:keepNext w:val="0"/>
              <w:rPr>
                <w:b/>
              </w:rPr>
            </w:pPr>
            <w:r w:rsidRPr="00E148FC">
              <w:rPr>
                <w:b/>
              </w:rPr>
              <w:t>Semaglutide</w:t>
            </w:r>
            <w:r w:rsidR="002F59A2" w:rsidRPr="00E148FC">
              <w:rPr>
                <w:b/>
              </w:rPr>
              <w:t xml:space="preserve"> utilisation</w:t>
            </w:r>
          </w:p>
        </w:tc>
      </w:tr>
      <w:tr w:rsidR="002F59A2" w:rsidRPr="00E148FC" w:rsidTr="00364028">
        <w:tc>
          <w:tcPr>
            <w:tcW w:w="1526" w:type="dxa"/>
            <w:vAlign w:val="center"/>
          </w:tcPr>
          <w:p w:rsidR="002F59A2" w:rsidRPr="00E148FC" w:rsidRDefault="002F59A2" w:rsidP="00364028">
            <w:pPr>
              <w:pStyle w:val="TableText"/>
              <w:keepNext w:val="0"/>
            </w:pPr>
            <w:r w:rsidRPr="00E148FC">
              <w:t>Uptake rate from exenatide twice daily</w:t>
            </w:r>
          </w:p>
        </w:tc>
        <w:tc>
          <w:tcPr>
            <w:tcW w:w="1459" w:type="dxa"/>
            <w:vAlign w:val="center"/>
          </w:tcPr>
          <w:p w:rsidR="002F59A2" w:rsidRPr="00E148FC" w:rsidRDefault="002F59A2" w:rsidP="00364028">
            <w:pPr>
              <w:pStyle w:val="TableText"/>
              <w:keepNext w:val="0"/>
            </w:pPr>
            <w:r w:rsidRPr="00E148FC">
              <w:t>Yr 1: 10%</w:t>
            </w:r>
          </w:p>
          <w:p w:rsidR="002F59A2" w:rsidRPr="00E148FC" w:rsidRDefault="002F59A2" w:rsidP="00364028">
            <w:pPr>
              <w:pStyle w:val="TableText"/>
              <w:keepNext w:val="0"/>
            </w:pPr>
            <w:r w:rsidRPr="00E148FC">
              <w:t>Yr 2: 25%</w:t>
            </w:r>
          </w:p>
          <w:p w:rsidR="002F59A2" w:rsidRPr="00E148FC" w:rsidRDefault="002F59A2" w:rsidP="00364028">
            <w:pPr>
              <w:pStyle w:val="TableText"/>
              <w:keepNext w:val="0"/>
            </w:pPr>
            <w:r w:rsidRPr="00E148FC">
              <w:t>Yr 3: 50%</w:t>
            </w:r>
          </w:p>
          <w:p w:rsidR="002F59A2" w:rsidRPr="00E148FC" w:rsidRDefault="002F59A2" w:rsidP="00364028">
            <w:pPr>
              <w:pStyle w:val="TableText"/>
              <w:keepNext w:val="0"/>
            </w:pPr>
            <w:r w:rsidRPr="00E148FC">
              <w:t>Yr 4: 50%</w:t>
            </w:r>
          </w:p>
          <w:p w:rsidR="002F59A2" w:rsidRPr="00E148FC" w:rsidRDefault="002F59A2" w:rsidP="00364028">
            <w:pPr>
              <w:pStyle w:val="TableText"/>
              <w:keepNext w:val="0"/>
            </w:pPr>
            <w:r w:rsidRPr="00E148FC">
              <w:t>Yr 5: 50%</w:t>
            </w:r>
          </w:p>
          <w:p w:rsidR="002F59A2" w:rsidRPr="00E148FC" w:rsidRDefault="002F59A2" w:rsidP="00364028">
            <w:pPr>
              <w:pStyle w:val="TableText"/>
              <w:keepNext w:val="0"/>
            </w:pPr>
            <w:r w:rsidRPr="00E148FC">
              <w:t>Yr 6: 50%</w:t>
            </w:r>
          </w:p>
        </w:tc>
        <w:tc>
          <w:tcPr>
            <w:tcW w:w="3219" w:type="dxa"/>
            <w:vAlign w:val="center"/>
          </w:tcPr>
          <w:p w:rsidR="002F59A2" w:rsidRPr="00E148FC" w:rsidRDefault="002F59A2" w:rsidP="00364028">
            <w:pPr>
              <w:pStyle w:val="TableText"/>
              <w:keepNext w:val="0"/>
            </w:pPr>
            <w:r w:rsidRPr="00E148FC">
              <w:t>Assumption, based on assumed substitution of main comparators (exenatide once weekly and dulaglutide once weekly) from semaglutide dual/triple therapy submission to PBAC, November 2019</w:t>
            </w:r>
          </w:p>
        </w:tc>
        <w:tc>
          <w:tcPr>
            <w:tcW w:w="2976" w:type="dxa"/>
            <w:vAlign w:val="center"/>
          </w:tcPr>
          <w:p w:rsidR="002F59A2" w:rsidRPr="00E148FC" w:rsidRDefault="002F59A2" w:rsidP="00364028">
            <w:pPr>
              <w:pStyle w:val="TableText"/>
              <w:keepNext w:val="0"/>
            </w:pPr>
            <w:r w:rsidRPr="00E148FC">
              <w:t>Likely to underestimate uptake in practice but difficult to ascertain accurate estimates given shifting market dynamics.</w:t>
            </w:r>
          </w:p>
        </w:tc>
      </w:tr>
      <w:tr w:rsidR="002F59A2" w:rsidRPr="00E148FC" w:rsidTr="00364028">
        <w:tc>
          <w:tcPr>
            <w:tcW w:w="1526" w:type="dxa"/>
            <w:vAlign w:val="center"/>
          </w:tcPr>
          <w:p w:rsidR="002F59A2" w:rsidRPr="00E148FC" w:rsidRDefault="002F59A2" w:rsidP="00364028">
            <w:pPr>
              <w:pStyle w:val="TableText"/>
              <w:keepNext w:val="0"/>
            </w:pPr>
            <w:r w:rsidRPr="00E148FC">
              <w:t>Uptake rate from exenatide once weekly</w:t>
            </w:r>
          </w:p>
        </w:tc>
        <w:tc>
          <w:tcPr>
            <w:tcW w:w="1459" w:type="dxa"/>
            <w:vAlign w:val="center"/>
          </w:tcPr>
          <w:p w:rsidR="002F59A2" w:rsidRPr="00E148FC" w:rsidRDefault="002F59A2" w:rsidP="00364028">
            <w:pPr>
              <w:pStyle w:val="TableText"/>
              <w:keepNext w:val="0"/>
            </w:pPr>
            <w:r w:rsidRPr="00E148FC">
              <w:t>Yrs 1-6: 10%</w:t>
            </w:r>
          </w:p>
        </w:tc>
        <w:tc>
          <w:tcPr>
            <w:tcW w:w="3219" w:type="dxa"/>
            <w:vAlign w:val="center"/>
          </w:tcPr>
          <w:p w:rsidR="002F59A2" w:rsidRPr="00E148FC" w:rsidRDefault="002F59A2" w:rsidP="00364028">
            <w:pPr>
              <w:pStyle w:val="TableText"/>
              <w:keepNext w:val="0"/>
            </w:pPr>
            <w:r w:rsidRPr="00E148FC">
              <w:t>Assumption, based on low-level use outside of PBS restriction reported in 10% Medicare Sample Analysis</w:t>
            </w:r>
          </w:p>
        </w:tc>
        <w:tc>
          <w:tcPr>
            <w:tcW w:w="2976" w:type="dxa"/>
            <w:vAlign w:val="center"/>
          </w:tcPr>
          <w:p w:rsidR="002F59A2" w:rsidRPr="00E148FC" w:rsidRDefault="002F59A2" w:rsidP="00103782">
            <w:pPr>
              <w:pStyle w:val="TableText"/>
              <w:keepNext w:val="0"/>
            </w:pPr>
            <w:r w:rsidRPr="00E148FC">
              <w:t>The substituted scripts are from a subgroup of exenatide once-weekly patients who are also using insulin glargine (</w:t>
            </w:r>
            <w:r w:rsidR="00D90A7D" w:rsidRPr="00E148FC">
              <w:t xml:space="preserve">with some use potentially </w:t>
            </w:r>
            <w:r w:rsidRPr="00E148FC">
              <w:t>outside of current PBS restrictions). It is likely that patients initiating treatment with a GLP-1 RA and insulin will choose a PBS-listed treatment regimen, and uptake from this group will be greater than 10%.</w:t>
            </w:r>
          </w:p>
        </w:tc>
      </w:tr>
    </w:tbl>
    <w:p w:rsidR="002F59A2" w:rsidRPr="00E148FC" w:rsidRDefault="002F59A2" w:rsidP="002F59A2">
      <w:pPr>
        <w:pStyle w:val="TableFooter"/>
        <w:keepLines/>
      </w:pPr>
      <w:r w:rsidRPr="00E148FC">
        <w:t>Source: Table 4.1.1, p106; Table 4.1.2, p107 of the submission, Attachment 7 (Excel spreadsheet) to the submission</w:t>
      </w:r>
    </w:p>
    <w:p w:rsidR="007925DF" w:rsidRDefault="002F59A2" w:rsidP="007925DF">
      <w:pPr>
        <w:pStyle w:val="TableFigureFooter"/>
        <w:rPr>
          <w:szCs w:val="16"/>
        </w:rPr>
      </w:pPr>
      <w:r w:rsidRPr="00E148FC">
        <w:rPr>
          <w:szCs w:val="16"/>
        </w:rPr>
        <w:t>Abbreviations: DPMQ, dispensed price for maximum quantity</w:t>
      </w:r>
    </w:p>
    <w:p w:rsidR="0007087E" w:rsidRPr="0007087E" w:rsidRDefault="0007087E" w:rsidP="007925DF">
      <w:pPr>
        <w:pStyle w:val="TableFigureFooter"/>
        <w:rPr>
          <w:i/>
          <w:szCs w:val="16"/>
        </w:rPr>
      </w:pPr>
      <w:r w:rsidRPr="0007087E">
        <w:rPr>
          <w:i/>
          <w:szCs w:val="16"/>
        </w:rPr>
        <w:t>The redacted values correspond to the following ranges:</w:t>
      </w:r>
    </w:p>
    <w:p w:rsidR="0007087E" w:rsidRPr="0007087E" w:rsidRDefault="0007087E" w:rsidP="007925DF">
      <w:pPr>
        <w:pStyle w:val="TableFigureFooter"/>
        <w:rPr>
          <w:i/>
          <w:szCs w:val="16"/>
        </w:rPr>
      </w:pPr>
      <w:r w:rsidRPr="0007087E">
        <w:rPr>
          <w:i/>
          <w:szCs w:val="16"/>
          <w:vertAlign w:val="superscript"/>
        </w:rPr>
        <w:t>1</w:t>
      </w:r>
      <w:r w:rsidRPr="0007087E">
        <w:rPr>
          <w:i/>
          <w:szCs w:val="16"/>
        </w:rPr>
        <w:t xml:space="preserve"> 70,000 to &lt; 80,000</w:t>
      </w:r>
    </w:p>
    <w:p w:rsidR="0007087E" w:rsidRPr="0007087E" w:rsidRDefault="0007087E" w:rsidP="007925DF">
      <w:pPr>
        <w:pStyle w:val="TableFigureFooter"/>
        <w:rPr>
          <w:i/>
          <w:szCs w:val="16"/>
        </w:rPr>
      </w:pPr>
      <w:r w:rsidRPr="0007087E">
        <w:rPr>
          <w:i/>
          <w:szCs w:val="16"/>
          <w:vertAlign w:val="superscript"/>
        </w:rPr>
        <w:t>2</w:t>
      </w:r>
      <w:r w:rsidRPr="0007087E">
        <w:rPr>
          <w:i/>
          <w:szCs w:val="16"/>
        </w:rPr>
        <w:t xml:space="preserve"> 60,000 to &lt; 70,000</w:t>
      </w:r>
    </w:p>
    <w:p w:rsidR="0007087E" w:rsidRPr="0007087E" w:rsidRDefault="0007087E" w:rsidP="007925DF">
      <w:pPr>
        <w:pStyle w:val="TableFigureFooter"/>
        <w:rPr>
          <w:i/>
          <w:szCs w:val="16"/>
        </w:rPr>
      </w:pPr>
      <w:r w:rsidRPr="0007087E">
        <w:rPr>
          <w:i/>
          <w:szCs w:val="16"/>
          <w:vertAlign w:val="superscript"/>
        </w:rPr>
        <w:t>3</w:t>
      </w:r>
      <w:r w:rsidRPr="0007087E">
        <w:rPr>
          <w:i/>
          <w:szCs w:val="16"/>
        </w:rPr>
        <w:t xml:space="preserve"> 50,000 to &lt; 60,000</w:t>
      </w:r>
    </w:p>
    <w:p w:rsidR="0007087E" w:rsidRPr="0007087E" w:rsidRDefault="0007087E" w:rsidP="007925DF">
      <w:pPr>
        <w:pStyle w:val="TableFigureFooter"/>
        <w:rPr>
          <w:i/>
          <w:szCs w:val="16"/>
        </w:rPr>
      </w:pPr>
      <w:r w:rsidRPr="0007087E">
        <w:rPr>
          <w:i/>
          <w:szCs w:val="16"/>
          <w:vertAlign w:val="superscript"/>
        </w:rPr>
        <w:t>4</w:t>
      </w:r>
      <w:r w:rsidRPr="0007087E">
        <w:rPr>
          <w:i/>
          <w:szCs w:val="16"/>
        </w:rPr>
        <w:t xml:space="preserve"> 30,000 to &lt; 40,000</w:t>
      </w:r>
    </w:p>
    <w:p w:rsidR="0007087E" w:rsidRPr="0007087E" w:rsidRDefault="0007087E" w:rsidP="007925DF">
      <w:pPr>
        <w:pStyle w:val="TableFigureFooter"/>
        <w:rPr>
          <w:i/>
        </w:rPr>
      </w:pPr>
      <w:r w:rsidRPr="0007087E">
        <w:rPr>
          <w:i/>
          <w:szCs w:val="16"/>
          <w:vertAlign w:val="superscript"/>
        </w:rPr>
        <w:t>5</w:t>
      </w:r>
      <w:r w:rsidRPr="0007087E">
        <w:rPr>
          <w:i/>
          <w:szCs w:val="16"/>
        </w:rPr>
        <w:t xml:space="preserve"> 20,000 to &lt; 30,000</w:t>
      </w:r>
    </w:p>
    <w:p w:rsidR="00C3361B" w:rsidRDefault="00C3361B">
      <w:pPr>
        <w:jc w:val="left"/>
        <w:rPr>
          <w:rFonts w:asciiTheme="minorHAnsi" w:hAnsiTheme="minorHAnsi"/>
          <w:snapToGrid w:val="0"/>
        </w:rPr>
      </w:pPr>
      <w:r>
        <w:br w:type="page"/>
      </w:r>
    </w:p>
    <w:p w:rsidR="00B505C8" w:rsidRPr="00E148FC" w:rsidRDefault="00052422" w:rsidP="00B505C8">
      <w:pPr>
        <w:pStyle w:val="ExecSumBodyText"/>
      </w:pPr>
      <w:r w:rsidRPr="00E148FC">
        <w:lastRenderedPageBreak/>
        <w:t>Estimated use and financial implications are presented in the table below.</w:t>
      </w:r>
    </w:p>
    <w:p w:rsidR="00C25D9C" w:rsidRPr="00E148FC" w:rsidRDefault="002A2F50" w:rsidP="00230DB1">
      <w:pPr>
        <w:pStyle w:val="TableFigureCaption"/>
      </w:pPr>
      <w:r w:rsidRPr="00E148FC">
        <w:t xml:space="preserve">Table </w:t>
      </w:r>
      <w:r w:rsidR="00103782" w:rsidRPr="00E148FC">
        <w:t>14</w:t>
      </w:r>
      <w:r w:rsidRPr="00E148FC">
        <w:t>: Estimated use and financial implications</w:t>
      </w:r>
    </w:p>
    <w:tbl>
      <w:tblPr>
        <w:tblW w:w="5020" w:type="pct"/>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51"/>
        <w:gridCol w:w="1052"/>
        <w:gridCol w:w="1162"/>
        <w:gridCol w:w="1161"/>
        <w:gridCol w:w="1162"/>
        <w:gridCol w:w="1161"/>
        <w:gridCol w:w="1104"/>
      </w:tblGrid>
      <w:tr w:rsidR="00052422" w:rsidRPr="00E148FC" w:rsidTr="00BB0454">
        <w:trPr>
          <w:tblHeader/>
        </w:trPr>
        <w:tc>
          <w:tcPr>
            <w:tcW w:w="1243" w:type="pct"/>
            <w:tcBorders>
              <w:left w:val="single" w:sz="4" w:space="0" w:color="auto"/>
              <w:bottom w:val="single" w:sz="4" w:space="0" w:color="auto"/>
            </w:tcBorders>
            <w:shd w:val="clear" w:color="auto" w:fill="auto"/>
            <w:vAlign w:val="center"/>
          </w:tcPr>
          <w:p w:rsidR="00052422" w:rsidRPr="00E148FC" w:rsidRDefault="00052422" w:rsidP="00364028">
            <w:pPr>
              <w:keepNext/>
              <w:keepLines/>
              <w:rPr>
                <w:rFonts w:ascii="Arial Narrow" w:eastAsia="Calibri" w:hAnsi="Arial Narrow" w:cs="Times New Roman"/>
                <w:sz w:val="20"/>
                <w:szCs w:val="20"/>
                <w:highlight w:val="yellow"/>
              </w:rPr>
            </w:pPr>
          </w:p>
        </w:tc>
        <w:tc>
          <w:tcPr>
            <w:tcW w:w="581" w:type="pct"/>
            <w:tcBorders>
              <w:bottom w:val="single" w:sz="4" w:space="0" w:color="auto"/>
            </w:tcBorders>
            <w:shd w:val="clear" w:color="auto" w:fill="auto"/>
            <w:vAlign w:val="center"/>
          </w:tcPr>
          <w:p w:rsidR="00052422" w:rsidRPr="00E148FC" w:rsidRDefault="00052422" w:rsidP="00364028">
            <w:pPr>
              <w:keepNext/>
              <w:keepLines/>
              <w:jc w:val="center"/>
              <w:rPr>
                <w:rFonts w:ascii="Arial Narrow" w:eastAsia="Calibri" w:hAnsi="Arial Narrow" w:cs="Times New Roman"/>
                <w:b/>
                <w:bCs/>
                <w:sz w:val="20"/>
                <w:szCs w:val="20"/>
              </w:rPr>
            </w:pPr>
            <w:r w:rsidRPr="00E148FC">
              <w:rPr>
                <w:rFonts w:ascii="Arial Narrow" w:eastAsia="Calibri" w:hAnsi="Arial Narrow" w:cs="Times New Roman"/>
                <w:b/>
                <w:bCs/>
                <w:sz w:val="20"/>
                <w:szCs w:val="20"/>
              </w:rPr>
              <w:t>Year 1</w:t>
            </w:r>
          </w:p>
          <w:p w:rsidR="00052422" w:rsidRPr="00E148FC" w:rsidRDefault="00052422" w:rsidP="00364028">
            <w:pPr>
              <w:keepNext/>
              <w:keepLines/>
              <w:jc w:val="center"/>
              <w:rPr>
                <w:rFonts w:ascii="Arial Narrow" w:eastAsia="Calibri" w:hAnsi="Arial Narrow" w:cs="Times New Roman"/>
                <w:b/>
                <w:bCs/>
                <w:sz w:val="20"/>
                <w:szCs w:val="20"/>
              </w:rPr>
            </w:pPr>
            <w:r w:rsidRPr="00E148FC">
              <w:rPr>
                <w:rFonts w:ascii="Arial Narrow" w:eastAsia="Calibri" w:hAnsi="Arial Narrow" w:cs="Times New Roman"/>
                <w:b/>
                <w:bCs/>
                <w:sz w:val="20"/>
                <w:szCs w:val="20"/>
              </w:rPr>
              <w:t>(2020)</w:t>
            </w:r>
          </w:p>
        </w:tc>
        <w:tc>
          <w:tcPr>
            <w:tcW w:w="642" w:type="pct"/>
            <w:tcBorders>
              <w:bottom w:val="single" w:sz="4" w:space="0" w:color="auto"/>
            </w:tcBorders>
            <w:shd w:val="clear" w:color="auto" w:fill="auto"/>
            <w:vAlign w:val="center"/>
          </w:tcPr>
          <w:p w:rsidR="00052422" w:rsidRPr="00E148FC" w:rsidRDefault="00052422" w:rsidP="00364028">
            <w:pPr>
              <w:keepNext/>
              <w:keepLines/>
              <w:jc w:val="center"/>
              <w:rPr>
                <w:rFonts w:ascii="Arial Narrow" w:eastAsia="Calibri" w:hAnsi="Arial Narrow" w:cs="Times New Roman"/>
                <w:b/>
                <w:bCs/>
                <w:sz w:val="20"/>
                <w:szCs w:val="20"/>
              </w:rPr>
            </w:pPr>
            <w:r w:rsidRPr="00E148FC">
              <w:rPr>
                <w:rFonts w:ascii="Arial Narrow" w:eastAsia="Calibri" w:hAnsi="Arial Narrow" w:cs="Times New Roman"/>
                <w:b/>
                <w:bCs/>
                <w:sz w:val="20"/>
                <w:szCs w:val="20"/>
              </w:rPr>
              <w:t>Year 2</w:t>
            </w:r>
          </w:p>
          <w:p w:rsidR="00052422" w:rsidRPr="00E148FC" w:rsidRDefault="00052422" w:rsidP="00364028">
            <w:pPr>
              <w:keepNext/>
              <w:keepLines/>
              <w:jc w:val="center"/>
              <w:rPr>
                <w:rFonts w:ascii="Arial Narrow" w:eastAsia="Calibri" w:hAnsi="Arial Narrow" w:cs="Times New Roman"/>
                <w:b/>
                <w:bCs/>
                <w:sz w:val="20"/>
                <w:szCs w:val="20"/>
              </w:rPr>
            </w:pPr>
            <w:r w:rsidRPr="00E148FC">
              <w:rPr>
                <w:rFonts w:ascii="Arial Narrow" w:eastAsia="Calibri" w:hAnsi="Arial Narrow" w:cs="Times New Roman"/>
                <w:b/>
                <w:bCs/>
                <w:sz w:val="20"/>
                <w:szCs w:val="20"/>
              </w:rPr>
              <w:t>(2021)</w:t>
            </w:r>
          </w:p>
        </w:tc>
        <w:tc>
          <w:tcPr>
            <w:tcW w:w="641" w:type="pct"/>
            <w:tcBorders>
              <w:bottom w:val="single" w:sz="4" w:space="0" w:color="auto"/>
            </w:tcBorders>
            <w:shd w:val="clear" w:color="auto" w:fill="auto"/>
            <w:vAlign w:val="center"/>
          </w:tcPr>
          <w:p w:rsidR="00052422" w:rsidRPr="00E148FC" w:rsidRDefault="00052422" w:rsidP="00364028">
            <w:pPr>
              <w:keepNext/>
              <w:keepLines/>
              <w:jc w:val="center"/>
              <w:rPr>
                <w:rFonts w:ascii="Arial Narrow" w:eastAsia="Calibri" w:hAnsi="Arial Narrow" w:cs="Times New Roman"/>
                <w:b/>
                <w:bCs/>
                <w:sz w:val="20"/>
                <w:szCs w:val="20"/>
              </w:rPr>
            </w:pPr>
            <w:r w:rsidRPr="00E148FC">
              <w:rPr>
                <w:rFonts w:ascii="Arial Narrow" w:eastAsia="Calibri" w:hAnsi="Arial Narrow" w:cs="Times New Roman"/>
                <w:b/>
                <w:bCs/>
                <w:sz w:val="20"/>
                <w:szCs w:val="20"/>
              </w:rPr>
              <w:t>Year 3</w:t>
            </w:r>
          </w:p>
          <w:p w:rsidR="00052422" w:rsidRPr="00E148FC" w:rsidRDefault="00052422" w:rsidP="00364028">
            <w:pPr>
              <w:keepNext/>
              <w:keepLines/>
              <w:jc w:val="center"/>
              <w:rPr>
                <w:rFonts w:ascii="Arial Narrow" w:eastAsia="Calibri" w:hAnsi="Arial Narrow" w:cs="Times New Roman"/>
                <w:b/>
                <w:bCs/>
                <w:sz w:val="20"/>
                <w:szCs w:val="20"/>
              </w:rPr>
            </w:pPr>
            <w:r w:rsidRPr="00E148FC">
              <w:rPr>
                <w:rFonts w:ascii="Arial Narrow" w:eastAsia="Calibri" w:hAnsi="Arial Narrow" w:cs="Times New Roman"/>
                <w:b/>
                <w:bCs/>
                <w:sz w:val="20"/>
                <w:szCs w:val="20"/>
              </w:rPr>
              <w:t>(2022)</w:t>
            </w:r>
          </w:p>
        </w:tc>
        <w:tc>
          <w:tcPr>
            <w:tcW w:w="642" w:type="pct"/>
            <w:tcBorders>
              <w:bottom w:val="single" w:sz="4" w:space="0" w:color="auto"/>
            </w:tcBorders>
            <w:shd w:val="clear" w:color="auto" w:fill="auto"/>
            <w:vAlign w:val="center"/>
          </w:tcPr>
          <w:p w:rsidR="00052422" w:rsidRPr="00E148FC" w:rsidRDefault="00052422" w:rsidP="00364028">
            <w:pPr>
              <w:keepNext/>
              <w:keepLines/>
              <w:jc w:val="center"/>
              <w:rPr>
                <w:rFonts w:ascii="Arial Narrow" w:eastAsia="Calibri" w:hAnsi="Arial Narrow" w:cs="Times New Roman"/>
                <w:b/>
                <w:bCs/>
                <w:sz w:val="20"/>
                <w:szCs w:val="20"/>
              </w:rPr>
            </w:pPr>
            <w:r w:rsidRPr="00E148FC">
              <w:rPr>
                <w:rFonts w:ascii="Arial Narrow" w:eastAsia="Calibri" w:hAnsi="Arial Narrow" w:cs="Times New Roman"/>
                <w:b/>
                <w:bCs/>
                <w:sz w:val="20"/>
                <w:szCs w:val="20"/>
              </w:rPr>
              <w:t>Year 4</w:t>
            </w:r>
          </w:p>
          <w:p w:rsidR="00052422" w:rsidRPr="00E148FC" w:rsidRDefault="00052422" w:rsidP="00364028">
            <w:pPr>
              <w:keepNext/>
              <w:keepLines/>
              <w:jc w:val="center"/>
              <w:rPr>
                <w:rFonts w:ascii="Arial Narrow" w:eastAsia="Calibri" w:hAnsi="Arial Narrow" w:cs="Times New Roman"/>
                <w:b/>
                <w:bCs/>
                <w:sz w:val="20"/>
                <w:szCs w:val="20"/>
              </w:rPr>
            </w:pPr>
            <w:r w:rsidRPr="00E148FC">
              <w:rPr>
                <w:rFonts w:ascii="Arial Narrow" w:eastAsia="Calibri" w:hAnsi="Arial Narrow" w:cs="Times New Roman"/>
                <w:b/>
                <w:bCs/>
                <w:sz w:val="20"/>
                <w:szCs w:val="20"/>
              </w:rPr>
              <w:t>(2023)</w:t>
            </w:r>
          </w:p>
        </w:tc>
        <w:tc>
          <w:tcPr>
            <w:tcW w:w="641" w:type="pct"/>
            <w:tcBorders>
              <w:bottom w:val="single" w:sz="4" w:space="0" w:color="auto"/>
              <w:right w:val="single" w:sz="4" w:space="0" w:color="auto"/>
            </w:tcBorders>
            <w:shd w:val="clear" w:color="auto" w:fill="auto"/>
            <w:vAlign w:val="center"/>
          </w:tcPr>
          <w:p w:rsidR="00052422" w:rsidRPr="00E148FC" w:rsidRDefault="00052422" w:rsidP="00364028">
            <w:pPr>
              <w:keepNext/>
              <w:keepLines/>
              <w:jc w:val="center"/>
              <w:rPr>
                <w:rFonts w:ascii="Arial Narrow" w:eastAsia="Calibri" w:hAnsi="Arial Narrow" w:cs="Times New Roman"/>
                <w:b/>
                <w:bCs/>
                <w:sz w:val="20"/>
                <w:szCs w:val="20"/>
              </w:rPr>
            </w:pPr>
            <w:r w:rsidRPr="00E148FC">
              <w:rPr>
                <w:rFonts w:ascii="Arial Narrow" w:eastAsia="Calibri" w:hAnsi="Arial Narrow" w:cs="Times New Roman"/>
                <w:b/>
                <w:bCs/>
                <w:sz w:val="20"/>
                <w:szCs w:val="20"/>
              </w:rPr>
              <w:t xml:space="preserve">Year 5 </w:t>
            </w:r>
          </w:p>
          <w:p w:rsidR="00052422" w:rsidRPr="00E148FC" w:rsidRDefault="00052422" w:rsidP="00364028">
            <w:pPr>
              <w:keepNext/>
              <w:keepLines/>
              <w:jc w:val="center"/>
              <w:rPr>
                <w:rFonts w:ascii="Arial Narrow" w:eastAsia="Calibri" w:hAnsi="Arial Narrow" w:cs="Times New Roman"/>
                <w:b/>
                <w:bCs/>
                <w:sz w:val="20"/>
                <w:szCs w:val="20"/>
              </w:rPr>
            </w:pPr>
            <w:r w:rsidRPr="00E148FC">
              <w:rPr>
                <w:rFonts w:ascii="Arial Narrow" w:eastAsia="Calibri" w:hAnsi="Arial Narrow" w:cs="Times New Roman"/>
                <w:b/>
                <w:bCs/>
                <w:sz w:val="20"/>
                <w:szCs w:val="20"/>
              </w:rPr>
              <w:t>(2024)</w:t>
            </w:r>
          </w:p>
        </w:tc>
        <w:tc>
          <w:tcPr>
            <w:tcW w:w="611" w:type="pct"/>
            <w:tcBorders>
              <w:bottom w:val="single" w:sz="4" w:space="0" w:color="auto"/>
              <w:right w:val="single" w:sz="4" w:space="0" w:color="auto"/>
            </w:tcBorders>
            <w:vAlign w:val="center"/>
          </w:tcPr>
          <w:p w:rsidR="00052422" w:rsidRPr="00E148FC" w:rsidRDefault="00052422" w:rsidP="00364028">
            <w:pPr>
              <w:keepNext/>
              <w:keepLines/>
              <w:jc w:val="center"/>
              <w:rPr>
                <w:rFonts w:ascii="Arial Narrow" w:eastAsia="Calibri" w:hAnsi="Arial Narrow" w:cs="Times New Roman"/>
                <w:b/>
                <w:bCs/>
                <w:sz w:val="20"/>
                <w:szCs w:val="20"/>
              </w:rPr>
            </w:pPr>
            <w:r w:rsidRPr="00E148FC">
              <w:rPr>
                <w:rFonts w:ascii="Arial Narrow" w:eastAsia="Calibri" w:hAnsi="Arial Narrow" w:cs="Times New Roman"/>
                <w:b/>
                <w:bCs/>
                <w:sz w:val="20"/>
                <w:szCs w:val="20"/>
              </w:rPr>
              <w:t xml:space="preserve">Year 6 </w:t>
            </w:r>
          </w:p>
          <w:p w:rsidR="00052422" w:rsidRPr="00E148FC" w:rsidRDefault="00052422" w:rsidP="00364028">
            <w:pPr>
              <w:keepNext/>
              <w:keepLines/>
              <w:jc w:val="center"/>
              <w:rPr>
                <w:rFonts w:ascii="Arial Narrow" w:eastAsia="Calibri" w:hAnsi="Arial Narrow" w:cs="Times New Roman"/>
                <w:b/>
                <w:bCs/>
                <w:sz w:val="20"/>
                <w:szCs w:val="20"/>
              </w:rPr>
            </w:pPr>
            <w:r w:rsidRPr="00E148FC">
              <w:rPr>
                <w:rFonts w:ascii="Arial Narrow" w:eastAsia="Calibri" w:hAnsi="Arial Narrow" w:cs="Times New Roman"/>
                <w:b/>
                <w:bCs/>
                <w:sz w:val="20"/>
                <w:szCs w:val="20"/>
              </w:rPr>
              <w:t>(2025)</w:t>
            </w:r>
          </w:p>
        </w:tc>
      </w:tr>
      <w:tr w:rsidR="00052422" w:rsidRPr="00E148FC" w:rsidTr="00BB0454">
        <w:trPr>
          <w:tblHeader/>
        </w:trPr>
        <w:tc>
          <w:tcPr>
            <w:tcW w:w="5000" w:type="pct"/>
            <w:gridSpan w:val="7"/>
            <w:tcBorders>
              <w:left w:val="single" w:sz="4" w:space="0" w:color="auto"/>
              <w:bottom w:val="single" w:sz="4" w:space="0" w:color="auto"/>
            </w:tcBorders>
            <w:shd w:val="clear" w:color="auto" w:fill="auto"/>
            <w:vAlign w:val="center"/>
          </w:tcPr>
          <w:p w:rsidR="00052422" w:rsidRPr="00E148FC" w:rsidRDefault="00052422" w:rsidP="00364028">
            <w:pPr>
              <w:keepNext/>
              <w:keepLines/>
              <w:jc w:val="left"/>
              <w:rPr>
                <w:rFonts w:ascii="Arial Narrow" w:eastAsia="Calibri" w:hAnsi="Arial Narrow" w:cs="Times New Roman"/>
                <w:b/>
                <w:bCs/>
                <w:sz w:val="20"/>
                <w:szCs w:val="20"/>
                <w:highlight w:val="yellow"/>
              </w:rPr>
            </w:pPr>
            <w:r w:rsidRPr="00E148FC">
              <w:rPr>
                <w:rFonts w:ascii="Arial Narrow" w:eastAsia="Calibri" w:hAnsi="Arial Narrow" w:cs="Times New Roman"/>
                <w:b/>
                <w:bCs/>
                <w:sz w:val="20"/>
                <w:szCs w:val="20"/>
              </w:rPr>
              <w:t>Utilisation of exenatide (with insulin) in absence of semaglutide (scripts from 10% Medicare sample x 10)</w:t>
            </w:r>
          </w:p>
        </w:tc>
      </w:tr>
      <w:tr w:rsidR="00052422" w:rsidRPr="00E148FC" w:rsidTr="00BB0454">
        <w:tc>
          <w:tcPr>
            <w:tcW w:w="1243" w:type="pct"/>
            <w:tcBorders>
              <w:left w:val="single" w:sz="4" w:space="0" w:color="auto"/>
              <w:bottom w:val="single" w:sz="4" w:space="0" w:color="auto"/>
            </w:tcBorders>
            <w:shd w:val="clear" w:color="auto" w:fill="auto"/>
            <w:vAlign w:val="center"/>
          </w:tcPr>
          <w:p w:rsidR="00052422" w:rsidRPr="00E148FC" w:rsidRDefault="00052422" w:rsidP="00364028">
            <w:pPr>
              <w:keepNext/>
              <w:keepLines/>
              <w:jc w:val="left"/>
              <w:rPr>
                <w:rFonts w:ascii="Arial Narrow" w:hAnsi="Arial Narrow"/>
                <w:sz w:val="20"/>
                <w:szCs w:val="20"/>
              </w:rPr>
            </w:pPr>
            <w:r w:rsidRPr="00E148FC">
              <w:rPr>
                <w:rFonts w:ascii="Arial Narrow" w:hAnsi="Arial Narrow"/>
                <w:sz w:val="20"/>
                <w:szCs w:val="20"/>
              </w:rPr>
              <w:t>Exenatide 5 mcg twice daily</w:t>
            </w:r>
          </w:p>
        </w:tc>
        <w:tc>
          <w:tcPr>
            <w:tcW w:w="581" w:type="pct"/>
            <w:shd w:val="clear" w:color="auto" w:fill="auto"/>
          </w:tcPr>
          <w:p w:rsidR="00052422" w:rsidRPr="00BB0454" w:rsidRDefault="00BB0454" w:rsidP="00364028">
            <w:pPr>
              <w:keepNext/>
              <w:keepLines/>
              <w:jc w:val="center"/>
              <w:rPr>
                <w:rFonts w:ascii="Arial Narrow" w:hAnsi="Arial Narrow"/>
                <w:sz w:val="20"/>
                <w:szCs w:val="20"/>
              </w:rPr>
            </w:pPr>
            <w:r>
              <w:rPr>
                <w:rFonts w:ascii="Arial Narrow" w:hAnsi="Arial Narrow"/>
                <w:noProof/>
                <w:color w:val="000000"/>
                <w:sz w:val="20"/>
                <w:szCs w:val="20"/>
                <w:highlight w:val="black"/>
              </w:rPr>
              <w:t>'''''''''''''''</w:t>
            </w:r>
            <w:r w:rsidR="0053776E" w:rsidRPr="000C245B">
              <w:rPr>
                <w:rFonts w:ascii="Arial Narrow" w:hAnsi="Arial Narrow"/>
                <w:sz w:val="18"/>
                <w:vertAlign w:val="superscript"/>
              </w:rPr>
              <w:t>1</w:t>
            </w:r>
          </w:p>
        </w:tc>
        <w:tc>
          <w:tcPr>
            <w:tcW w:w="642" w:type="pct"/>
            <w:shd w:val="clear" w:color="auto" w:fill="auto"/>
          </w:tcPr>
          <w:p w:rsidR="00052422" w:rsidRPr="00BB0454" w:rsidRDefault="00BB0454" w:rsidP="00364028">
            <w:pPr>
              <w:keepNext/>
              <w:keepLines/>
              <w:jc w:val="center"/>
              <w:rPr>
                <w:rFonts w:ascii="Arial Narrow" w:hAnsi="Arial Narrow"/>
                <w:sz w:val="20"/>
                <w:szCs w:val="20"/>
              </w:rPr>
            </w:pPr>
            <w:r>
              <w:rPr>
                <w:rFonts w:ascii="Arial Narrow" w:hAnsi="Arial Narrow"/>
                <w:noProof/>
                <w:color w:val="000000"/>
                <w:sz w:val="20"/>
                <w:szCs w:val="20"/>
                <w:highlight w:val="black"/>
              </w:rPr>
              <w:t>'''''''''''''''''</w:t>
            </w:r>
            <w:r w:rsidR="0053776E" w:rsidRPr="000C245B">
              <w:rPr>
                <w:rFonts w:ascii="Arial Narrow" w:hAnsi="Arial Narrow"/>
                <w:sz w:val="18"/>
                <w:vertAlign w:val="superscript"/>
              </w:rPr>
              <w:t>1</w:t>
            </w:r>
          </w:p>
        </w:tc>
        <w:tc>
          <w:tcPr>
            <w:tcW w:w="641" w:type="pct"/>
            <w:shd w:val="clear" w:color="auto" w:fill="auto"/>
          </w:tcPr>
          <w:p w:rsidR="00052422" w:rsidRPr="00BB0454" w:rsidRDefault="00BB0454" w:rsidP="00364028">
            <w:pPr>
              <w:keepNext/>
              <w:keepLines/>
              <w:jc w:val="center"/>
              <w:rPr>
                <w:rFonts w:ascii="Arial Narrow" w:hAnsi="Arial Narrow"/>
                <w:sz w:val="20"/>
                <w:szCs w:val="20"/>
              </w:rPr>
            </w:pPr>
            <w:r>
              <w:rPr>
                <w:rFonts w:ascii="Arial Narrow" w:hAnsi="Arial Narrow"/>
                <w:noProof/>
                <w:color w:val="000000"/>
                <w:sz w:val="20"/>
                <w:szCs w:val="20"/>
                <w:highlight w:val="black"/>
              </w:rPr>
              <w:t>''''''''''''''''</w:t>
            </w:r>
            <w:r w:rsidR="0053776E" w:rsidRPr="0053776E">
              <w:rPr>
                <w:rFonts w:ascii="Arial Narrow" w:hAnsi="Arial Narrow"/>
                <w:b/>
                <w:sz w:val="18"/>
                <w:vertAlign w:val="superscript"/>
              </w:rPr>
              <w:t>1</w:t>
            </w:r>
          </w:p>
        </w:tc>
        <w:tc>
          <w:tcPr>
            <w:tcW w:w="642" w:type="pct"/>
            <w:shd w:val="clear" w:color="auto" w:fill="auto"/>
          </w:tcPr>
          <w:p w:rsidR="00052422" w:rsidRPr="00BB0454" w:rsidRDefault="00BB0454" w:rsidP="00364028">
            <w:pPr>
              <w:keepNext/>
              <w:keepLines/>
              <w:jc w:val="center"/>
              <w:rPr>
                <w:rFonts w:ascii="Arial Narrow" w:hAnsi="Arial Narrow"/>
                <w:sz w:val="20"/>
                <w:szCs w:val="20"/>
              </w:rPr>
            </w:pPr>
            <w:r>
              <w:rPr>
                <w:rFonts w:ascii="Arial Narrow" w:hAnsi="Arial Narrow"/>
                <w:noProof/>
                <w:color w:val="000000"/>
                <w:sz w:val="20"/>
                <w:szCs w:val="20"/>
                <w:highlight w:val="black"/>
              </w:rPr>
              <w:t>''''''''''''''''</w:t>
            </w:r>
            <w:r w:rsidR="0053776E" w:rsidRPr="0053776E">
              <w:rPr>
                <w:rFonts w:ascii="Arial Narrow" w:hAnsi="Arial Narrow"/>
                <w:b/>
                <w:sz w:val="18"/>
                <w:vertAlign w:val="superscript"/>
              </w:rPr>
              <w:t>1</w:t>
            </w:r>
          </w:p>
        </w:tc>
        <w:tc>
          <w:tcPr>
            <w:tcW w:w="641" w:type="pct"/>
            <w:tcBorders>
              <w:right w:val="single" w:sz="4" w:space="0" w:color="auto"/>
            </w:tcBorders>
            <w:shd w:val="clear" w:color="auto" w:fill="auto"/>
          </w:tcPr>
          <w:p w:rsidR="00052422" w:rsidRPr="00BB0454" w:rsidRDefault="00BB0454" w:rsidP="00364028">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r>
              <w:rPr>
                <w:rFonts w:ascii="Arial Narrow" w:hAnsi="Arial Narrow"/>
                <w:noProof/>
                <w:color w:val="000000"/>
                <w:sz w:val="20"/>
                <w:szCs w:val="20"/>
                <w:highlight w:val="black"/>
                <w:vertAlign w:val="superscript"/>
              </w:rPr>
              <w:t>1</w:t>
            </w:r>
            <w:r w:rsidRPr="0053776E">
              <w:rPr>
                <w:rFonts w:ascii="Arial Narrow" w:hAnsi="Arial Narrow"/>
                <w:b/>
                <w:sz w:val="18"/>
                <w:vertAlign w:val="superscript"/>
              </w:rPr>
              <w:t>1</w:t>
            </w:r>
          </w:p>
        </w:tc>
        <w:tc>
          <w:tcPr>
            <w:tcW w:w="611" w:type="pct"/>
            <w:tcBorders>
              <w:right w:val="single" w:sz="4" w:space="0" w:color="auto"/>
            </w:tcBorders>
          </w:tcPr>
          <w:p w:rsidR="00052422" w:rsidRPr="00E148FC" w:rsidRDefault="00BB0454" w:rsidP="00364028">
            <w:pPr>
              <w:keepNext/>
              <w:keepLines/>
              <w:jc w:val="center"/>
              <w:rPr>
                <w:rFonts w:ascii="Arial Narrow" w:hAnsi="Arial Narrow"/>
                <w:sz w:val="20"/>
                <w:szCs w:val="20"/>
              </w:rPr>
            </w:pPr>
            <w:r>
              <w:rPr>
                <w:rFonts w:ascii="Arial Narrow" w:hAnsi="Arial Narrow"/>
                <w:noProof/>
                <w:color w:val="000000"/>
                <w:sz w:val="20"/>
                <w:szCs w:val="20"/>
                <w:highlight w:val="black"/>
              </w:rPr>
              <w:t>''''''''''''''</w:t>
            </w:r>
            <w:r w:rsidR="00F40899" w:rsidRPr="00F40899">
              <w:rPr>
                <w:rFonts w:ascii="Arial Narrow" w:hAnsi="Arial Narrow"/>
                <w:sz w:val="18"/>
                <w:vertAlign w:val="superscript"/>
              </w:rPr>
              <w:t>2</w:t>
            </w:r>
          </w:p>
        </w:tc>
      </w:tr>
      <w:tr w:rsidR="00052422" w:rsidRPr="00E148FC" w:rsidTr="00BB0454">
        <w:tc>
          <w:tcPr>
            <w:tcW w:w="1243" w:type="pct"/>
            <w:tcBorders>
              <w:left w:val="single" w:sz="4" w:space="0" w:color="auto"/>
              <w:bottom w:val="single" w:sz="4" w:space="0" w:color="auto"/>
            </w:tcBorders>
            <w:shd w:val="clear" w:color="auto" w:fill="auto"/>
            <w:vAlign w:val="center"/>
          </w:tcPr>
          <w:p w:rsidR="00052422" w:rsidRPr="00E148FC" w:rsidRDefault="00052422" w:rsidP="00364028">
            <w:pPr>
              <w:keepNext/>
              <w:keepLines/>
              <w:jc w:val="left"/>
              <w:rPr>
                <w:rFonts w:ascii="Arial Narrow" w:eastAsia="Calibri" w:hAnsi="Arial Narrow" w:cs="Times New Roman"/>
                <w:sz w:val="20"/>
                <w:szCs w:val="20"/>
              </w:rPr>
            </w:pPr>
            <w:r w:rsidRPr="00E148FC">
              <w:rPr>
                <w:rFonts w:ascii="Arial Narrow" w:eastAsia="Calibri" w:hAnsi="Arial Narrow" w:cs="Times New Roman"/>
                <w:sz w:val="20"/>
                <w:szCs w:val="20"/>
              </w:rPr>
              <w:t>Exenatide 10 mcg twice daily</w:t>
            </w:r>
          </w:p>
        </w:tc>
        <w:tc>
          <w:tcPr>
            <w:tcW w:w="581" w:type="pct"/>
            <w:shd w:val="clear" w:color="auto" w:fill="auto"/>
          </w:tcPr>
          <w:p w:rsidR="00052422" w:rsidRPr="00E148FC" w:rsidRDefault="00BB0454" w:rsidP="00364028">
            <w:pPr>
              <w:keepNext/>
              <w:keepLines/>
              <w:jc w:val="center"/>
              <w:rPr>
                <w:rFonts w:ascii="Arial Narrow" w:hAnsi="Arial Narrow"/>
                <w:sz w:val="20"/>
                <w:szCs w:val="20"/>
              </w:rPr>
            </w:pPr>
            <w:r>
              <w:rPr>
                <w:rFonts w:ascii="Arial Narrow" w:hAnsi="Arial Narrow"/>
                <w:noProof/>
                <w:color w:val="000000"/>
                <w:sz w:val="20"/>
                <w:szCs w:val="20"/>
                <w:highlight w:val="black"/>
              </w:rPr>
              <w:t>''''''''''''''''</w:t>
            </w:r>
            <w:r w:rsidR="000C245B" w:rsidRPr="000C245B">
              <w:rPr>
                <w:rFonts w:ascii="Arial Narrow" w:hAnsi="Arial Narrow"/>
                <w:sz w:val="18"/>
                <w:vertAlign w:val="superscript"/>
              </w:rPr>
              <w:t>3</w:t>
            </w:r>
          </w:p>
        </w:tc>
        <w:tc>
          <w:tcPr>
            <w:tcW w:w="642" w:type="pct"/>
            <w:shd w:val="clear" w:color="auto" w:fill="auto"/>
          </w:tcPr>
          <w:p w:rsidR="00052422" w:rsidRPr="00E148FC" w:rsidRDefault="00BB0454" w:rsidP="00364028">
            <w:pPr>
              <w:keepNext/>
              <w:keepLines/>
              <w:jc w:val="center"/>
              <w:rPr>
                <w:rFonts w:ascii="Arial Narrow" w:hAnsi="Arial Narrow"/>
                <w:sz w:val="20"/>
                <w:szCs w:val="20"/>
              </w:rPr>
            </w:pPr>
            <w:r>
              <w:rPr>
                <w:rFonts w:ascii="Arial Narrow" w:hAnsi="Arial Narrow"/>
                <w:noProof/>
                <w:color w:val="000000"/>
                <w:sz w:val="20"/>
                <w:szCs w:val="20"/>
                <w:highlight w:val="black"/>
              </w:rPr>
              <w:t>'''''''''''''''</w:t>
            </w:r>
            <w:r w:rsidR="005A4C95" w:rsidRPr="005A4C95">
              <w:rPr>
                <w:rFonts w:ascii="Arial Narrow" w:hAnsi="Arial Narrow"/>
                <w:sz w:val="18"/>
                <w:vertAlign w:val="superscript"/>
              </w:rPr>
              <w:t>4</w:t>
            </w:r>
          </w:p>
        </w:tc>
        <w:tc>
          <w:tcPr>
            <w:tcW w:w="641" w:type="pct"/>
            <w:shd w:val="clear" w:color="auto" w:fill="auto"/>
          </w:tcPr>
          <w:p w:rsidR="00052422" w:rsidRPr="00E148FC" w:rsidRDefault="00BB0454" w:rsidP="00364028">
            <w:pPr>
              <w:keepNext/>
              <w:keepLines/>
              <w:jc w:val="center"/>
              <w:rPr>
                <w:rFonts w:ascii="Arial Narrow" w:hAnsi="Arial Narrow"/>
                <w:sz w:val="20"/>
                <w:szCs w:val="20"/>
              </w:rPr>
            </w:pPr>
            <w:r>
              <w:rPr>
                <w:rFonts w:ascii="Arial Narrow" w:hAnsi="Arial Narrow"/>
                <w:noProof/>
                <w:color w:val="000000"/>
                <w:sz w:val="20"/>
                <w:szCs w:val="20"/>
                <w:highlight w:val="black"/>
              </w:rPr>
              <w:t>'''''''''''''''</w:t>
            </w:r>
            <w:r w:rsidR="005A4C95" w:rsidRPr="005A4C95">
              <w:rPr>
                <w:rFonts w:ascii="Arial Narrow" w:hAnsi="Arial Narrow"/>
                <w:sz w:val="18"/>
                <w:vertAlign w:val="superscript"/>
              </w:rPr>
              <w:t>4</w:t>
            </w:r>
          </w:p>
        </w:tc>
        <w:tc>
          <w:tcPr>
            <w:tcW w:w="642" w:type="pct"/>
            <w:shd w:val="clear" w:color="auto" w:fill="auto"/>
          </w:tcPr>
          <w:p w:rsidR="00052422" w:rsidRPr="00E148FC" w:rsidRDefault="00BB0454" w:rsidP="00364028">
            <w:pPr>
              <w:keepNext/>
              <w:keepLines/>
              <w:jc w:val="center"/>
              <w:rPr>
                <w:rFonts w:ascii="Arial Narrow" w:hAnsi="Arial Narrow"/>
                <w:sz w:val="20"/>
                <w:szCs w:val="20"/>
              </w:rPr>
            </w:pPr>
            <w:r>
              <w:rPr>
                <w:rFonts w:ascii="Arial Narrow" w:hAnsi="Arial Narrow"/>
                <w:noProof/>
                <w:color w:val="000000"/>
                <w:sz w:val="20"/>
                <w:szCs w:val="20"/>
                <w:highlight w:val="black"/>
              </w:rPr>
              <w:t>'''''''''''''''</w:t>
            </w:r>
            <w:r w:rsidR="00952E33" w:rsidRPr="00952E33">
              <w:rPr>
                <w:rFonts w:ascii="Arial Narrow" w:hAnsi="Arial Narrow"/>
                <w:sz w:val="18"/>
                <w:vertAlign w:val="superscript"/>
              </w:rPr>
              <w:t>5</w:t>
            </w:r>
          </w:p>
        </w:tc>
        <w:tc>
          <w:tcPr>
            <w:tcW w:w="641" w:type="pct"/>
            <w:tcBorders>
              <w:right w:val="single" w:sz="4" w:space="0" w:color="auto"/>
            </w:tcBorders>
            <w:shd w:val="clear" w:color="auto" w:fill="auto"/>
          </w:tcPr>
          <w:p w:rsidR="00052422" w:rsidRPr="00E148FC" w:rsidRDefault="00BB0454" w:rsidP="00364028">
            <w:pPr>
              <w:keepNext/>
              <w:keepLines/>
              <w:jc w:val="center"/>
              <w:rPr>
                <w:rFonts w:ascii="Arial Narrow" w:hAnsi="Arial Narrow"/>
                <w:sz w:val="20"/>
                <w:szCs w:val="20"/>
              </w:rPr>
            </w:pPr>
            <w:r>
              <w:rPr>
                <w:rFonts w:ascii="Arial Narrow" w:hAnsi="Arial Narrow"/>
                <w:noProof/>
                <w:color w:val="000000"/>
                <w:sz w:val="20"/>
                <w:szCs w:val="20"/>
                <w:highlight w:val="black"/>
              </w:rPr>
              <w:t>'''''''''''''''</w:t>
            </w:r>
            <w:r w:rsidR="00952E33" w:rsidRPr="00952E33">
              <w:rPr>
                <w:rFonts w:ascii="Arial Narrow" w:hAnsi="Arial Narrow"/>
                <w:sz w:val="18"/>
                <w:vertAlign w:val="superscript"/>
              </w:rPr>
              <w:t>5</w:t>
            </w:r>
          </w:p>
        </w:tc>
        <w:tc>
          <w:tcPr>
            <w:tcW w:w="611" w:type="pct"/>
            <w:tcBorders>
              <w:right w:val="single" w:sz="4" w:space="0" w:color="auto"/>
            </w:tcBorders>
          </w:tcPr>
          <w:p w:rsidR="00052422" w:rsidRPr="00E148FC" w:rsidRDefault="00BB0454" w:rsidP="00364028">
            <w:pPr>
              <w:keepNext/>
              <w:keepLines/>
              <w:jc w:val="center"/>
              <w:rPr>
                <w:rFonts w:ascii="Arial Narrow" w:hAnsi="Arial Narrow"/>
                <w:sz w:val="20"/>
                <w:szCs w:val="20"/>
              </w:rPr>
            </w:pPr>
            <w:r>
              <w:rPr>
                <w:rFonts w:ascii="Arial Narrow" w:hAnsi="Arial Narrow"/>
                <w:noProof/>
                <w:color w:val="000000"/>
                <w:sz w:val="20"/>
                <w:szCs w:val="20"/>
                <w:highlight w:val="black"/>
              </w:rPr>
              <w:t>''''''''''''''''</w:t>
            </w:r>
            <w:r w:rsidR="00952E33" w:rsidRPr="00952E33">
              <w:rPr>
                <w:rFonts w:ascii="Arial Narrow" w:hAnsi="Arial Narrow"/>
                <w:sz w:val="18"/>
                <w:vertAlign w:val="superscript"/>
              </w:rPr>
              <w:t>5</w:t>
            </w:r>
          </w:p>
        </w:tc>
      </w:tr>
      <w:tr w:rsidR="00052422" w:rsidRPr="00E148FC" w:rsidTr="00BB0454">
        <w:tc>
          <w:tcPr>
            <w:tcW w:w="1243" w:type="pct"/>
            <w:tcBorders>
              <w:left w:val="single" w:sz="4" w:space="0" w:color="auto"/>
              <w:bottom w:val="single" w:sz="4" w:space="0" w:color="auto"/>
            </w:tcBorders>
            <w:shd w:val="clear" w:color="auto" w:fill="auto"/>
            <w:vAlign w:val="center"/>
          </w:tcPr>
          <w:p w:rsidR="00052422" w:rsidRPr="00E148FC" w:rsidRDefault="00052422" w:rsidP="00364028">
            <w:pPr>
              <w:keepNext/>
              <w:keepLines/>
              <w:jc w:val="left"/>
              <w:rPr>
                <w:rFonts w:ascii="Arial Narrow" w:eastAsia="Calibri" w:hAnsi="Arial Narrow" w:cs="Times New Roman"/>
                <w:sz w:val="20"/>
                <w:szCs w:val="20"/>
              </w:rPr>
            </w:pPr>
            <w:r w:rsidRPr="00E148FC">
              <w:rPr>
                <w:rFonts w:ascii="Arial Narrow" w:eastAsia="Calibri" w:hAnsi="Arial Narrow" w:cs="Times New Roman"/>
                <w:sz w:val="20"/>
                <w:szCs w:val="20"/>
              </w:rPr>
              <w:t>Total exenatide twice daily</w:t>
            </w:r>
          </w:p>
        </w:tc>
        <w:tc>
          <w:tcPr>
            <w:tcW w:w="581" w:type="pct"/>
            <w:shd w:val="clear" w:color="auto" w:fill="auto"/>
          </w:tcPr>
          <w:p w:rsidR="00052422" w:rsidRPr="00E148FC" w:rsidRDefault="00BB0454" w:rsidP="00364028">
            <w:pPr>
              <w:keepNext/>
              <w:keepLines/>
              <w:jc w:val="center"/>
              <w:rPr>
                <w:rFonts w:ascii="Arial Narrow" w:hAnsi="Arial Narrow"/>
                <w:sz w:val="20"/>
                <w:szCs w:val="20"/>
              </w:rPr>
            </w:pPr>
            <w:r>
              <w:rPr>
                <w:rFonts w:ascii="Arial Narrow" w:hAnsi="Arial Narrow"/>
                <w:noProof/>
                <w:color w:val="000000"/>
                <w:sz w:val="20"/>
                <w:szCs w:val="20"/>
                <w:highlight w:val="black"/>
              </w:rPr>
              <w:t>'''''''''''''''</w:t>
            </w:r>
            <w:r w:rsidR="00B32B76" w:rsidRPr="00B32B76">
              <w:rPr>
                <w:rFonts w:ascii="Arial Narrow" w:hAnsi="Arial Narrow"/>
                <w:sz w:val="18"/>
                <w:vertAlign w:val="superscript"/>
              </w:rPr>
              <w:t>6</w:t>
            </w:r>
          </w:p>
        </w:tc>
        <w:tc>
          <w:tcPr>
            <w:tcW w:w="642" w:type="pct"/>
            <w:shd w:val="clear" w:color="auto" w:fill="auto"/>
          </w:tcPr>
          <w:p w:rsidR="00052422" w:rsidRPr="00E148FC" w:rsidRDefault="00BB0454" w:rsidP="00364028">
            <w:pPr>
              <w:keepNext/>
              <w:keepLines/>
              <w:jc w:val="center"/>
              <w:rPr>
                <w:rFonts w:ascii="Arial Narrow" w:hAnsi="Arial Narrow"/>
                <w:sz w:val="20"/>
                <w:szCs w:val="20"/>
              </w:rPr>
            </w:pPr>
            <w:r>
              <w:rPr>
                <w:rFonts w:ascii="Arial Narrow" w:hAnsi="Arial Narrow"/>
                <w:noProof/>
                <w:color w:val="000000"/>
                <w:sz w:val="20"/>
                <w:szCs w:val="20"/>
                <w:highlight w:val="black"/>
              </w:rPr>
              <w:t>''''''''''''''''</w:t>
            </w:r>
            <w:r w:rsidR="00B32B76" w:rsidRPr="00B32B76">
              <w:rPr>
                <w:rFonts w:ascii="Arial Narrow" w:hAnsi="Arial Narrow"/>
                <w:sz w:val="18"/>
                <w:vertAlign w:val="superscript"/>
              </w:rPr>
              <w:t>6</w:t>
            </w:r>
          </w:p>
        </w:tc>
        <w:tc>
          <w:tcPr>
            <w:tcW w:w="641" w:type="pct"/>
            <w:shd w:val="clear" w:color="auto" w:fill="auto"/>
          </w:tcPr>
          <w:p w:rsidR="00052422" w:rsidRPr="00E148FC" w:rsidRDefault="00BB0454" w:rsidP="00364028">
            <w:pPr>
              <w:keepNext/>
              <w:keepLines/>
              <w:jc w:val="center"/>
              <w:rPr>
                <w:rFonts w:ascii="Arial Narrow" w:hAnsi="Arial Narrow"/>
                <w:sz w:val="20"/>
                <w:szCs w:val="20"/>
              </w:rPr>
            </w:pPr>
            <w:r>
              <w:rPr>
                <w:rFonts w:ascii="Arial Narrow" w:hAnsi="Arial Narrow"/>
                <w:noProof/>
                <w:color w:val="000000"/>
                <w:sz w:val="20"/>
                <w:szCs w:val="20"/>
                <w:highlight w:val="black"/>
              </w:rPr>
              <w:t>'''''''''''''''</w:t>
            </w:r>
            <w:r w:rsidR="000C245B" w:rsidRPr="000C245B">
              <w:rPr>
                <w:rFonts w:ascii="Arial Narrow" w:hAnsi="Arial Narrow"/>
                <w:sz w:val="18"/>
                <w:vertAlign w:val="superscript"/>
              </w:rPr>
              <w:t>3</w:t>
            </w:r>
          </w:p>
        </w:tc>
        <w:tc>
          <w:tcPr>
            <w:tcW w:w="642" w:type="pct"/>
            <w:shd w:val="clear" w:color="auto" w:fill="auto"/>
          </w:tcPr>
          <w:p w:rsidR="00052422" w:rsidRPr="00E148FC" w:rsidRDefault="00BB0454" w:rsidP="00364028">
            <w:pPr>
              <w:keepNext/>
              <w:keepLines/>
              <w:jc w:val="center"/>
              <w:rPr>
                <w:rFonts w:ascii="Arial Narrow" w:hAnsi="Arial Narrow"/>
                <w:sz w:val="20"/>
                <w:szCs w:val="20"/>
              </w:rPr>
            </w:pPr>
            <w:r>
              <w:rPr>
                <w:rFonts w:ascii="Arial Narrow" w:hAnsi="Arial Narrow"/>
                <w:noProof/>
                <w:color w:val="000000"/>
                <w:sz w:val="20"/>
                <w:szCs w:val="20"/>
                <w:highlight w:val="black"/>
              </w:rPr>
              <w:t>''''''''''''''''</w:t>
            </w:r>
            <w:r w:rsidR="000C245B" w:rsidRPr="000C245B">
              <w:rPr>
                <w:rFonts w:ascii="Arial Narrow" w:hAnsi="Arial Narrow"/>
                <w:sz w:val="18"/>
                <w:vertAlign w:val="superscript"/>
              </w:rPr>
              <w:t>3</w:t>
            </w:r>
          </w:p>
        </w:tc>
        <w:tc>
          <w:tcPr>
            <w:tcW w:w="641" w:type="pct"/>
            <w:tcBorders>
              <w:right w:val="single" w:sz="4" w:space="0" w:color="auto"/>
            </w:tcBorders>
            <w:shd w:val="clear" w:color="auto" w:fill="auto"/>
          </w:tcPr>
          <w:p w:rsidR="00052422" w:rsidRPr="00E148FC" w:rsidRDefault="00BB0454" w:rsidP="00364028">
            <w:pPr>
              <w:keepNext/>
              <w:keepLines/>
              <w:jc w:val="center"/>
              <w:rPr>
                <w:rFonts w:ascii="Arial Narrow" w:hAnsi="Arial Narrow"/>
                <w:sz w:val="20"/>
                <w:szCs w:val="20"/>
              </w:rPr>
            </w:pPr>
            <w:r>
              <w:rPr>
                <w:rFonts w:ascii="Arial Narrow" w:hAnsi="Arial Narrow"/>
                <w:noProof/>
                <w:color w:val="000000"/>
                <w:sz w:val="20"/>
                <w:szCs w:val="20"/>
                <w:highlight w:val="black"/>
              </w:rPr>
              <w:t>''''''''''''''''''</w:t>
            </w:r>
            <w:r w:rsidR="005A4C95" w:rsidRPr="005A4C95">
              <w:rPr>
                <w:rFonts w:ascii="Arial Narrow" w:hAnsi="Arial Narrow"/>
                <w:sz w:val="18"/>
                <w:vertAlign w:val="superscript"/>
              </w:rPr>
              <w:t>4</w:t>
            </w:r>
          </w:p>
        </w:tc>
        <w:tc>
          <w:tcPr>
            <w:tcW w:w="611" w:type="pct"/>
            <w:tcBorders>
              <w:right w:val="single" w:sz="4" w:space="0" w:color="auto"/>
            </w:tcBorders>
          </w:tcPr>
          <w:p w:rsidR="00052422" w:rsidRPr="00E148FC" w:rsidRDefault="00BB0454" w:rsidP="00364028">
            <w:pPr>
              <w:keepNext/>
              <w:keepLines/>
              <w:jc w:val="center"/>
              <w:rPr>
                <w:rFonts w:ascii="Arial Narrow" w:hAnsi="Arial Narrow"/>
                <w:sz w:val="20"/>
                <w:szCs w:val="20"/>
              </w:rPr>
            </w:pPr>
            <w:r>
              <w:rPr>
                <w:rFonts w:ascii="Arial Narrow" w:hAnsi="Arial Narrow"/>
                <w:noProof/>
                <w:color w:val="000000"/>
                <w:sz w:val="20"/>
                <w:szCs w:val="20"/>
                <w:highlight w:val="black"/>
              </w:rPr>
              <w:t>''''''''''''''''</w:t>
            </w:r>
            <w:r w:rsidR="005A4C95" w:rsidRPr="005A4C95">
              <w:rPr>
                <w:rFonts w:ascii="Arial Narrow" w:hAnsi="Arial Narrow"/>
                <w:sz w:val="18"/>
                <w:vertAlign w:val="superscript"/>
              </w:rPr>
              <w:t>4</w:t>
            </w:r>
          </w:p>
        </w:tc>
      </w:tr>
      <w:tr w:rsidR="00052422" w:rsidRPr="00E148FC" w:rsidTr="00BB0454">
        <w:tc>
          <w:tcPr>
            <w:tcW w:w="1243" w:type="pct"/>
            <w:tcBorders>
              <w:left w:val="single" w:sz="4" w:space="0" w:color="auto"/>
              <w:bottom w:val="single" w:sz="4" w:space="0" w:color="auto"/>
            </w:tcBorders>
            <w:shd w:val="clear" w:color="auto" w:fill="auto"/>
            <w:vAlign w:val="center"/>
          </w:tcPr>
          <w:p w:rsidR="00052422" w:rsidRPr="00E148FC" w:rsidRDefault="00052422" w:rsidP="00364028">
            <w:pPr>
              <w:keepNext/>
              <w:keepLines/>
              <w:jc w:val="left"/>
              <w:rPr>
                <w:rFonts w:ascii="Arial Narrow" w:eastAsia="Calibri" w:hAnsi="Arial Narrow" w:cs="Times New Roman"/>
                <w:sz w:val="20"/>
                <w:szCs w:val="20"/>
              </w:rPr>
            </w:pPr>
            <w:r w:rsidRPr="00E148FC">
              <w:rPr>
                <w:rFonts w:ascii="Arial Narrow" w:eastAsia="Calibri" w:hAnsi="Arial Narrow" w:cs="Times New Roman"/>
                <w:sz w:val="20"/>
                <w:szCs w:val="20"/>
              </w:rPr>
              <w:t>Exenatide 2 mg once weekly</w:t>
            </w:r>
          </w:p>
        </w:tc>
        <w:tc>
          <w:tcPr>
            <w:tcW w:w="581" w:type="pct"/>
            <w:shd w:val="clear" w:color="auto" w:fill="auto"/>
          </w:tcPr>
          <w:p w:rsidR="00052422" w:rsidRPr="00E148FC" w:rsidRDefault="00BB0454" w:rsidP="00364028">
            <w:pPr>
              <w:keepNext/>
              <w:keepLines/>
              <w:jc w:val="center"/>
              <w:rPr>
                <w:rFonts w:ascii="Arial Narrow" w:hAnsi="Arial Narrow"/>
                <w:sz w:val="20"/>
                <w:szCs w:val="20"/>
              </w:rPr>
            </w:pPr>
            <w:r>
              <w:rPr>
                <w:rFonts w:ascii="Arial Narrow" w:hAnsi="Arial Narrow"/>
                <w:noProof/>
                <w:color w:val="000000"/>
                <w:sz w:val="20"/>
                <w:szCs w:val="20"/>
                <w:highlight w:val="black"/>
              </w:rPr>
              <w:t>''''''''''''''''''</w:t>
            </w:r>
            <w:r w:rsidR="00B32B76" w:rsidRPr="00B32B76">
              <w:rPr>
                <w:rFonts w:ascii="Arial Narrow" w:hAnsi="Arial Narrow"/>
                <w:sz w:val="18"/>
                <w:vertAlign w:val="superscript"/>
              </w:rPr>
              <w:t>7</w:t>
            </w:r>
          </w:p>
        </w:tc>
        <w:tc>
          <w:tcPr>
            <w:tcW w:w="642" w:type="pct"/>
            <w:shd w:val="clear" w:color="auto" w:fill="auto"/>
          </w:tcPr>
          <w:p w:rsidR="00052422" w:rsidRPr="00E148FC" w:rsidRDefault="00BB0454" w:rsidP="00364028">
            <w:pPr>
              <w:keepNext/>
              <w:keepLines/>
              <w:jc w:val="center"/>
              <w:rPr>
                <w:rFonts w:ascii="Arial Narrow" w:hAnsi="Arial Narrow"/>
                <w:sz w:val="20"/>
                <w:szCs w:val="20"/>
              </w:rPr>
            </w:pPr>
            <w:r>
              <w:rPr>
                <w:rFonts w:ascii="Arial Narrow" w:hAnsi="Arial Narrow"/>
                <w:noProof/>
                <w:color w:val="000000"/>
                <w:sz w:val="20"/>
                <w:szCs w:val="20"/>
                <w:highlight w:val="black"/>
              </w:rPr>
              <w:t>'''''''''''''''</w:t>
            </w:r>
            <w:r w:rsidR="00B32B76" w:rsidRPr="00B32B76">
              <w:rPr>
                <w:rFonts w:ascii="Arial Narrow" w:hAnsi="Arial Narrow"/>
                <w:sz w:val="18"/>
                <w:vertAlign w:val="superscript"/>
              </w:rPr>
              <w:t>7</w:t>
            </w:r>
          </w:p>
        </w:tc>
        <w:tc>
          <w:tcPr>
            <w:tcW w:w="641" w:type="pct"/>
            <w:shd w:val="clear" w:color="auto" w:fill="auto"/>
          </w:tcPr>
          <w:p w:rsidR="00052422" w:rsidRPr="00E148FC" w:rsidRDefault="00BB0454" w:rsidP="00364028">
            <w:pPr>
              <w:keepNext/>
              <w:keepLines/>
              <w:jc w:val="center"/>
              <w:rPr>
                <w:rFonts w:ascii="Arial Narrow" w:hAnsi="Arial Narrow"/>
                <w:sz w:val="20"/>
                <w:szCs w:val="20"/>
              </w:rPr>
            </w:pPr>
            <w:r>
              <w:rPr>
                <w:rFonts w:ascii="Arial Narrow" w:hAnsi="Arial Narrow"/>
                <w:noProof/>
                <w:color w:val="000000"/>
                <w:sz w:val="20"/>
                <w:szCs w:val="20"/>
                <w:highlight w:val="black"/>
              </w:rPr>
              <w:t>'''''''''''''''''</w:t>
            </w:r>
            <w:r w:rsidR="00B32B76" w:rsidRPr="00B32B76">
              <w:rPr>
                <w:rFonts w:ascii="Arial Narrow" w:hAnsi="Arial Narrow"/>
                <w:sz w:val="18"/>
                <w:vertAlign w:val="superscript"/>
              </w:rPr>
              <w:t>7</w:t>
            </w:r>
          </w:p>
        </w:tc>
        <w:tc>
          <w:tcPr>
            <w:tcW w:w="642" w:type="pct"/>
            <w:shd w:val="clear" w:color="auto" w:fill="auto"/>
          </w:tcPr>
          <w:p w:rsidR="00052422" w:rsidRPr="00E148FC" w:rsidRDefault="00BB0454" w:rsidP="00364028">
            <w:pPr>
              <w:keepNext/>
              <w:keepLines/>
              <w:jc w:val="center"/>
              <w:rPr>
                <w:rFonts w:ascii="Arial Narrow" w:hAnsi="Arial Narrow"/>
                <w:sz w:val="20"/>
                <w:szCs w:val="20"/>
              </w:rPr>
            </w:pPr>
            <w:r>
              <w:rPr>
                <w:rFonts w:ascii="Arial Narrow" w:hAnsi="Arial Narrow"/>
                <w:noProof/>
                <w:color w:val="000000"/>
                <w:sz w:val="20"/>
                <w:szCs w:val="20"/>
                <w:highlight w:val="black"/>
              </w:rPr>
              <w:t>'''''''''''''''</w:t>
            </w:r>
            <w:r w:rsidR="00C350D7" w:rsidRPr="00C350D7">
              <w:rPr>
                <w:rFonts w:ascii="Arial Narrow" w:hAnsi="Arial Narrow"/>
                <w:sz w:val="18"/>
                <w:vertAlign w:val="superscript"/>
              </w:rPr>
              <w:t>8</w:t>
            </w:r>
          </w:p>
        </w:tc>
        <w:tc>
          <w:tcPr>
            <w:tcW w:w="641" w:type="pct"/>
            <w:tcBorders>
              <w:right w:val="single" w:sz="4" w:space="0" w:color="auto"/>
            </w:tcBorders>
            <w:shd w:val="clear" w:color="auto" w:fill="auto"/>
          </w:tcPr>
          <w:p w:rsidR="00052422" w:rsidRPr="00E148FC" w:rsidRDefault="00BB0454" w:rsidP="00364028">
            <w:pPr>
              <w:keepNext/>
              <w:keepLines/>
              <w:jc w:val="center"/>
              <w:rPr>
                <w:rFonts w:ascii="Arial Narrow" w:hAnsi="Arial Narrow"/>
                <w:sz w:val="20"/>
                <w:szCs w:val="20"/>
              </w:rPr>
            </w:pPr>
            <w:r>
              <w:rPr>
                <w:rFonts w:ascii="Arial Narrow" w:hAnsi="Arial Narrow"/>
                <w:noProof/>
                <w:color w:val="000000"/>
                <w:sz w:val="20"/>
                <w:szCs w:val="20"/>
                <w:highlight w:val="black"/>
              </w:rPr>
              <w:t>'''''''''''''''''</w:t>
            </w:r>
            <w:r w:rsidR="00C350D7" w:rsidRPr="00C350D7">
              <w:rPr>
                <w:rFonts w:ascii="Arial Narrow" w:hAnsi="Arial Narrow"/>
                <w:sz w:val="18"/>
                <w:vertAlign w:val="superscript"/>
              </w:rPr>
              <w:t>8</w:t>
            </w:r>
          </w:p>
        </w:tc>
        <w:tc>
          <w:tcPr>
            <w:tcW w:w="611" w:type="pct"/>
            <w:tcBorders>
              <w:right w:val="single" w:sz="4" w:space="0" w:color="auto"/>
            </w:tcBorders>
          </w:tcPr>
          <w:p w:rsidR="00052422" w:rsidRPr="00E148FC" w:rsidRDefault="00BB0454" w:rsidP="00364028">
            <w:pPr>
              <w:keepNext/>
              <w:keepLines/>
              <w:jc w:val="center"/>
              <w:rPr>
                <w:rFonts w:ascii="Arial Narrow" w:hAnsi="Arial Narrow"/>
                <w:sz w:val="20"/>
                <w:szCs w:val="20"/>
              </w:rPr>
            </w:pPr>
            <w:r>
              <w:rPr>
                <w:rFonts w:ascii="Arial Narrow" w:hAnsi="Arial Narrow"/>
                <w:noProof/>
                <w:color w:val="000000"/>
                <w:sz w:val="20"/>
                <w:szCs w:val="20"/>
                <w:highlight w:val="black"/>
              </w:rPr>
              <w:t>'''''''''''''''</w:t>
            </w:r>
            <w:r w:rsidR="00C350D7" w:rsidRPr="00C350D7">
              <w:rPr>
                <w:rFonts w:ascii="Arial Narrow" w:hAnsi="Arial Narrow"/>
                <w:sz w:val="18"/>
                <w:vertAlign w:val="superscript"/>
              </w:rPr>
              <w:t>8</w:t>
            </w:r>
          </w:p>
        </w:tc>
      </w:tr>
      <w:tr w:rsidR="00052422" w:rsidRPr="00E148FC" w:rsidTr="00BB0454">
        <w:trPr>
          <w:tblHeader/>
        </w:trPr>
        <w:tc>
          <w:tcPr>
            <w:tcW w:w="5000" w:type="pct"/>
            <w:gridSpan w:val="7"/>
            <w:tcBorders>
              <w:left w:val="single" w:sz="4" w:space="0" w:color="auto"/>
              <w:bottom w:val="single" w:sz="4" w:space="0" w:color="auto"/>
            </w:tcBorders>
            <w:shd w:val="clear" w:color="auto" w:fill="auto"/>
            <w:vAlign w:val="center"/>
          </w:tcPr>
          <w:p w:rsidR="00052422" w:rsidRPr="00E148FC" w:rsidRDefault="00052422" w:rsidP="00364028">
            <w:pPr>
              <w:keepNext/>
              <w:keepLines/>
              <w:jc w:val="left"/>
              <w:rPr>
                <w:rFonts w:ascii="Arial Narrow" w:eastAsia="Calibri" w:hAnsi="Arial Narrow" w:cs="Times New Roman"/>
                <w:b/>
                <w:bCs/>
                <w:sz w:val="20"/>
                <w:szCs w:val="20"/>
              </w:rPr>
            </w:pPr>
            <w:r w:rsidRPr="00E148FC">
              <w:rPr>
                <w:rFonts w:ascii="Arial Narrow" w:eastAsia="Calibri" w:hAnsi="Arial Narrow" w:cs="Times New Roman"/>
                <w:b/>
                <w:bCs/>
                <w:sz w:val="20"/>
                <w:szCs w:val="20"/>
              </w:rPr>
              <w:t>Uptake of semaglutide (with insulin) from exenatide (scripts)</w:t>
            </w:r>
          </w:p>
        </w:tc>
      </w:tr>
      <w:tr w:rsidR="00052422" w:rsidRPr="00E148FC" w:rsidTr="00BB0454">
        <w:tc>
          <w:tcPr>
            <w:tcW w:w="1243" w:type="pct"/>
            <w:tcBorders>
              <w:left w:val="single" w:sz="4" w:space="0" w:color="auto"/>
            </w:tcBorders>
            <w:shd w:val="clear" w:color="auto" w:fill="auto"/>
            <w:vAlign w:val="center"/>
          </w:tcPr>
          <w:p w:rsidR="00052422" w:rsidRPr="00E148FC" w:rsidRDefault="00052422" w:rsidP="00052422">
            <w:pPr>
              <w:keepNext/>
              <w:keepLines/>
              <w:jc w:val="left"/>
              <w:rPr>
                <w:rFonts w:ascii="Arial Narrow" w:eastAsia="Calibri" w:hAnsi="Arial Narrow" w:cs="Times New Roman"/>
                <w:sz w:val="20"/>
                <w:szCs w:val="20"/>
              </w:rPr>
            </w:pPr>
            <w:r w:rsidRPr="00E148FC">
              <w:rPr>
                <w:rFonts w:ascii="Arial Narrow" w:eastAsia="Calibri" w:hAnsi="Arial Narrow" w:cs="Times New Roman"/>
                <w:sz w:val="20"/>
                <w:szCs w:val="20"/>
              </w:rPr>
              <w:t>Semaglutide uptake from exenatide twice daily</w:t>
            </w:r>
          </w:p>
        </w:tc>
        <w:tc>
          <w:tcPr>
            <w:tcW w:w="581" w:type="pct"/>
            <w:shd w:val="clear" w:color="auto" w:fill="auto"/>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10%</w:t>
            </w:r>
          </w:p>
        </w:tc>
        <w:tc>
          <w:tcPr>
            <w:tcW w:w="642" w:type="pct"/>
            <w:shd w:val="clear" w:color="auto" w:fill="auto"/>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25%</w:t>
            </w:r>
          </w:p>
        </w:tc>
        <w:tc>
          <w:tcPr>
            <w:tcW w:w="641" w:type="pct"/>
            <w:shd w:val="clear" w:color="auto" w:fill="auto"/>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50%</w:t>
            </w:r>
          </w:p>
        </w:tc>
        <w:tc>
          <w:tcPr>
            <w:tcW w:w="642" w:type="pct"/>
            <w:shd w:val="clear" w:color="auto" w:fill="auto"/>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50%</w:t>
            </w:r>
          </w:p>
        </w:tc>
        <w:tc>
          <w:tcPr>
            <w:tcW w:w="641" w:type="pct"/>
            <w:tcBorders>
              <w:right w:val="single" w:sz="4" w:space="0" w:color="auto"/>
            </w:tcBorders>
            <w:shd w:val="clear" w:color="auto" w:fill="auto"/>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50%</w:t>
            </w:r>
          </w:p>
        </w:tc>
        <w:tc>
          <w:tcPr>
            <w:tcW w:w="611" w:type="pct"/>
            <w:tcBorders>
              <w:right w:val="single" w:sz="4" w:space="0" w:color="auto"/>
            </w:tcBorders>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50%</w:t>
            </w:r>
          </w:p>
        </w:tc>
      </w:tr>
      <w:tr w:rsidR="00052422" w:rsidRPr="00E148FC" w:rsidTr="00BB0454">
        <w:tc>
          <w:tcPr>
            <w:tcW w:w="1243" w:type="pct"/>
            <w:tcBorders>
              <w:left w:val="single" w:sz="4" w:space="0" w:color="auto"/>
            </w:tcBorders>
            <w:shd w:val="clear" w:color="auto" w:fill="auto"/>
            <w:vAlign w:val="center"/>
          </w:tcPr>
          <w:p w:rsidR="00052422" w:rsidRPr="00E148FC" w:rsidRDefault="00052422" w:rsidP="00052422">
            <w:pPr>
              <w:keepNext/>
              <w:keepLines/>
              <w:jc w:val="left"/>
              <w:rPr>
                <w:rFonts w:ascii="Arial Narrow" w:eastAsia="Calibri" w:hAnsi="Arial Narrow" w:cs="Times New Roman"/>
                <w:sz w:val="20"/>
                <w:szCs w:val="20"/>
              </w:rPr>
            </w:pPr>
            <w:r w:rsidRPr="00E148FC">
              <w:rPr>
                <w:rFonts w:ascii="Arial Narrow" w:eastAsia="Calibri" w:hAnsi="Arial Narrow" w:cs="Times New Roman"/>
                <w:sz w:val="20"/>
                <w:szCs w:val="20"/>
              </w:rPr>
              <w:t>Semaglutide uptake from exenatide once weekly</w:t>
            </w:r>
          </w:p>
        </w:tc>
        <w:tc>
          <w:tcPr>
            <w:tcW w:w="581" w:type="pct"/>
            <w:shd w:val="clear" w:color="auto" w:fill="auto"/>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10%</w:t>
            </w:r>
          </w:p>
        </w:tc>
        <w:tc>
          <w:tcPr>
            <w:tcW w:w="642" w:type="pct"/>
            <w:shd w:val="clear" w:color="auto" w:fill="auto"/>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10%</w:t>
            </w:r>
          </w:p>
        </w:tc>
        <w:tc>
          <w:tcPr>
            <w:tcW w:w="641" w:type="pct"/>
            <w:shd w:val="clear" w:color="auto" w:fill="auto"/>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10%</w:t>
            </w:r>
          </w:p>
        </w:tc>
        <w:tc>
          <w:tcPr>
            <w:tcW w:w="642" w:type="pct"/>
            <w:shd w:val="clear" w:color="auto" w:fill="auto"/>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10%</w:t>
            </w:r>
          </w:p>
        </w:tc>
        <w:tc>
          <w:tcPr>
            <w:tcW w:w="641" w:type="pct"/>
            <w:tcBorders>
              <w:right w:val="single" w:sz="4" w:space="0" w:color="auto"/>
            </w:tcBorders>
            <w:shd w:val="clear" w:color="auto" w:fill="auto"/>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10%</w:t>
            </w:r>
          </w:p>
        </w:tc>
        <w:tc>
          <w:tcPr>
            <w:tcW w:w="611" w:type="pct"/>
            <w:tcBorders>
              <w:right w:val="single" w:sz="4" w:space="0" w:color="auto"/>
            </w:tcBorders>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10%</w:t>
            </w:r>
          </w:p>
        </w:tc>
      </w:tr>
      <w:tr w:rsidR="00052422" w:rsidRPr="00E148FC" w:rsidTr="00BB0454">
        <w:tc>
          <w:tcPr>
            <w:tcW w:w="1243" w:type="pct"/>
            <w:tcBorders>
              <w:left w:val="single" w:sz="4" w:space="0" w:color="auto"/>
            </w:tcBorders>
            <w:shd w:val="clear" w:color="auto" w:fill="auto"/>
            <w:vAlign w:val="center"/>
          </w:tcPr>
          <w:p w:rsidR="00052422" w:rsidRPr="00E148FC" w:rsidRDefault="00052422" w:rsidP="00364028">
            <w:pPr>
              <w:keepNext/>
              <w:keepLines/>
              <w:jc w:val="left"/>
              <w:rPr>
                <w:rFonts w:ascii="Arial Narrow" w:eastAsia="Calibri" w:hAnsi="Arial Narrow" w:cs="Times New Roman"/>
                <w:b/>
                <w:sz w:val="20"/>
                <w:szCs w:val="20"/>
              </w:rPr>
            </w:pPr>
            <w:r w:rsidRPr="00E148FC">
              <w:rPr>
                <w:rFonts w:ascii="Arial Narrow" w:eastAsia="Calibri" w:hAnsi="Arial Narrow" w:cs="Times New Roman"/>
                <w:b/>
                <w:sz w:val="20"/>
                <w:szCs w:val="20"/>
              </w:rPr>
              <w:t xml:space="preserve">Total semaglutide scripts </w:t>
            </w:r>
            <w:r w:rsidRPr="00E148FC">
              <w:rPr>
                <w:rFonts w:ascii="Arial Narrow" w:eastAsia="Calibri" w:hAnsi="Arial Narrow" w:cs="Times New Roman"/>
                <w:b/>
                <w:sz w:val="20"/>
                <w:szCs w:val="20"/>
                <w:vertAlign w:val="superscript"/>
              </w:rPr>
              <w:t>a</w:t>
            </w:r>
          </w:p>
        </w:tc>
        <w:tc>
          <w:tcPr>
            <w:tcW w:w="581" w:type="pct"/>
            <w:shd w:val="clear" w:color="auto" w:fill="auto"/>
            <w:vAlign w:val="center"/>
          </w:tcPr>
          <w:p w:rsidR="00052422" w:rsidRPr="00BB0454" w:rsidRDefault="00BB0454" w:rsidP="00364028">
            <w:pPr>
              <w:keepNext/>
              <w:keepLines/>
              <w:jc w:val="center"/>
              <w:rPr>
                <w:rFonts w:ascii="Arial Narrow" w:hAnsi="Arial Narrow"/>
                <w:b/>
                <w:sz w:val="20"/>
                <w:szCs w:val="20"/>
                <w:highlight w:val="yellow"/>
              </w:rPr>
            </w:pPr>
            <w:r>
              <w:rPr>
                <w:rFonts w:ascii="Arial Narrow" w:hAnsi="Arial Narrow"/>
                <w:noProof/>
                <w:color w:val="000000"/>
                <w:sz w:val="20"/>
                <w:szCs w:val="20"/>
                <w:highlight w:val="black"/>
              </w:rPr>
              <w:t>'''''''''''''''</w:t>
            </w:r>
            <w:r w:rsidR="00110E48" w:rsidRPr="000C245B">
              <w:rPr>
                <w:rFonts w:ascii="Arial Narrow" w:hAnsi="Arial Narrow"/>
                <w:sz w:val="18"/>
                <w:vertAlign w:val="superscript"/>
              </w:rPr>
              <w:t>1</w:t>
            </w:r>
          </w:p>
        </w:tc>
        <w:tc>
          <w:tcPr>
            <w:tcW w:w="642" w:type="pct"/>
            <w:shd w:val="clear" w:color="auto" w:fill="auto"/>
            <w:vAlign w:val="center"/>
          </w:tcPr>
          <w:p w:rsidR="00052422" w:rsidRPr="00BB0454" w:rsidRDefault="00BB0454" w:rsidP="00364028">
            <w:pPr>
              <w:keepNext/>
              <w:keepLines/>
              <w:jc w:val="center"/>
              <w:rPr>
                <w:rFonts w:ascii="Arial Narrow" w:hAnsi="Arial Narrow"/>
                <w:b/>
                <w:sz w:val="20"/>
                <w:szCs w:val="20"/>
                <w:highlight w:val="yellow"/>
              </w:rPr>
            </w:pPr>
            <w:r>
              <w:rPr>
                <w:rFonts w:ascii="Arial Narrow" w:hAnsi="Arial Narrow"/>
                <w:noProof/>
                <w:color w:val="000000"/>
                <w:sz w:val="20"/>
                <w:szCs w:val="20"/>
                <w:highlight w:val="black"/>
              </w:rPr>
              <w:t>'''''''''''''''''</w:t>
            </w:r>
            <w:r w:rsidR="00110E48" w:rsidRPr="00C350D7">
              <w:rPr>
                <w:rFonts w:ascii="Arial Narrow" w:hAnsi="Arial Narrow"/>
                <w:sz w:val="18"/>
                <w:vertAlign w:val="superscript"/>
              </w:rPr>
              <w:t>8</w:t>
            </w:r>
          </w:p>
        </w:tc>
        <w:tc>
          <w:tcPr>
            <w:tcW w:w="641" w:type="pct"/>
            <w:shd w:val="clear" w:color="auto" w:fill="auto"/>
            <w:vAlign w:val="center"/>
          </w:tcPr>
          <w:p w:rsidR="00052422" w:rsidRPr="00BB0454" w:rsidRDefault="00BB0454" w:rsidP="00364028">
            <w:pPr>
              <w:keepNext/>
              <w:keepLines/>
              <w:jc w:val="center"/>
              <w:rPr>
                <w:rFonts w:ascii="Arial Narrow" w:hAnsi="Arial Narrow"/>
                <w:b/>
                <w:sz w:val="20"/>
                <w:szCs w:val="20"/>
                <w:highlight w:val="yellow"/>
              </w:rPr>
            </w:pPr>
            <w:r>
              <w:rPr>
                <w:rFonts w:ascii="Arial Narrow" w:hAnsi="Arial Narrow"/>
                <w:noProof/>
                <w:color w:val="000000"/>
                <w:sz w:val="20"/>
                <w:szCs w:val="20"/>
                <w:highlight w:val="black"/>
              </w:rPr>
              <w:t>'''''''''''''''</w:t>
            </w:r>
            <w:r w:rsidR="00110E48" w:rsidRPr="00B32B76">
              <w:rPr>
                <w:rFonts w:ascii="Arial Narrow" w:hAnsi="Arial Narrow"/>
                <w:sz w:val="18"/>
                <w:vertAlign w:val="superscript"/>
              </w:rPr>
              <w:t>7</w:t>
            </w:r>
          </w:p>
        </w:tc>
        <w:tc>
          <w:tcPr>
            <w:tcW w:w="642" w:type="pct"/>
            <w:shd w:val="clear" w:color="auto" w:fill="auto"/>
            <w:vAlign w:val="center"/>
          </w:tcPr>
          <w:p w:rsidR="00052422" w:rsidRPr="00BB0454" w:rsidRDefault="00BB0454" w:rsidP="00364028">
            <w:pPr>
              <w:keepNext/>
              <w:keepLines/>
              <w:jc w:val="center"/>
              <w:rPr>
                <w:rFonts w:ascii="Arial Narrow" w:hAnsi="Arial Narrow"/>
                <w:b/>
                <w:sz w:val="20"/>
                <w:szCs w:val="20"/>
                <w:highlight w:val="yellow"/>
              </w:rPr>
            </w:pPr>
            <w:r>
              <w:rPr>
                <w:rFonts w:ascii="Arial Narrow" w:hAnsi="Arial Narrow"/>
                <w:noProof/>
                <w:color w:val="000000"/>
                <w:sz w:val="20"/>
                <w:szCs w:val="20"/>
                <w:highlight w:val="black"/>
              </w:rPr>
              <w:t>''''''''''''''''</w:t>
            </w:r>
            <w:r w:rsidR="00110E48" w:rsidRPr="00B32B76">
              <w:rPr>
                <w:rFonts w:ascii="Arial Narrow" w:hAnsi="Arial Narrow"/>
                <w:sz w:val="18"/>
                <w:vertAlign w:val="superscript"/>
              </w:rPr>
              <w:t>7</w:t>
            </w:r>
          </w:p>
        </w:tc>
        <w:tc>
          <w:tcPr>
            <w:tcW w:w="641" w:type="pct"/>
            <w:tcBorders>
              <w:right w:val="single" w:sz="4" w:space="0" w:color="auto"/>
            </w:tcBorders>
            <w:shd w:val="clear" w:color="auto" w:fill="auto"/>
            <w:vAlign w:val="center"/>
          </w:tcPr>
          <w:p w:rsidR="00052422" w:rsidRPr="00BB0454" w:rsidRDefault="00BB0454" w:rsidP="00364028">
            <w:pPr>
              <w:keepNext/>
              <w:keepLines/>
              <w:jc w:val="center"/>
              <w:rPr>
                <w:rFonts w:ascii="Arial Narrow" w:hAnsi="Arial Narrow"/>
                <w:b/>
                <w:sz w:val="20"/>
                <w:szCs w:val="20"/>
                <w:highlight w:val="yellow"/>
              </w:rPr>
            </w:pPr>
            <w:r>
              <w:rPr>
                <w:rFonts w:ascii="Arial Narrow" w:hAnsi="Arial Narrow"/>
                <w:noProof/>
                <w:color w:val="000000"/>
                <w:sz w:val="20"/>
                <w:szCs w:val="20"/>
                <w:highlight w:val="black"/>
              </w:rPr>
              <w:t>'''''''''''''''</w:t>
            </w:r>
            <w:r w:rsidR="00110E48" w:rsidRPr="00B32B76">
              <w:rPr>
                <w:rFonts w:ascii="Arial Narrow" w:hAnsi="Arial Narrow"/>
                <w:sz w:val="18"/>
                <w:vertAlign w:val="superscript"/>
              </w:rPr>
              <w:t>7</w:t>
            </w:r>
          </w:p>
        </w:tc>
        <w:tc>
          <w:tcPr>
            <w:tcW w:w="611" w:type="pct"/>
            <w:tcBorders>
              <w:right w:val="single" w:sz="4" w:space="0" w:color="auto"/>
            </w:tcBorders>
            <w:vAlign w:val="center"/>
          </w:tcPr>
          <w:p w:rsidR="00052422" w:rsidRPr="00BB0454" w:rsidRDefault="00BB0454" w:rsidP="00364028">
            <w:pPr>
              <w:keepNext/>
              <w:keepLines/>
              <w:jc w:val="center"/>
              <w:rPr>
                <w:rFonts w:ascii="Arial Narrow" w:hAnsi="Arial Narrow"/>
                <w:b/>
                <w:sz w:val="20"/>
                <w:szCs w:val="20"/>
                <w:highlight w:val="yellow"/>
              </w:rPr>
            </w:pPr>
            <w:r>
              <w:rPr>
                <w:rFonts w:ascii="Arial Narrow" w:hAnsi="Arial Narrow"/>
                <w:noProof/>
                <w:color w:val="000000"/>
                <w:sz w:val="20"/>
                <w:szCs w:val="20"/>
                <w:highlight w:val="black"/>
              </w:rPr>
              <w:t>''''''''''''''''</w:t>
            </w:r>
            <w:r w:rsidR="00110E48">
              <w:rPr>
                <w:rFonts w:ascii="Arial Narrow" w:hAnsi="Arial Narrow"/>
                <w:sz w:val="18"/>
                <w:vertAlign w:val="superscript"/>
              </w:rPr>
              <w:t>8</w:t>
            </w:r>
          </w:p>
        </w:tc>
      </w:tr>
      <w:tr w:rsidR="00052422" w:rsidRPr="00E148FC" w:rsidTr="00BB0454">
        <w:tc>
          <w:tcPr>
            <w:tcW w:w="1243" w:type="pct"/>
            <w:tcBorders>
              <w:left w:val="single" w:sz="4" w:space="0" w:color="auto"/>
            </w:tcBorders>
            <w:shd w:val="clear" w:color="auto" w:fill="auto"/>
            <w:vAlign w:val="center"/>
          </w:tcPr>
          <w:p w:rsidR="00052422" w:rsidRPr="00E148FC" w:rsidRDefault="00052422" w:rsidP="00364028">
            <w:pPr>
              <w:keepNext/>
              <w:keepLines/>
              <w:jc w:val="left"/>
              <w:rPr>
                <w:rFonts w:ascii="Arial Narrow" w:eastAsia="Calibri" w:hAnsi="Arial Narrow" w:cs="Times New Roman"/>
                <w:sz w:val="20"/>
                <w:szCs w:val="20"/>
                <w:highlight w:val="yellow"/>
              </w:rPr>
            </w:pPr>
            <w:r w:rsidRPr="00E148FC">
              <w:rPr>
                <w:rFonts w:ascii="Arial Narrow" w:eastAsia="Calibri" w:hAnsi="Arial Narrow" w:cs="Times New Roman"/>
                <w:sz w:val="20"/>
                <w:szCs w:val="20"/>
              </w:rPr>
              <w:t>Cost of semaglutide scripts (published)</w:t>
            </w:r>
          </w:p>
        </w:tc>
        <w:tc>
          <w:tcPr>
            <w:tcW w:w="581" w:type="pct"/>
            <w:shd w:val="clear" w:color="auto" w:fill="auto"/>
            <w:vAlign w:val="center"/>
          </w:tcPr>
          <w:p w:rsidR="00052422" w:rsidRPr="00E148FC" w:rsidRDefault="00052422" w:rsidP="00364028">
            <w:pPr>
              <w:keepNext/>
              <w:keepLines/>
              <w:jc w:val="center"/>
              <w:rPr>
                <w:rFonts w:ascii="Arial Narrow" w:hAnsi="Arial Narrow"/>
                <w:sz w:val="20"/>
                <w:szCs w:val="20"/>
                <w:highlight w:val="yellow"/>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c>
          <w:tcPr>
            <w:tcW w:w="642" w:type="pct"/>
            <w:shd w:val="clear" w:color="auto" w:fill="auto"/>
            <w:vAlign w:val="center"/>
          </w:tcPr>
          <w:p w:rsidR="00052422" w:rsidRPr="00E148FC" w:rsidRDefault="00052422" w:rsidP="00364028">
            <w:pPr>
              <w:keepNext/>
              <w:keepLines/>
              <w:jc w:val="center"/>
              <w:rPr>
                <w:rFonts w:ascii="Arial Narrow" w:hAnsi="Arial Narrow"/>
                <w:sz w:val="20"/>
                <w:szCs w:val="20"/>
                <w:highlight w:val="yellow"/>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c>
          <w:tcPr>
            <w:tcW w:w="641" w:type="pct"/>
            <w:shd w:val="clear" w:color="auto" w:fill="auto"/>
            <w:vAlign w:val="center"/>
          </w:tcPr>
          <w:p w:rsidR="00052422" w:rsidRPr="00E148FC" w:rsidRDefault="00052422" w:rsidP="00364028">
            <w:pPr>
              <w:keepNext/>
              <w:keepLines/>
              <w:jc w:val="center"/>
              <w:rPr>
                <w:rFonts w:ascii="Arial Narrow" w:hAnsi="Arial Narrow"/>
                <w:sz w:val="20"/>
                <w:szCs w:val="20"/>
                <w:highlight w:val="yellow"/>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c>
          <w:tcPr>
            <w:tcW w:w="642" w:type="pct"/>
            <w:shd w:val="clear" w:color="auto" w:fill="auto"/>
            <w:vAlign w:val="center"/>
          </w:tcPr>
          <w:p w:rsidR="00052422" w:rsidRPr="00E148FC" w:rsidRDefault="00052422" w:rsidP="00364028">
            <w:pPr>
              <w:keepNext/>
              <w:keepLines/>
              <w:jc w:val="center"/>
              <w:rPr>
                <w:rFonts w:ascii="Arial Narrow" w:hAnsi="Arial Narrow"/>
                <w:sz w:val="20"/>
                <w:szCs w:val="20"/>
                <w:highlight w:val="yellow"/>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c>
          <w:tcPr>
            <w:tcW w:w="641" w:type="pct"/>
            <w:tcBorders>
              <w:right w:val="single" w:sz="4" w:space="0" w:color="auto"/>
            </w:tcBorders>
            <w:shd w:val="clear" w:color="auto" w:fill="auto"/>
            <w:vAlign w:val="center"/>
          </w:tcPr>
          <w:p w:rsidR="00052422" w:rsidRPr="00E148FC" w:rsidRDefault="00052422" w:rsidP="00364028">
            <w:pPr>
              <w:keepNext/>
              <w:keepLines/>
              <w:jc w:val="center"/>
              <w:rPr>
                <w:rFonts w:ascii="Arial Narrow" w:hAnsi="Arial Narrow"/>
                <w:sz w:val="20"/>
                <w:szCs w:val="20"/>
                <w:highlight w:val="yellow"/>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c>
          <w:tcPr>
            <w:tcW w:w="611" w:type="pct"/>
            <w:tcBorders>
              <w:right w:val="single" w:sz="4" w:space="0" w:color="auto"/>
            </w:tcBorders>
            <w:vAlign w:val="center"/>
          </w:tcPr>
          <w:p w:rsidR="00052422" w:rsidRPr="00E148FC" w:rsidRDefault="00052422" w:rsidP="00364028">
            <w:pPr>
              <w:keepNext/>
              <w:keepLines/>
              <w:jc w:val="center"/>
              <w:rPr>
                <w:rFonts w:ascii="Arial Narrow" w:hAnsi="Arial Narrow"/>
                <w:sz w:val="20"/>
                <w:szCs w:val="20"/>
                <w:highlight w:val="yellow"/>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r>
      <w:tr w:rsidR="00052422" w:rsidRPr="00E148FC" w:rsidTr="00BB0454">
        <w:tc>
          <w:tcPr>
            <w:tcW w:w="1243" w:type="pct"/>
            <w:tcBorders>
              <w:left w:val="single" w:sz="4" w:space="0" w:color="auto"/>
            </w:tcBorders>
            <w:shd w:val="clear" w:color="auto" w:fill="auto"/>
            <w:vAlign w:val="center"/>
          </w:tcPr>
          <w:p w:rsidR="00052422" w:rsidRPr="00E148FC" w:rsidRDefault="00052422" w:rsidP="00364028">
            <w:pPr>
              <w:keepNext/>
              <w:keepLines/>
              <w:jc w:val="left"/>
              <w:rPr>
                <w:rFonts w:ascii="Arial Narrow" w:eastAsia="Calibri" w:hAnsi="Arial Narrow" w:cs="Times New Roman"/>
                <w:sz w:val="20"/>
                <w:szCs w:val="20"/>
              </w:rPr>
            </w:pPr>
            <w:r w:rsidRPr="00E148FC">
              <w:rPr>
                <w:rFonts w:ascii="Arial Narrow" w:eastAsia="Calibri" w:hAnsi="Arial Narrow" w:cs="Times New Roman"/>
                <w:sz w:val="20"/>
                <w:szCs w:val="20"/>
              </w:rPr>
              <w:t>Patient copayments</w:t>
            </w:r>
          </w:p>
        </w:tc>
        <w:tc>
          <w:tcPr>
            <w:tcW w:w="581" w:type="pct"/>
            <w:shd w:val="clear" w:color="auto" w:fill="auto"/>
            <w:vAlign w:val="center"/>
          </w:tcPr>
          <w:p w:rsidR="00052422" w:rsidRPr="00E148FC" w:rsidRDefault="00052422" w:rsidP="00364028">
            <w:pPr>
              <w:keepNext/>
              <w:keepLines/>
              <w:jc w:val="center"/>
              <w:rPr>
                <w:rFonts w:ascii="Arial Narrow" w:hAnsi="Arial Narrow" w:cs="Calibri"/>
                <w:color w:val="000000"/>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c>
          <w:tcPr>
            <w:tcW w:w="642" w:type="pct"/>
            <w:shd w:val="clear" w:color="auto" w:fill="auto"/>
            <w:vAlign w:val="center"/>
          </w:tcPr>
          <w:p w:rsidR="00052422" w:rsidRPr="00E148FC" w:rsidRDefault="00052422" w:rsidP="00364028">
            <w:pPr>
              <w:keepNext/>
              <w:keepLines/>
              <w:jc w:val="center"/>
              <w:rPr>
                <w:rFonts w:ascii="Arial Narrow" w:hAnsi="Arial Narrow" w:cs="Calibri"/>
                <w:color w:val="000000"/>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c>
          <w:tcPr>
            <w:tcW w:w="641" w:type="pct"/>
            <w:shd w:val="clear" w:color="auto" w:fill="auto"/>
            <w:vAlign w:val="center"/>
          </w:tcPr>
          <w:p w:rsidR="00052422" w:rsidRPr="00E148FC" w:rsidRDefault="00052422" w:rsidP="00364028">
            <w:pPr>
              <w:keepNext/>
              <w:keepLines/>
              <w:jc w:val="center"/>
              <w:rPr>
                <w:rFonts w:ascii="Arial Narrow" w:hAnsi="Arial Narrow" w:cs="Calibri"/>
                <w:color w:val="000000"/>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c>
          <w:tcPr>
            <w:tcW w:w="642" w:type="pct"/>
            <w:shd w:val="clear" w:color="auto" w:fill="auto"/>
            <w:vAlign w:val="center"/>
          </w:tcPr>
          <w:p w:rsidR="00052422" w:rsidRPr="00E148FC" w:rsidRDefault="00052422" w:rsidP="00364028">
            <w:pPr>
              <w:keepNext/>
              <w:keepLines/>
              <w:jc w:val="center"/>
              <w:rPr>
                <w:rFonts w:ascii="Arial Narrow" w:hAnsi="Arial Narrow" w:cs="Calibri"/>
                <w:color w:val="000000"/>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c>
          <w:tcPr>
            <w:tcW w:w="641" w:type="pct"/>
            <w:tcBorders>
              <w:right w:val="single" w:sz="4" w:space="0" w:color="auto"/>
            </w:tcBorders>
            <w:shd w:val="clear" w:color="auto" w:fill="auto"/>
            <w:vAlign w:val="center"/>
          </w:tcPr>
          <w:p w:rsidR="00052422" w:rsidRPr="00E148FC" w:rsidRDefault="00052422" w:rsidP="00364028">
            <w:pPr>
              <w:keepNext/>
              <w:keepLines/>
              <w:jc w:val="center"/>
              <w:rPr>
                <w:rFonts w:ascii="Arial Narrow" w:hAnsi="Arial Narrow" w:cs="Calibri"/>
                <w:color w:val="000000"/>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c>
          <w:tcPr>
            <w:tcW w:w="611" w:type="pct"/>
            <w:tcBorders>
              <w:right w:val="single" w:sz="4" w:space="0" w:color="auto"/>
            </w:tcBorders>
            <w:vAlign w:val="center"/>
          </w:tcPr>
          <w:p w:rsidR="00052422" w:rsidRPr="00E148FC" w:rsidRDefault="00052422" w:rsidP="00364028">
            <w:pPr>
              <w:keepNext/>
              <w:keepLines/>
              <w:jc w:val="center"/>
              <w:rPr>
                <w:rFonts w:ascii="Arial Narrow" w:hAnsi="Arial Narrow" w:cs="Calibri"/>
                <w:color w:val="000000"/>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r>
      <w:tr w:rsidR="00052422" w:rsidRPr="00E148FC" w:rsidTr="00BB0454">
        <w:tc>
          <w:tcPr>
            <w:tcW w:w="1243" w:type="pct"/>
            <w:tcBorders>
              <w:left w:val="single" w:sz="4" w:space="0" w:color="auto"/>
            </w:tcBorders>
            <w:shd w:val="clear" w:color="auto" w:fill="auto"/>
            <w:vAlign w:val="center"/>
          </w:tcPr>
          <w:p w:rsidR="00052422" w:rsidRPr="00E148FC" w:rsidRDefault="00052422" w:rsidP="00E148FC">
            <w:pPr>
              <w:keepNext/>
              <w:keepLines/>
              <w:jc w:val="left"/>
              <w:rPr>
                <w:rFonts w:ascii="Arial Narrow" w:eastAsia="Calibri" w:hAnsi="Arial Narrow" w:cs="Times New Roman"/>
                <w:b/>
                <w:sz w:val="20"/>
                <w:szCs w:val="20"/>
              </w:rPr>
            </w:pPr>
            <w:r w:rsidRPr="00E148FC">
              <w:rPr>
                <w:rFonts w:ascii="Arial Narrow" w:eastAsia="Calibri" w:hAnsi="Arial Narrow" w:cs="Times New Roman"/>
                <w:b/>
                <w:sz w:val="20"/>
                <w:szCs w:val="20"/>
              </w:rPr>
              <w:t xml:space="preserve">Total cost (published) </w:t>
            </w:r>
            <w:r w:rsidR="00E148FC">
              <w:rPr>
                <w:rFonts w:ascii="Arial Narrow" w:eastAsia="Calibri" w:hAnsi="Arial Narrow" w:cs="Times New Roman"/>
                <w:b/>
                <w:sz w:val="20"/>
                <w:szCs w:val="20"/>
              </w:rPr>
              <w:t>less</w:t>
            </w:r>
            <w:r w:rsidR="00E148FC" w:rsidRPr="00E148FC">
              <w:rPr>
                <w:rFonts w:ascii="Arial Narrow" w:eastAsia="Calibri" w:hAnsi="Arial Narrow" w:cs="Times New Roman"/>
                <w:b/>
                <w:sz w:val="20"/>
                <w:szCs w:val="20"/>
              </w:rPr>
              <w:t xml:space="preserve"> </w:t>
            </w:r>
            <w:r w:rsidRPr="00E148FC">
              <w:rPr>
                <w:rFonts w:ascii="Arial Narrow" w:eastAsia="Calibri" w:hAnsi="Arial Narrow" w:cs="Times New Roman"/>
                <w:b/>
                <w:sz w:val="20"/>
                <w:szCs w:val="20"/>
              </w:rPr>
              <w:t>copayments</w:t>
            </w:r>
          </w:p>
        </w:tc>
        <w:tc>
          <w:tcPr>
            <w:tcW w:w="581" w:type="pct"/>
            <w:shd w:val="clear" w:color="auto" w:fill="auto"/>
            <w:vAlign w:val="center"/>
          </w:tcPr>
          <w:p w:rsidR="00052422" w:rsidRPr="00E148FC" w:rsidRDefault="00052422" w:rsidP="00364028">
            <w:pPr>
              <w:keepNext/>
              <w:keepLines/>
              <w:jc w:val="center"/>
              <w:rPr>
                <w:rFonts w:ascii="Arial Narrow" w:hAnsi="Arial Narrow" w:cs="Calibri"/>
                <w:b/>
                <w:color w:val="000000"/>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c>
          <w:tcPr>
            <w:tcW w:w="642" w:type="pct"/>
            <w:shd w:val="clear" w:color="auto" w:fill="auto"/>
            <w:vAlign w:val="center"/>
          </w:tcPr>
          <w:p w:rsidR="00052422" w:rsidRPr="00E148FC" w:rsidRDefault="00052422" w:rsidP="00364028">
            <w:pPr>
              <w:keepNext/>
              <w:keepLines/>
              <w:jc w:val="center"/>
              <w:rPr>
                <w:rFonts w:ascii="Arial Narrow" w:hAnsi="Arial Narrow" w:cs="Calibri"/>
                <w:b/>
                <w:color w:val="000000"/>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c>
          <w:tcPr>
            <w:tcW w:w="641" w:type="pct"/>
            <w:shd w:val="clear" w:color="auto" w:fill="auto"/>
            <w:vAlign w:val="center"/>
          </w:tcPr>
          <w:p w:rsidR="00052422" w:rsidRPr="00E148FC" w:rsidRDefault="00052422" w:rsidP="00364028">
            <w:pPr>
              <w:keepNext/>
              <w:keepLines/>
              <w:jc w:val="center"/>
              <w:rPr>
                <w:rFonts w:ascii="Arial Narrow" w:hAnsi="Arial Narrow" w:cs="Calibri"/>
                <w:b/>
                <w:color w:val="000000"/>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c>
          <w:tcPr>
            <w:tcW w:w="642" w:type="pct"/>
            <w:shd w:val="clear" w:color="auto" w:fill="auto"/>
            <w:vAlign w:val="center"/>
          </w:tcPr>
          <w:p w:rsidR="00052422" w:rsidRPr="00E148FC" w:rsidRDefault="00052422" w:rsidP="00364028">
            <w:pPr>
              <w:keepNext/>
              <w:keepLines/>
              <w:jc w:val="center"/>
              <w:rPr>
                <w:rFonts w:ascii="Arial Narrow" w:hAnsi="Arial Narrow" w:cs="Calibri"/>
                <w:b/>
                <w:color w:val="000000"/>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c>
          <w:tcPr>
            <w:tcW w:w="641" w:type="pct"/>
            <w:tcBorders>
              <w:right w:val="single" w:sz="4" w:space="0" w:color="auto"/>
            </w:tcBorders>
            <w:shd w:val="clear" w:color="auto" w:fill="auto"/>
            <w:vAlign w:val="center"/>
          </w:tcPr>
          <w:p w:rsidR="00052422" w:rsidRPr="00E148FC" w:rsidRDefault="00052422" w:rsidP="00364028">
            <w:pPr>
              <w:keepNext/>
              <w:keepLines/>
              <w:jc w:val="center"/>
              <w:rPr>
                <w:rFonts w:ascii="Arial Narrow" w:hAnsi="Arial Narrow" w:cs="Calibri"/>
                <w:b/>
                <w:color w:val="000000"/>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c>
          <w:tcPr>
            <w:tcW w:w="611" w:type="pct"/>
            <w:tcBorders>
              <w:right w:val="single" w:sz="4" w:space="0" w:color="auto"/>
            </w:tcBorders>
            <w:vAlign w:val="center"/>
          </w:tcPr>
          <w:p w:rsidR="00052422" w:rsidRPr="00E148FC" w:rsidRDefault="00052422" w:rsidP="00364028">
            <w:pPr>
              <w:keepNext/>
              <w:keepLines/>
              <w:jc w:val="center"/>
              <w:rPr>
                <w:rFonts w:ascii="Arial Narrow" w:hAnsi="Arial Narrow" w:cs="Calibri"/>
                <w:b/>
                <w:color w:val="000000"/>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r>
      <w:tr w:rsidR="00052422" w:rsidRPr="00E148FC" w:rsidTr="00BB0454">
        <w:trPr>
          <w:tblHeader/>
        </w:trPr>
        <w:tc>
          <w:tcPr>
            <w:tcW w:w="5000" w:type="pct"/>
            <w:gridSpan w:val="7"/>
            <w:tcBorders>
              <w:left w:val="single" w:sz="4" w:space="0" w:color="auto"/>
              <w:bottom w:val="single" w:sz="4" w:space="0" w:color="auto"/>
            </w:tcBorders>
            <w:shd w:val="clear" w:color="auto" w:fill="auto"/>
            <w:vAlign w:val="center"/>
          </w:tcPr>
          <w:p w:rsidR="00052422" w:rsidRPr="00E148FC" w:rsidRDefault="00052422" w:rsidP="00364028">
            <w:pPr>
              <w:keepNext/>
              <w:keepLines/>
              <w:jc w:val="left"/>
              <w:rPr>
                <w:rFonts w:ascii="Arial Narrow" w:eastAsia="Calibri" w:hAnsi="Arial Narrow" w:cs="Times New Roman"/>
                <w:b/>
                <w:bCs/>
                <w:sz w:val="20"/>
                <w:szCs w:val="20"/>
              </w:rPr>
            </w:pPr>
            <w:r w:rsidRPr="00E148FC">
              <w:rPr>
                <w:rFonts w:ascii="Arial Narrow" w:eastAsia="Calibri" w:hAnsi="Arial Narrow" w:cs="Times New Roman"/>
                <w:b/>
                <w:bCs/>
                <w:sz w:val="20"/>
                <w:szCs w:val="20"/>
              </w:rPr>
              <w:t>Change in number and costs of exenatide scripts</w:t>
            </w:r>
          </w:p>
        </w:tc>
      </w:tr>
      <w:tr w:rsidR="00052422" w:rsidRPr="00E148FC" w:rsidTr="00BB0454">
        <w:tc>
          <w:tcPr>
            <w:tcW w:w="1243" w:type="pct"/>
            <w:tcBorders>
              <w:left w:val="single" w:sz="4" w:space="0" w:color="auto"/>
            </w:tcBorders>
            <w:shd w:val="clear" w:color="auto" w:fill="auto"/>
            <w:vAlign w:val="center"/>
          </w:tcPr>
          <w:p w:rsidR="00052422" w:rsidRPr="00E148FC" w:rsidRDefault="00052422" w:rsidP="00364028">
            <w:pPr>
              <w:keepNext/>
              <w:keepLines/>
              <w:jc w:val="left"/>
              <w:rPr>
                <w:rFonts w:ascii="Arial Narrow" w:eastAsia="Calibri" w:hAnsi="Arial Narrow" w:cs="Times New Roman"/>
                <w:sz w:val="20"/>
                <w:szCs w:val="20"/>
              </w:rPr>
            </w:pPr>
            <w:r w:rsidRPr="00E148FC">
              <w:rPr>
                <w:rFonts w:ascii="Arial Narrow" w:eastAsia="Calibri" w:hAnsi="Arial Narrow" w:cs="Times New Roman"/>
                <w:sz w:val="20"/>
                <w:szCs w:val="20"/>
              </w:rPr>
              <w:t>Exenatide 5 mcg twice daily</w:t>
            </w:r>
          </w:p>
        </w:tc>
        <w:tc>
          <w:tcPr>
            <w:tcW w:w="581" w:type="pct"/>
            <w:shd w:val="clear" w:color="auto" w:fill="auto"/>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F320F3" w:rsidRPr="00F320F3">
              <w:rPr>
                <w:rFonts w:ascii="Arial Narrow" w:hAnsi="Arial Narrow"/>
                <w:sz w:val="18"/>
                <w:vertAlign w:val="superscript"/>
              </w:rPr>
              <w:t>9</w:t>
            </w:r>
          </w:p>
        </w:tc>
        <w:tc>
          <w:tcPr>
            <w:tcW w:w="642" w:type="pct"/>
            <w:shd w:val="clear" w:color="auto" w:fill="auto"/>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F320F3" w:rsidRPr="00F320F3">
              <w:rPr>
                <w:rFonts w:ascii="Arial Narrow" w:hAnsi="Arial Narrow"/>
                <w:sz w:val="18"/>
                <w:vertAlign w:val="superscript"/>
              </w:rPr>
              <w:t>9</w:t>
            </w:r>
          </w:p>
        </w:tc>
        <w:tc>
          <w:tcPr>
            <w:tcW w:w="641" w:type="pct"/>
            <w:shd w:val="clear" w:color="auto" w:fill="auto"/>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8B335B" w:rsidRPr="00F40899">
              <w:rPr>
                <w:rFonts w:ascii="Arial Narrow" w:hAnsi="Arial Narrow"/>
                <w:sz w:val="18"/>
                <w:vertAlign w:val="superscript"/>
              </w:rPr>
              <w:t>2</w:t>
            </w:r>
          </w:p>
        </w:tc>
        <w:tc>
          <w:tcPr>
            <w:tcW w:w="642" w:type="pct"/>
            <w:shd w:val="clear" w:color="auto" w:fill="auto"/>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8B335B" w:rsidRPr="00F40899">
              <w:rPr>
                <w:rFonts w:ascii="Arial Narrow" w:hAnsi="Arial Narrow"/>
                <w:sz w:val="18"/>
                <w:vertAlign w:val="superscript"/>
              </w:rPr>
              <w:t>2</w:t>
            </w:r>
          </w:p>
        </w:tc>
        <w:tc>
          <w:tcPr>
            <w:tcW w:w="641" w:type="pct"/>
            <w:tcBorders>
              <w:right w:val="single" w:sz="4" w:space="0" w:color="auto"/>
            </w:tcBorders>
            <w:shd w:val="clear" w:color="auto" w:fill="auto"/>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8B335B" w:rsidRPr="00F40899">
              <w:rPr>
                <w:rFonts w:ascii="Arial Narrow" w:hAnsi="Arial Narrow"/>
                <w:sz w:val="18"/>
                <w:vertAlign w:val="superscript"/>
              </w:rPr>
              <w:t>2</w:t>
            </w:r>
          </w:p>
        </w:tc>
        <w:tc>
          <w:tcPr>
            <w:tcW w:w="611" w:type="pct"/>
            <w:tcBorders>
              <w:right w:val="single" w:sz="4" w:space="0" w:color="auto"/>
            </w:tcBorders>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F320F3" w:rsidRPr="00F320F3">
              <w:rPr>
                <w:rFonts w:ascii="Arial Narrow" w:hAnsi="Arial Narrow"/>
                <w:sz w:val="18"/>
                <w:vertAlign w:val="superscript"/>
              </w:rPr>
              <w:t>9</w:t>
            </w:r>
          </w:p>
        </w:tc>
      </w:tr>
      <w:tr w:rsidR="00052422" w:rsidRPr="00E148FC" w:rsidTr="00BB0454">
        <w:tc>
          <w:tcPr>
            <w:tcW w:w="1243" w:type="pct"/>
            <w:tcBorders>
              <w:left w:val="single" w:sz="4" w:space="0" w:color="auto"/>
            </w:tcBorders>
            <w:shd w:val="clear" w:color="auto" w:fill="auto"/>
            <w:vAlign w:val="center"/>
          </w:tcPr>
          <w:p w:rsidR="00052422" w:rsidRPr="00E148FC" w:rsidRDefault="00052422" w:rsidP="00364028">
            <w:pPr>
              <w:keepNext/>
              <w:keepLines/>
              <w:jc w:val="left"/>
              <w:rPr>
                <w:rFonts w:ascii="Arial Narrow" w:hAnsi="Arial Narrow"/>
                <w:sz w:val="20"/>
                <w:szCs w:val="20"/>
                <w:vertAlign w:val="superscript"/>
              </w:rPr>
            </w:pPr>
            <w:r w:rsidRPr="00E148FC">
              <w:rPr>
                <w:rFonts w:ascii="Arial Narrow" w:eastAsia="Calibri" w:hAnsi="Arial Narrow" w:cs="Times New Roman"/>
                <w:sz w:val="20"/>
                <w:szCs w:val="20"/>
              </w:rPr>
              <w:t>Exenatide 10 mcg twice daily</w:t>
            </w:r>
          </w:p>
        </w:tc>
        <w:tc>
          <w:tcPr>
            <w:tcW w:w="581" w:type="pct"/>
            <w:shd w:val="clear" w:color="auto" w:fill="auto"/>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8B335B" w:rsidRPr="00F40899">
              <w:rPr>
                <w:rFonts w:ascii="Arial Narrow" w:hAnsi="Arial Narrow"/>
                <w:sz w:val="18"/>
                <w:vertAlign w:val="superscript"/>
              </w:rPr>
              <w:t>2</w:t>
            </w:r>
          </w:p>
        </w:tc>
        <w:tc>
          <w:tcPr>
            <w:tcW w:w="642" w:type="pct"/>
            <w:shd w:val="clear" w:color="auto" w:fill="auto"/>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63698" w:rsidRPr="000C245B">
              <w:rPr>
                <w:rFonts w:ascii="Arial Narrow" w:hAnsi="Arial Narrow"/>
                <w:sz w:val="18"/>
                <w:vertAlign w:val="superscript"/>
              </w:rPr>
              <w:t>1</w:t>
            </w:r>
          </w:p>
        </w:tc>
        <w:tc>
          <w:tcPr>
            <w:tcW w:w="641" w:type="pct"/>
            <w:shd w:val="clear" w:color="auto" w:fill="auto"/>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63698" w:rsidRPr="00C350D7">
              <w:rPr>
                <w:rFonts w:ascii="Arial Narrow" w:hAnsi="Arial Narrow"/>
                <w:sz w:val="18"/>
                <w:vertAlign w:val="superscript"/>
              </w:rPr>
              <w:t>8</w:t>
            </w:r>
          </w:p>
        </w:tc>
        <w:tc>
          <w:tcPr>
            <w:tcW w:w="642" w:type="pct"/>
            <w:shd w:val="clear" w:color="auto" w:fill="auto"/>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63698" w:rsidRPr="00C350D7">
              <w:rPr>
                <w:rFonts w:ascii="Arial Narrow" w:hAnsi="Arial Narrow"/>
                <w:sz w:val="18"/>
                <w:vertAlign w:val="superscript"/>
              </w:rPr>
              <w:t>8</w:t>
            </w:r>
          </w:p>
        </w:tc>
        <w:tc>
          <w:tcPr>
            <w:tcW w:w="641" w:type="pct"/>
            <w:tcBorders>
              <w:right w:val="single" w:sz="4" w:space="0" w:color="auto"/>
            </w:tcBorders>
            <w:shd w:val="clear" w:color="auto" w:fill="auto"/>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63698" w:rsidRPr="00C350D7">
              <w:rPr>
                <w:rFonts w:ascii="Arial Narrow" w:hAnsi="Arial Narrow"/>
                <w:sz w:val="18"/>
                <w:vertAlign w:val="superscript"/>
              </w:rPr>
              <w:t>8</w:t>
            </w:r>
          </w:p>
        </w:tc>
        <w:tc>
          <w:tcPr>
            <w:tcW w:w="611" w:type="pct"/>
            <w:tcBorders>
              <w:right w:val="single" w:sz="4" w:space="0" w:color="auto"/>
            </w:tcBorders>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63698" w:rsidRPr="00C350D7">
              <w:rPr>
                <w:rFonts w:ascii="Arial Narrow" w:hAnsi="Arial Narrow"/>
                <w:sz w:val="18"/>
                <w:vertAlign w:val="superscript"/>
              </w:rPr>
              <w:t>8</w:t>
            </w:r>
          </w:p>
        </w:tc>
      </w:tr>
      <w:tr w:rsidR="00052422" w:rsidRPr="00E148FC" w:rsidTr="00BB0454">
        <w:tc>
          <w:tcPr>
            <w:tcW w:w="1243" w:type="pct"/>
            <w:tcBorders>
              <w:left w:val="single" w:sz="4" w:space="0" w:color="auto"/>
            </w:tcBorders>
            <w:shd w:val="clear" w:color="auto" w:fill="auto"/>
            <w:vAlign w:val="center"/>
          </w:tcPr>
          <w:p w:rsidR="00052422" w:rsidRPr="00E148FC" w:rsidRDefault="00052422" w:rsidP="00364028">
            <w:pPr>
              <w:keepNext/>
              <w:keepLines/>
              <w:jc w:val="left"/>
              <w:rPr>
                <w:rFonts w:ascii="Arial Narrow" w:eastAsia="Calibri" w:hAnsi="Arial Narrow" w:cs="Times New Roman"/>
                <w:sz w:val="20"/>
                <w:szCs w:val="20"/>
              </w:rPr>
            </w:pPr>
            <w:r w:rsidRPr="00E148FC">
              <w:rPr>
                <w:rFonts w:ascii="Arial Narrow" w:eastAsia="Calibri" w:hAnsi="Arial Narrow" w:cs="Times New Roman"/>
                <w:sz w:val="20"/>
                <w:szCs w:val="20"/>
              </w:rPr>
              <w:t>Exenatide 2 mg once weekly</w:t>
            </w:r>
          </w:p>
        </w:tc>
        <w:tc>
          <w:tcPr>
            <w:tcW w:w="581" w:type="pct"/>
            <w:shd w:val="clear" w:color="auto" w:fill="auto"/>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F320F3" w:rsidRPr="00F320F3">
              <w:rPr>
                <w:rFonts w:ascii="Arial Narrow" w:hAnsi="Arial Narrow"/>
                <w:sz w:val="18"/>
                <w:vertAlign w:val="superscript"/>
              </w:rPr>
              <w:t>9</w:t>
            </w:r>
          </w:p>
        </w:tc>
        <w:tc>
          <w:tcPr>
            <w:tcW w:w="642" w:type="pct"/>
            <w:shd w:val="clear" w:color="auto" w:fill="auto"/>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F320F3" w:rsidRPr="00F320F3">
              <w:rPr>
                <w:rFonts w:ascii="Arial Narrow" w:hAnsi="Arial Narrow"/>
                <w:sz w:val="18"/>
                <w:vertAlign w:val="superscript"/>
              </w:rPr>
              <w:t>9</w:t>
            </w:r>
          </w:p>
        </w:tc>
        <w:tc>
          <w:tcPr>
            <w:tcW w:w="641" w:type="pct"/>
            <w:shd w:val="clear" w:color="auto" w:fill="auto"/>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F320F3" w:rsidRPr="00F320F3">
              <w:rPr>
                <w:rFonts w:ascii="Arial Narrow" w:hAnsi="Arial Narrow"/>
                <w:sz w:val="18"/>
                <w:vertAlign w:val="superscript"/>
              </w:rPr>
              <w:t>9</w:t>
            </w:r>
          </w:p>
        </w:tc>
        <w:tc>
          <w:tcPr>
            <w:tcW w:w="642" w:type="pct"/>
            <w:shd w:val="clear" w:color="auto" w:fill="auto"/>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F320F3" w:rsidRPr="00F320F3">
              <w:rPr>
                <w:rFonts w:ascii="Arial Narrow" w:hAnsi="Arial Narrow"/>
                <w:sz w:val="18"/>
                <w:vertAlign w:val="superscript"/>
              </w:rPr>
              <w:t>9</w:t>
            </w:r>
          </w:p>
        </w:tc>
        <w:tc>
          <w:tcPr>
            <w:tcW w:w="641" w:type="pct"/>
            <w:tcBorders>
              <w:right w:val="single" w:sz="4" w:space="0" w:color="auto"/>
            </w:tcBorders>
            <w:shd w:val="clear" w:color="auto" w:fill="auto"/>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F320F3" w:rsidRPr="00F320F3">
              <w:rPr>
                <w:rFonts w:ascii="Arial Narrow" w:hAnsi="Arial Narrow"/>
                <w:sz w:val="18"/>
                <w:vertAlign w:val="superscript"/>
              </w:rPr>
              <w:t>9</w:t>
            </w:r>
          </w:p>
        </w:tc>
        <w:tc>
          <w:tcPr>
            <w:tcW w:w="611" w:type="pct"/>
            <w:tcBorders>
              <w:right w:val="single" w:sz="4" w:space="0" w:color="auto"/>
            </w:tcBorders>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F320F3" w:rsidRPr="00F320F3">
              <w:rPr>
                <w:rFonts w:ascii="Arial Narrow" w:hAnsi="Arial Narrow"/>
                <w:sz w:val="18"/>
                <w:vertAlign w:val="superscript"/>
              </w:rPr>
              <w:t>9</w:t>
            </w:r>
          </w:p>
        </w:tc>
      </w:tr>
      <w:tr w:rsidR="00052422" w:rsidRPr="00E148FC" w:rsidTr="00BB0454">
        <w:tc>
          <w:tcPr>
            <w:tcW w:w="1243" w:type="pct"/>
            <w:tcBorders>
              <w:left w:val="single" w:sz="4" w:space="0" w:color="auto"/>
            </w:tcBorders>
            <w:shd w:val="clear" w:color="auto" w:fill="auto"/>
            <w:vAlign w:val="center"/>
          </w:tcPr>
          <w:p w:rsidR="00052422" w:rsidRPr="00E148FC" w:rsidRDefault="00052422" w:rsidP="00364028">
            <w:pPr>
              <w:keepNext/>
              <w:keepLines/>
              <w:jc w:val="left"/>
              <w:rPr>
                <w:rFonts w:ascii="Arial Narrow" w:hAnsi="Arial Narrow"/>
                <w:sz w:val="20"/>
                <w:szCs w:val="20"/>
              </w:rPr>
            </w:pPr>
            <w:r w:rsidRPr="00E148FC">
              <w:rPr>
                <w:rFonts w:ascii="Arial Narrow" w:hAnsi="Arial Narrow"/>
                <w:sz w:val="20"/>
                <w:szCs w:val="20"/>
              </w:rPr>
              <w:t>Total exenatide scripts</w:t>
            </w:r>
          </w:p>
        </w:tc>
        <w:tc>
          <w:tcPr>
            <w:tcW w:w="581" w:type="pct"/>
            <w:shd w:val="clear" w:color="auto" w:fill="auto"/>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BC730A" w:rsidRPr="000C245B">
              <w:rPr>
                <w:rFonts w:ascii="Arial Narrow" w:hAnsi="Arial Narrow"/>
                <w:sz w:val="18"/>
                <w:vertAlign w:val="superscript"/>
              </w:rPr>
              <w:t>1</w:t>
            </w:r>
          </w:p>
        </w:tc>
        <w:tc>
          <w:tcPr>
            <w:tcW w:w="642" w:type="pct"/>
            <w:shd w:val="clear" w:color="auto" w:fill="auto"/>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BC730A" w:rsidRPr="00C350D7">
              <w:rPr>
                <w:rFonts w:ascii="Arial Narrow" w:hAnsi="Arial Narrow"/>
                <w:sz w:val="18"/>
                <w:vertAlign w:val="superscript"/>
              </w:rPr>
              <w:t>8</w:t>
            </w:r>
          </w:p>
        </w:tc>
        <w:tc>
          <w:tcPr>
            <w:tcW w:w="641" w:type="pct"/>
            <w:shd w:val="clear" w:color="auto" w:fill="auto"/>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BC730A" w:rsidRPr="00B32B76">
              <w:rPr>
                <w:rFonts w:ascii="Arial Narrow" w:hAnsi="Arial Narrow"/>
                <w:sz w:val="18"/>
                <w:vertAlign w:val="superscript"/>
              </w:rPr>
              <w:t>7</w:t>
            </w:r>
          </w:p>
        </w:tc>
        <w:tc>
          <w:tcPr>
            <w:tcW w:w="642" w:type="pct"/>
            <w:shd w:val="clear" w:color="auto" w:fill="auto"/>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BC730A" w:rsidRPr="00B32B76">
              <w:rPr>
                <w:rFonts w:ascii="Arial Narrow" w:hAnsi="Arial Narrow"/>
                <w:sz w:val="18"/>
                <w:vertAlign w:val="superscript"/>
              </w:rPr>
              <w:t>7</w:t>
            </w:r>
          </w:p>
        </w:tc>
        <w:tc>
          <w:tcPr>
            <w:tcW w:w="641" w:type="pct"/>
            <w:tcBorders>
              <w:right w:val="single" w:sz="4" w:space="0" w:color="auto"/>
            </w:tcBorders>
            <w:shd w:val="clear" w:color="auto" w:fill="auto"/>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BC730A" w:rsidRPr="00B32B76">
              <w:rPr>
                <w:rFonts w:ascii="Arial Narrow" w:hAnsi="Arial Narrow"/>
                <w:sz w:val="18"/>
                <w:vertAlign w:val="superscript"/>
              </w:rPr>
              <w:t>7</w:t>
            </w:r>
          </w:p>
        </w:tc>
        <w:tc>
          <w:tcPr>
            <w:tcW w:w="611" w:type="pct"/>
            <w:tcBorders>
              <w:right w:val="single" w:sz="4" w:space="0" w:color="auto"/>
            </w:tcBorders>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BC730A" w:rsidRPr="00C350D7">
              <w:rPr>
                <w:rFonts w:ascii="Arial Narrow" w:hAnsi="Arial Narrow"/>
                <w:sz w:val="18"/>
                <w:vertAlign w:val="superscript"/>
              </w:rPr>
              <w:t>8</w:t>
            </w:r>
          </w:p>
        </w:tc>
      </w:tr>
      <w:tr w:rsidR="00052422" w:rsidRPr="00E148FC" w:rsidTr="00BB0454">
        <w:tc>
          <w:tcPr>
            <w:tcW w:w="1243" w:type="pct"/>
            <w:tcBorders>
              <w:left w:val="single" w:sz="4" w:space="0" w:color="auto"/>
            </w:tcBorders>
            <w:shd w:val="clear" w:color="auto" w:fill="auto"/>
            <w:vAlign w:val="center"/>
          </w:tcPr>
          <w:p w:rsidR="00052422" w:rsidRPr="00E148FC" w:rsidRDefault="00052422" w:rsidP="00364028">
            <w:pPr>
              <w:keepNext/>
              <w:keepLines/>
              <w:jc w:val="left"/>
              <w:rPr>
                <w:rFonts w:ascii="Arial Narrow" w:hAnsi="Arial Narrow"/>
                <w:sz w:val="20"/>
                <w:vertAlign w:val="superscript"/>
              </w:rPr>
            </w:pPr>
            <w:r w:rsidRPr="00E148FC">
              <w:rPr>
                <w:rFonts w:ascii="Arial Narrow" w:eastAsia="Calibri" w:hAnsi="Arial Narrow" w:cs="Times New Roman"/>
                <w:sz w:val="20"/>
                <w:szCs w:val="20"/>
              </w:rPr>
              <w:t>Total cost of exenatide</w:t>
            </w:r>
          </w:p>
        </w:tc>
        <w:tc>
          <w:tcPr>
            <w:tcW w:w="581" w:type="pct"/>
            <w:shd w:val="clear" w:color="auto" w:fill="auto"/>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c>
          <w:tcPr>
            <w:tcW w:w="642" w:type="pct"/>
            <w:shd w:val="clear" w:color="auto" w:fill="auto"/>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c>
          <w:tcPr>
            <w:tcW w:w="641" w:type="pct"/>
            <w:shd w:val="clear" w:color="auto" w:fill="auto"/>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c>
          <w:tcPr>
            <w:tcW w:w="642" w:type="pct"/>
            <w:shd w:val="clear" w:color="auto" w:fill="auto"/>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c>
          <w:tcPr>
            <w:tcW w:w="641" w:type="pct"/>
            <w:tcBorders>
              <w:right w:val="single" w:sz="4" w:space="0" w:color="auto"/>
            </w:tcBorders>
            <w:shd w:val="clear" w:color="auto" w:fill="auto"/>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c>
          <w:tcPr>
            <w:tcW w:w="611" w:type="pct"/>
            <w:tcBorders>
              <w:right w:val="single" w:sz="4" w:space="0" w:color="auto"/>
            </w:tcBorders>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r>
      <w:tr w:rsidR="00052422" w:rsidRPr="00E148FC" w:rsidTr="00BB0454">
        <w:tc>
          <w:tcPr>
            <w:tcW w:w="1243" w:type="pct"/>
            <w:tcBorders>
              <w:left w:val="single" w:sz="4" w:space="0" w:color="auto"/>
            </w:tcBorders>
            <w:shd w:val="clear" w:color="auto" w:fill="auto"/>
            <w:vAlign w:val="center"/>
          </w:tcPr>
          <w:p w:rsidR="00052422" w:rsidRPr="00E148FC" w:rsidRDefault="00052422" w:rsidP="00364028">
            <w:pPr>
              <w:keepNext/>
              <w:keepLines/>
              <w:jc w:val="left"/>
              <w:rPr>
                <w:rFonts w:ascii="Arial Narrow" w:eastAsia="Calibri" w:hAnsi="Arial Narrow" w:cs="Times New Roman"/>
                <w:sz w:val="20"/>
                <w:szCs w:val="20"/>
              </w:rPr>
            </w:pPr>
            <w:r w:rsidRPr="00E148FC">
              <w:rPr>
                <w:rFonts w:ascii="Arial Narrow" w:eastAsia="Calibri" w:hAnsi="Arial Narrow" w:cs="Times New Roman"/>
                <w:sz w:val="20"/>
                <w:szCs w:val="20"/>
              </w:rPr>
              <w:t>Total patient copayments</w:t>
            </w:r>
          </w:p>
        </w:tc>
        <w:tc>
          <w:tcPr>
            <w:tcW w:w="581" w:type="pct"/>
            <w:shd w:val="clear" w:color="auto" w:fill="auto"/>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c>
          <w:tcPr>
            <w:tcW w:w="642" w:type="pct"/>
            <w:shd w:val="clear" w:color="auto" w:fill="auto"/>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c>
          <w:tcPr>
            <w:tcW w:w="641" w:type="pct"/>
            <w:shd w:val="clear" w:color="auto" w:fill="auto"/>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c>
          <w:tcPr>
            <w:tcW w:w="642" w:type="pct"/>
            <w:shd w:val="clear" w:color="auto" w:fill="auto"/>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c>
          <w:tcPr>
            <w:tcW w:w="641" w:type="pct"/>
            <w:tcBorders>
              <w:right w:val="single" w:sz="4" w:space="0" w:color="auto"/>
            </w:tcBorders>
            <w:shd w:val="clear" w:color="auto" w:fill="auto"/>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c>
          <w:tcPr>
            <w:tcW w:w="611" w:type="pct"/>
            <w:tcBorders>
              <w:right w:val="single" w:sz="4" w:space="0" w:color="auto"/>
            </w:tcBorders>
            <w:shd w:val="clear" w:color="auto" w:fill="auto"/>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r>
      <w:tr w:rsidR="00052422" w:rsidRPr="00E148FC" w:rsidTr="00BB0454">
        <w:tc>
          <w:tcPr>
            <w:tcW w:w="1243" w:type="pct"/>
            <w:tcBorders>
              <w:left w:val="single" w:sz="4" w:space="0" w:color="auto"/>
            </w:tcBorders>
            <w:shd w:val="clear" w:color="auto" w:fill="auto"/>
            <w:vAlign w:val="center"/>
          </w:tcPr>
          <w:p w:rsidR="00052422" w:rsidRPr="00E148FC" w:rsidRDefault="00052422" w:rsidP="00364028">
            <w:pPr>
              <w:keepNext/>
              <w:keepLines/>
              <w:jc w:val="left"/>
              <w:rPr>
                <w:rFonts w:ascii="Arial Narrow" w:hAnsi="Arial Narrow"/>
                <w:sz w:val="20"/>
              </w:rPr>
            </w:pPr>
            <w:r w:rsidRPr="00E148FC">
              <w:rPr>
                <w:rFonts w:ascii="Arial Narrow" w:hAnsi="Arial Narrow"/>
                <w:sz w:val="20"/>
              </w:rPr>
              <w:t>Total cost excluding copay</w:t>
            </w:r>
          </w:p>
        </w:tc>
        <w:tc>
          <w:tcPr>
            <w:tcW w:w="581" w:type="pct"/>
            <w:shd w:val="clear" w:color="auto" w:fill="auto"/>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c>
          <w:tcPr>
            <w:tcW w:w="642" w:type="pct"/>
            <w:shd w:val="clear" w:color="auto" w:fill="auto"/>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c>
          <w:tcPr>
            <w:tcW w:w="641" w:type="pct"/>
            <w:shd w:val="clear" w:color="auto" w:fill="auto"/>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c>
          <w:tcPr>
            <w:tcW w:w="642" w:type="pct"/>
            <w:shd w:val="clear" w:color="auto" w:fill="auto"/>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c>
          <w:tcPr>
            <w:tcW w:w="641" w:type="pct"/>
            <w:tcBorders>
              <w:right w:val="single" w:sz="4" w:space="0" w:color="auto"/>
            </w:tcBorders>
            <w:shd w:val="clear" w:color="auto" w:fill="auto"/>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c>
          <w:tcPr>
            <w:tcW w:w="611" w:type="pct"/>
            <w:tcBorders>
              <w:right w:val="single" w:sz="4" w:space="0" w:color="auto"/>
            </w:tcBorders>
            <w:shd w:val="clear" w:color="auto" w:fill="auto"/>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9F3189">
              <w:rPr>
                <w:rFonts w:ascii="Arial Narrow" w:hAnsi="Arial Narrow"/>
                <w:sz w:val="18"/>
                <w:vertAlign w:val="superscript"/>
              </w:rPr>
              <w:t>10</w:t>
            </w:r>
          </w:p>
        </w:tc>
      </w:tr>
      <w:tr w:rsidR="00052422" w:rsidRPr="00E148FC" w:rsidTr="00BB0454">
        <w:tc>
          <w:tcPr>
            <w:tcW w:w="5000" w:type="pct"/>
            <w:gridSpan w:val="7"/>
            <w:tcBorders>
              <w:left w:val="single" w:sz="4" w:space="0" w:color="auto"/>
              <w:right w:val="single" w:sz="4" w:space="0" w:color="auto"/>
            </w:tcBorders>
            <w:shd w:val="clear" w:color="auto" w:fill="auto"/>
            <w:vAlign w:val="center"/>
          </w:tcPr>
          <w:p w:rsidR="00052422" w:rsidRPr="00E148FC" w:rsidRDefault="00052422" w:rsidP="00364028">
            <w:pPr>
              <w:keepNext/>
              <w:keepLines/>
              <w:jc w:val="left"/>
              <w:rPr>
                <w:rFonts w:ascii="Arial Narrow" w:hAnsi="Arial Narrow"/>
                <w:b/>
                <w:sz w:val="20"/>
                <w:szCs w:val="20"/>
              </w:rPr>
            </w:pPr>
            <w:r w:rsidRPr="00E148FC">
              <w:rPr>
                <w:rFonts w:ascii="Arial Narrow" w:hAnsi="Arial Narrow"/>
                <w:b/>
                <w:sz w:val="20"/>
                <w:szCs w:val="20"/>
              </w:rPr>
              <w:t>Net cost to the PBS/RPBS</w:t>
            </w:r>
          </w:p>
        </w:tc>
      </w:tr>
      <w:tr w:rsidR="00052422" w:rsidRPr="00E148FC" w:rsidTr="00BB0454">
        <w:tc>
          <w:tcPr>
            <w:tcW w:w="1243" w:type="pct"/>
            <w:tcBorders>
              <w:left w:val="single" w:sz="4" w:space="0" w:color="auto"/>
            </w:tcBorders>
            <w:shd w:val="clear" w:color="auto" w:fill="auto"/>
            <w:vAlign w:val="center"/>
          </w:tcPr>
          <w:p w:rsidR="00052422" w:rsidRPr="00E148FC" w:rsidRDefault="00052422" w:rsidP="00364028">
            <w:pPr>
              <w:keepNext/>
              <w:keepLines/>
              <w:jc w:val="left"/>
              <w:rPr>
                <w:rFonts w:ascii="Arial Narrow" w:hAnsi="Arial Narrow"/>
                <w:sz w:val="20"/>
              </w:rPr>
            </w:pPr>
            <w:r w:rsidRPr="00E148FC">
              <w:rPr>
                <w:rFonts w:ascii="Arial Narrow" w:hAnsi="Arial Narrow"/>
                <w:sz w:val="20"/>
              </w:rPr>
              <w:t>Net cost (published) with copayments</w:t>
            </w:r>
          </w:p>
        </w:tc>
        <w:tc>
          <w:tcPr>
            <w:tcW w:w="581" w:type="pct"/>
            <w:shd w:val="clear" w:color="auto" w:fill="auto"/>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241176">
              <w:rPr>
                <w:rFonts w:ascii="Arial Narrow" w:hAnsi="Arial Narrow"/>
                <w:sz w:val="18"/>
                <w:vertAlign w:val="superscript"/>
              </w:rPr>
              <w:t>10</w:t>
            </w:r>
          </w:p>
        </w:tc>
        <w:tc>
          <w:tcPr>
            <w:tcW w:w="642" w:type="pct"/>
            <w:shd w:val="clear" w:color="auto" w:fill="auto"/>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241176">
              <w:rPr>
                <w:rFonts w:ascii="Arial Narrow" w:hAnsi="Arial Narrow"/>
                <w:sz w:val="18"/>
                <w:vertAlign w:val="superscript"/>
              </w:rPr>
              <w:t>10</w:t>
            </w:r>
          </w:p>
        </w:tc>
        <w:tc>
          <w:tcPr>
            <w:tcW w:w="641" w:type="pct"/>
            <w:shd w:val="clear" w:color="auto" w:fill="auto"/>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241176">
              <w:rPr>
                <w:rFonts w:ascii="Arial Narrow" w:hAnsi="Arial Narrow"/>
                <w:sz w:val="18"/>
                <w:vertAlign w:val="superscript"/>
              </w:rPr>
              <w:t>10</w:t>
            </w:r>
          </w:p>
        </w:tc>
        <w:tc>
          <w:tcPr>
            <w:tcW w:w="642" w:type="pct"/>
            <w:shd w:val="clear" w:color="auto" w:fill="auto"/>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241176">
              <w:rPr>
                <w:rFonts w:ascii="Arial Narrow" w:hAnsi="Arial Narrow"/>
                <w:sz w:val="18"/>
                <w:vertAlign w:val="superscript"/>
              </w:rPr>
              <w:t>10</w:t>
            </w:r>
          </w:p>
        </w:tc>
        <w:tc>
          <w:tcPr>
            <w:tcW w:w="641" w:type="pct"/>
            <w:tcBorders>
              <w:right w:val="single" w:sz="4" w:space="0" w:color="auto"/>
            </w:tcBorders>
            <w:shd w:val="clear" w:color="auto" w:fill="auto"/>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241176">
              <w:rPr>
                <w:rFonts w:ascii="Arial Narrow" w:hAnsi="Arial Narrow"/>
                <w:sz w:val="18"/>
                <w:vertAlign w:val="superscript"/>
              </w:rPr>
              <w:t>10</w:t>
            </w:r>
          </w:p>
        </w:tc>
        <w:tc>
          <w:tcPr>
            <w:tcW w:w="611" w:type="pct"/>
            <w:tcBorders>
              <w:right w:val="single" w:sz="4" w:space="0" w:color="auto"/>
            </w:tcBorders>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241176">
              <w:rPr>
                <w:rFonts w:ascii="Arial Narrow" w:hAnsi="Arial Narrow"/>
                <w:sz w:val="18"/>
                <w:vertAlign w:val="superscript"/>
              </w:rPr>
              <w:t>10</w:t>
            </w:r>
          </w:p>
        </w:tc>
      </w:tr>
      <w:tr w:rsidR="00052422" w:rsidRPr="00E148FC" w:rsidTr="00BB0454">
        <w:tc>
          <w:tcPr>
            <w:tcW w:w="1243" w:type="pct"/>
            <w:tcBorders>
              <w:left w:val="single" w:sz="4" w:space="0" w:color="auto"/>
              <w:bottom w:val="single" w:sz="4" w:space="0" w:color="auto"/>
            </w:tcBorders>
            <w:shd w:val="clear" w:color="auto" w:fill="auto"/>
            <w:vAlign w:val="center"/>
          </w:tcPr>
          <w:p w:rsidR="00052422" w:rsidRPr="00E148FC" w:rsidRDefault="00052422" w:rsidP="00E148FC">
            <w:pPr>
              <w:keepNext/>
              <w:keepLines/>
              <w:jc w:val="left"/>
              <w:rPr>
                <w:rFonts w:ascii="Arial Narrow" w:hAnsi="Arial Narrow"/>
                <w:b/>
                <w:sz w:val="20"/>
              </w:rPr>
            </w:pPr>
            <w:r w:rsidRPr="00E148FC">
              <w:rPr>
                <w:rFonts w:ascii="Arial Narrow" w:hAnsi="Arial Narrow"/>
                <w:b/>
                <w:sz w:val="20"/>
              </w:rPr>
              <w:t xml:space="preserve">Net cost (published) </w:t>
            </w:r>
            <w:r w:rsidR="00E148FC">
              <w:rPr>
                <w:rFonts w:ascii="Arial Narrow" w:hAnsi="Arial Narrow"/>
                <w:b/>
                <w:sz w:val="20"/>
              </w:rPr>
              <w:t>less</w:t>
            </w:r>
            <w:r w:rsidR="00E148FC" w:rsidRPr="00E148FC">
              <w:rPr>
                <w:rFonts w:ascii="Arial Narrow" w:hAnsi="Arial Narrow"/>
                <w:b/>
                <w:sz w:val="20"/>
              </w:rPr>
              <w:t xml:space="preserve"> </w:t>
            </w:r>
            <w:r w:rsidRPr="00E148FC">
              <w:rPr>
                <w:rFonts w:ascii="Arial Narrow" w:hAnsi="Arial Narrow"/>
                <w:b/>
                <w:sz w:val="20"/>
              </w:rPr>
              <w:t>copayments</w:t>
            </w:r>
          </w:p>
        </w:tc>
        <w:tc>
          <w:tcPr>
            <w:tcW w:w="581" w:type="pct"/>
            <w:shd w:val="clear" w:color="auto" w:fill="auto"/>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241176">
              <w:rPr>
                <w:rFonts w:ascii="Arial Narrow" w:hAnsi="Arial Narrow"/>
                <w:sz w:val="18"/>
                <w:vertAlign w:val="superscript"/>
              </w:rPr>
              <w:t>10</w:t>
            </w:r>
          </w:p>
        </w:tc>
        <w:tc>
          <w:tcPr>
            <w:tcW w:w="642" w:type="pct"/>
            <w:shd w:val="clear" w:color="auto" w:fill="auto"/>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241176">
              <w:rPr>
                <w:rFonts w:ascii="Arial Narrow" w:hAnsi="Arial Narrow"/>
                <w:sz w:val="18"/>
                <w:vertAlign w:val="superscript"/>
              </w:rPr>
              <w:t>10</w:t>
            </w:r>
          </w:p>
        </w:tc>
        <w:tc>
          <w:tcPr>
            <w:tcW w:w="641" w:type="pct"/>
            <w:shd w:val="clear" w:color="auto" w:fill="auto"/>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241176">
              <w:rPr>
                <w:rFonts w:ascii="Arial Narrow" w:hAnsi="Arial Narrow"/>
                <w:sz w:val="18"/>
                <w:vertAlign w:val="superscript"/>
              </w:rPr>
              <w:t>10</w:t>
            </w:r>
          </w:p>
        </w:tc>
        <w:tc>
          <w:tcPr>
            <w:tcW w:w="642" w:type="pct"/>
            <w:shd w:val="clear" w:color="auto" w:fill="auto"/>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241176">
              <w:rPr>
                <w:rFonts w:ascii="Arial Narrow" w:hAnsi="Arial Narrow"/>
                <w:sz w:val="18"/>
                <w:vertAlign w:val="superscript"/>
              </w:rPr>
              <w:t>10</w:t>
            </w:r>
          </w:p>
        </w:tc>
        <w:tc>
          <w:tcPr>
            <w:tcW w:w="641" w:type="pct"/>
            <w:tcBorders>
              <w:right w:val="single" w:sz="4" w:space="0" w:color="auto"/>
            </w:tcBorders>
            <w:shd w:val="clear" w:color="auto" w:fill="auto"/>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241176">
              <w:rPr>
                <w:rFonts w:ascii="Arial Narrow" w:hAnsi="Arial Narrow"/>
                <w:sz w:val="18"/>
                <w:vertAlign w:val="superscript"/>
              </w:rPr>
              <w:t>10</w:t>
            </w:r>
          </w:p>
        </w:tc>
        <w:tc>
          <w:tcPr>
            <w:tcW w:w="611" w:type="pct"/>
            <w:tcBorders>
              <w:right w:val="single" w:sz="4" w:space="0" w:color="auto"/>
            </w:tcBorders>
            <w:vAlign w:val="center"/>
          </w:tcPr>
          <w:p w:rsidR="00052422" w:rsidRPr="00E148FC" w:rsidRDefault="00052422" w:rsidP="00364028">
            <w:pPr>
              <w:keepNext/>
              <w:keepLines/>
              <w:jc w:val="center"/>
              <w:rPr>
                <w:rFonts w:ascii="Arial Narrow" w:hAnsi="Arial Narrow"/>
                <w:sz w:val="20"/>
                <w:szCs w:val="20"/>
              </w:rPr>
            </w:pPr>
            <w:r w:rsidRPr="00E148FC">
              <w:rPr>
                <w:rFonts w:ascii="Arial Narrow" w:hAnsi="Arial Narrow"/>
                <w:sz w:val="20"/>
                <w:szCs w:val="20"/>
              </w:rPr>
              <w:t>$</w:t>
            </w:r>
            <w:r w:rsidR="00BB0454">
              <w:rPr>
                <w:rFonts w:ascii="Arial Narrow" w:hAnsi="Arial Narrow"/>
                <w:noProof/>
                <w:color w:val="000000"/>
                <w:sz w:val="20"/>
                <w:szCs w:val="20"/>
                <w:highlight w:val="black"/>
              </w:rPr>
              <w:t>'''''''''''''''''''''''''</w:t>
            </w:r>
            <w:r w:rsidR="00241176">
              <w:rPr>
                <w:rFonts w:ascii="Arial Narrow" w:hAnsi="Arial Narrow"/>
                <w:sz w:val="18"/>
                <w:vertAlign w:val="superscript"/>
              </w:rPr>
              <w:t>10</w:t>
            </w:r>
          </w:p>
        </w:tc>
      </w:tr>
    </w:tbl>
    <w:p w:rsidR="00052422" w:rsidRPr="00E148FC" w:rsidRDefault="00052422" w:rsidP="00052422">
      <w:pPr>
        <w:pStyle w:val="TableFooter"/>
        <w:keepNext/>
        <w:keepLines/>
      </w:pPr>
      <w:r w:rsidRPr="00E148FC">
        <w:t>Source: Attachment 7 of the submission</w:t>
      </w:r>
    </w:p>
    <w:p w:rsidR="00052422" w:rsidRPr="00E148FC" w:rsidRDefault="00052422" w:rsidP="00052422">
      <w:pPr>
        <w:pStyle w:val="TableFooter"/>
        <w:keepNext/>
        <w:keepLines/>
      </w:pPr>
      <w:r w:rsidRPr="00E148FC">
        <w:rPr>
          <w:vertAlign w:val="superscript"/>
        </w:rPr>
        <w:t>a</w:t>
      </w:r>
      <w:r w:rsidRPr="00E148FC">
        <w:t xml:space="preserve"> Script adjustment factor of 1.1 applied to account for differences in script durations between treatments (13.0 packs per year for semaglutide vs 12.2 packs/year for exenatide). </w:t>
      </w:r>
    </w:p>
    <w:p w:rsidR="00052422" w:rsidRPr="00E4729C" w:rsidRDefault="0053776E" w:rsidP="00052422">
      <w:pPr>
        <w:pStyle w:val="Tableheadingrow"/>
        <w:rPr>
          <w:b w:val="0"/>
          <w:i/>
          <w:sz w:val="18"/>
          <w:lang w:val="en-AU"/>
        </w:rPr>
      </w:pPr>
      <w:r w:rsidRPr="00E4729C">
        <w:rPr>
          <w:b w:val="0"/>
          <w:i/>
          <w:sz w:val="18"/>
          <w:lang w:val="en-AU"/>
        </w:rPr>
        <w:t>The redacted values correspond to the following ranges:</w:t>
      </w:r>
    </w:p>
    <w:p w:rsidR="0053776E" w:rsidRPr="00E4729C" w:rsidRDefault="0053776E" w:rsidP="00052422">
      <w:pPr>
        <w:pStyle w:val="Tableheadingrow"/>
        <w:rPr>
          <w:b w:val="0"/>
          <w:i/>
          <w:sz w:val="18"/>
          <w:lang w:val="en-AU"/>
        </w:rPr>
      </w:pPr>
      <w:r w:rsidRPr="00E4729C">
        <w:rPr>
          <w:b w:val="0"/>
          <w:i/>
          <w:sz w:val="18"/>
          <w:vertAlign w:val="superscript"/>
          <w:lang w:val="en-AU"/>
        </w:rPr>
        <w:t xml:space="preserve">1 </w:t>
      </w:r>
      <w:r w:rsidRPr="00E4729C">
        <w:rPr>
          <w:b w:val="0"/>
          <w:i/>
          <w:sz w:val="18"/>
          <w:lang w:val="en-AU"/>
        </w:rPr>
        <w:t>10,000 to &lt; 20,000</w:t>
      </w:r>
    </w:p>
    <w:p w:rsidR="00F40899" w:rsidRPr="00E4729C" w:rsidRDefault="00F40899" w:rsidP="00052422">
      <w:pPr>
        <w:pStyle w:val="Tableheadingrow"/>
        <w:rPr>
          <w:b w:val="0"/>
          <w:i/>
          <w:sz w:val="18"/>
          <w:lang w:val="en-AU"/>
        </w:rPr>
      </w:pPr>
      <w:r w:rsidRPr="00E4729C">
        <w:rPr>
          <w:b w:val="0"/>
          <w:i/>
          <w:sz w:val="18"/>
          <w:vertAlign w:val="superscript"/>
          <w:lang w:val="en-AU"/>
        </w:rPr>
        <w:t>2</w:t>
      </w:r>
      <w:r w:rsidRPr="00E4729C">
        <w:rPr>
          <w:b w:val="0"/>
          <w:i/>
          <w:sz w:val="18"/>
          <w:lang w:val="en-AU"/>
        </w:rPr>
        <w:t xml:space="preserve"> 5,000 to &lt; 10,000</w:t>
      </w:r>
    </w:p>
    <w:p w:rsidR="000C245B" w:rsidRPr="00E4729C" w:rsidRDefault="000C245B" w:rsidP="00052422">
      <w:pPr>
        <w:pStyle w:val="Tableheadingrow"/>
        <w:rPr>
          <w:b w:val="0"/>
          <w:i/>
          <w:sz w:val="18"/>
          <w:lang w:val="en-AU"/>
        </w:rPr>
      </w:pPr>
      <w:r w:rsidRPr="00E4729C">
        <w:rPr>
          <w:b w:val="0"/>
          <w:i/>
          <w:sz w:val="18"/>
          <w:vertAlign w:val="superscript"/>
          <w:lang w:val="en-AU"/>
        </w:rPr>
        <w:t>3</w:t>
      </w:r>
      <w:r w:rsidRPr="00E4729C">
        <w:rPr>
          <w:b w:val="0"/>
          <w:i/>
          <w:sz w:val="18"/>
          <w:lang w:val="en-AU"/>
        </w:rPr>
        <w:t xml:space="preserve"> 60,000 to &lt; 70,000</w:t>
      </w:r>
    </w:p>
    <w:p w:rsidR="005A4C95" w:rsidRPr="00E4729C" w:rsidRDefault="005A4C95" w:rsidP="00052422">
      <w:pPr>
        <w:pStyle w:val="Tableheadingrow"/>
        <w:rPr>
          <w:b w:val="0"/>
          <w:i/>
          <w:sz w:val="18"/>
          <w:lang w:val="en-AU"/>
        </w:rPr>
      </w:pPr>
      <w:r w:rsidRPr="00E4729C">
        <w:rPr>
          <w:b w:val="0"/>
          <w:i/>
          <w:sz w:val="18"/>
          <w:vertAlign w:val="superscript"/>
          <w:lang w:val="en-AU"/>
        </w:rPr>
        <w:t>4</w:t>
      </w:r>
      <w:r w:rsidRPr="00E4729C">
        <w:rPr>
          <w:b w:val="0"/>
          <w:i/>
          <w:sz w:val="18"/>
          <w:lang w:val="en-AU"/>
        </w:rPr>
        <w:t xml:space="preserve"> 50,000 to &lt; 60,000</w:t>
      </w:r>
    </w:p>
    <w:p w:rsidR="00952E33" w:rsidRPr="00E4729C" w:rsidRDefault="00952E33" w:rsidP="00052422">
      <w:pPr>
        <w:pStyle w:val="Tableheadingrow"/>
        <w:rPr>
          <w:b w:val="0"/>
          <w:i/>
          <w:sz w:val="18"/>
          <w:lang w:val="en-AU"/>
        </w:rPr>
      </w:pPr>
      <w:r w:rsidRPr="00E4729C">
        <w:rPr>
          <w:b w:val="0"/>
          <w:i/>
          <w:sz w:val="18"/>
          <w:vertAlign w:val="superscript"/>
          <w:lang w:val="en-AU"/>
        </w:rPr>
        <w:t>5</w:t>
      </w:r>
      <w:r w:rsidRPr="00E4729C">
        <w:rPr>
          <w:b w:val="0"/>
          <w:i/>
          <w:sz w:val="18"/>
          <w:lang w:val="en-AU"/>
        </w:rPr>
        <w:t xml:space="preserve"> 40,000 to &lt; 50,000</w:t>
      </w:r>
    </w:p>
    <w:p w:rsidR="00B32B76" w:rsidRPr="00E4729C" w:rsidRDefault="00B32B76" w:rsidP="00052422">
      <w:pPr>
        <w:pStyle w:val="Tableheadingrow"/>
        <w:rPr>
          <w:b w:val="0"/>
          <w:i/>
          <w:sz w:val="18"/>
          <w:lang w:val="en-AU"/>
        </w:rPr>
      </w:pPr>
      <w:r w:rsidRPr="00E4729C">
        <w:rPr>
          <w:b w:val="0"/>
          <w:i/>
          <w:sz w:val="18"/>
          <w:vertAlign w:val="superscript"/>
          <w:lang w:val="en-AU"/>
        </w:rPr>
        <w:t>6</w:t>
      </w:r>
      <w:r w:rsidRPr="00E4729C">
        <w:rPr>
          <w:b w:val="0"/>
          <w:i/>
          <w:sz w:val="18"/>
          <w:lang w:val="en-AU"/>
        </w:rPr>
        <w:t xml:space="preserve"> 70,000 to &lt; 80,000</w:t>
      </w:r>
    </w:p>
    <w:p w:rsidR="0053776E" w:rsidRPr="00E4729C" w:rsidRDefault="00B32B76" w:rsidP="00052422">
      <w:pPr>
        <w:pStyle w:val="Tableheadingrow"/>
        <w:rPr>
          <w:b w:val="0"/>
          <w:i/>
          <w:sz w:val="18"/>
          <w:lang w:val="en-AU"/>
        </w:rPr>
      </w:pPr>
      <w:r w:rsidRPr="00E4729C">
        <w:rPr>
          <w:b w:val="0"/>
          <w:i/>
          <w:sz w:val="18"/>
          <w:vertAlign w:val="superscript"/>
          <w:lang w:val="en-AU"/>
        </w:rPr>
        <w:t>7</w:t>
      </w:r>
      <w:r w:rsidRPr="00E4729C">
        <w:rPr>
          <w:b w:val="0"/>
          <w:i/>
          <w:sz w:val="18"/>
          <w:lang w:val="en-AU"/>
        </w:rPr>
        <w:t xml:space="preserve"> 30,000 to &lt; 40,000</w:t>
      </w:r>
    </w:p>
    <w:p w:rsidR="00C350D7" w:rsidRPr="00E4729C" w:rsidRDefault="00C350D7" w:rsidP="00052422">
      <w:pPr>
        <w:pStyle w:val="Tableheadingrow"/>
        <w:rPr>
          <w:b w:val="0"/>
          <w:i/>
          <w:sz w:val="18"/>
          <w:lang w:val="en-AU"/>
        </w:rPr>
      </w:pPr>
      <w:r w:rsidRPr="00E4729C">
        <w:rPr>
          <w:b w:val="0"/>
          <w:i/>
          <w:sz w:val="18"/>
          <w:vertAlign w:val="superscript"/>
          <w:lang w:val="en-AU"/>
        </w:rPr>
        <w:t>8</w:t>
      </w:r>
      <w:r w:rsidRPr="00E4729C">
        <w:rPr>
          <w:b w:val="0"/>
          <w:i/>
          <w:sz w:val="18"/>
          <w:lang w:val="en-AU"/>
        </w:rPr>
        <w:t xml:space="preserve"> 20,000 to &lt; 30,000</w:t>
      </w:r>
    </w:p>
    <w:p w:rsidR="00F320F3" w:rsidRPr="00E4729C" w:rsidRDefault="00F320F3" w:rsidP="00052422">
      <w:pPr>
        <w:pStyle w:val="Tableheadingrow"/>
        <w:rPr>
          <w:b w:val="0"/>
          <w:i/>
          <w:sz w:val="18"/>
          <w:lang w:val="en-AU"/>
        </w:rPr>
      </w:pPr>
      <w:r w:rsidRPr="00E4729C">
        <w:rPr>
          <w:b w:val="0"/>
          <w:i/>
          <w:sz w:val="18"/>
          <w:vertAlign w:val="superscript"/>
          <w:lang w:val="en-AU"/>
        </w:rPr>
        <w:t>9</w:t>
      </w:r>
      <w:r w:rsidRPr="00E4729C">
        <w:rPr>
          <w:b w:val="0"/>
          <w:i/>
          <w:sz w:val="18"/>
          <w:lang w:val="en-AU"/>
        </w:rPr>
        <w:t xml:space="preserve"> 500 to &lt; 5,000</w:t>
      </w:r>
    </w:p>
    <w:p w:rsidR="009F3189" w:rsidRPr="00E4729C" w:rsidRDefault="009F3189" w:rsidP="00052422">
      <w:pPr>
        <w:pStyle w:val="Tableheadingrow"/>
        <w:rPr>
          <w:b w:val="0"/>
          <w:i/>
          <w:sz w:val="18"/>
          <w:lang w:val="en-AU"/>
        </w:rPr>
      </w:pPr>
      <w:r w:rsidRPr="00E4729C">
        <w:rPr>
          <w:b w:val="0"/>
          <w:i/>
          <w:sz w:val="18"/>
          <w:vertAlign w:val="superscript"/>
          <w:lang w:val="en-AU"/>
        </w:rPr>
        <w:t xml:space="preserve">10 </w:t>
      </w:r>
      <w:r w:rsidRPr="00E4729C">
        <w:rPr>
          <w:b w:val="0"/>
          <w:i/>
          <w:sz w:val="18"/>
          <w:lang w:val="en-AU"/>
        </w:rPr>
        <w:t>$0 to &lt; $10 million</w:t>
      </w:r>
    </w:p>
    <w:p w:rsidR="0053776E" w:rsidRPr="0053776E" w:rsidRDefault="0053776E" w:rsidP="00052422">
      <w:pPr>
        <w:pStyle w:val="Tableheadingrow"/>
        <w:rPr>
          <w:b w:val="0"/>
          <w:sz w:val="18"/>
          <w:lang w:val="en-AU"/>
        </w:rPr>
      </w:pPr>
    </w:p>
    <w:p w:rsidR="000902D9" w:rsidRPr="00E148FC" w:rsidRDefault="000902D9" w:rsidP="00D244B6">
      <w:pPr>
        <w:pStyle w:val="ExecSumBodyText"/>
      </w:pPr>
      <w:r w:rsidRPr="00E148FC">
        <w:t xml:space="preserve">The total cost to the PBS/RPBS of listing </w:t>
      </w:r>
      <w:r w:rsidR="0080008B" w:rsidRPr="00E148FC">
        <w:t>semaglutide</w:t>
      </w:r>
      <w:r w:rsidRPr="00E148FC">
        <w:t xml:space="preserve"> was estimated </w:t>
      </w:r>
      <w:r w:rsidR="00A05C32" w:rsidRPr="00E148FC">
        <w:t>to be</w:t>
      </w:r>
      <w:r w:rsidR="00114C50" w:rsidRPr="00E148FC">
        <w:t xml:space="preserve"> up to $</w:t>
      </w:r>
      <w:r w:rsidR="00E4729C">
        <w:t>0 to &lt; $10</w:t>
      </w:r>
      <w:r w:rsidR="00114C50" w:rsidRPr="00E148FC">
        <w:t xml:space="preserve"> million in Year 3, declining to </w:t>
      </w:r>
      <w:r w:rsidRPr="00E148FC">
        <w:t>$</w:t>
      </w:r>
      <w:r w:rsidR="00E4729C">
        <w:t>0 to &lt; $10</w:t>
      </w:r>
      <w:r w:rsidR="0080008B" w:rsidRPr="00E148FC">
        <w:t xml:space="preserve"> million</w:t>
      </w:r>
      <w:r w:rsidRPr="00E148FC">
        <w:t xml:space="preserve"> in Year 6, and a</w:t>
      </w:r>
      <w:r w:rsidR="0080008B" w:rsidRPr="00E148FC">
        <w:t xml:space="preserve"> total of $</w:t>
      </w:r>
      <w:r w:rsidR="00E4729C">
        <w:t>0 to &lt; $10</w:t>
      </w:r>
      <w:r w:rsidR="0080008B" w:rsidRPr="00E148FC">
        <w:t xml:space="preserve"> million over the first 6 years of listing. The submission stated that the positive net cost of listing is based on the proposed published price of semaglutide, but with the </w:t>
      </w:r>
      <w:r w:rsidR="0080008B" w:rsidRPr="00E148FC">
        <w:lastRenderedPageBreak/>
        <w:t xml:space="preserve">proposed effective price the same as the (as yet unknown) effective price for dulaglutide in this indication, the net cost to government will be zero. </w:t>
      </w:r>
    </w:p>
    <w:p w:rsidR="000C6ACD" w:rsidRPr="00E148FC" w:rsidRDefault="007B593C" w:rsidP="000C6ACD">
      <w:pPr>
        <w:pStyle w:val="ExecSumBodyText"/>
      </w:pPr>
      <w:r w:rsidRPr="00E148FC">
        <w:t>The evaluation considered that the e</w:t>
      </w:r>
      <w:r w:rsidR="000C6ACD" w:rsidRPr="00E148FC">
        <w:t>stimates of utilisation are likely to be underestimated for the following reasons:</w:t>
      </w:r>
    </w:p>
    <w:p w:rsidR="000C6ACD" w:rsidRPr="00E148FC" w:rsidRDefault="000C6ACD" w:rsidP="000C6ACD">
      <w:pPr>
        <w:pStyle w:val="Bullet1"/>
        <w:spacing w:before="0" w:after="0"/>
        <w:ind w:left="993" w:hanging="284"/>
        <w:jc w:val="both"/>
        <w:rPr>
          <w:sz w:val="24"/>
          <w:szCs w:val="24"/>
        </w:rPr>
      </w:pPr>
      <w:r w:rsidRPr="00E148FC">
        <w:rPr>
          <w:sz w:val="24"/>
          <w:szCs w:val="24"/>
        </w:rPr>
        <w:t>It is likely that the negative growth for exenatide in 2018-2019 depicted in the 10% Medicare sample analysis is due to rapid uptake of dulaglutide with insulin</w:t>
      </w:r>
      <w:r w:rsidR="00DE401A" w:rsidRPr="00E148FC">
        <w:rPr>
          <w:sz w:val="24"/>
          <w:szCs w:val="24"/>
        </w:rPr>
        <w:t xml:space="preserve"> (</w:t>
      </w:r>
      <w:r w:rsidR="00DE401A" w:rsidRPr="00E148FC">
        <w:rPr>
          <w:rFonts w:cs="Calibri"/>
          <w:sz w:val="24"/>
          <w:szCs w:val="24"/>
        </w:rPr>
        <w:t>±</w:t>
      </w:r>
      <w:r w:rsidR="00DE401A" w:rsidRPr="00E148FC">
        <w:rPr>
          <w:sz w:val="24"/>
          <w:szCs w:val="24"/>
        </w:rPr>
        <w:t xml:space="preserve"> metformin)</w:t>
      </w:r>
      <w:r w:rsidRPr="00E148FC">
        <w:rPr>
          <w:sz w:val="24"/>
          <w:szCs w:val="24"/>
        </w:rPr>
        <w:t xml:space="preserve"> captured in the same analysis. Using the dispensed volumes of dulaglutide in conjunction with insulin reported in the analysis (multiplied by ten to extrapolate to the entire population), there were </w:t>
      </w:r>
      <w:r w:rsidR="00180D82">
        <w:rPr>
          <w:sz w:val="24"/>
          <w:szCs w:val="24"/>
        </w:rPr>
        <w:t>10,000 to &lt; 20,000</w:t>
      </w:r>
      <w:r w:rsidRPr="00E148FC">
        <w:rPr>
          <w:sz w:val="24"/>
          <w:szCs w:val="24"/>
        </w:rPr>
        <w:t xml:space="preserve"> dulaglutide scripts dispensed in 2018, increasing considerably to </w:t>
      </w:r>
      <w:r w:rsidR="00C069D4">
        <w:rPr>
          <w:sz w:val="24"/>
          <w:szCs w:val="24"/>
        </w:rPr>
        <w:t>70,000 to &lt; 80,000</w:t>
      </w:r>
      <w:r w:rsidRPr="00E148FC">
        <w:rPr>
          <w:sz w:val="24"/>
          <w:szCs w:val="24"/>
        </w:rPr>
        <w:t xml:space="preserve"> scripts dispensed in 2019 (Table 4.1, Attachment 8 of the submission). In the same time period</w:t>
      </w:r>
      <w:r w:rsidR="006B3557" w:rsidRPr="00E148FC">
        <w:rPr>
          <w:sz w:val="24"/>
          <w:szCs w:val="24"/>
        </w:rPr>
        <w:t>,</w:t>
      </w:r>
      <w:r w:rsidRPr="00E148FC">
        <w:rPr>
          <w:sz w:val="24"/>
          <w:szCs w:val="24"/>
        </w:rPr>
        <w:t xml:space="preserve"> the scripts for exenatide twice daily decreased from </w:t>
      </w:r>
      <w:r w:rsidR="00C069D4">
        <w:rPr>
          <w:sz w:val="24"/>
          <w:szCs w:val="24"/>
        </w:rPr>
        <w:t>80,000 to &lt; 90,000</w:t>
      </w:r>
      <w:r w:rsidRPr="00E148FC">
        <w:rPr>
          <w:sz w:val="24"/>
          <w:szCs w:val="24"/>
        </w:rPr>
        <w:t xml:space="preserve"> to </w:t>
      </w:r>
      <w:r w:rsidR="00C069D4">
        <w:rPr>
          <w:sz w:val="24"/>
          <w:szCs w:val="24"/>
        </w:rPr>
        <w:t>80,000 to &lt; 90,000</w:t>
      </w:r>
      <w:r w:rsidRPr="00E148FC">
        <w:rPr>
          <w:sz w:val="24"/>
          <w:szCs w:val="24"/>
        </w:rPr>
        <w:t xml:space="preserve">; and for exenatide once weekly decreased from </w:t>
      </w:r>
      <w:r w:rsidR="00C069D4">
        <w:rPr>
          <w:sz w:val="24"/>
          <w:szCs w:val="24"/>
        </w:rPr>
        <w:t>50,000 to &lt; 60,000</w:t>
      </w:r>
      <w:r w:rsidRPr="00E148FC">
        <w:rPr>
          <w:sz w:val="24"/>
          <w:szCs w:val="24"/>
        </w:rPr>
        <w:t xml:space="preserve"> to </w:t>
      </w:r>
      <w:r w:rsidR="00C069D4">
        <w:rPr>
          <w:sz w:val="24"/>
          <w:szCs w:val="24"/>
        </w:rPr>
        <w:t>30,000 to &lt; 40,000</w:t>
      </w:r>
      <w:r w:rsidRPr="00E148FC">
        <w:rPr>
          <w:sz w:val="24"/>
          <w:szCs w:val="24"/>
        </w:rPr>
        <w:t xml:space="preserve"> scripts. </w:t>
      </w:r>
      <w:r w:rsidR="006B3557" w:rsidRPr="00E148FC">
        <w:rPr>
          <w:sz w:val="24"/>
          <w:szCs w:val="24"/>
        </w:rPr>
        <w:t>The PBAC noted t</w:t>
      </w:r>
      <w:r w:rsidRPr="00E148FC">
        <w:rPr>
          <w:sz w:val="24"/>
          <w:szCs w:val="24"/>
        </w:rPr>
        <w:t>his rapid uptake of dulaglutide was not accounted for in the submission’s projections of the GLP-1 RA with insulin market.</w:t>
      </w:r>
      <w:r w:rsidR="00EF761B" w:rsidRPr="00E148FC">
        <w:rPr>
          <w:sz w:val="24"/>
          <w:szCs w:val="24"/>
        </w:rPr>
        <w:t xml:space="preserve"> The addition of newer agents is likely to contribute to overall market growth.</w:t>
      </w:r>
    </w:p>
    <w:p w:rsidR="000C6ACD" w:rsidRPr="00E148FC" w:rsidRDefault="000C6ACD" w:rsidP="000C6ACD">
      <w:pPr>
        <w:pStyle w:val="Bullet1"/>
        <w:spacing w:before="0" w:after="0"/>
        <w:ind w:left="993" w:hanging="284"/>
        <w:jc w:val="both"/>
        <w:rPr>
          <w:sz w:val="24"/>
          <w:szCs w:val="24"/>
        </w:rPr>
      </w:pPr>
      <w:r w:rsidRPr="00E148FC">
        <w:rPr>
          <w:sz w:val="24"/>
          <w:szCs w:val="24"/>
        </w:rPr>
        <w:t xml:space="preserve">The proposed restriction allows use of semaglutide with insulin formulations other than insulin glargine, which were not included in the estimation of insulin-treated </w:t>
      </w:r>
      <w:r w:rsidR="00CB4E4C" w:rsidRPr="00E148FC">
        <w:rPr>
          <w:sz w:val="24"/>
          <w:szCs w:val="24"/>
        </w:rPr>
        <w:t>T2DM</w:t>
      </w:r>
      <w:r w:rsidRPr="00E148FC">
        <w:rPr>
          <w:sz w:val="24"/>
          <w:szCs w:val="24"/>
        </w:rPr>
        <w:t xml:space="preserve"> patients in the</w:t>
      </w:r>
      <w:r w:rsidR="006B3557" w:rsidRPr="00E148FC">
        <w:rPr>
          <w:sz w:val="24"/>
          <w:szCs w:val="24"/>
        </w:rPr>
        <w:t xml:space="preserve"> 10% Medicare sample analysis. </w:t>
      </w:r>
      <w:r w:rsidRPr="00E148FC">
        <w:rPr>
          <w:sz w:val="24"/>
          <w:szCs w:val="24"/>
        </w:rPr>
        <w:t xml:space="preserve">The submission’s estimates included </w:t>
      </w:r>
      <w:r w:rsidR="00C069D4">
        <w:rPr>
          <w:sz w:val="24"/>
          <w:szCs w:val="24"/>
        </w:rPr>
        <w:t>200,000 to &lt; 300,000</w:t>
      </w:r>
      <w:r w:rsidRPr="00E148FC">
        <w:rPr>
          <w:sz w:val="24"/>
          <w:szCs w:val="24"/>
        </w:rPr>
        <w:t xml:space="preserve"> patients with </w:t>
      </w:r>
      <w:r w:rsidR="00CB4E4C" w:rsidRPr="00E148FC">
        <w:rPr>
          <w:sz w:val="24"/>
          <w:szCs w:val="24"/>
        </w:rPr>
        <w:t>T2DM</w:t>
      </w:r>
      <w:r w:rsidRPr="00E148FC">
        <w:rPr>
          <w:sz w:val="24"/>
          <w:szCs w:val="24"/>
        </w:rPr>
        <w:t xml:space="preserve"> treated with insulin glargine at least once between 2011 and 2019. However, there were </w:t>
      </w:r>
      <w:r w:rsidR="00C069D4">
        <w:rPr>
          <w:sz w:val="24"/>
          <w:szCs w:val="24"/>
        </w:rPr>
        <w:t>200,000 to &lt; 300,000</w:t>
      </w:r>
      <w:r w:rsidRPr="00E148FC">
        <w:rPr>
          <w:sz w:val="24"/>
          <w:szCs w:val="24"/>
        </w:rPr>
        <w:t xml:space="preserve"> patients with </w:t>
      </w:r>
      <w:r w:rsidR="00CB4E4C" w:rsidRPr="00E148FC">
        <w:rPr>
          <w:sz w:val="24"/>
          <w:szCs w:val="24"/>
        </w:rPr>
        <w:t>T2DM</w:t>
      </w:r>
      <w:r w:rsidRPr="00E148FC">
        <w:rPr>
          <w:sz w:val="24"/>
          <w:szCs w:val="24"/>
        </w:rPr>
        <w:t xml:space="preserve"> registered with the National Diabetes Services Scheme (NDSS) as insulin users in 2020 (Diabetes data snapshots, September 2020</w:t>
      </w:r>
      <w:r w:rsidRPr="00E148FC">
        <w:rPr>
          <w:sz w:val="24"/>
          <w:szCs w:val="24"/>
          <w:vertAlign w:val="superscript"/>
        </w:rPr>
        <w:footnoteReference w:id="3"/>
      </w:r>
      <w:r w:rsidRPr="00E148FC">
        <w:rPr>
          <w:sz w:val="24"/>
          <w:szCs w:val="24"/>
        </w:rPr>
        <w:t xml:space="preserve">). This indicates the potential for greater patient numbers due to higher than predicted number of eligible patients with </w:t>
      </w:r>
      <w:r w:rsidR="00CB4E4C" w:rsidRPr="00E148FC">
        <w:rPr>
          <w:sz w:val="24"/>
          <w:szCs w:val="24"/>
        </w:rPr>
        <w:t>T2DM</w:t>
      </w:r>
      <w:r w:rsidR="00E646DA" w:rsidRPr="00E148FC">
        <w:rPr>
          <w:sz w:val="24"/>
          <w:szCs w:val="24"/>
        </w:rPr>
        <w:t xml:space="preserve"> </w:t>
      </w:r>
      <w:r w:rsidRPr="00E148FC">
        <w:rPr>
          <w:sz w:val="24"/>
          <w:szCs w:val="24"/>
        </w:rPr>
        <w:t>where insulin treatment is necessary.</w:t>
      </w:r>
    </w:p>
    <w:p w:rsidR="000C6ACD" w:rsidRPr="00E148FC" w:rsidRDefault="000C6ACD" w:rsidP="000C6ACD">
      <w:pPr>
        <w:pStyle w:val="Bullet1"/>
        <w:spacing w:before="0" w:after="0"/>
        <w:ind w:left="993" w:hanging="284"/>
        <w:jc w:val="both"/>
        <w:rPr>
          <w:sz w:val="24"/>
          <w:szCs w:val="24"/>
        </w:rPr>
      </w:pPr>
      <w:r w:rsidRPr="00E148FC">
        <w:rPr>
          <w:sz w:val="24"/>
          <w:szCs w:val="24"/>
        </w:rPr>
        <w:t>Uptake rates of semaglutide from the exenatide twice daily market were assumptions, and likely underestimates of uptake in practice, given the</w:t>
      </w:r>
      <w:r w:rsidR="00E646DA" w:rsidRPr="00E148FC">
        <w:rPr>
          <w:sz w:val="24"/>
          <w:szCs w:val="24"/>
        </w:rPr>
        <w:t xml:space="preserve"> </w:t>
      </w:r>
      <w:r w:rsidRPr="00E148FC">
        <w:rPr>
          <w:sz w:val="24"/>
          <w:szCs w:val="24"/>
        </w:rPr>
        <w:t xml:space="preserve"> once weekly versus twice daily dosing schedule. However, it is difficult to ascertain accurate estimates of uptake given shifting market dynamics in the GLP-1 RA market.</w:t>
      </w:r>
    </w:p>
    <w:p w:rsidR="000C6ACD" w:rsidRPr="00E148FC" w:rsidRDefault="000C6ACD" w:rsidP="000C6ACD">
      <w:pPr>
        <w:pStyle w:val="Bullet1"/>
        <w:spacing w:before="0" w:after="0"/>
        <w:ind w:left="993" w:hanging="284"/>
        <w:jc w:val="both"/>
        <w:rPr>
          <w:sz w:val="24"/>
          <w:szCs w:val="24"/>
        </w:rPr>
      </w:pPr>
      <w:r w:rsidRPr="00E148FC">
        <w:rPr>
          <w:sz w:val="24"/>
          <w:szCs w:val="24"/>
        </w:rPr>
        <w:t>Uptake rates of semaglutide from the exenatide once weekly market were low, with the submission arguing that there would be no advantage to swap from one once-weekly formulation to another. However, it is likely that doctors initiating treatment with a GLP-1 RA in combination with insulin will choose a PBS-listed once-weekly treatment.</w:t>
      </w:r>
    </w:p>
    <w:p w:rsidR="00AD214D" w:rsidRPr="00E148FC" w:rsidRDefault="00F93D6C" w:rsidP="000C6ACD">
      <w:pPr>
        <w:pStyle w:val="Bullet1"/>
        <w:spacing w:before="0"/>
        <w:ind w:left="993" w:hanging="284"/>
        <w:jc w:val="both"/>
        <w:rPr>
          <w:sz w:val="24"/>
          <w:szCs w:val="24"/>
        </w:rPr>
      </w:pPr>
      <w:r w:rsidRPr="00E148FC">
        <w:rPr>
          <w:sz w:val="24"/>
          <w:szCs w:val="24"/>
        </w:rPr>
        <w:t>The submission</w:t>
      </w:r>
      <w:r w:rsidR="000C6ACD" w:rsidRPr="00E148FC">
        <w:rPr>
          <w:sz w:val="24"/>
          <w:szCs w:val="24"/>
        </w:rPr>
        <w:t xml:space="preserve"> assum</w:t>
      </w:r>
      <w:r w:rsidRPr="00E148FC">
        <w:rPr>
          <w:sz w:val="24"/>
          <w:szCs w:val="24"/>
        </w:rPr>
        <w:t>ed</w:t>
      </w:r>
      <w:r w:rsidR="000C6ACD" w:rsidRPr="00E148FC">
        <w:rPr>
          <w:sz w:val="24"/>
          <w:szCs w:val="24"/>
        </w:rPr>
        <w:t xml:space="preserve"> that compliance will not be substantially different between semaglutide and the substituted therapy, </w:t>
      </w:r>
      <w:r w:rsidRPr="00E148FC">
        <w:rPr>
          <w:sz w:val="24"/>
          <w:szCs w:val="24"/>
        </w:rPr>
        <w:t>but</w:t>
      </w:r>
      <w:r w:rsidR="000C6ACD" w:rsidRPr="00E148FC">
        <w:rPr>
          <w:sz w:val="24"/>
          <w:szCs w:val="24"/>
        </w:rPr>
        <w:t xml:space="preserve"> it is likely that </w:t>
      </w:r>
      <w:r w:rsidRPr="00E148FC">
        <w:rPr>
          <w:sz w:val="24"/>
          <w:szCs w:val="24"/>
        </w:rPr>
        <w:t xml:space="preserve">there will be </w:t>
      </w:r>
      <w:r w:rsidRPr="00E148FC">
        <w:rPr>
          <w:sz w:val="24"/>
          <w:szCs w:val="24"/>
        </w:rPr>
        <w:lastRenderedPageBreak/>
        <w:t xml:space="preserve">greater </w:t>
      </w:r>
      <w:r w:rsidR="000C6ACD" w:rsidRPr="00E148FC">
        <w:rPr>
          <w:sz w:val="24"/>
          <w:szCs w:val="24"/>
        </w:rPr>
        <w:t xml:space="preserve">compliance </w:t>
      </w:r>
      <w:r w:rsidRPr="00E148FC">
        <w:rPr>
          <w:sz w:val="24"/>
          <w:szCs w:val="24"/>
        </w:rPr>
        <w:t>with</w:t>
      </w:r>
      <w:r w:rsidR="000C6ACD" w:rsidRPr="00E148FC">
        <w:rPr>
          <w:sz w:val="24"/>
          <w:szCs w:val="24"/>
        </w:rPr>
        <w:t xml:space="preserve"> once weekly </w:t>
      </w:r>
      <w:r w:rsidRPr="00E148FC">
        <w:rPr>
          <w:sz w:val="24"/>
          <w:szCs w:val="24"/>
        </w:rPr>
        <w:t xml:space="preserve">injections for </w:t>
      </w:r>
      <w:r w:rsidR="000C6ACD" w:rsidRPr="00E148FC">
        <w:rPr>
          <w:sz w:val="24"/>
          <w:szCs w:val="24"/>
        </w:rPr>
        <w:t>semaglutide over twice-daily</w:t>
      </w:r>
      <w:r w:rsidRPr="00E148FC">
        <w:rPr>
          <w:sz w:val="24"/>
          <w:szCs w:val="24"/>
        </w:rPr>
        <w:t xml:space="preserve"> injections for</w:t>
      </w:r>
      <w:r w:rsidR="000C6ACD" w:rsidRPr="00E148FC">
        <w:rPr>
          <w:sz w:val="24"/>
          <w:szCs w:val="24"/>
        </w:rPr>
        <w:t xml:space="preserve"> exenatide.</w:t>
      </w:r>
    </w:p>
    <w:p w:rsidR="00AD214D" w:rsidRPr="00E148FC" w:rsidRDefault="00AD214D" w:rsidP="00AD214D">
      <w:pPr>
        <w:pStyle w:val="ExecSumBodyText"/>
        <w:spacing w:after="0"/>
      </w:pPr>
      <w:r w:rsidRPr="00E148FC">
        <w:t>The submission included a number of sensitivity analyses, including:</w:t>
      </w:r>
    </w:p>
    <w:p w:rsidR="00AD214D" w:rsidRPr="00E148FC" w:rsidRDefault="00AD214D" w:rsidP="000C6ACD">
      <w:pPr>
        <w:pStyle w:val="Bullet1"/>
        <w:spacing w:before="0" w:after="0"/>
        <w:ind w:left="993" w:hanging="284"/>
        <w:jc w:val="both"/>
        <w:rPr>
          <w:sz w:val="24"/>
          <w:szCs w:val="24"/>
        </w:rPr>
      </w:pPr>
      <w:r w:rsidRPr="00E148FC">
        <w:rPr>
          <w:sz w:val="24"/>
          <w:szCs w:val="24"/>
        </w:rPr>
        <w:t>Substitution rates with semaglutide (doubled base case rates, including 100% substitution of exenatide twice daily from year 3 onwards)</w:t>
      </w:r>
    </w:p>
    <w:p w:rsidR="00AD214D" w:rsidRPr="00E148FC" w:rsidRDefault="00AD214D" w:rsidP="000C6ACD">
      <w:pPr>
        <w:pStyle w:val="Bullet1"/>
        <w:spacing w:before="0" w:after="0"/>
        <w:ind w:left="993" w:hanging="284"/>
        <w:jc w:val="both"/>
        <w:rPr>
          <w:sz w:val="24"/>
          <w:szCs w:val="24"/>
        </w:rPr>
      </w:pPr>
      <w:r w:rsidRPr="00E148FC">
        <w:rPr>
          <w:sz w:val="24"/>
          <w:szCs w:val="24"/>
        </w:rPr>
        <w:t>Growth rates for current GLP-1 RA market (based on exenatide twice daily/once weekly growth from 2018-19; or previous 5 years from 2014-2019)</w:t>
      </w:r>
    </w:p>
    <w:p w:rsidR="00AD214D" w:rsidRPr="00E148FC" w:rsidRDefault="00AD214D" w:rsidP="000C6ACD">
      <w:pPr>
        <w:pStyle w:val="Bullet1"/>
        <w:spacing w:before="0"/>
        <w:ind w:left="993" w:hanging="284"/>
        <w:jc w:val="both"/>
        <w:rPr>
          <w:sz w:val="24"/>
          <w:szCs w:val="24"/>
        </w:rPr>
      </w:pPr>
      <w:r w:rsidRPr="00E148FC">
        <w:rPr>
          <w:sz w:val="24"/>
          <w:szCs w:val="24"/>
        </w:rPr>
        <w:t>Substitution of a range of other (non-GLP-1 RA) diabetic medicines used in combination with basal insulin (1% in year 1 rising to 6% in year 6).</w:t>
      </w:r>
    </w:p>
    <w:p w:rsidR="00D244B6" w:rsidRPr="00E148FC" w:rsidRDefault="00AD214D" w:rsidP="00AD214D">
      <w:pPr>
        <w:pStyle w:val="ExecSumBodyText"/>
        <w:rPr>
          <w:color w:val="0066FF"/>
        </w:rPr>
      </w:pPr>
      <w:r w:rsidRPr="00E148FC">
        <w:t>The submission’s estimates were most sensitive to the substitution of other non-GLP-1 RA diabetes medicines, with 6% uptake from these medicines in Year 6 of listing resulting in a net cost to Government of $</w:t>
      </w:r>
      <w:r w:rsidR="00E4729C">
        <w:t>20</w:t>
      </w:r>
      <w:r w:rsidR="0000737E">
        <w:t xml:space="preserve"> million</w:t>
      </w:r>
      <w:r w:rsidR="00E4729C">
        <w:t xml:space="preserve"> to &lt; $30</w:t>
      </w:r>
      <w:r w:rsidRPr="00E148FC">
        <w:t xml:space="preserve"> million, compared to $</w:t>
      </w:r>
      <w:r w:rsidR="00E4729C">
        <w:t>0 to &lt; $10</w:t>
      </w:r>
      <w:r w:rsidRPr="00E148FC">
        <w:t xml:space="preserve"> million in the base case (based on the published DPMQ for semaglutide).</w:t>
      </w:r>
    </w:p>
    <w:p w:rsidR="00576972" w:rsidRPr="00E148FC" w:rsidRDefault="00576972" w:rsidP="00606FBA">
      <w:pPr>
        <w:pStyle w:val="3-SubsectionHeading"/>
      </w:pPr>
      <w:bookmarkStart w:id="33" w:name="_Toc22897648"/>
      <w:bookmarkStart w:id="34" w:name="_Toc62027977"/>
      <w:r w:rsidRPr="00E148FC">
        <w:t>Quality Use of Medicines</w:t>
      </w:r>
      <w:bookmarkEnd w:id="33"/>
      <w:bookmarkEnd w:id="34"/>
    </w:p>
    <w:p w:rsidR="00052422" w:rsidRPr="00E148FC" w:rsidRDefault="00052422" w:rsidP="00052422">
      <w:pPr>
        <w:pStyle w:val="ExecSumBodyText"/>
      </w:pPr>
      <w:r w:rsidRPr="00E148FC">
        <w:t>The sponsor did not provide any information on quality use of medicines factors. The product information for semaglutide and additional post-market surveillance safety data include special warnings and precautions with semaglutide due to its safety profile, particularly surrounding the management of gastrointestinal adverse events and diabetic retinopathy.</w:t>
      </w:r>
    </w:p>
    <w:p w:rsidR="0052495F" w:rsidRPr="00E148FC" w:rsidRDefault="0052495F" w:rsidP="0052495F">
      <w:pPr>
        <w:ind w:left="720"/>
        <w:rPr>
          <w:rFonts w:eastAsia="Calibri"/>
          <w:i/>
        </w:rPr>
      </w:pPr>
      <w:r w:rsidRPr="00E148FC">
        <w:rPr>
          <w:i/>
        </w:rPr>
        <w:t>For more detail on PBAC’s view, see section 7 PBAC outcome.</w:t>
      </w:r>
    </w:p>
    <w:p w:rsidR="0052495F" w:rsidRPr="00E148FC" w:rsidRDefault="0052495F" w:rsidP="0052495F">
      <w:pPr>
        <w:pStyle w:val="2-SectionHeading"/>
        <w:numPr>
          <w:ilvl w:val="0"/>
          <w:numId w:val="1"/>
        </w:numPr>
      </w:pPr>
      <w:r w:rsidRPr="00E148FC">
        <w:t>PBAC Outcome</w:t>
      </w:r>
    </w:p>
    <w:p w:rsidR="00F11211" w:rsidRPr="00E148FC" w:rsidRDefault="00F11211" w:rsidP="00757CC7">
      <w:pPr>
        <w:pStyle w:val="3Bodytext"/>
        <w:numPr>
          <w:ilvl w:val="1"/>
          <w:numId w:val="1"/>
        </w:numPr>
        <w:jc w:val="both"/>
      </w:pPr>
      <w:r w:rsidRPr="00E148FC">
        <w:t xml:space="preserve">The PBAC recommended extending the existing listing </w:t>
      </w:r>
      <w:r w:rsidR="00757CC7" w:rsidRPr="00E148FC">
        <w:rPr>
          <w:snapToGrid w:val="0"/>
        </w:rPr>
        <w:t>of semaglutide</w:t>
      </w:r>
      <w:r w:rsidRPr="00E148FC">
        <w:rPr>
          <w:snapToGrid w:val="0"/>
        </w:rPr>
        <w:t xml:space="preserve"> to include the treatment of </w:t>
      </w:r>
      <w:r w:rsidR="00757CC7" w:rsidRPr="00E148FC">
        <w:rPr>
          <w:snapToGrid w:val="0"/>
        </w:rPr>
        <w:t>Type 2 Diabetes Mellitus (</w:t>
      </w:r>
      <w:r w:rsidRPr="00E148FC">
        <w:rPr>
          <w:snapToGrid w:val="0"/>
        </w:rPr>
        <w:t>T2DM</w:t>
      </w:r>
      <w:r w:rsidR="00757CC7" w:rsidRPr="00E148FC">
        <w:rPr>
          <w:snapToGrid w:val="0"/>
        </w:rPr>
        <w:t>)</w:t>
      </w:r>
      <w:r w:rsidRPr="00E148FC">
        <w:rPr>
          <w:snapToGrid w:val="0"/>
        </w:rPr>
        <w:t xml:space="preserve"> in combination with insulin and metformin unless contraindicated or not tolerated. </w:t>
      </w:r>
      <w:r w:rsidRPr="00E148FC">
        <w:rPr>
          <w:bCs/>
          <w:snapToGrid w:val="0"/>
        </w:rPr>
        <w:t>The PBAC’s recommendation for listing was based on, among other matters, its assessment, that the c</w:t>
      </w:r>
      <w:r w:rsidR="003C271C" w:rsidRPr="00E148FC">
        <w:rPr>
          <w:bCs/>
          <w:snapToGrid w:val="0"/>
        </w:rPr>
        <w:t>ost-effectiveness of semaglutide</w:t>
      </w:r>
      <w:r w:rsidRPr="00E148FC">
        <w:rPr>
          <w:rFonts w:eastAsia="Times New Roman" w:cs="Arial"/>
          <w:snapToGrid w:val="0"/>
          <w:szCs w:val="24"/>
        </w:rPr>
        <w:t xml:space="preserve"> </w:t>
      </w:r>
      <w:r w:rsidR="009C0426" w:rsidRPr="00E148FC">
        <w:rPr>
          <w:rFonts w:eastAsia="Times New Roman" w:cs="Arial"/>
          <w:snapToGrid w:val="0"/>
          <w:szCs w:val="24"/>
        </w:rPr>
        <w:t>(both 0.5 mg</w:t>
      </w:r>
      <w:r w:rsidR="00080EDB" w:rsidRPr="00E148FC">
        <w:rPr>
          <w:rFonts w:eastAsia="Times New Roman" w:cs="Arial"/>
          <w:snapToGrid w:val="0"/>
          <w:szCs w:val="24"/>
        </w:rPr>
        <w:t xml:space="preserve"> once weekly</w:t>
      </w:r>
      <w:r w:rsidR="009C0426" w:rsidRPr="00E148FC">
        <w:rPr>
          <w:rFonts w:eastAsia="Times New Roman" w:cs="Arial"/>
          <w:snapToGrid w:val="0"/>
          <w:szCs w:val="24"/>
        </w:rPr>
        <w:t xml:space="preserve"> and 1.0 mg</w:t>
      </w:r>
      <w:r w:rsidR="00080EDB" w:rsidRPr="00E148FC">
        <w:rPr>
          <w:rFonts w:eastAsia="Times New Roman" w:cs="Arial"/>
          <w:snapToGrid w:val="0"/>
          <w:szCs w:val="24"/>
        </w:rPr>
        <w:t xml:space="preserve"> once weekly</w:t>
      </w:r>
      <w:r w:rsidR="009C0426" w:rsidRPr="00E148FC">
        <w:rPr>
          <w:rFonts w:eastAsia="Times New Roman" w:cs="Arial"/>
          <w:snapToGrid w:val="0"/>
          <w:szCs w:val="24"/>
        </w:rPr>
        <w:t xml:space="preserve">) </w:t>
      </w:r>
      <w:r w:rsidRPr="00E148FC">
        <w:rPr>
          <w:bCs/>
          <w:snapToGrid w:val="0"/>
        </w:rPr>
        <w:t xml:space="preserve">under the requested restriction would be acceptable if it </w:t>
      </w:r>
      <w:r w:rsidR="00427AA7" w:rsidRPr="00E148FC">
        <w:rPr>
          <w:bCs/>
          <w:snapToGrid w:val="0"/>
        </w:rPr>
        <w:t xml:space="preserve">was </w:t>
      </w:r>
      <w:r w:rsidR="003C271C" w:rsidRPr="00E148FC">
        <w:rPr>
          <w:bCs/>
          <w:snapToGrid w:val="0"/>
        </w:rPr>
        <w:t>cost-minimised against dulaglutide</w:t>
      </w:r>
      <w:r w:rsidR="00331CB7" w:rsidRPr="00E148FC">
        <w:rPr>
          <w:bCs/>
          <w:snapToGrid w:val="0"/>
        </w:rPr>
        <w:t xml:space="preserve"> 1.5 mg once weekly. </w:t>
      </w:r>
    </w:p>
    <w:p w:rsidR="0052495F" w:rsidRPr="00E148FC" w:rsidRDefault="009C0426" w:rsidP="0052495F">
      <w:pPr>
        <w:widowControl w:val="0"/>
        <w:numPr>
          <w:ilvl w:val="1"/>
          <w:numId w:val="1"/>
        </w:numPr>
        <w:spacing w:after="120"/>
        <w:rPr>
          <w:rFonts w:asciiTheme="minorHAnsi" w:hAnsiTheme="minorHAnsi"/>
          <w:bCs/>
          <w:snapToGrid w:val="0"/>
        </w:rPr>
      </w:pPr>
      <w:r w:rsidRPr="00E148FC">
        <w:rPr>
          <w:rFonts w:asciiTheme="minorHAnsi" w:hAnsiTheme="minorHAnsi"/>
          <w:bCs/>
          <w:snapToGrid w:val="0"/>
        </w:rPr>
        <w:t xml:space="preserve">The PBAC </w:t>
      </w:r>
      <w:r w:rsidR="00E05690" w:rsidRPr="00E148FC">
        <w:rPr>
          <w:rFonts w:asciiTheme="minorHAnsi" w:hAnsiTheme="minorHAnsi"/>
          <w:bCs/>
          <w:snapToGrid w:val="0"/>
        </w:rPr>
        <w:t>accepted</w:t>
      </w:r>
      <w:r w:rsidR="00331CB7" w:rsidRPr="00E148FC">
        <w:rPr>
          <w:rFonts w:asciiTheme="minorHAnsi" w:hAnsiTheme="minorHAnsi"/>
          <w:bCs/>
          <w:snapToGrid w:val="0"/>
        </w:rPr>
        <w:t xml:space="preserve"> that dulaglutide once weekly was t</w:t>
      </w:r>
      <w:r w:rsidR="00B80F74" w:rsidRPr="00E148FC">
        <w:rPr>
          <w:rFonts w:asciiTheme="minorHAnsi" w:hAnsiTheme="minorHAnsi"/>
          <w:bCs/>
          <w:snapToGrid w:val="0"/>
        </w:rPr>
        <w:t xml:space="preserve">he appropriate main comparator, and exenatide twice daily was the appropriate secondary comparator. </w:t>
      </w:r>
    </w:p>
    <w:p w:rsidR="0024132D" w:rsidRPr="00E148FC" w:rsidRDefault="0024132D" w:rsidP="0052495F">
      <w:pPr>
        <w:widowControl w:val="0"/>
        <w:numPr>
          <w:ilvl w:val="1"/>
          <w:numId w:val="1"/>
        </w:numPr>
        <w:spacing w:after="120"/>
        <w:rPr>
          <w:rFonts w:asciiTheme="minorHAnsi" w:hAnsiTheme="minorHAnsi"/>
          <w:bCs/>
          <w:snapToGrid w:val="0"/>
        </w:rPr>
      </w:pPr>
      <w:r w:rsidRPr="00E148FC">
        <w:rPr>
          <w:rFonts w:asciiTheme="minorHAnsi" w:hAnsiTheme="minorHAnsi"/>
          <w:bCs/>
          <w:snapToGrid w:val="0"/>
        </w:rPr>
        <w:t xml:space="preserve">The PBAC noted that the submission </w:t>
      </w:r>
      <w:r w:rsidR="00CC5797" w:rsidRPr="00E148FC">
        <w:rPr>
          <w:rFonts w:asciiTheme="minorHAnsi" w:hAnsiTheme="minorHAnsi"/>
          <w:bCs/>
          <w:snapToGrid w:val="0"/>
        </w:rPr>
        <w:t>presented data from three key placebo-controlled trials, SUSTAIN 5 (semaglutide</w:t>
      </w:r>
      <w:r w:rsidR="004D6F74" w:rsidRPr="00E148FC">
        <w:rPr>
          <w:rFonts w:asciiTheme="minorHAnsi" w:hAnsiTheme="minorHAnsi"/>
          <w:bCs/>
          <w:snapToGrid w:val="0"/>
        </w:rPr>
        <w:t xml:space="preserve"> versus placebo with concomitant basal insulin</w:t>
      </w:r>
      <w:r w:rsidR="00CC5797" w:rsidRPr="00E148FC">
        <w:rPr>
          <w:rFonts w:asciiTheme="minorHAnsi" w:hAnsiTheme="minorHAnsi"/>
          <w:bCs/>
          <w:snapToGrid w:val="0"/>
        </w:rPr>
        <w:t>), AWARD-9 (dulaglutide</w:t>
      </w:r>
      <w:r w:rsidR="004D6F74" w:rsidRPr="00E148FC">
        <w:rPr>
          <w:rFonts w:asciiTheme="minorHAnsi" w:hAnsiTheme="minorHAnsi"/>
          <w:bCs/>
          <w:snapToGrid w:val="0"/>
        </w:rPr>
        <w:t xml:space="preserve"> versus placebo with concomitant insulin glargine</w:t>
      </w:r>
      <w:r w:rsidR="00CC5797" w:rsidRPr="00E148FC">
        <w:rPr>
          <w:rFonts w:asciiTheme="minorHAnsi" w:hAnsiTheme="minorHAnsi"/>
          <w:bCs/>
          <w:snapToGrid w:val="0"/>
        </w:rPr>
        <w:t>) and GWCO (exenatide</w:t>
      </w:r>
      <w:r w:rsidR="004D6F74" w:rsidRPr="00E148FC">
        <w:rPr>
          <w:rFonts w:asciiTheme="minorHAnsi" w:hAnsiTheme="minorHAnsi"/>
          <w:bCs/>
          <w:snapToGrid w:val="0"/>
        </w:rPr>
        <w:t xml:space="preserve"> versus placebo with concomitant insulin glargine</w:t>
      </w:r>
      <w:r w:rsidR="00CC5797" w:rsidRPr="00E148FC">
        <w:rPr>
          <w:rFonts w:asciiTheme="minorHAnsi" w:hAnsiTheme="minorHAnsi"/>
          <w:bCs/>
          <w:snapToGrid w:val="0"/>
        </w:rPr>
        <w:t>). The PBAC considered that the active-controlled lixisenatide with insulin glargine trial (LIXILAN-L) was not relevant for th</w:t>
      </w:r>
      <w:r w:rsidR="00427AA7" w:rsidRPr="00E148FC">
        <w:rPr>
          <w:rFonts w:asciiTheme="minorHAnsi" w:hAnsiTheme="minorHAnsi"/>
          <w:bCs/>
          <w:snapToGrid w:val="0"/>
        </w:rPr>
        <w:t>is</w:t>
      </w:r>
      <w:r w:rsidR="00CC5797" w:rsidRPr="00E148FC">
        <w:rPr>
          <w:rFonts w:asciiTheme="minorHAnsi" w:hAnsiTheme="minorHAnsi"/>
          <w:bCs/>
          <w:snapToGrid w:val="0"/>
        </w:rPr>
        <w:t xml:space="preserve"> submission. </w:t>
      </w:r>
      <w:r w:rsidR="00602308" w:rsidRPr="00E148FC">
        <w:rPr>
          <w:rFonts w:asciiTheme="minorHAnsi" w:hAnsiTheme="minorHAnsi"/>
          <w:bCs/>
          <w:snapToGrid w:val="0"/>
        </w:rPr>
        <w:t>The PBAC noted that the submission was based on indirect comparisons of SUSTAIN 5</w:t>
      </w:r>
      <w:r w:rsidR="00DB24F7" w:rsidRPr="00E148FC">
        <w:rPr>
          <w:rFonts w:asciiTheme="minorHAnsi" w:hAnsiTheme="minorHAnsi"/>
          <w:bCs/>
          <w:snapToGrid w:val="0"/>
        </w:rPr>
        <w:t xml:space="preserve"> (n=397)</w:t>
      </w:r>
      <w:r w:rsidR="00602308" w:rsidRPr="00E148FC">
        <w:rPr>
          <w:rFonts w:asciiTheme="minorHAnsi" w:hAnsiTheme="minorHAnsi"/>
          <w:bCs/>
          <w:snapToGrid w:val="0"/>
        </w:rPr>
        <w:t xml:space="preserve"> with AWARD-9</w:t>
      </w:r>
      <w:r w:rsidR="00DB24F7" w:rsidRPr="00E148FC">
        <w:rPr>
          <w:rFonts w:asciiTheme="minorHAnsi" w:hAnsiTheme="minorHAnsi"/>
          <w:bCs/>
          <w:snapToGrid w:val="0"/>
        </w:rPr>
        <w:t xml:space="preserve"> (n=300)</w:t>
      </w:r>
      <w:r w:rsidR="00602308" w:rsidRPr="00E148FC">
        <w:rPr>
          <w:rFonts w:asciiTheme="minorHAnsi" w:hAnsiTheme="minorHAnsi"/>
          <w:bCs/>
          <w:snapToGrid w:val="0"/>
        </w:rPr>
        <w:t xml:space="preserve"> and GWCO</w:t>
      </w:r>
      <w:r w:rsidR="00DB24F7" w:rsidRPr="00E148FC">
        <w:rPr>
          <w:rFonts w:asciiTheme="minorHAnsi" w:hAnsiTheme="minorHAnsi"/>
          <w:bCs/>
          <w:snapToGrid w:val="0"/>
        </w:rPr>
        <w:t xml:space="preserve"> (n=261)</w:t>
      </w:r>
      <w:r w:rsidR="00602308" w:rsidRPr="00E148FC">
        <w:rPr>
          <w:rFonts w:asciiTheme="minorHAnsi" w:hAnsiTheme="minorHAnsi"/>
          <w:bCs/>
          <w:snapToGrid w:val="0"/>
        </w:rPr>
        <w:t xml:space="preserve">, with placebo as the common reference arm. Across all trials, </w:t>
      </w:r>
      <w:r w:rsidR="00602308" w:rsidRPr="00E148FC">
        <w:t xml:space="preserve">between 81% </w:t>
      </w:r>
      <w:r w:rsidR="00602308" w:rsidRPr="00E148FC">
        <w:lastRenderedPageBreak/>
        <w:t>and 90% of patients in each treatment arm were also receiving concomitant metformin.</w:t>
      </w:r>
    </w:p>
    <w:p w:rsidR="009D0AF1" w:rsidRPr="00E148FC" w:rsidRDefault="007E318E" w:rsidP="009D0AF1">
      <w:pPr>
        <w:widowControl w:val="0"/>
        <w:numPr>
          <w:ilvl w:val="1"/>
          <w:numId w:val="1"/>
        </w:numPr>
        <w:spacing w:after="120"/>
        <w:rPr>
          <w:rFonts w:asciiTheme="minorHAnsi" w:hAnsiTheme="minorHAnsi"/>
          <w:bCs/>
          <w:snapToGrid w:val="0"/>
        </w:rPr>
      </w:pPr>
      <w:r w:rsidRPr="00E148FC">
        <w:rPr>
          <w:rFonts w:asciiTheme="minorHAnsi" w:hAnsiTheme="minorHAnsi"/>
          <w:bCs/>
          <w:snapToGrid w:val="0"/>
        </w:rPr>
        <w:t>Based on the indirect comparisons for the primary outcome,</w:t>
      </w:r>
      <w:r w:rsidR="00DF440E" w:rsidRPr="00E148FC">
        <w:rPr>
          <w:rFonts w:asciiTheme="minorHAnsi" w:hAnsiTheme="minorHAnsi"/>
          <w:bCs/>
          <w:snapToGrid w:val="0"/>
        </w:rPr>
        <w:t xml:space="preserve"> the PBAC noted that both semaglutide treatment arms had a statistically significantly greater reduction from baseline in HbA1c compared to dulaglutide and exenatide. </w:t>
      </w:r>
      <w:r w:rsidR="00EB4B7F" w:rsidRPr="00E148FC">
        <w:rPr>
          <w:rFonts w:asciiTheme="minorHAnsi" w:hAnsiTheme="minorHAnsi"/>
          <w:bCs/>
          <w:snapToGrid w:val="0"/>
        </w:rPr>
        <w:t>The PBAC noted that</w:t>
      </w:r>
      <w:r w:rsidR="00D864A6" w:rsidRPr="00E148FC">
        <w:rPr>
          <w:rFonts w:asciiTheme="minorHAnsi" w:hAnsiTheme="minorHAnsi"/>
          <w:bCs/>
          <w:snapToGrid w:val="0"/>
        </w:rPr>
        <w:t xml:space="preserve"> the submission nominated a non-inferiority margin of 0.3% to 0.4% and that the point estimates for </w:t>
      </w:r>
      <w:r w:rsidR="00DF440E" w:rsidRPr="00E148FC">
        <w:rPr>
          <w:rFonts w:asciiTheme="minorHAnsi" w:hAnsiTheme="minorHAnsi"/>
          <w:bCs/>
          <w:snapToGrid w:val="0"/>
        </w:rPr>
        <w:t xml:space="preserve">the mean differences with both semaglutide doses exceeded </w:t>
      </w:r>
      <w:r w:rsidR="00D864A6" w:rsidRPr="00E148FC">
        <w:rPr>
          <w:rFonts w:asciiTheme="minorHAnsi" w:hAnsiTheme="minorHAnsi"/>
          <w:bCs/>
          <w:snapToGrid w:val="0"/>
        </w:rPr>
        <w:t xml:space="preserve">this threshold </w:t>
      </w:r>
      <w:r w:rsidR="009D0AF1" w:rsidRPr="00E148FC">
        <w:rPr>
          <w:rFonts w:asciiTheme="minorHAnsi" w:hAnsiTheme="minorHAnsi"/>
          <w:bCs/>
          <w:snapToGrid w:val="0"/>
        </w:rPr>
        <w:t xml:space="preserve">(see Table 7). </w:t>
      </w:r>
    </w:p>
    <w:p w:rsidR="00B05C00" w:rsidRPr="00E148FC" w:rsidRDefault="00A856A8" w:rsidP="00B05C00">
      <w:pPr>
        <w:widowControl w:val="0"/>
        <w:numPr>
          <w:ilvl w:val="1"/>
          <w:numId w:val="1"/>
        </w:numPr>
        <w:spacing w:after="120"/>
        <w:rPr>
          <w:rFonts w:asciiTheme="minorHAnsi" w:hAnsiTheme="minorHAnsi"/>
          <w:bCs/>
          <w:snapToGrid w:val="0"/>
        </w:rPr>
      </w:pPr>
      <w:r w:rsidRPr="00E148FC">
        <w:rPr>
          <w:rFonts w:asciiTheme="minorHAnsi" w:hAnsiTheme="minorHAnsi"/>
          <w:bCs/>
          <w:snapToGrid w:val="0"/>
        </w:rPr>
        <w:t xml:space="preserve">The PBAC also </w:t>
      </w:r>
      <w:r w:rsidR="009D0AF1" w:rsidRPr="00E148FC">
        <w:rPr>
          <w:rFonts w:asciiTheme="minorHAnsi" w:hAnsiTheme="minorHAnsi"/>
          <w:bCs/>
          <w:snapToGrid w:val="0"/>
        </w:rPr>
        <w:t xml:space="preserve">noted that </w:t>
      </w:r>
      <w:r w:rsidR="00D864A6" w:rsidRPr="00E148FC">
        <w:rPr>
          <w:rFonts w:asciiTheme="minorHAnsi" w:hAnsiTheme="minorHAnsi"/>
          <w:bCs/>
          <w:snapToGrid w:val="0"/>
        </w:rPr>
        <w:t>the submission</w:t>
      </w:r>
      <w:r w:rsidR="009D0AF1" w:rsidRPr="00E148FC">
        <w:rPr>
          <w:rFonts w:asciiTheme="minorHAnsi" w:hAnsiTheme="minorHAnsi"/>
          <w:bCs/>
          <w:snapToGrid w:val="0"/>
        </w:rPr>
        <w:t xml:space="preserve"> highlighted that these</w:t>
      </w:r>
      <w:r w:rsidR="00B05C00" w:rsidRPr="00E148FC">
        <w:rPr>
          <w:rFonts w:asciiTheme="minorHAnsi" w:hAnsiTheme="minorHAnsi"/>
          <w:bCs/>
          <w:snapToGrid w:val="0"/>
        </w:rPr>
        <w:t xml:space="preserve"> point estimates</w:t>
      </w:r>
      <w:r w:rsidR="009D0AF1" w:rsidRPr="00E148FC">
        <w:rPr>
          <w:rFonts w:asciiTheme="minorHAnsi" w:hAnsiTheme="minorHAnsi"/>
          <w:bCs/>
          <w:snapToGrid w:val="0"/>
        </w:rPr>
        <w:t xml:space="preserve"> exceeded 0.5%, previously considered by the PBAC to be </w:t>
      </w:r>
      <w:r w:rsidR="00A245A6" w:rsidRPr="00E148FC">
        <w:rPr>
          <w:rFonts w:asciiTheme="minorHAnsi" w:hAnsiTheme="minorHAnsi"/>
          <w:bCs/>
          <w:snapToGrid w:val="0"/>
        </w:rPr>
        <w:t xml:space="preserve">a </w:t>
      </w:r>
      <w:r w:rsidR="00A245A6" w:rsidRPr="00E148FC">
        <w:t>potentially relevant minimal clinically important difference (MCID) for testing superiority (paragraph 7.5, semaglutide PSD, November 2019).</w:t>
      </w:r>
      <w:r w:rsidR="00A245A6" w:rsidRPr="00E148FC">
        <w:rPr>
          <w:rFonts w:asciiTheme="minorHAnsi" w:hAnsiTheme="minorHAnsi"/>
          <w:bCs/>
          <w:snapToGrid w:val="0"/>
        </w:rPr>
        <w:t xml:space="preserve"> </w:t>
      </w:r>
      <w:r w:rsidR="00B05C00" w:rsidRPr="00E148FC">
        <w:rPr>
          <w:rFonts w:asciiTheme="minorHAnsi" w:hAnsiTheme="minorHAnsi"/>
          <w:bCs/>
          <w:snapToGrid w:val="0"/>
        </w:rPr>
        <w:t xml:space="preserve">The PBAC had concerns with this statement given that </w:t>
      </w:r>
      <w:r w:rsidR="009D0AF1" w:rsidRPr="00E148FC">
        <w:rPr>
          <w:rFonts w:asciiTheme="minorHAnsi" w:hAnsiTheme="minorHAnsi"/>
          <w:bCs/>
          <w:snapToGrid w:val="0"/>
        </w:rPr>
        <w:t>the HbA1c changes (versus placebo) across the three trials were variable, i.e. there was no change in HbA1c for placebo in SUSTAIN 5, whilst there was a reduction from baseline in the other trials</w:t>
      </w:r>
      <w:r w:rsidR="00897365" w:rsidRPr="00E148FC">
        <w:rPr>
          <w:rFonts w:asciiTheme="minorHAnsi" w:hAnsiTheme="minorHAnsi"/>
          <w:bCs/>
          <w:snapToGrid w:val="0"/>
        </w:rPr>
        <w:t xml:space="preserve"> (see Tables 7 and 9)</w:t>
      </w:r>
      <w:r w:rsidR="009D0AF1" w:rsidRPr="00E148FC">
        <w:rPr>
          <w:rFonts w:asciiTheme="minorHAnsi" w:hAnsiTheme="minorHAnsi"/>
          <w:bCs/>
          <w:snapToGrid w:val="0"/>
        </w:rPr>
        <w:t>. The PBAC considered that this variation</w:t>
      </w:r>
      <w:r w:rsidR="00B05C00" w:rsidRPr="00E148FC">
        <w:rPr>
          <w:rFonts w:asciiTheme="minorHAnsi" w:hAnsiTheme="minorHAnsi"/>
          <w:bCs/>
          <w:snapToGrid w:val="0"/>
        </w:rPr>
        <w:t xml:space="preserve"> in placebo group outcomes could</w:t>
      </w:r>
      <w:r w:rsidR="009D0AF1" w:rsidRPr="00E148FC">
        <w:rPr>
          <w:rFonts w:asciiTheme="minorHAnsi" w:hAnsiTheme="minorHAnsi"/>
          <w:bCs/>
          <w:snapToGrid w:val="0"/>
        </w:rPr>
        <w:t xml:space="preserve"> be attributed to the more restrictive insulin titration algorithm in SUSTAIN 5, which may limit the exchangeability of the trials for the indirect analysis. </w:t>
      </w:r>
      <w:r w:rsidR="00B05C00" w:rsidRPr="00E148FC">
        <w:rPr>
          <w:rFonts w:asciiTheme="minorHAnsi" w:hAnsiTheme="minorHAnsi"/>
          <w:bCs/>
          <w:snapToGrid w:val="0"/>
        </w:rPr>
        <w:t>The pre-PBAC response</w:t>
      </w:r>
      <w:r w:rsidR="00B662B3">
        <w:rPr>
          <w:rFonts w:asciiTheme="minorHAnsi" w:hAnsiTheme="minorHAnsi"/>
          <w:bCs/>
          <w:snapToGrid w:val="0"/>
        </w:rPr>
        <w:t xml:space="preserve"> </w:t>
      </w:r>
      <w:r w:rsidR="00B05C00" w:rsidRPr="00E148FC">
        <w:rPr>
          <w:rFonts w:asciiTheme="minorHAnsi" w:hAnsiTheme="minorHAnsi"/>
          <w:bCs/>
          <w:snapToGrid w:val="0"/>
        </w:rPr>
        <w:t xml:space="preserve">argued </w:t>
      </w:r>
      <w:r w:rsidR="00B05C00" w:rsidRPr="00E148FC">
        <w:t xml:space="preserve">that, for the purpose of the submission, a conservative claim of non-inferiority (rather than superiority) was made with respect to relative effectiveness. Overall, the PBAC accepted that semaglutide </w:t>
      </w:r>
      <w:r w:rsidR="008F78C6" w:rsidRPr="00E148FC">
        <w:t xml:space="preserve">once weekly </w:t>
      </w:r>
      <w:r w:rsidR="00B05C00" w:rsidRPr="00E148FC">
        <w:t xml:space="preserve">demonstrated non-inferior clinical effectiveness compared to dulaglutide once weekly and exenatide twice daily. </w:t>
      </w:r>
    </w:p>
    <w:p w:rsidR="00F640E7" w:rsidRPr="00E148FC" w:rsidRDefault="00F640E7" w:rsidP="00F640E7">
      <w:pPr>
        <w:pStyle w:val="ExecSumBodyText"/>
        <w:widowControl w:val="0"/>
        <w:numPr>
          <w:ilvl w:val="1"/>
          <w:numId w:val="1"/>
        </w:numPr>
        <w:rPr>
          <w:bCs/>
        </w:rPr>
      </w:pPr>
      <w:r w:rsidRPr="00E148FC">
        <w:t xml:space="preserve">The PBAC noted there were no significant differences in the indirect comparison of safety outcomes with the exception of a higher rate of documented hypoglycaemia events in patients treated with semaglutide 0.5 mg or 1.0 mg compared with dulaglutide, but considered this could </w:t>
      </w:r>
      <w:r w:rsidR="00B05C00" w:rsidRPr="00E148FC">
        <w:t xml:space="preserve">also </w:t>
      </w:r>
      <w:r w:rsidRPr="00E148FC">
        <w:t xml:space="preserve">be attributed to the more restrictive insulin titration algorithms in SUSTAIN 5. Overall, </w:t>
      </w:r>
      <w:r w:rsidR="00D933CE" w:rsidRPr="00E148FC">
        <w:t>t</w:t>
      </w:r>
      <w:r w:rsidRPr="00E148FC">
        <w:t>he PBAC was satisfied that semaglutide</w:t>
      </w:r>
      <w:r w:rsidR="008F78C6" w:rsidRPr="00E148FC">
        <w:t xml:space="preserve"> once weekly</w:t>
      </w:r>
      <w:r w:rsidRPr="00E148FC">
        <w:t xml:space="preserve"> </w:t>
      </w:r>
      <w:r w:rsidR="000C30DE" w:rsidRPr="00E148FC">
        <w:t>demonstrated non-inferior safety</w:t>
      </w:r>
      <w:r w:rsidR="00D933CE" w:rsidRPr="00E148FC">
        <w:t xml:space="preserve"> to</w:t>
      </w:r>
      <w:r w:rsidRPr="00E148FC">
        <w:t xml:space="preserve"> dulaglutide </w:t>
      </w:r>
      <w:r w:rsidR="000C30DE" w:rsidRPr="00E148FC">
        <w:t xml:space="preserve">once weekly </w:t>
      </w:r>
      <w:r w:rsidRPr="00E148FC">
        <w:t xml:space="preserve">and exenatide twice daily. </w:t>
      </w:r>
    </w:p>
    <w:p w:rsidR="00B05C00" w:rsidRPr="00E148FC" w:rsidRDefault="000C198A" w:rsidP="00B05C00">
      <w:pPr>
        <w:pStyle w:val="Bulletpoints"/>
        <w:widowControl w:val="0"/>
        <w:numPr>
          <w:ilvl w:val="1"/>
          <w:numId w:val="1"/>
        </w:numPr>
        <w:ind w:right="113"/>
        <w:contextualSpacing w:val="0"/>
        <w:rPr>
          <w:bCs/>
        </w:rPr>
      </w:pPr>
      <w:r w:rsidRPr="00E148FC">
        <w:rPr>
          <w:bCs/>
        </w:rPr>
        <w:t>The recommended equi-effective doses for the cost-minimisation to dulaglutide are as follows: when used in combination with metformin (unless contraindicated or  not tolerated) and insulin, semaglutide</w:t>
      </w:r>
      <w:r w:rsidR="00B80F74" w:rsidRPr="00E148FC">
        <w:rPr>
          <w:bCs/>
        </w:rPr>
        <w:t xml:space="preserve"> (0.5 mg </w:t>
      </w:r>
      <w:r w:rsidR="00CB6D5F" w:rsidRPr="00E148FC">
        <w:rPr>
          <w:bCs/>
        </w:rPr>
        <w:t xml:space="preserve">once weekly </w:t>
      </w:r>
      <w:r w:rsidR="00B80F74" w:rsidRPr="00E148FC">
        <w:rPr>
          <w:bCs/>
        </w:rPr>
        <w:t>and 1.0 mg</w:t>
      </w:r>
      <w:r w:rsidR="00CB6D5F" w:rsidRPr="00E148FC">
        <w:rPr>
          <w:bCs/>
        </w:rPr>
        <w:t xml:space="preserve"> once weekly</w:t>
      </w:r>
      <w:r w:rsidR="00B80F74" w:rsidRPr="00E148FC">
        <w:rPr>
          <w:bCs/>
        </w:rPr>
        <w:t xml:space="preserve">) </w:t>
      </w:r>
      <w:r w:rsidRPr="00E148FC">
        <w:rPr>
          <w:bCs/>
        </w:rPr>
        <w:t xml:space="preserve"> is equi-effective to </w:t>
      </w:r>
      <w:r w:rsidR="00B80F74" w:rsidRPr="00E148FC">
        <w:rPr>
          <w:bCs/>
        </w:rPr>
        <w:t xml:space="preserve">dulaglutide 1.5 mg once weekly. </w:t>
      </w:r>
    </w:p>
    <w:p w:rsidR="00DB24F7" w:rsidRPr="00E148FC" w:rsidRDefault="00B05C00" w:rsidP="00A856A8">
      <w:pPr>
        <w:pStyle w:val="Bulletpoints"/>
        <w:widowControl w:val="0"/>
        <w:numPr>
          <w:ilvl w:val="1"/>
          <w:numId w:val="1"/>
        </w:numPr>
        <w:ind w:right="113"/>
        <w:contextualSpacing w:val="0"/>
        <w:rPr>
          <w:bCs/>
        </w:rPr>
      </w:pPr>
      <w:r w:rsidRPr="00E148FC">
        <w:t xml:space="preserve">The PBAC noted that the pre-PBAC response claimed that, due to the request that semaglutide once weekly be cost-minimised to dulaglutide once weekly, it is anticipated that semaglutide will substitute for dulaglutide and will not grow the GLP-1 RA market. </w:t>
      </w:r>
      <w:r w:rsidR="00813EB2" w:rsidRPr="00E148FC">
        <w:t xml:space="preserve">The PBAC considered it was likely true that the listing of semaglutide in combination with insulin should be cost neutral. </w:t>
      </w:r>
      <w:r w:rsidRPr="00E148FC">
        <w:t xml:space="preserve">However, the PBAC considered that the </w:t>
      </w:r>
      <w:r w:rsidR="00813EB2" w:rsidRPr="00E148FC">
        <w:t xml:space="preserve">overall </w:t>
      </w:r>
      <w:r w:rsidRPr="00E148FC">
        <w:t xml:space="preserve">GLP-1 with insulin market may </w:t>
      </w:r>
      <w:r w:rsidR="00813EB2" w:rsidRPr="00E148FC">
        <w:t xml:space="preserve">have </w:t>
      </w:r>
      <w:r w:rsidR="00A856A8" w:rsidRPr="00E148FC">
        <w:t>be</w:t>
      </w:r>
      <w:r w:rsidR="00813EB2" w:rsidRPr="00E148FC">
        <w:t>en</w:t>
      </w:r>
      <w:r w:rsidR="00A856A8" w:rsidRPr="00E148FC">
        <w:t xml:space="preserve"> underestimated </w:t>
      </w:r>
      <w:r w:rsidR="00813EB2" w:rsidRPr="00E148FC">
        <w:t>given the recent listing of dulaglutide in combination with insulin was</w:t>
      </w:r>
      <w:r w:rsidRPr="00E148FC">
        <w:t xml:space="preserve"> not accounted for </w:t>
      </w:r>
      <w:r w:rsidR="00A856A8" w:rsidRPr="00E148FC">
        <w:t xml:space="preserve">in the utilisation estimates. </w:t>
      </w:r>
    </w:p>
    <w:p w:rsidR="00A856A8" w:rsidRPr="00E148FC" w:rsidRDefault="004D17B9" w:rsidP="004D17B9">
      <w:pPr>
        <w:widowControl w:val="0"/>
        <w:numPr>
          <w:ilvl w:val="1"/>
          <w:numId w:val="1"/>
        </w:numPr>
        <w:spacing w:after="120"/>
      </w:pPr>
      <w:r w:rsidRPr="00E148FC">
        <w:rPr>
          <w:rFonts w:asciiTheme="minorHAnsi" w:hAnsiTheme="minorHAnsi"/>
          <w:bCs/>
          <w:snapToGrid w:val="0"/>
        </w:rPr>
        <w:lastRenderedPageBreak/>
        <w:t xml:space="preserve">The PBAC </w:t>
      </w:r>
      <w:r w:rsidR="00813EB2" w:rsidRPr="00E148FC">
        <w:rPr>
          <w:rFonts w:asciiTheme="minorHAnsi" w:hAnsiTheme="minorHAnsi"/>
          <w:bCs/>
          <w:snapToGrid w:val="0"/>
        </w:rPr>
        <w:t xml:space="preserve">advised </w:t>
      </w:r>
      <w:r w:rsidRPr="00E148FC">
        <w:rPr>
          <w:rFonts w:asciiTheme="minorHAnsi" w:hAnsiTheme="minorHAnsi"/>
          <w:bCs/>
          <w:snapToGrid w:val="0"/>
        </w:rPr>
        <w:t>that</w:t>
      </w:r>
      <w:r w:rsidR="00A856A8" w:rsidRPr="00E148FC">
        <w:rPr>
          <w:rFonts w:asciiTheme="minorHAnsi" w:hAnsiTheme="minorHAnsi"/>
          <w:bCs/>
          <w:snapToGrid w:val="0"/>
        </w:rPr>
        <w:t xml:space="preserve"> </w:t>
      </w:r>
      <w:r w:rsidR="00813EB2" w:rsidRPr="00E148FC">
        <w:rPr>
          <w:rFonts w:asciiTheme="minorHAnsi" w:hAnsiTheme="minorHAnsi"/>
          <w:bCs/>
          <w:snapToGrid w:val="0"/>
        </w:rPr>
        <w:t xml:space="preserve">the </w:t>
      </w:r>
      <w:r w:rsidR="00A856A8" w:rsidRPr="00E148FC">
        <w:rPr>
          <w:rFonts w:asciiTheme="minorHAnsi" w:hAnsiTheme="minorHAnsi"/>
          <w:bCs/>
          <w:snapToGrid w:val="0"/>
        </w:rPr>
        <w:t xml:space="preserve">cost per patient per year of semaglutide </w:t>
      </w:r>
      <w:r w:rsidR="00813EB2" w:rsidRPr="00E148FC">
        <w:rPr>
          <w:rFonts w:asciiTheme="minorHAnsi" w:hAnsiTheme="minorHAnsi"/>
          <w:bCs/>
          <w:snapToGrid w:val="0"/>
        </w:rPr>
        <w:t>should be</w:t>
      </w:r>
      <w:r w:rsidR="00A856A8" w:rsidRPr="00E148FC">
        <w:rPr>
          <w:rFonts w:asciiTheme="minorHAnsi" w:hAnsiTheme="minorHAnsi"/>
          <w:bCs/>
          <w:snapToGrid w:val="0"/>
        </w:rPr>
        <w:t xml:space="preserve"> the same as dulaglutide. </w:t>
      </w:r>
    </w:p>
    <w:p w:rsidR="00097E0F" w:rsidRPr="00E148FC" w:rsidRDefault="00097E0F" w:rsidP="004D17B9">
      <w:pPr>
        <w:widowControl w:val="0"/>
        <w:numPr>
          <w:ilvl w:val="1"/>
          <w:numId w:val="1"/>
        </w:numPr>
        <w:spacing w:after="120"/>
      </w:pPr>
      <w:r w:rsidRPr="00E148FC">
        <w:t>The PBAC recommended that the restriction</w:t>
      </w:r>
      <w:r w:rsidR="00F1650D" w:rsidRPr="00E148FC">
        <w:t>s</w:t>
      </w:r>
      <w:r w:rsidRPr="00E148FC">
        <w:t xml:space="preserve"> for </w:t>
      </w:r>
      <w:r w:rsidR="00F1650D" w:rsidRPr="00E148FC">
        <w:t>semaglutide</w:t>
      </w:r>
      <w:r w:rsidR="00813EB2" w:rsidRPr="00E148FC">
        <w:t xml:space="preserve"> </w:t>
      </w:r>
      <w:r w:rsidRPr="00E148FC">
        <w:t>be consistent with the current listings of dulaglutide once weekly and exenatide (5 mcg and 10 mcg) twice daily for the same indication.</w:t>
      </w:r>
    </w:p>
    <w:p w:rsidR="00DB6869" w:rsidRPr="00897226" w:rsidRDefault="00F440C8" w:rsidP="00DB6869">
      <w:pPr>
        <w:numPr>
          <w:ilvl w:val="1"/>
          <w:numId w:val="1"/>
        </w:numPr>
        <w:spacing w:after="120"/>
        <w:rPr>
          <w:rFonts w:asciiTheme="minorHAnsi" w:hAnsiTheme="minorHAnsi"/>
          <w:bCs/>
        </w:rPr>
      </w:pPr>
      <w:r w:rsidRPr="00897226">
        <w:rPr>
          <w:rFonts w:asciiTheme="minorHAnsi" w:hAnsiTheme="minorHAnsi"/>
          <w:bCs/>
        </w:rPr>
        <w:t>The PBAC noted that the Early Supply Rule applies to dulaglutide and exenatide, and recommended that it should also apply to semaglutide</w:t>
      </w:r>
      <w:r w:rsidR="00E148FC" w:rsidRPr="00897226">
        <w:rPr>
          <w:rFonts w:asciiTheme="minorHAnsi" w:hAnsiTheme="minorHAnsi"/>
          <w:bCs/>
        </w:rPr>
        <w:t xml:space="preserve">. </w:t>
      </w:r>
    </w:p>
    <w:p w:rsidR="00097E0F" w:rsidRPr="00E148FC" w:rsidRDefault="00097E0F" w:rsidP="00097E0F">
      <w:pPr>
        <w:pStyle w:val="3Bodytext"/>
        <w:widowControl w:val="0"/>
        <w:numPr>
          <w:ilvl w:val="1"/>
          <w:numId w:val="1"/>
        </w:numPr>
        <w:ind w:right="113"/>
        <w:jc w:val="both"/>
        <w:rPr>
          <w:rFonts w:cstheme="minorHAnsi"/>
          <w:bCs/>
          <w:szCs w:val="24"/>
        </w:rPr>
      </w:pPr>
      <w:r w:rsidRPr="00E148FC">
        <w:rPr>
          <w:rFonts w:cstheme="minorHAnsi"/>
          <w:bCs/>
          <w:szCs w:val="24"/>
        </w:rPr>
        <w:t xml:space="preserve">The PBAC, noting that its recommendation was on a cost-minimisation basis, advised that as semaglutide was not expected to provide a substantial and clinically relevant improvement in efficacy or a reduction in toxicity over dulaglutide and not expected to address a high and urgent unmet clinical need, the criteria prescribed by the </w:t>
      </w:r>
      <w:r w:rsidRPr="00E148FC">
        <w:rPr>
          <w:rFonts w:cstheme="minorHAnsi"/>
          <w:bCs/>
          <w:i/>
          <w:szCs w:val="24"/>
        </w:rPr>
        <w:t>National Health (Pharmaceuticals and Vaccines – Cost Recovery) Regulations 2009</w:t>
      </w:r>
      <w:r w:rsidRPr="00E148FC">
        <w:rPr>
          <w:rFonts w:cstheme="minorHAnsi"/>
          <w:bCs/>
          <w:szCs w:val="24"/>
        </w:rPr>
        <w:t xml:space="preserve"> for Pricing Pathway A were not met.</w:t>
      </w:r>
    </w:p>
    <w:p w:rsidR="00DB6869" w:rsidRPr="00E148FC" w:rsidRDefault="00DB6869" w:rsidP="00DB6869">
      <w:pPr>
        <w:pStyle w:val="3Bodytext"/>
        <w:numPr>
          <w:ilvl w:val="1"/>
          <w:numId w:val="1"/>
        </w:numPr>
        <w:rPr>
          <w:snapToGrid w:val="0"/>
        </w:rPr>
      </w:pPr>
      <w:r w:rsidRPr="00E148FC">
        <w:rPr>
          <w:snapToGrid w:val="0"/>
        </w:rPr>
        <w:t xml:space="preserve">The PBAC noted that this submission is not eligible for an Independent Review as it received a positive recommendation. </w:t>
      </w:r>
    </w:p>
    <w:p w:rsidR="0052495F" w:rsidRPr="00E148FC" w:rsidRDefault="0052495F" w:rsidP="0052495F">
      <w:pPr>
        <w:spacing w:before="240"/>
        <w:rPr>
          <w:rFonts w:asciiTheme="minorHAnsi" w:hAnsiTheme="minorHAnsi"/>
          <w:b/>
          <w:bCs/>
          <w:snapToGrid w:val="0"/>
        </w:rPr>
      </w:pPr>
      <w:r w:rsidRPr="00E148FC">
        <w:rPr>
          <w:rFonts w:asciiTheme="minorHAnsi" w:hAnsiTheme="minorHAnsi"/>
          <w:b/>
          <w:bCs/>
          <w:snapToGrid w:val="0"/>
        </w:rPr>
        <w:t>Outcome:</w:t>
      </w:r>
    </w:p>
    <w:p w:rsidR="00DB6869" w:rsidRPr="00AF16D9" w:rsidRDefault="00DB6869" w:rsidP="00AF16D9">
      <w:pPr>
        <w:rPr>
          <w:rFonts w:asciiTheme="minorHAnsi" w:hAnsiTheme="minorHAnsi"/>
          <w:bCs/>
          <w:snapToGrid w:val="0"/>
        </w:rPr>
      </w:pPr>
      <w:r w:rsidRPr="00E148FC">
        <w:rPr>
          <w:rFonts w:asciiTheme="minorHAnsi" w:hAnsiTheme="minorHAnsi"/>
          <w:bCs/>
          <w:snapToGrid w:val="0"/>
        </w:rPr>
        <w:t>Recommended</w:t>
      </w:r>
    </w:p>
    <w:p w:rsidR="0052495F" w:rsidRPr="00E148FC" w:rsidRDefault="0052495F" w:rsidP="0052495F">
      <w:pPr>
        <w:pStyle w:val="2-SectionHeading"/>
        <w:numPr>
          <w:ilvl w:val="0"/>
          <w:numId w:val="1"/>
        </w:numPr>
      </w:pPr>
      <w:r w:rsidRPr="00E148FC">
        <w:t>Recommended listing</w:t>
      </w:r>
    </w:p>
    <w:p w:rsidR="00BE6B24" w:rsidRPr="00E148FC" w:rsidRDefault="00BE6B24" w:rsidP="00EB3C1C">
      <w:pPr>
        <w:widowControl w:val="0"/>
        <w:numPr>
          <w:ilvl w:val="1"/>
          <w:numId w:val="1"/>
        </w:numPr>
        <w:spacing w:after="120"/>
        <w:rPr>
          <w:rFonts w:asciiTheme="minorHAnsi" w:hAnsiTheme="minorHAnsi"/>
          <w:b/>
          <w:bCs/>
          <w:snapToGrid w:val="0"/>
        </w:rPr>
      </w:pPr>
      <w:r w:rsidRPr="00E148FC">
        <w:rPr>
          <w:rFonts w:asciiTheme="minorHAnsi" w:hAnsiTheme="minorHAnsi"/>
          <w:bCs/>
          <w:snapToGrid w:val="0"/>
        </w:rPr>
        <w:t xml:space="preserve">Add new restriction to semaglutide (12080T and 12075M) as follows: </w:t>
      </w:r>
    </w:p>
    <w:p w:rsidR="00EB3C1C" w:rsidRPr="00E148FC" w:rsidRDefault="00EB3C1C" w:rsidP="00BE6B24">
      <w:pPr>
        <w:jc w:val="left"/>
        <w:rPr>
          <w:rFonts w:ascii="Arial Narrow" w:hAnsi="Arial Narrow"/>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6"/>
        <w:gridCol w:w="988"/>
        <w:gridCol w:w="846"/>
        <w:gridCol w:w="848"/>
        <w:gridCol w:w="705"/>
        <w:gridCol w:w="988"/>
        <w:gridCol w:w="1266"/>
      </w:tblGrid>
      <w:tr w:rsidR="00EB3C1C" w:rsidRPr="00E148FC" w:rsidTr="002B6CD8">
        <w:trPr>
          <w:cantSplit/>
          <w:trHeight w:val="20"/>
        </w:trPr>
        <w:tc>
          <w:tcPr>
            <w:tcW w:w="1872" w:type="pct"/>
          </w:tcPr>
          <w:p w:rsidR="00EB3C1C" w:rsidRPr="00E148FC" w:rsidRDefault="00EB3C1C" w:rsidP="002B7A61">
            <w:pPr>
              <w:jc w:val="left"/>
              <w:rPr>
                <w:rFonts w:ascii="Arial Narrow" w:eastAsia="Calibri" w:hAnsi="Arial Narrow" w:cs="Calibri"/>
                <w:b/>
                <w:sz w:val="18"/>
                <w:szCs w:val="18"/>
                <w:lang w:eastAsia="en-US"/>
              </w:rPr>
            </w:pPr>
            <w:r w:rsidRPr="00E148FC">
              <w:rPr>
                <w:rFonts w:ascii="Arial Narrow" w:eastAsia="Calibri" w:hAnsi="Arial Narrow" w:cs="Calibri"/>
                <w:b/>
                <w:sz w:val="18"/>
                <w:szCs w:val="18"/>
                <w:lang w:eastAsia="en-US"/>
              </w:rPr>
              <w:t>Name, Restriction,</w:t>
            </w:r>
          </w:p>
          <w:p w:rsidR="00EB3C1C" w:rsidRPr="00E148FC" w:rsidRDefault="00EB3C1C" w:rsidP="002B7A61">
            <w:pPr>
              <w:jc w:val="left"/>
              <w:rPr>
                <w:rFonts w:ascii="Arial Narrow" w:eastAsia="Calibri" w:hAnsi="Arial Narrow" w:cs="Calibri"/>
                <w:sz w:val="18"/>
                <w:szCs w:val="18"/>
                <w:lang w:eastAsia="en-US"/>
              </w:rPr>
            </w:pPr>
            <w:r w:rsidRPr="00E148FC">
              <w:rPr>
                <w:rFonts w:ascii="Arial Narrow" w:eastAsia="Calibri" w:hAnsi="Arial Narrow" w:cs="Calibri"/>
                <w:b/>
                <w:sz w:val="18"/>
                <w:szCs w:val="18"/>
                <w:lang w:eastAsia="en-US"/>
              </w:rPr>
              <w:t>Manner of administration and form</w:t>
            </w:r>
          </w:p>
        </w:tc>
        <w:tc>
          <w:tcPr>
            <w:tcW w:w="548" w:type="pct"/>
          </w:tcPr>
          <w:p w:rsidR="00EB3C1C" w:rsidRPr="00E148FC" w:rsidRDefault="00EB3C1C" w:rsidP="002B7A61">
            <w:pPr>
              <w:jc w:val="center"/>
              <w:rPr>
                <w:rFonts w:ascii="Arial Narrow" w:eastAsia="Calibri" w:hAnsi="Arial Narrow" w:cs="Calibri"/>
                <w:b/>
                <w:sz w:val="18"/>
                <w:szCs w:val="18"/>
                <w:lang w:eastAsia="en-US"/>
              </w:rPr>
            </w:pPr>
            <w:r w:rsidRPr="00E148FC">
              <w:rPr>
                <w:rFonts w:ascii="Arial Narrow" w:eastAsia="Calibri" w:hAnsi="Arial Narrow" w:cs="Calibri"/>
                <w:b/>
                <w:sz w:val="18"/>
                <w:szCs w:val="18"/>
                <w:lang w:eastAsia="en-US"/>
              </w:rPr>
              <w:t>PBS item</w:t>
            </w:r>
          </w:p>
          <w:p w:rsidR="00EB3C1C" w:rsidRPr="00E148FC" w:rsidRDefault="00EB3C1C" w:rsidP="002B7A61">
            <w:pPr>
              <w:jc w:val="center"/>
              <w:rPr>
                <w:rFonts w:ascii="Arial Narrow" w:eastAsia="Calibri" w:hAnsi="Arial Narrow" w:cs="Calibri"/>
                <w:b/>
                <w:sz w:val="18"/>
                <w:szCs w:val="18"/>
                <w:lang w:eastAsia="en-US"/>
              </w:rPr>
            </w:pPr>
            <w:r w:rsidRPr="00E148FC">
              <w:rPr>
                <w:rFonts w:ascii="Arial Narrow" w:eastAsia="Calibri" w:hAnsi="Arial Narrow" w:cs="Calibri"/>
                <w:b/>
                <w:sz w:val="18"/>
                <w:szCs w:val="18"/>
                <w:lang w:eastAsia="en-US"/>
              </w:rPr>
              <w:t>code</w:t>
            </w:r>
          </w:p>
        </w:tc>
        <w:tc>
          <w:tcPr>
            <w:tcW w:w="469" w:type="pct"/>
          </w:tcPr>
          <w:p w:rsidR="00EB3C1C" w:rsidRPr="00E148FC" w:rsidRDefault="00EB3C1C" w:rsidP="002B7A61">
            <w:pPr>
              <w:jc w:val="center"/>
              <w:rPr>
                <w:rFonts w:ascii="Arial Narrow" w:eastAsia="Calibri" w:hAnsi="Arial Narrow" w:cs="Calibri"/>
                <w:b/>
                <w:sz w:val="18"/>
                <w:szCs w:val="18"/>
                <w:lang w:eastAsia="en-US"/>
              </w:rPr>
            </w:pPr>
            <w:r w:rsidRPr="00E148FC">
              <w:rPr>
                <w:rFonts w:ascii="Arial Narrow" w:eastAsia="Calibri" w:hAnsi="Arial Narrow" w:cs="Calibri"/>
                <w:b/>
                <w:sz w:val="18"/>
                <w:szCs w:val="18"/>
                <w:lang w:eastAsia="en-US"/>
              </w:rPr>
              <w:t>Max. qty Packs</w:t>
            </w:r>
          </w:p>
        </w:tc>
        <w:tc>
          <w:tcPr>
            <w:tcW w:w="470" w:type="pct"/>
          </w:tcPr>
          <w:p w:rsidR="00EB3C1C" w:rsidRPr="00E148FC" w:rsidRDefault="00EB3C1C" w:rsidP="002B7A61">
            <w:pPr>
              <w:jc w:val="center"/>
              <w:rPr>
                <w:rFonts w:ascii="Arial Narrow" w:eastAsia="Calibri" w:hAnsi="Arial Narrow" w:cs="Calibri"/>
                <w:b/>
                <w:sz w:val="18"/>
                <w:szCs w:val="18"/>
                <w:lang w:eastAsia="en-US"/>
              </w:rPr>
            </w:pPr>
            <w:r w:rsidRPr="00E148FC">
              <w:rPr>
                <w:rFonts w:ascii="Arial Narrow" w:eastAsia="Calibri" w:hAnsi="Arial Narrow" w:cs="Calibri"/>
                <w:b/>
                <w:sz w:val="18"/>
                <w:szCs w:val="18"/>
                <w:lang w:eastAsia="en-US"/>
              </w:rPr>
              <w:t>Max. qty units</w:t>
            </w:r>
          </w:p>
        </w:tc>
        <w:tc>
          <w:tcPr>
            <w:tcW w:w="391" w:type="pct"/>
          </w:tcPr>
          <w:p w:rsidR="00EB3C1C" w:rsidRPr="00E148FC" w:rsidRDefault="00EB3C1C" w:rsidP="002B7A61">
            <w:pPr>
              <w:jc w:val="center"/>
              <w:rPr>
                <w:rFonts w:ascii="Arial Narrow" w:eastAsia="Calibri" w:hAnsi="Arial Narrow" w:cs="Calibri"/>
                <w:b/>
                <w:sz w:val="18"/>
                <w:szCs w:val="18"/>
                <w:lang w:eastAsia="en-US"/>
              </w:rPr>
            </w:pPr>
            <w:r w:rsidRPr="00E148FC">
              <w:rPr>
                <w:rFonts w:ascii="Arial Narrow" w:eastAsia="Calibri" w:hAnsi="Arial Narrow" w:cs="Calibri"/>
                <w:b/>
                <w:sz w:val="18"/>
                <w:szCs w:val="18"/>
                <w:lang w:eastAsia="en-US"/>
              </w:rPr>
              <w:t>№.of</w:t>
            </w:r>
          </w:p>
          <w:p w:rsidR="00EB3C1C" w:rsidRPr="00E148FC" w:rsidRDefault="00EB3C1C" w:rsidP="002B7A61">
            <w:pPr>
              <w:jc w:val="center"/>
              <w:rPr>
                <w:rFonts w:ascii="Arial Narrow" w:eastAsia="Calibri" w:hAnsi="Arial Narrow" w:cs="Calibri"/>
                <w:b/>
                <w:sz w:val="18"/>
                <w:szCs w:val="18"/>
                <w:lang w:eastAsia="en-US"/>
              </w:rPr>
            </w:pPr>
            <w:r w:rsidRPr="00E148FC">
              <w:rPr>
                <w:rFonts w:ascii="Arial Narrow" w:eastAsia="Calibri" w:hAnsi="Arial Narrow" w:cs="Calibri"/>
                <w:b/>
                <w:sz w:val="18"/>
                <w:szCs w:val="18"/>
                <w:lang w:eastAsia="en-US"/>
              </w:rPr>
              <w:t>Rpts</w:t>
            </w:r>
          </w:p>
        </w:tc>
        <w:tc>
          <w:tcPr>
            <w:tcW w:w="1250" w:type="pct"/>
            <w:gridSpan w:val="2"/>
          </w:tcPr>
          <w:p w:rsidR="00EB3C1C" w:rsidRPr="00E148FC" w:rsidRDefault="00EB3C1C" w:rsidP="002B7A61">
            <w:pPr>
              <w:jc w:val="left"/>
              <w:rPr>
                <w:rFonts w:ascii="Arial Narrow" w:eastAsia="Calibri" w:hAnsi="Arial Narrow" w:cs="Calibri"/>
                <w:b/>
                <w:sz w:val="18"/>
                <w:szCs w:val="18"/>
                <w:lang w:eastAsia="en-US"/>
              </w:rPr>
            </w:pPr>
            <w:r w:rsidRPr="00E148FC">
              <w:rPr>
                <w:rFonts w:ascii="Arial Narrow" w:eastAsia="Calibri" w:hAnsi="Arial Narrow" w:cs="Calibri"/>
                <w:b/>
                <w:sz w:val="18"/>
                <w:szCs w:val="18"/>
                <w:lang w:eastAsia="en-US"/>
              </w:rPr>
              <w:t>Proprietary Name and Manufacturer</w:t>
            </w:r>
          </w:p>
        </w:tc>
      </w:tr>
      <w:tr w:rsidR="00EB3C1C" w:rsidRPr="00E148FC" w:rsidTr="002B6CD8">
        <w:trPr>
          <w:cantSplit/>
          <w:trHeight w:val="20"/>
        </w:trPr>
        <w:tc>
          <w:tcPr>
            <w:tcW w:w="1872" w:type="pct"/>
          </w:tcPr>
          <w:p w:rsidR="00EB3C1C" w:rsidRPr="00E148FC" w:rsidRDefault="00EB3C1C" w:rsidP="002B7A61">
            <w:pPr>
              <w:spacing w:after="160" w:line="259" w:lineRule="auto"/>
              <w:jc w:val="left"/>
              <w:rPr>
                <w:rFonts w:ascii="Arial Narrow" w:eastAsia="Calibri" w:hAnsi="Arial Narrow" w:cs="Calibri"/>
                <w:sz w:val="18"/>
                <w:szCs w:val="18"/>
                <w:lang w:eastAsia="en-US"/>
              </w:rPr>
            </w:pPr>
            <w:r w:rsidRPr="00E148FC">
              <w:rPr>
                <w:rFonts w:ascii="Arial Narrow" w:eastAsia="Calibri" w:hAnsi="Arial Narrow" w:cs="Calibri"/>
                <w:sz w:val="18"/>
                <w:szCs w:val="18"/>
                <w:lang w:eastAsia="en-US"/>
              </w:rPr>
              <w:t>SEMAGLUTIDE</w:t>
            </w:r>
          </w:p>
          <w:p w:rsidR="00EB3C1C" w:rsidRPr="00E148FC" w:rsidRDefault="00FE388C" w:rsidP="002B7A61">
            <w:pPr>
              <w:spacing w:after="160" w:line="259" w:lineRule="auto"/>
              <w:jc w:val="left"/>
              <w:rPr>
                <w:rFonts w:ascii="Arial Narrow" w:eastAsia="Calibri" w:hAnsi="Arial Narrow" w:cs="Calibri"/>
                <w:sz w:val="18"/>
                <w:szCs w:val="18"/>
                <w:lang w:eastAsia="en-US"/>
              </w:rPr>
            </w:pPr>
            <w:r w:rsidRPr="00E148FC">
              <w:rPr>
                <w:rFonts w:ascii="Arial Narrow" w:hAnsi="Arial Narrow"/>
                <w:sz w:val="18"/>
                <w:szCs w:val="18"/>
              </w:rPr>
              <w:t>semaglutide 1.34 mg/mL injection, 1 x 1.5 mL pen device</w:t>
            </w:r>
          </w:p>
        </w:tc>
        <w:tc>
          <w:tcPr>
            <w:tcW w:w="548" w:type="pct"/>
          </w:tcPr>
          <w:p w:rsidR="00EB3C1C" w:rsidRPr="00E148FC" w:rsidRDefault="00EB3C1C" w:rsidP="002B7A61">
            <w:pPr>
              <w:spacing w:after="160" w:line="259" w:lineRule="auto"/>
              <w:jc w:val="center"/>
              <w:rPr>
                <w:rFonts w:ascii="Arial Narrow" w:eastAsia="Calibri" w:hAnsi="Arial Narrow" w:cs="Calibri"/>
                <w:sz w:val="18"/>
                <w:szCs w:val="18"/>
                <w:lang w:eastAsia="en-US"/>
              </w:rPr>
            </w:pPr>
          </w:p>
          <w:p w:rsidR="00EB3C1C" w:rsidRPr="00E148FC" w:rsidRDefault="00EB3C1C" w:rsidP="002B7A61">
            <w:pPr>
              <w:spacing w:after="160" w:line="259" w:lineRule="auto"/>
              <w:jc w:val="center"/>
              <w:rPr>
                <w:rFonts w:ascii="Arial Narrow" w:eastAsia="Calibri" w:hAnsi="Arial Narrow" w:cs="Calibri"/>
                <w:sz w:val="18"/>
                <w:szCs w:val="18"/>
                <w:lang w:eastAsia="en-US"/>
              </w:rPr>
            </w:pPr>
            <w:r w:rsidRPr="00E148FC">
              <w:rPr>
                <w:rFonts w:ascii="Arial Narrow" w:eastAsia="Calibri" w:hAnsi="Arial Narrow" w:cs="Calibri"/>
                <w:sz w:val="18"/>
                <w:szCs w:val="18"/>
                <w:lang w:eastAsia="en-US"/>
              </w:rPr>
              <w:t>12080T</w:t>
            </w:r>
          </w:p>
        </w:tc>
        <w:tc>
          <w:tcPr>
            <w:tcW w:w="469" w:type="pct"/>
          </w:tcPr>
          <w:p w:rsidR="00EB3C1C" w:rsidRPr="00E148FC" w:rsidRDefault="00EB3C1C" w:rsidP="002B7A61">
            <w:pPr>
              <w:spacing w:after="160" w:line="259" w:lineRule="auto"/>
              <w:jc w:val="center"/>
              <w:rPr>
                <w:rFonts w:ascii="Arial Narrow" w:eastAsia="Calibri" w:hAnsi="Arial Narrow" w:cs="Calibri"/>
                <w:sz w:val="18"/>
                <w:szCs w:val="18"/>
                <w:lang w:eastAsia="en-US"/>
              </w:rPr>
            </w:pPr>
          </w:p>
          <w:p w:rsidR="00EB3C1C" w:rsidRPr="00E148FC" w:rsidRDefault="00EB3C1C" w:rsidP="002B7A61">
            <w:pPr>
              <w:spacing w:after="160" w:line="259" w:lineRule="auto"/>
              <w:jc w:val="center"/>
              <w:rPr>
                <w:rFonts w:ascii="Arial Narrow" w:eastAsia="Calibri" w:hAnsi="Arial Narrow" w:cs="Calibri"/>
                <w:sz w:val="18"/>
                <w:szCs w:val="18"/>
                <w:lang w:eastAsia="en-US"/>
              </w:rPr>
            </w:pPr>
            <w:r w:rsidRPr="00E148FC">
              <w:rPr>
                <w:rFonts w:ascii="Arial Narrow" w:eastAsia="Calibri" w:hAnsi="Arial Narrow" w:cs="Calibri"/>
                <w:sz w:val="18"/>
                <w:szCs w:val="18"/>
                <w:lang w:eastAsia="en-US"/>
              </w:rPr>
              <w:t>1</w:t>
            </w:r>
          </w:p>
        </w:tc>
        <w:tc>
          <w:tcPr>
            <w:tcW w:w="470" w:type="pct"/>
          </w:tcPr>
          <w:p w:rsidR="00EB3C1C" w:rsidRPr="00E148FC" w:rsidRDefault="00EB3C1C" w:rsidP="002B7A61">
            <w:pPr>
              <w:spacing w:after="160" w:line="259" w:lineRule="auto"/>
              <w:jc w:val="center"/>
              <w:rPr>
                <w:rFonts w:ascii="Arial Narrow" w:eastAsia="Calibri" w:hAnsi="Arial Narrow" w:cs="Calibri"/>
                <w:sz w:val="18"/>
                <w:szCs w:val="18"/>
                <w:lang w:eastAsia="en-US"/>
              </w:rPr>
            </w:pPr>
          </w:p>
          <w:p w:rsidR="00EB3C1C" w:rsidRPr="00E148FC" w:rsidRDefault="00EB3C1C" w:rsidP="002B7A61">
            <w:pPr>
              <w:spacing w:after="160" w:line="259" w:lineRule="auto"/>
              <w:jc w:val="center"/>
              <w:rPr>
                <w:rFonts w:ascii="Arial Narrow" w:eastAsia="Calibri" w:hAnsi="Arial Narrow" w:cs="Calibri"/>
                <w:sz w:val="18"/>
                <w:szCs w:val="18"/>
                <w:lang w:eastAsia="en-US"/>
              </w:rPr>
            </w:pPr>
            <w:r w:rsidRPr="00E148FC">
              <w:rPr>
                <w:rFonts w:ascii="Arial Narrow" w:eastAsia="Calibri" w:hAnsi="Arial Narrow" w:cs="Calibri"/>
                <w:sz w:val="18"/>
                <w:szCs w:val="18"/>
                <w:lang w:eastAsia="en-US"/>
              </w:rPr>
              <w:t>1</w:t>
            </w:r>
          </w:p>
        </w:tc>
        <w:tc>
          <w:tcPr>
            <w:tcW w:w="391" w:type="pct"/>
          </w:tcPr>
          <w:p w:rsidR="00EB3C1C" w:rsidRPr="00E148FC" w:rsidRDefault="00EB3C1C" w:rsidP="002B7A61">
            <w:pPr>
              <w:spacing w:after="160" w:line="259" w:lineRule="auto"/>
              <w:jc w:val="center"/>
              <w:rPr>
                <w:rFonts w:ascii="Arial Narrow" w:eastAsia="Calibri" w:hAnsi="Arial Narrow" w:cs="Calibri"/>
                <w:sz w:val="18"/>
                <w:szCs w:val="18"/>
                <w:lang w:eastAsia="en-US"/>
              </w:rPr>
            </w:pPr>
          </w:p>
          <w:p w:rsidR="00EB3C1C" w:rsidRPr="00E148FC" w:rsidRDefault="00EB3C1C" w:rsidP="002B7A61">
            <w:pPr>
              <w:spacing w:after="160" w:line="259" w:lineRule="auto"/>
              <w:jc w:val="center"/>
              <w:rPr>
                <w:rFonts w:ascii="Arial Narrow" w:eastAsia="Calibri" w:hAnsi="Arial Narrow" w:cs="Calibri"/>
                <w:sz w:val="18"/>
                <w:szCs w:val="18"/>
                <w:lang w:eastAsia="en-US"/>
              </w:rPr>
            </w:pPr>
            <w:r w:rsidRPr="00E148FC">
              <w:rPr>
                <w:rFonts w:ascii="Arial Narrow" w:eastAsia="Calibri" w:hAnsi="Arial Narrow" w:cs="Calibri"/>
                <w:sz w:val="18"/>
                <w:szCs w:val="18"/>
                <w:lang w:eastAsia="en-US"/>
              </w:rPr>
              <w:t>5</w:t>
            </w:r>
          </w:p>
        </w:tc>
        <w:tc>
          <w:tcPr>
            <w:tcW w:w="548" w:type="pct"/>
          </w:tcPr>
          <w:p w:rsidR="00EB3C1C" w:rsidRPr="00E148FC" w:rsidRDefault="00EB3C1C" w:rsidP="002B7A61">
            <w:pPr>
              <w:spacing w:after="160" w:line="259" w:lineRule="auto"/>
              <w:jc w:val="left"/>
              <w:rPr>
                <w:rFonts w:ascii="Arial Narrow" w:eastAsia="Calibri" w:hAnsi="Arial Narrow" w:cs="Calibri"/>
                <w:sz w:val="18"/>
                <w:szCs w:val="18"/>
                <w:lang w:eastAsia="en-US"/>
              </w:rPr>
            </w:pPr>
          </w:p>
          <w:p w:rsidR="00EB3C1C" w:rsidRPr="00E148FC" w:rsidRDefault="00EB3C1C" w:rsidP="002B7A61">
            <w:pPr>
              <w:spacing w:after="160" w:line="259" w:lineRule="auto"/>
              <w:jc w:val="left"/>
              <w:rPr>
                <w:rFonts w:ascii="Arial Narrow" w:eastAsia="Calibri" w:hAnsi="Arial Narrow" w:cs="Calibri"/>
                <w:sz w:val="18"/>
                <w:szCs w:val="18"/>
                <w:lang w:eastAsia="en-US"/>
              </w:rPr>
            </w:pPr>
            <w:r w:rsidRPr="00E148FC">
              <w:rPr>
                <w:rFonts w:ascii="Arial Narrow" w:eastAsia="Calibri" w:hAnsi="Arial Narrow" w:cs="Calibri"/>
                <w:sz w:val="18"/>
                <w:szCs w:val="18"/>
                <w:lang w:eastAsia="en-US"/>
              </w:rPr>
              <w:t>Ozempic</w:t>
            </w:r>
            <w:r w:rsidRPr="00E148FC">
              <w:rPr>
                <w:rFonts w:ascii="Arial Narrow" w:eastAsia="Calibri" w:hAnsi="Arial Narrow" w:cs="Calibri"/>
                <w:sz w:val="18"/>
                <w:szCs w:val="18"/>
                <w:vertAlign w:val="superscript"/>
                <w:lang w:eastAsia="en-US"/>
              </w:rPr>
              <w:t>®</w:t>
            </w:r>
            <w:r w:rsidRPr="00E148FC">
              <w:rPr>
                <w:rFonts w:ascii="Arial Narrow" w:eastAsia="Calibri" w:hAnsi="Arial Narrow" w:cs="Calibri"/>
                <w:sz w:val="18"/>
                <w:szCs w:val="18"/>
                <w:lang w:eastAsia="en-US"/>
              </w:rPr>
              <w:t xml:space="preserve"> </w:t>
            </w:r>
          </w:p>
        </w:tc>
        <w:tc>
          <w:tcPr>
            <w:tcW w:w="703" w:type="pct"/>
          </w:tcPr>
          <w:p w:rsidR="00EB3C1C" w:rsidRPr="00E148FC" w:rsidRDefault="00EB3C1C" w:rsidP="002B7A61">
            <w:pPr>
              <w:spacing w:after="160" w:line="259" w:lineRule="auto"/>
              <w:jc w:val="left"/>
              <w:rPr>
                <w:rFonts w:ascii="Arial Narrow" w:eastAsia="Calibri" w:hAnsi="Arial Narrow" w:cs="Calibri"/>
                <w:sz w:val="18"/>
                <w:szCs w:val="18"/>
                <w:lang w:eastAsia="en-US"/>
              </w:rPr>
            </w:pPr>
          </w:p>
          <w:p w:rsidR="00EB3C1C" w:rsidRPr="00E148FC" w:rsidRDefault="00EB3C1C" w:rsidP="002B7A61">
            <w:pPr>
              <w:spacing w:after="160" w:line="259" w:lineRule="auto"/>
              <w:jc w:val="left"/>
              <w:rPr>
                <w:rFonts w:ascii="Arial Narrow" w:eastAsia="Calibri" w:hAnsi="Arial Narrow" w:cs="Calibri"/>
                <w:sz w:val="18"/>
                <w:szCs w:val="18"/>
                <w:lang w:eastAsia="en-US"/>
              </w:rPr>
            </w:pPr>
            <w:r w:rsidRPr="00E148FC">
              <w:rPr>
                <w:rFonts w:ascii="Arial Narrow" w:eastAsia="Calibri" w:hAnsi="Arial Narrow" w:cs="Calibri"/>
                <w:sz w:val="18"/>
                <w:szCs w:val="18"/>
                <w:lang w:eastAsia="en-US"/>
              </w:rPr>
              <w:t xml:space="preserve">Novo Nordisk </w:t>
            </w:r>
          </w:p>
        </w:tc>
      </w:tr>
      <w:tr w:rsidR="00FE388C" w:rsidRPr="00E148FC" w:rsidTr="002B6CD8">
        <w:trPr>
          <w:cantSplit/>
          <w:trHeight w:val="20"/>
        </w:trPr>
        <w:tc>
          <w:tcPr>
            <w:tcW w:w="1872" w:type="pct"/>
          </w:tcPr>
          <w:p w:rsidR="00FE388C" w:rsidRPr="00E148FC" w:rsidRDefault="00FE388C" w:rsidP="00FE388C">
            <w:pPr>
              <w:spacing w:after="160" w:line="259" w:lineRule="auto"/>
              <w:jc w:val="left"/>
              <w:rPr>
                <w:rFonts w:ascii="Arial Narrow" w:eastAsia="Calibri" w:hAnsi="Arial Narrow" w:cs="Calibri"/>
                <w:sz w:val="18"/>
                <w:szCs w:val="18"/>
                <w:lang w:eastAsia="en-US"/>
              </w:rPr>
            </w:pPr>
            <w:r w:rsidRPr="00E148FC">
              <w:rPr>
                <w:rFonts w:ascii="Arial Narrow" w:hAnsi="Arial Narrow"/>
                <w:sz w:val="18"/>
                <w:szCs w:val="18"/>
              </w:rPr>
              <w:t>semaglutide 1.34 mg/mL injection, 1 x 3 mL pen device</w:t>
            </w:r>
          </w:p>
        </w:tc>
        <w:tc>
          <w:tcPr>
            <w:tcW w:w="548" w:type="pct"/>
          </w:tcPr>
          <w:p w:rsidR="00FE388C" w:rsidRPr="00E148FC" w:rsidRDefault="00FE388C" w:rsidP="00FE388C">
            <w:pPr>
              <w:spacing w:after="160" w:line="259" w:lineRule="auto"/>
              <w:jc w:val="center"/>
              <w:rPr>
                <w:rFonts w:ascii="Arial Narrow" w:eastAsia="Calibri" w:hAnsi="Arial Narrow" w:cs="Calibri"/>
                <w:sz w:val="18"/>
                <w:szCs w:val="18"/>
                <w:lang w:eastAsia="en-US"/>
              </w:rPr>
            </w:pPr>
            <w:r w:rsidRPr="00E148FC">
              <w:rPr>
                <w:rFonts w:ascii="Arial Narrow" w:eastAsia="Calibri" w:hAnsi="Arial Narrow" w:cs="Calibri"/>
                <w:sz w:val="18"/>
                <w:szCs w:val="18"/>
                <w:lang w:eastAsia="en-US"/>
              </w:rPr>
              <w:t>12075M</w:t>
            </w:r>
          </w:p>
        </w:tc>
        <w:tc>
          <w:tcPr>
            <w:tcW w:w="469" w:type="pct"/>
          </w:tcPr>
          <w:p w:rsidR="00FE388C" w:rsidRPr="00E148FC" w:rsidRDefault="00FE388C" w:rsidP="00FE388C">
            <w:pPr>
              <w:spacing w:after="160" w:line="259" w:lineRule="auto"/>
              <w:jc w:val="center"/>
              <w:rPr>
                <w:rFonts w:ascii="Arial Narrow" w:eastAsia="Calibri" w:hAnsi="Arial Narrow" w:cs="Calibri"/>
                <w:sz w:val="18"/>
                <w:szCs w:val="18"/>
                <w:lang w:eastAsia="en-US"/>
              </w:rPr>
            </w:pPr>
            <w:r w:rsidRPr="00E148FC">
              <w:rPr>
                <w:rFonts w:ascii="Arial Narrow" w:eastAsia="Calibri" w:hAnsi="Arial Narrow" w:cs="Calibri"/>
                <w:sz w:val="18"/>
                <w:szCs w:val="18"/>
                <w:lang w:eastAsia="en-US"/>
              </w:rPr>
              <w:t>1</w:t>
            </w:r>
          </w:p>
        </w:tc>
        <w:tc>
          <w:tcPr>
            <w:tcW w:w="470" w:type="pct"/>
          </w:tcPr>
          <w:p w:rsidR="00FE388C" w:rsidRPr="00E148FC" w:rsidRDefault="00FE388C" w:rsidP="00FE388C">
            <w:pPr>
              <w:spacing w:after="160" w:line="259" w:lineRule="auto"/>
              <w:jc w:val="center"/>
              <w:rPr>
                <w:rFonts w:ascii="Arial Narrow" w:eastAsia="Calibri" w:hAnsi="Arial Narrow" w:cs="Calibri"/>
                <w:sz w:val="18"/>
                <w:szCs w:val="18"/>
                <w:lang w:eastAsia="en-US"/>
              </w:rPr>
            </w:pPr>
            <w:r w:rsidRPr="00E148FC">
              <w:rPr>
                <w:rFonts w:ascii="Arial Narrow" w:eastAsia="Calibri" w:hAnsi="Arial Narrow" w:cs="Calibri"/>
                <w:sz w:val="18"/>
                <w:szCs w:val="18"/>
                <w:lang w:eastAsia="en-US"/>
              </w:rPr>
              <w:t>1</w:t>
            </w:r>
          </w:p>
        </w:tc>
        <w:tc>
          <w:tcPr>
            <w:tcW w:w="391" w:type="pct"/>
          </w:tcPr>
          <w:p w:rsidR="00FE388C" w:rsidRPr="00E148FC" w:rsidRDefault="00FE388C" w:rsidP="00FE388C">
            <w:pPr>
              <w:spacing w:after="160" w:line="259" w:lineRule="auto"/>
              <w:jc w:val="center"/>
              <w:rPr>
                <w:rFonts w:ascii="Arial Narrow" w:eastAsia="Calibri" w:hAnsi="Arial Narrow" w:cs="Calibri"/>
                <w:sz w:val="18"/>
                <w:szCs w:val="18"/>
                <w:lang w:eastAsia="en-US"/>
              </w:rPr>
            </w:pPr>
            <w:r w:rsidRPr="00E148FC">
              <w:rPr>
                <w:rFonts w:ascii="Arial Narrow" w:eastAsia="Calibri" w:hAnsi="Arial Narrow" w:cs="Calibri"/>
                <w:sz w:val="18"/>
                <w:szCs w:val="18"/>
                <w:lang w:eastAsia="en-US"/>
              </w:rPr>
              <w:t>5</w:t>
            </w:r>
          </w:p>
        </w:tc>
        <w:tc>
          <w:tcPr>
            <w:tcW w:w="548" w:type="pct"/>
          </w:tcPr>
          <w:p w:rsidR="00FE388C" w:rsidRPr="00E148FC" w:rsidRDefault="00FE388C" w:rsidP="00FE388C">
            <w:pPr>
              <w:spacing w:after="160" w:line="259" w:lineRule="auto"/>
              <w:jc w:val="left"/>
              <w:rPr>
                <w:rFonts w:ascii="Arial Narrow" w:eastAsia="Calibri" w:hAnsi="Arial Narrow" w:cs="Calibri"/>
                <w:sz w:val="18"/>
                <w:szCs w:val="18"/>
                <w:lang w:eastAsia="en-US"/>
              </w:rPr>
            </w:pPr>
            <w:r w:rsidRPr="00E148FC">
              <w:rPr>
                <w:rFonts w:ascii="Arial Narrow" w:eastAsia="Calibri" w:hAnsi="Arial Narrow" w:cs="Calibri"/>
                <w:sz w:val="18"/>
                <w:szCs w:val="18"/>
                <w:lang w:eastAsia="en-US"/>
              </w:rPr>
              <w:t>Ozempic</w:t>
            </w:r>
            <w:r w:rsidRPr="00E148FC">
              <w:rPr>
                <w:rFonts w:ascii="Arial Narrow" w:eastAsia="Calibri" w:hAnsi="Arial Narrow" w:cs="Calibri"/>
                <w:sz w:val="18"/>
                <w:szCs w:val="18"/>
                <w:vertAlign w:val="superscript"/>
                <w:lang w:eastAsia="en-US"/>
              </w:rPr>
              <w:t>®</w:t>
            </w:r>
          </w:p>
        </w:tc>
        <w:tc>
          <w:tcPr>
            <w:tcW w:w="703" w:type="pct"/>
          </w:tcPr>
          <w:p w:rsidR="00FE388C" w:rsidRPr="00E148FC" w:rsidRDefault="00FE388C" w:rsidP="00FE388C">
            <w:pPr>
              <w:spacing w:after="160" w:line="259" w:lineRule="auto"/>
              <w:jc w:val="left"/>
              <w:rPr>
                <w:rFonts w:ascii="Arial Narrow" w:eastAsia="Calibri" w:hAnsi="Arial Narrow" w:cs="Calibri"/>
                <w:sz w:val="18"/>
                <w:szCs w:val="18"/>
                <w:lang w:eastAsia="en-US"/>
              </w:rPr>
            </w:pPr>
            <w:r w:rsidRPr="00E148FC">
              <w:rPr>
                <w:rFonts w:ascii="Arial Narrow" w:eastAsia="Calibri" w:hAnsi="Arial Narrow" w:cs="Calibri"/>
                <w:sz w:val="18"/>
                <w:szCs w:val="18"/>
                <w:lang w:eastAsia="en-US"/>
              </w:rPr>
              <w:t xml:space="preserve">Novo Nordisk </w:t>
            </w:r>
          </w:p>
        </w:tc>
      </w:tr>
    </w:tbl>
    <w:p w:rsidR="00EB3C1C" w:rsidRPr="00E148FC" w:rsidRDefault="00EB3C1C" w:rsidP="00BE6B24">
      <w:pPr>
        <w:ind w:left="57"/>
        <w:jc w:val="left"/>
        <w:rPr>
          <w:rFonts w:ascii="Arial Narrow" w:hAnsi="Arial Narrow"/>
          <w:b/>
          <w:sz w:val="18"/>
          <w:szCs w:val="18"/>
        </w:rPr>
      </w:pPr>
    </w:p>
    <w:p w:rsidR="00BE6B24" w:rsidRPr="00E148FC" w:rsidRDefault="00BE6B24" w:rsidP="00BE6B24">
      <w:pPr>
        <w:ind w:left="57"/>
        <w:jc w:val="left"/>
        <w:rPr>
          <w:rFonts w:ascii="Arial Narrow" w:hAnsi="Arial Narrow"/>
          <w:b/>
          <w:sz w:val="18"/>
          <w:szCs w:val="18"/>
        </w:rPr>
      </w:pPr>
      <w:r w:rsidRPr="00E148FC">
        <w:rPr>
          <w:rFonts w:ascii="Arial Narrow" w:hAnsi="Arial Narrow"/>
          <w:b/>
          <w:sz w:val="18"/>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6"/>
        <w:gridCol w:w="8041"/>
      </w:tblGrid>
      <w:tr w:rsidR="00FE388C" w:rsidRPr="00E148FC" w:rsidTr="002B6CD8">
        <w:tc>
          <w:tcPr>
            <w:tcW w:w="5000" w:type="pct"/>
            <w:gridSpan w:val="2"/>
            <w:tcBorders>
              <w:top w:val="single" w:sz="4" w:space="0" w:color="auto"/>
              <w:left w:val="single" w:sz="4" w:space="0" w:color="auto"/>
              <w:right w:val="single" w:sz="4" w:space="0" w:color="auto"/>
            </w:tcBorders>
          </w:tcPr>
          <w:p w:rsidR="00FE388C" w:rsidRPr="00E148FC" w:rsidRDefault="00FE388C" w:rsidP="000F36FE">
            <w:pPr>
              <w:keepNext/>
              <w:keepLines/>
              <w:ind w:left="57"/>
              <w:rPr>
                <w:rFonts w:ascii="Arial Narrow" w:hAnsi="Arial Narrow"/>
                <w:b/>
                <w:sz w:val="18"/>
                <w:szCs w:val="18"/>
              </w:rPr>
            </w:pPr>
            <w:r w:rsidRPr="00E148FC">
              <w:rPr>
                <w:rFonts w:ascii="Arial Narrow" w:hAnsi="Arial Narrow"/>
                <w:b/>
                <w:sz w:val="18"/>
                <w:szCs w:val="18"/>
              </w:rPr>
              <w:lastRenderedPageBreak/>
              <w:t xml:space="preserve">Restriction Summary 5469 / Treatment of Concept: 5469 </w:t>
            </w:r>
          </w:p>
        </w:tc>
      </w:tr>
      <w:tr w:rsidR="00FE388C" w:rsidRPr="00E148FC" w:rsidTr="002B6CD8">
        <w:tc>
          <w:tcPr>
            <w:tcW w:w="541" w:type="pct"/>
            <w:vMerge w:val="restart"/>
            <w:tcBorders>
              <w:top w:val="single" w:sz="4" w:space="0" w:color="auto"/>
              <w:left w:val="single" w:sz="4" w:space="0" w:color="auto"/>
              <w:right w:val="single" w:sz="4" w:space="0" w:color="auto"/>
            </w:tcBorders>
          </w:tcPr>
          <w:p w:rsidR="00FE388C" w:rsidRPr="00E148FC" w:rsidRDefault="00FE388C" w:rsidP="000F36FE">
            <w:pPr>
              <w:keepNext/>
              <w:keepLines/>
              <w:jc w:val="center"/>
              <w:rPr>
                <w:rFonts w:ascii="Arial Narrow" w:hAnsi="Arial Narrow"/>
                <w:sz w:val="18"/>
                <w:szCs w:val="18"/>
              </w:rPr>
            </w:pPr>
          </w:p>
        </w:tc>
        <w:tc>
          <w:tcPr>
            <w:tcW w:w="4459" w:type="pct"/>
            <w:tcBorders>
              <w:top w:val="single" w:sz="4" w:space="0" w:color="auto"/>
              <w:left w:val="single" w:sz="4" w:space="0" w:color="auto"/>
              <w:bottom w:val="single" w:sz="4" w:space="0" w:color="auto"/>
              <w:right w:val="single" w:sz="4" w:space="0" w:color="auto"/>
            </w:tcBorders>
          </w:tcPr>
          <w:p w:rsidR="00FE388C" w:rsidRPr="00E148FC" w:rsidRDefault="00FE388C" w:rsidP="000F36FE">
            <w:pPr>
              <w:keepNext/>
              <w:keepLines/>
              <w:rPr>
                <w:rFonts w:ascii="Arial Narrow" w:hAnsi="Arial Narrow"/>
                <w:sz w:val="18"/>
                <w:szCs w:val="18"/>
              </w:rPr>
            </w:pPr>
            <w:r w:rsidRPr="00E148FC">
              <w:rPr>
                <w:rFonts w:ascii="Arial Narrow" w:hAnsi="Arial Narrow"/>
                <w:b/>
                <w:sz w:val="18"/>
                <w:szCs w:val="18"/>
              </w:rPr>
              <w:t xml:space="preserve">Category / Program: </w:t>
            </w:r>
            <w:r w:rsidRPr="00E148FC">
              <w:rPr>
                <w:rFonts w:ascii="Arial Narrow" w:hAnsi="Arial Narrow"/>
                <w:sz w:val="18"/>
                <w:szCs w:val="18"/>
              </w:rPr>
              <w:t>GENERAL – General Schedule (Code GE)</w:t>
            </w:r>
          </w:p>
        </w:tc>
      </w:tr>
      <w:tr w:rsidR="00FE388C" w:rsidRPr="00E148FC" w:rsidTr="002B6CD8">
        <w:trPr>
          <w:trHeight w:val="240"/>
        </w:trPr>
        <w:tc>
          <w:tcPr>
            <w:tcW w:w="541" w:type="pct"/>
            <w:vMerge/>
            <w:tcBorders>
              <w:left w:val="single" w:sz="4" w:space="0" w:color="auto"/>
              <w:right w:val="single" w:sz="4" w:space="0" w:color="auto"/>
            </w:tcBorders>
          </w:tcPr>
          <w:p w:rsidR="00FE388C" w:rsidRPr="00E148FC" w:rsidRDefault="00FE388C" w:rsidP="000F36FE">
            <w:pPr>
              <w:keepNext/>
              <w:keepLines/>
              <w:rPr>
                <w:rFonts w:ascii="Arial Narrow" w:hAnsi="Arial Narrow"/>
                <w:sz w:val="18"/>
                <w:szCs w:val="18"/>
              </w:rPr>
            </w:pPr>
          </w:p>
        </w:tc>
        <w:tc>
          <w:tcPr>
            <w:tcW w:w="4459" w:type="pct"/>
            <w:tcBorders>
              <w:top w:val="single" w:sz="4" w:space="0" w:color="auto"/>
              <w:left w:val="single" w:sz="4" w:space="0" w:color="auto"/>
              <w:bottom w:val="single" w:sz="4" w:space="0" w:color="auto"/>
              <w:right w:val="single" w:sz="4" w:space="0" w:color="auto"/>
            </w:tcBorders>
          </w:tcPr>
          <w:p w:rsidR="00FE388C" w:rsidRPr="00E148FC" w:rsidRDefault="00FE388C" w:rsidP="000F36FE">
            <w:pPr>
              <w:keepNext/>
              <w:keepLines/>
              <w:rPr>
                <w:rFonts w:ascii="Arial Narrow" w:hAnsi="Arial Narrow"/>
                <w:b/>
                <w:sz w:val="18"/>
                <w:szCs w:val="18"/>
              </w:rPr>
            </w:pPr>
            <w:r w:rsidRPr="00E148FC">
              <w:rPr>
                <w:rFonts w:ascii="Arial Narrow" w:hAnsi="Arial Narrow"/>
                <w:b/>
                <w:sz w:val="18"/>
                <w:szCs w:val="18"/>
              </w:rPr>
              <w:t xml:space="preserve">Prescriber type:  </w:t>
            </w:r>
            <w:r w:rsidRPr="00E148FC">
              <w:rPr>
                <w:rFonts w:ascii="Arial Narrow" w:hAnsi="Arial Narrow"/>
                <w:sz w:val="18"/>
                <w:szCs w:val="18"/>
              </w:rPr>
              <w:fldChar w:fldCharType="begin">
                <w:ffData>
                  <w:name w:val=""/>
                  <w:enabled/>
                  <w:calcOnExit w:val="0"/>
                  <w:checkBox>
                    <w:sizeAuto/>
                    <w:default w:val="1"/>
                  </w:checkBox>
                </w:ffData>
              </w:fldChar>
            </w:r>
            <w:r w:rsidRPr="00E148FC">
              <w:rPr>
                <w:rFonts w:ascii="Arial Narrow" w:hAnsi="Arial Narrow"/>
                <w:sz w:val="18"/>
                <w:szCs w:val="18"/>
              </w:rPr>
              <w:instrText xml:space="preserve"> FORMCHECKBOX </w:instrText>
            </w:r>
            <w:r w:rsidR="005E6211">
              <w:rPr>
                <w:rFonts w:ascii="Arial Narrow" w:hAnsi="Arial Narrow"/>
                <w:sz w:val="18"/>
                <w:szCs w:val="18"/>
              </w:rPr>
            </w:r>
            <w:r w:rsidR="005E6211">
              <w:rPr>
                <w:rFonts w:ascii="Arial Narrow" w:hAnsi="Arial Narrow"/>
                <w:sz w:val="18"/>
                <w:szCs w:val="18"/>
              </w:rPr>
              <w:fldChar w:fldCharType="separate"/>
            </w:r>
            <w:r w:rsidRPr="00E148FC">
              <w:rPr>
                <w:rFonts w:ascii="Arial Narrow" w:hAnsi="Arial Narrow"/>
                <w:sz w:val="18"/>
                <w:szCs w:val="18"/>
              </w:rPr>
              <w:fldChar w:fldCharType="end"/>
            </w:r>
            <w:r w:rsidRPr="00E148FC">
              <w:rPr>
                <w:rFonts w:ascii="Arial Narrow" w:hAnsi="Arial Narrow"/>
                <w:sz w:val="18"/>
                <w:szCs w:val="18"/>
              </w:rPr>
              <w:t xml:space="preserve"> Medical Practitioners    </w:t>
            </w:r>
            <w:r w:rsidRPr="00E148FC">
              <w:rPr>
                <w:rFonts w:ascii="Arial Narrow" w:hAnsi="Arial Narrow"/>
                <w:sz w:val="18"/>
                <w:szCs w:val="18"/>
              </w:rPr>
              <w:fldChar w:fldCharType="begin">
                <w:ffData>
                  <w:name w:val="Check3"/>
                  <w:enabled/>
                  <w:calcOnExit w:val="0"/>
                  <w:checkBox>
                    <w:sizeAuto/>
                    <w:default w:val="1"/>
                  </w:checkBox>
                </w:ffData>
              </w:fldChar>
            </w:r>
            <w:r w:rsidRPr="00E148FC">
              <w:rPr>
                <w:rFonts w:ascii="Arial Narrow" w:hAnsi="Arial Narrow"/>
                <w:sz w:val="18"/>
                <w:szCs w:val="18"/>
              </w:rPr>
              <w:instrText xml:space="preserve"> FORMCHECKBOX </w:instrText>
            </w:r>
            <w:r w:rsidR="005E6211">
              <w:rPr>
                <w:rFonts w:ascii="Arial Narrow" w:hAnsi="Arial Narrow"/>
                <w:sz w:val="18"/>
                <w:szCs w:val="18"/>
              </w:rPr>
            </w:r>
            <w:r w:rsidR="005E6211">
              <w:rPr>
                <w:rFonts w:ascii="Arial Narrow" w:hAnsi="Arial Narrow"/>
                <w:sz w:val="18"/>
                <w:szCs w:val="18"/>
              </w:rPr>
              <w:fldChar w:fldCharType="separate"/>
            </w:r>
            <w:r w:rsidRPr="00E148FC">
              <w:rPr>
                <w:rFonts w:ascii="Arial Narrow" w:hAnsi="Arial Narrow"/>
                <w:sz w:val="18"/>
                <w:szCs w:val="18"/>
              </w:rPr>
              <w:fldChar w:fldCharType="end"/>
            </w:r>
            <w:r w:rsidRPr="00E148FC">
              <w:rPr>
                <w:rFonts w:ascii="Arial Narrow" w:hAnsi="Arial Narrow"/>
                <w:sz w:val="18"/>
                <w:szCs w:val="18"/>
              </w:rPr>
              <w:t xml:space="preserve"> Nurse practitioners     </w:t>
            </w:r>
          </w:p>
        </w:tc>
      </w:tr>
      <w:tr w:rsidR="00FE388C" w:rsidRPr="00E148FC" w:rsidTr="002B6CD8">
        <w:trPr>
          <w:trHeight w:val="170"/>
        </w:trPr>
        <w:tc>
          <w:tcPr>
            <w:tcW w:w="541" w:type="pct"/>
            <w:vMerge/>
            <w:tcBorders>
              <w:left w:val="single" w:sz="4" w:space="0" w:color="auto"/>
              <w:bottom w:val="single" w:sz="4" w:space="0" w:color="auto"/>
              <w:right w:val="single" w:sz="4" w:space="0" w:color="auto"/>
            </w:tcBorders>
          </w:tcPr>
          <w:p w:rsidR="00FE388C" w:rsidRPr="00E148FC" w:rsidRDefault="00FE388C" w:rsidP="000F36FE">
            <w:pPr>
              <w:keepNext/>
              <w:keepLines/>
              <w:rPr>
                <w:rFonts w:ascii="Arial Narrow" w:hAnsi="Arial Narrow"/>
                <w:sz w:val="18"/>
                <w:szCs w:val="18"/>
              </w:rPr>
            </w:pPr>
          </w:p>
        </w:tc>
        <w:tc>
          <w:tcPr>
            <w:tcW w:w="4459" w:type="pct"/>
            <w:tcBorders>
              <w:top w:val="single" w:sz="4" w:space="0" w:color="auto"/>
              <w:left w:val="single" w:sz="4" w:space="0" w:color="auto"/>
              <w:bottom w:val="single" w:sz="4" w:space="0" w:color="auto"/>
              <w:right w:val="single" w:sz="4" w:space="0" w:color="auto"/>
            </w:tcBorders>
          </w:tcPr>
          <w:p w:rsidR="00FE388C" w:rsidRPr="00E148FC" w:rsidRDefault="00FE388C" w:rsidP="000F36FE">
            <w:pPr>
              <w:keepNext/>
              <w:keepLines/>
              <w:rPr>
                <w:rFonts w:ascii="Arial Narrow" w:hAnsi="Arial Narrow"/>
                <w:b/>
                <w:sz w:val="18"/>
                <w:szCs w:val="18"/>
              </w:rPr>
            </w:pPr>
            <w:r w:rsidRPr="00E148FC">
              <w:rPr>
                <w:rFonts w:ascii="Arial Narrow" w:hAnsi="Arial Narrow"/>
                <w:b/>
                <w:sz w:val="18"/>
                <w:szCs w:val="18"/>
              </w:rPr>
              <w:t xml:space="preserve">Restriction type:  </w:t>
            </w:r>
            <w:r w:rsidRPr="00E148FC">
              <w:rPr>
                <w:rFonts w:ascii="Arial Narrow" w:eastAsia="Calibri" w:hAnsi="Arial Narrow"/>
                <w:sz w:val="18"/>
                <w:szCs w:val="18"/>
              </w:rPr>
              <w:fldChar w:fldCharType="begin">
                <w:ffData>
                  <w:name w:val=""/>
                  <w:enabled/>
                  <w:calcOnExit w:val="0"/>
                  <w:checkBox>
                    <w:sizeAuto/>
                    <w:default w:val="1"/>
                  </w:checkBox>
                </w:ffData>
              </w:fldChar>
            </w:r>
            <w:r w:rsidRPr="00E148FC">
              <w:rPr>
                <w:rFonts w:ascii="Arial Narrow" w:eastAsia="Calibri" w:hAnsi="Arial Narrow"/>
                <w:sz w:val="18"/>
                <w:szCs w:val="18"/>
              </w:rPr>
              <w:instrText xml:space="preserve"> FORMCHECKBOX </w:instrText>
            </w:r>
            <w:r w:rsidR="005E6211">
              <w:rPr>
                <w:rFonts w:ascii="Arial Narrow" w:eastAsia="Calibri" w:hAnsi="Arial Narrow"/>
                <w:sz w:val="18"/>
                <w:szCs w:val="18"/>
              </w:rPr>
            </w:r>
            <w:r w:rsidR="005E6211">
              <w:rPr>
                <w:rFonts w:ascii="Arial Narrow" w:eastAsia="Calibri" w:hAnsi="Arial Narrow"/>
                <w:sz w:val="18"/>
                <w:szCs w:val="18"/>
              </w:rPr>
              <w:fldChar w:fldCharType="separate"/>
            </w:r>
            <w:r w:rsidRPr="00E148FC">
              <w:rPr>
                <w:rFonts w:ascii="Arial Narrow" w:eastAsia="Calibri" w:hAnsi="Arial Narrow"/>
                <w:sz w:val="18"/>
                <w:szCs w:val="18"/>
              </w:rPr>
              <w:fldChar w:fldCharType="end"/>
            </w:r>
            <w:r w:rsidRPr="00E148FC">
              <w:rPr>
                <w:rFonts w:ascii="Arial Narrow" w:eastAsia="Calibri" w:hAnsi="Arial Narrow"/>
                <w:sz w:val="18"/>
                <w:szCs w:val="18"/>
              </w:rPr>
              <w:t xml:space="preserve">Authority Required – Streamlined [5469] </w:t>
            </w:r>
            <w:r w:rsidRPr="00E148FC">
              <w:rPr>
                <w:rFonts w:ascii="Arial Narrow" w:eastAsia="Calibri" w:hAnsi="Arial Narrow"/>
                <w:color w:val="FF00FF"/>
                <w:sz w:val="18"/>
                <w:szCs w:val="18"/>
              </w:rPr>
              <w:t xml:space="preserve"> </w:t>
            </w:r>
          </w:p>
        </w:tc>
      </w:tr>
      <w:tr w:rsidR="00FE388C" w:rsidRPr="00E148FC" w:rsidTr="00FC0A90">
        <w:tc>
          <w:tcPr>
            <w:tcW w:w="541" w:type="pct"/>
            <w:vAlign w:val="center"/>
          </w:tcPr>
          <w:p w:rsidR="00FE388C" w:rsidRPr="00E148FC" w:rsidRDefault="00FE388C" w:rsidP="000F36FE">
            <w:pPr>
              <w:keepNext/>
              <w:keepLines/>
              <w:jc w:val="center"/>
              <w:rPr>
                <w:rFonts w:ascii="Arial Narrow" w:hAnsi="Arial Narrow"/>
                <w:color w:val="333333"/>
                <w:sz w:val="18"/>
                <w:szCs w:val="18"/>
              </w:rPr>
            </w:pPr>
          </w:p>
        </w:tc>
        <w:tc>
          <w:tcPr>
            <w:tcW w:w="4459" w:type="pct"/>
            <w:vAlign w:val="center"/>
            <w:hideMark/>
          </w:tcPr>
          <w:p w:rsidR="00FE388C" w:rsidRPr="00E148FC" w:rsidRDefault="00FE388C" w:rsidP="000F36FE">
            <w:pPr>
              <w:keepNext/>
              <w:keepLines/>
              <w:rPr>
                <w:rFonts w:ascii="Arial Narrow" w:hAnsi="Arial Narrow"/>
                <w:color w:val="333333"/>
                <w:sz w:val="18"/>
                <w:szCs w:val="18"/>
              </w:rPr>
            </w:pPr>
            <w:r w:rsidRPr="00E148FC">
              <w:rPr>
                <w:rFonts w:ascii="Arial Narrow" w:hAnsi="Arial Narrow"/>
                <w:b/>
                <w:bCs/>
                <w:color w:val="333333"/>
                <w:sz w:val="18"/>
                <w:szCs w:val="18"/>
              </w:rPr>
              <w:t>Indication:</w:t>
            </w:r>
            <w:r w:rsidRPr="00E148FC">
              <w:rPr>
                <w:rFonts w:ascii="Arial Narrow" w:hAnsi="Arial Narrow"/>
                <w:color w:val="333333"/>
                <w:sz w:val="18"/>
                <w:szCs w:val="18"/>
              </w:rPr>
              <w:t xml:space="preserve"> Diabetes mellitus type 2</w:t>
            </w:r>
          </w:p>
        </w:tc>
      </w:tr>
      <w:tr w:rsidR="00FE388C" w:rsidRPr="00E148FC" w:rsidTr="00FC0A90">
        <w:tc>
          <w:tcPr>
            <w:tcW w:w="541" w:type="pct"/>
            <w:vAlign w:val="center"/>
          </w:tcPr>
          <w:p w:rsidR="00FE388C" w:rsidRPr="00E148FC" w:rsidRDefault="00FE388C" w:rsidP="000F36FE">
            <w:pPr>
              <w:keepNext/>
              <w:keepLines/>
              <w:jc w:val="center"/>
              <w:rPr>
                <w:rFonts w:ascii="Arial Narrow" w:hAnsi="Arial Narrow"/>
                <w:color w:val="333333"/>
                <w:sz w:val="18"/>
                <w:szCs w:val="18"/>
              </w:rPr>
            </w:pPr>
          </w:p>
        </w:tc>
        <w:tc>
          <w:tcPr>
            <w:tcW w:w="4459" w:type="pct"/>
            <w:vAlign w:val="center"/>
            <w:hideMark/>
          </w:tcPr>
          <w:p w:rsidR="00FE388C" w:rsidRPr="00E148FC" w:rsidRDefault="00FE388C" w:rsidP="000F36FE">
            <w:pPr>
              <w:keepNext/>
              <w:keepLines/>
              <w:rPr>
                <w:rFonts w:ascii="Arial Narrow" w:hAnsi="Arial Narrow"/>
                <w:color w:val="FF00FF"/>
                <w:sz w:val="18"/>
                <w:szCs w:val="18"/>
              </w:rPr>
            </w:pPr>
            <w:r w:rsidRPr="00E148FC">
              <w:rPr>
                <w:rFonts w:ascii="Arial Narrow" w:hAnsi="Arial Narrow"/>
                <w:b/>
                <w:bCs/>
                <w:color w:val="333333"/>
                <w:sz w:val="18"/>
                <w:szCs w:val="18"/>
              </w:rPr>
              <w:t xml:space="preserve">Clinical criteria: </w:t>
            </w:r>
          </w:p>
        </w:tc>
      </w:tr>
      <w:tr w:rsidR="00FE388C" w:rsidRPr="00E148FC" w:rsidTr="00FC0A90">
        <w:tc>
          <w:tcPr>
            <w:tcW w:w="541" w:type="pct"/>
            <w:vAlign w:val="center"/>
          </w:tcPr>
          <w:p w:rsidR="00FE388C" w:rsidRPr="00E148FC" w:rsidRDefault="00FE388C" w:rsidP="000F36FE">
            <w:pPr>
              <w:keepNext/>
              <w:keepLines/>
              <w:jc w:val="center"/>
              <w:rPr>
                <w:rFonts w:ascii="Arial Narrow" w:hAnsi="Arial Narrow"/>
                <w:color w:val="333333"/>
                <w:sz w:val="18"/>
                <w:szCs w:val="18"/>
              </w:rPr>
            </w:pPr>
          </w:p>
        </w:tc>
        <w:tc>
          <w:tcPr>
            <w:tcW w:w="4459" w:type="pct"/>
            <w:vAlign w:val="center"/>
            <w:hideMark/>
          </w:tcPr>
          <w:p w:rsidR="00FE388C" w:rsidRPr="00E148FC" w:rsidRDefault="00FE388C" w:rsidP="000F36FE">
            <w:pPr>
              <w:pStyle w:val="Tabletext0"/>
              <w:keepNext/>
              <w:keepLines/>
              <w:rPr>
                <w:color w:val="333333"/>
                <w:sz w:val="18"/>
                <w:szCs w:val="18"/>
                <w:lang w:eastAsia="en-AU"/>
              </w:rPr>
            </w:pPr>
            <w:r w:rsidRPr="00E148FC">
              <w:rPr>
                <w:color w:val="333333"/>
                <w:sz w:val="18"/>
                <w:szCs w:val="18"/>
                <w:lang w:eastAsia="en-AU"/>
              </w:rPr>
              <w:t>The treatment must be in combination with insulin</w:t>
            </w:r>
          </w:p>
        </w:tc>
      </w:tr>
      <w:tr w:rsidR="00FE388C" w:rsidRPr="00E148FC" w:rsidTr="002B6CD8">
        <w:tc>
          <w:tcPr>
            <w:tcW w:w="541" w:type="pct"/>
            <w:vAlign w:val="center"/>
          </w:tcPr>
          <w:p w:rsidR="00FE388C" w:rsidRPr="00E148FC" w:rsidRDefault="00FE388C" w:rsidP="000F36FE">
            <w:pPr>
              <w:keepNext/>
              <w:keepLines/>
              <w:jc w:val="center"/>
              <w:rPr>
                <w:rFonts w:ascii="Arial Narrow" w:hAnsi="Arial Narrow"/>
                <w:color w:val="333333"/>
                <w:sz w:val="18"/>
                <w:szCs w:val="18"/>
              </w:rPr>
            </w:pPr>
          </w:p>
        </w:tc>
        <w:tc>
          <w:tcPr>
            <w:tcW w:w="4459" w:type="pct"/>
            <w:vAlign w:val="center"/>
          </w:tcPr>
          <w:p w:rsidR="00FE388C" w:rsidRPr="00E148FC" w:rsidRDefault="00FE388C" w:rsidP="000F36FE">
            <w:pPr>
              <w:pStyle w:val="Tabletext0"/>
              <w:keepNext/>
              <w:keepLines/>
              <w:rPr>
                <w:color w:val="333333"/>
                <w:sz w:val="18"/>
                <w:szCs w:val="18"/>
                <w:lang w:eastAsia="en-AU"/>
              </w:rPr>
            </w:pPr>
            <w:r w:rsidRPr="00E148FC">
              <w:rPr>
                <w:b/>
                <w:bCs/>
                <w:color w:val="333333"/>
                <w:sz w:val="18"/>
                <w:szCs w:val="18"/>
                <w:lang w:eastAsia="en-AU"/>
              </w:rPr>
              <w:t>AND</w:t>
            </w:r>
          </w:p>
        </w:tc>
      </w:tr>
      <w:tr w:rsidR="00FE388C" w:rsidRPr="00E148FC" w:rsidTr="002B6CD8">
        <w:tc>
          <w:tcPr>
            <w:tcW w:w="541" w:type="pct"/>
            <w:vAlign w:val="center"/>
          </w:tcPr>
          <w:p w:rsidR="00FE388C" w:rsidRPr="00E148FC" w:rsidRDefault="00FE388C" w:rsidP="000F36FE">
            <w:pPr>
              <w:keepNext/>
              <w:keepLines/>
              <w:jc w:val="center"/>
              <w:rPr>
                <w:rFonts w:ascii="Arial Narrow" w:hAnsi="Arial Narrow"/>
                <w:color w:val="333333"/>
                <w:sz w:val="18"/>
                <w:szCs w:val="18"/>
              </w:rPr>
            </w:pPr>
          </w:p>
        </w:tc>
        <w:tc>
          <w:tcPr>
            <w:tcW w:w="4459" w:type="pct"/>
            <w:vAlign w:val="center"/>
          </w:tcPr>
          <w:p w:rsidR="00FE388C" w:rsidRPr="00E148FC" w:rsidRDefault="00FE388C" w:rsidP="000F36FE">
            <w:pPr>
              <w:pStyle w:val="Tabletext0"/>
              <w:keepNext/>
              <w:keepLines/>
              <w:rPr>
                <w:color w:val="333333"/>
                <w:sz w:val="18"/>
                <w:szCs w:val="18"/>
                <w:lang w:eastAsia="en-AU"/>
              </w:rPr>
            </w:pPr>
            <w:r w:rsidRPr="00E148FC">
              <w:rPr>
                <w:b/>
                <w:bCs/>
                <w:color w:val="333333"/>
                <w:sz w:val="18"/>
                <w:szCs w:val="18"/>
                <w:lang w:eastAsia="en-AU"/>
              </w:rPr>
              <w:t>Clinical criteria:</w:t>
            </w:r>
          </w:p>
        </w:tc>
      </w:tr>
      <w:tr w:rsidR="00FE388C" w:rsidRPr="00E148FC" w:rsidTr="002B6CD8">
        <w:tc>
          <w:tcPr>
            <w:tcW w:w="541" w:type="pct"/>
            <w:vAlign w:val="center"/>
          </w:tcPr>
          <w:p w:rsidR="00FE388C" w:rsidRPr="00E148FC" w:rsidRDefault="00FE388C" w:rsidP="000F36FE">
            <w:pPr>
              <w:keepNext/>
              <w:keepLines/>
              <w:jc w:val="center"/>
              <w:rPr>
                <w:rFonts w:ascii="Arial Narrow" w:hAnsi="Arial Narrow"/>
                <w:color w:val="333333"/>
                <w:sz w:val="18"/>
                <w:szCs w:val="18"/>
              </w:rPr>
            </w:pPr>
          </w:p>
        </w:tc>
        <w:tc>
          <w:tcPr>
            <w:tcW w:w="4459" w:type="pct"/>
            <w:vAlign w:val="center"/>
          </w:tcPr>
          <w:p w:rsidR="00FE388C" w:rsidRPr="00E148FC" w:rsidRDefault="00FE388C" w:rsidP="000F36FE">
            <w:pPr>
              <w:pStyle w:val="Tabletext0"/>
              <w:keepNext/>
              <w:keepLines/>
              <w:rPr>
                <w:color w:val="333333"/>
                <w:sz w:val="18"/>
                <w:szCs w:val="18"/>
                <w:lang w:eastAsia="en-AU"/>
              </w:rPr>
            </w:pPr>
            <w:r w:rsidRPr="00E148FC">
              <w:rPr>
                <w:color w:val="333333"/>
                <w:sz w:val="18"/>
                <w:szCs w:val="18"/>
                <w:lang w:eastAsia="en-AU"/>
              </w:rPr>
              <w:t>The treatment must be in combination with metformin unless contraindicated or not tolerated</w:t>
            </w:r>
          </w:p>
        </w:tc>
      </w:tr>
      <w:tr w:rsidR="00FE388C" w:rsidRPr="00E148FC" w:rsidTr="00FC0A90">
        <w:tc>
          <w:tcPr>
            <w:tcW w:w="541" w:type="pct"/>
            <w:vAlign w:val="center"/>
          </w:tcPr>
          <w:p w:rsidR="00FE388C" w:rsidRPr="00E148FC" w:rsidRDefault="00FE388C" w:rsidP="000F36FE">
            <w:pPr>
              <w:keepNext/>
              <w:keepLines/>
              <w:jc w:val="center"/>
              <w:rPr>
                <w:rFonts w:ascii="Arial Narrow" w:hAnsi="Arial Narrow"/>
                <w:color w:val="333333"/>
                <w:sz w:val="18"/>
                <w:szCs w:val="18"/>
              </w:rPr>
            </w:pPr>
          </w:p>
        </w:tc>
        <w:tc>
          <w:tcPr>
            <w:tcW w:w="4459" w:type="pct"/>
            <w:vAlign w:val="center"/>
            <w:hideMark/>
          </w:tcPr>
          <w:p w:rsidR="00FE388C" w:rsidRPr="00E148FC" w:rsidRDefault="00FE388C" w:rsidP="000F36FE">
            <w:pPr>
              <w:keepNext/>
              <w:keepLines/>
              <w:rPr>
                <w:rFonts w:ascii="Arial Narrow" w:hAnsi="Arial Narrow"/>
                <w:color w:val="333333"/>
                <w:sz w:val="18"/>
                <w:szCs w:val="18"/>
              </w:rPr>
            </w:pPr>
            <w:r w:rsidRPr="00E148FC">
              <w:rPr>
                <w:rFonts w:ascii="Arial Narrow" w:hAnsi="Arial Narrow"/>
                <w:b/>
                <w:bCs/>
                <w:color w:val="333333"/>
                <w:sz w:val="18"/>
                <w:szCs w:val="18"/>
              </w:rPr>
              <w:t>AND</w:t>
            </w:r>
          </w:p>
        </w:tc>
      </w:tr>
      <w:tr w:rsidR="00FE388C" w:rsidRPr="00E148FC" w:rsidTr="002B6CD8">
        <w:tc>
          <w:tcPr>
            <w:tcW w:w="541" w:type="pct"/>
            <w:vAlign w:val="center"/>
          </w:tcPr>
          <w:p w:rsidR="00FE388C" w:rsidRPr="00E148FC" w:rsidRDefault="00FE388C" w:rsidP="000F36FE">
            <w:pPr>
              <w:keepNext/>
              <w:keepLines/>
              <w:jc w:val="center"/>
              <w:rPr>
                <w:rFonts w:ascii="Arial Narrow" w:hAnsi="Arial Narrow"/>
                <w:color w:val="333333"/>
                <w:sz w:val="18"/>
                <w:szCs w:val="18"/>
              </w:rPr>
            </w:pPr>
          </w:p>
        </w:tc>
        <w:tc>
          <w:tcPr>
            <w:tcW w:w="4459" w:type="pct"/>
            <w:vAlign w:val="center"/>
            <w:hideMark/>
          </w:tcPr>
          <w:p w:rsidR="00FE388C" w:rsidRPr="00E148FC" w:rsidRDefault="00FE388C" w:rsidP="000F36FE">
            <w:pPr>
              <w:keepNext/>
              <w:keepLines/>
              <w:rPr>
                <w:rFonts w:ascii="Arial Narrow" w:hAnsi="Arial Narrow"/>
                <w:color w:val="333333"/>
                <w:sz w:val="18"/>
                <w:szCs w:val="18"/>
              </w:rPr>
            </w:pPr>
            <w:r w:rsidRPr="00E148FC">
              <w:rPr>
                <w:rFonts w:ascii="Arial Narrow" w:hAnsi="Arial Narrow"/>
                <w:b/>
                <w:bCs/>
                <w:color w:val="333333"/>
                <w:sz w:val="18"/>
                <w:szCs w:val="18"/>
              </w:rPr>
              <w:t>Clinical criteria:</w:t>
            </w:r>
          </w:p>
        </w:tc>
      </w:tr>
      <w:tr w:rsidR="00FE388C" w:rsidRPr="00E148FC" w:rsidTr="002B6CD8">
        <w:trPr>
          <w:trHeight w:val="686"/>
        </w:trPr>
        <w:tc>
          <w:tcPr>
            <w:tcW w:w="541" w:type="pct"/>
            <w:vAlign w:val="center"/>
          </w:tcPr>
          <w:p w:rsidR="00FE388C" w:rsidRPr="00E148FC" w:rsidRDefault="00FE388C" w:rsidP="000F36FE">
            <w:pPr>
              <w:keepNext/>
              <w:keepLines/>
              <w:jc w:val="center"/>
              <w:rPr>
                <w:rFonts w:ascii="Arial Narrow" w:hAnsi="Arial Narrow"/>
                <w:color w:val="333333"/>
                <w:sz w:val="18"/>
                <w:szCs w:val="18"/>
              </w:rPr>
            </w:pPr>
          </w:p>
        </w:tc>
        <w:tc>
          <w:tcPr>
            <w:tcW w:w="4459" w:type="pct"/>
            <w:vAlign w:val="center"/>
            <w:hideMark/>
          </w:tcPr>
          <w:p w:rsidR="00FE388C" w:rsidRPr="00E148FC" w:rsidRDefault="00FE388C" w:rsidP="000F36FE">
            <w:pPr>
              <w:pStyle w:val="Tabletext0"/>
              <w:keepNext/>
              <w:keepLines/>
              <w:rPr>
                <w:color w:val="333333"/>
                <w:sz w:val="18"/>
                <w:szCs w:val="18"/>
                <w:lang w:eastAsia="en-AU"/>
              </w:rPr>
            </w:pPr>
            <w:r w:rsidRPr="00E148FC">
              <w:rPr>
                <w:color w:val="333333"/>
                <w:sz w:val="18"/>
                <w:szCs w:val="18"/>
                <w:lang w:eastAsia="en-AU"/>
              </w:rPr>
              <w:t>Patient must have, or have had, a HbA1c measurement greater than 7% prior to the initiation of a dipeptidyl peptidase 4 inhibitor (gliptin), a thiazolidinedione (glitazone), a glucagon-like peptide-1 or a sodium</w:t>
            </w:r>
            <w:r w:rsidR="00D2765F">
              <w:rPr>
                <w:color w:val="333333"/>
                <w:sz w:val="18"/>
                <w:szCs w:val="18"/>
                <w:lang w:eastAsia="en-AU"/>
              </w:rPr>
              <w:t>-glucose co-transporter 2 (SGLT</w:t>
            </w:r>
            <w:r w:rsidRPr="00E148FC">
              <w:rPr>
                <w:color w:val="333333"/>
                <w:sz w:val="18"/>
                <w:szCs w:val="18"/>
                <w:lang w:eastAsia="en-AU"/>
              </w:rPr>
              <w:t>2) inhibitor despite treatment with insulin and oral antidiabetic agents, or insulin alone where metformin is contraindicated; OR</w:t>
            </w:r>
          </w:p>
        </w:tc>
      </w:tr>
      <w:tr w:rsidR="00FE388C" w:rsidRPr="00E148FC" w:rsidTr="002B6CD8">
        <w:trPr>
          <w:trHeight w:val="847"/>
        </w:trPr>
        <w:tc>
          <w:tcPr>
            <w:tcW w:w="541" w:type="pct"/>
            <w:vAlign w:val="center"/>
          </w:tcPr>
          <w:p w:rsidR="00FE388C" w:rsidRPr="00E148FC" w:rsidRDefault="00FE388C" w:rsidP="000F36FE">
            <w:pPr>
              <w:keepNext/>
              <w:keepLines/>
              <w:jc w:val="center"/>
              <w:rPr>
                <w:rFonts w:ascii="Arial Narrow" w:hAnsi="Arial Narrow"/>
                <w:color w:val="333333"/>
                <w:sz w:val="18"/>
                <w:szCs w:val="18"/>
              </w:rPr>
            </w:pPr>
          </w:p>
        </w:tc>
        <w:tc>
          <w:tcPr>
            <w:tcW w:w="4459" w:type="pct"/>
            <w:vAlign w:val="center"/>
          </w:tcPr>
          <w:p w:rsidR="00FE388C" w:rsidRPr="00E148FC" w:rsidRDefault="00FE388C" w:rsidP="000F36FE">
            <w:pPr>
              <w:pStyle w:val="Tabletext0"/>
              <w:keepNext/>
              <w:keepLines/>
              <w:rPr>
                <w:color w:val="333333"/>
                <w:sz w:val="18"/>
                <w:szCs w:val="18"/>
                <w:lang w:eastAsia="en-AU"/>
              </w:rPr>
            </w:pPr>
            <w:r w:rsidRPr="00E148FC">
              <w:rPr>
                <w:color w:val="333333"/>
                <w:sz w:val="18"/>
                <w:szCs w:val="18"/>
                <w:lang w:eastAsia="en-AU"/>
              </w:rPr>
              <w:t>Patient must have, or have had, where HbA1c measurement is clinically inappropriate, blood glucose levels greater than 10 mmol per L in more than 20% of tests over a 2 week period prior to initiation with a gliptin, a glitazone, a glucagon-like peptide-</w:t>
            </w:r>
            <w:r w:rsidR="00D2765F">
              <w:rPr>
                <w:color w:val="333333"/>
                <w:sz w:val="18"/>
                <w:szCs w:val="18"/>
                <w:lang w:eastAsia="en-AU"/>
              </w:rPr>
              <w:t>1 or an SGLT</w:t>
            </w:r>
            <w:r w:rsidRPr="00E148FC">
              <w:rPr>
                <w:color w:val="333333"/>
                <w:sz w:val="18"/>
                <w:szCs w:val="18"/>
                <w:lang w:eastAsia="en-AU"/>
              </w:rPr>
              <w:t>2 inhibitor despite treatment with insulin and oral antidiabetic agents, or insulin alone where metformin is contraindicated.</w:t>
            </w:r>
          </w:p>
        </w:tc>
      </w:tr>
      <w:tr w:rsidR="00FE388C" w:rsidRPr="00E148FC" w:rsidTr="00FC0A90">
        <w:trPr>
          <w:trHeight w:val="754"/>
        </w:trPr>
        <w:tc>
          <w:tcPr>
            <w:tcW w:w="541" w:type="pct"/>
            <w:vAlign w:val="center"/>
          </w:tcPr>
          <w:p w:rsidR="00FE388C" w:rsidRPr="00E148FC" w:rsidRDefault="00FE388C" w:rsidP="000F36FE">
            <w:pPr>
              <w:keepNext/>
              <w:keepLines/>
              <w:jc w:val="center"/>
              <w:rPr>
                <w:rFonts w:ascii="Arial Narrow" w:hAnsi="Arial Narrow"/>
                <w:color w:val="333333"/>
                <w:sz w:val="18"/>
                <w:szCs w:val="18"/>
              </w:rPr>
            </w:pPr>
          </w:p>
        </w:tc>
        <w:tc>
          <w:tcPr>
            <w:tcW w:w="4459" w:type="pct"/>
            <w:vAlign w:val="center"/>
            <w:hideMark/>
          </w:tcPr>
          <w:p w:rsidR="00FE388C" w:rsidRPr="00E148FC" w:rsidRDefault="00FE388C" w:rsidP="000F36FE">
            <w:pPr>
              <w:keepNext/>
              <w:keepLines/>
              <w:rPr>
                <w:rFonts w:ascii="Arial Narrow" w:hAnsi="Arial Narrow"/>
                <w:b/>
                <w:bCs/>
                <w:color w:val="FF00FF"/>
                <w:sz w:val="18"/>
                <w:szCs w:val="18"/>
              </w:rPr>
            </w:pPr>
            <w:r w:rsidRPr="00E148FC">
              <w:rPr>
                <w:rFonts w:ascii="Arial Narrow" w:hAnsi="Arial Narrow"/>
                <w:b/>
                <w:bCs/>
                <w:color w:val="333333"/>
                <w:sz w:val="18"/>
                <w:szCs w:val="18"/>
              </w:rPr>
              <w:t xml:space="preserve">Prescribing Instructions: </w:t>
            </w:r>
          </w:p>
          <w:p w:rsidR="00FE388C" w:rsidRPr="00E148FC" w:rsidRDefault="00FE388C" w:rsidP="000F36FE">
            <w:pPr>
              <w:pStyle w:val="Tabletext0"/>
              <w:keepNext/>
              <w:keepLines/>
              <w:rPr>
                <w:sz w:val="18"/>
                <w:szCs w:val="18"/>
              </w:rPr>
            </w:pPr>
            <w:r w:rsidRPr="00E148FC">
              <w:rPr>
                <w:sz w:val="18"/>
                <w:szCs w:val="18"/>
              </w:rPr>
              <w:t>The date and level of the qualifying HbA1c measurement must be, or must have been, documented in the patient's medical records at the time treatment with a gliptin, a glitazone, a glu</w:t>
            </w:r>
            <w:r w:rsidR="00D2765F">
              <w:rPr>
                <w:sz w:val="18"/>
                <w:szCs w:val="18"/>
              </w:rPr>
              <w:t>cagon-like peptide-1 or an SGLT</w:t>
            </w:r>
            <w:r w:rsidRPr="00E148FC">
              <w:rPr>
                <w:sz w:val="18"/>
                <w:szCs w:val="18"/>
              </w:rPr>
              <w:t xml:space="preserve">2 inhibitor is initiated. </w:t>
            </w:r>
          </w:p>
        </w:tc>
      </w:tr>
      <w:tr w:rsidR="00FE388C" w:rsidRPr="00E148FC" w:rsidTr="002B6CD8">
        <w:trPr>
          <w:trHeight w:val="753"/>
        </w:trPr>
        <w:tc>
          <w:tcPr>
            <w:tcW w:w="541" w:type="pct"/>
            <w:vAlign w:val="center"/>
          </w:tcPr>
          <w:p w:rsidR="00FE388C" w:rsidRPr="00E148FC" w:rsidRDefault="00FE388C" w:rsidP="000F36FE">
            <w:pPr>
              <w:keepNext/>
              <w:keepLines/>
              <w:jc w:val="center"/>
              <w:rPr>
                <w:rFonts w:ascii="Arial Narrow" w:hAnsi="Arial Narrow"/>
                <w:color w:val="333333"/>
                <w:sz w:val="18"/>
                <w:szCs w:val="18"/>
              </w:rPr>
            </w:pPr>
          </w:p>
        </w:tc>
        <w:tc>
          <w:tcPr>
            <w:tcW w:w="4459" w:type="pct"/>
            <w:vAlign w:val="center"/>
          </w:tcPr>
          <w:p w:rsidR="00FE388C" w:rsidRPr="00E148FC" w:rsidRDefault="00FE388C" w:rsidP="000F36FE">
            <w:pPr>
              <w:pStyle w:val="Tabletext0"/>
              <w:keepNext/>
              <w:keepLines/>
              <w:rPr>
                <w:b/>
                <w:sz w:val="18"/>
                <w:szCs w:val="18"/>
              </w:rPr>
            </w:pPr>
            <w:r w:rsidRPr="00E148FC">
              <w:rPr>
                <w:b/>
                <w:sz w:val="18"/>
                <w:szCs w:val="18"/>
              </w:rPr>
              <w:t>Prescribing Instructions:</w:t>
            </w:r>
          </w:p>
          <w:p w:rsidR="00FE388C" w:rsidRPr="00E148FC" w:rsidRDefault="00FE388C" w:rsidP="000F36FE">
            <w:pPr>
              <w:pStyle w:val="Tabletext0"/>
              <w:keepNext/>
              <w:keepLines/>
              <w:rPr>
                <w:sz w:val="18"/>
                <w:szCs w:val="18"/>
              </w:rPr>
            </w:pPr>
            <w:r w:rsidRPr="00E148FC">
              <w:rPr>
                <w:sz w:val="18"/>
                <w:szCs w:val="18"/>
              </w:rPr>
              <w:t>The HbA1c must be no more than 4 months old at the time treatment with a gliptin, a glitazone, a glu</w:t>
            </w:r>
            <w:r w:rsidR="00D2765F">
              <w:rPr>
                <w:sz w:val="18"/>
                <w:szCs w:val="18"/>
              </w:rPr>
              <w:t>cagon-like peptide-1 or an SGLT</w:t>
            </w:r>
            <w:r w:rsidRPr="00E148FC">
              <w:rPr>
                <w:sz w:val="18"/>
                <w:szCs w:val="18"/>
              </w:rPr>
              <w:t xml:space="preserve">2 inhibitor was initiated. </w:t>
            </w:r>
          </w:p>
        </w:tc>
      </w:tr>
      <w:tr w:rsidR="00FE388C" w:rsidRPr="00E148FC" w:rsidTr="002B6CD8">
        <w:trPr>
          <w:trHeight w:val="1184"/>
        </w:trPr>
        <w:tc>
          <w:tcPr>
            <w:tcW w:w="541" w:type="pct"/>
            <w:vAlign w:val="center"/>
          </w:tcPr>
          <w:p w:rsidR="00FE388C" w:rsidRPr="00E148FC" w:rsidRDefault="00FE388C" w:rsidP="000F36FE">
            <w:pPr>
              <w:keepNext/>
              <w:keepLines/>
              <w:jc w:val="center"/>
              <w:rPr>
                <w:rFonts w:ascii="Arial Narrow" w:hAnsi="Arial Narrow"/>
                <w:color w:val="333333"/>
                <w:sz w:val="18"/>
                <w:szCs w:val="18"/>
              </w:rPr>
            </w:pPr>
          </w:p>
        </w:tc>
        <w:tc>
          <w:tcPr>
            <w:tcW w:w="4459" w:type="pct"/>
            <w:vAlign w:val="center"/>
          </w:tcPr>
          <w:p w:rsidR="00FE388C" w:rsidRPr="00E148FC" w:rsidRDefault="00FE388C" w:rsidP="000F36FE">
            <w:pPr>
              <w:pStyle w:val="Tabletext0"/>
              <w:keepNext/>
              <w:keepLines/>
              <w:rPr>
                <w:b/>
                <w:sz w:val="18"/>
                <w:szCs w:val="18"/>
              </w:rPr>
            </w:pPr>
            <w:r w:rsidRPr="00E148FC">
              <w:rPr>
                <w:b/>
                <w:sz w:val="18"/>
                <w:szCs w:val="18"/>
              </w:rPr>
              <w:t>Prescribing Instructions:</w:t>
            </w:r>
          </w:p>
          <w:p w:rsidR="00FE388C" w:rsidRPr="00E148FC" w:rsidRDefault="00FE388C" w:rsidP="000F36FE">
            <w:pPr>
              <w:pStyle w:val="Tabletext0"/>
              <w:keepNext/>
              <w:keepLines/>
              <w:rPr>
                <w:sz w:val="18"/>
                <w:szCs w:val="18"/>
              </w:rPr>
            </w:pPr>
            <w:r w:rsidRPr="00E148FC">
              <w:rPr>
                <w:sz w:val="18"/>
                <w:szCs w:val="18"/>
              </w:rPr>
              <w:t>Blood glucose monitoring may be used as an alternative assessment to HbA1c levels in the following circumstances:</w:t>
            </w:r>
          </w:p>
          <w:p w:rsidR="00FE388C" w:rsidRPr="00E148FC" w:rsidRDefault="00FE388C" w:rsidP="000F36FE">
            <w:pPr>
              <w:pStyle w:val="Tabletext0"/>
              <w:keepNext/>
              <w:keepLines/>
              <w:rPr>
                <w:sz w:val="18"/>
                <w:szCs w:val="18"/>
              </w:rPr>
            </w:pPr>
            <w:r w:rsidRPr="00E148FC">
              <w:rPr>
                <w:sz w:val="18"/>
                <w:szCs w:val="18"/>
              </w:rPr>
              <w:t>(a) A clinical condition with reduced red blood cell survival, including haemolytic anaemias and haemoglobinopathies; and/or</w:t>
            </w:r>
          </w:p>
          <w:p w:rsidR="00FE388C" w:rsidRPr="00E148FC" w:rsidRDefault="00FE388C" w:rsidP="000F36FE">
            <w:pPr>
              <w:pStyle w:val="Tabletext0"/>
              <w:keepNext/>
              <w:keepLines/>
              <w:rPr>
                <w:sz w:val="18"/>
                <w:szCs w:val="18"/>
              </w:rPr>
            </w:pPr>
            <w:r w:rsidRPr="00E148FC">
              <w:rPr>
                <w:sz w:val="18"/>
                <w:szCs w:val="18"/>
              </w:rPr>
              <w:t>(b) Had red cell transfusion within the previous 3 months.</w:t>
            </w:r>
          </w:p>
        </w:tc>
      </w:tr>
      <w:tr w:rsidR="00FE388C" w:rsidRPr="00E148FC" w:rsidTr="002B6CD8">
        <w:trPr>
          <w:trHeight w:val="947"/>
        </w:trPr>
        <w:tc>
          <w:tcPr>
            <w:tcW w:w="541" w:type="pct"/>
            <w:vAlign w:val="center"/>
          </w:tcPr>
          <w:p w:rsidR="00FE388C" w:rsidRPr="00E148FC" w:rsidRDefault="00FE388C" w:rsidP="000F36FE">
            <w:pPr>
              <w:keepNext/>
              <w:keepLines/>
              <w:jc w:val="center"/>
              <w:rPr>
                <w:rFonts w:ascii="Arial Narrow" w:hAnsi="Arial Narrow"/>
                <w:color w:val="333333"/>
                <w:sz w:val="18"/>
                <w:szCs w:val="18"/>
              </w:rPr>
            </w:pPr>
          </w:p>
        </w:tc>
        <w:tc>
          <w:tcPr>
            <w:tcW w:w="4459" w:type="pct"/>
            <w:vAlign w:val="center"/>
          </w:tcPr>
          <w:p w:rsidR="00FE388C" w:rsidRPr="00E148FC" w:rsidRDefault="00FE388C" w:rsidP="000F36FE">
            <w:pPr>
              <w:pStyle w:val="Tabletext0"/>
              <w:keepNext/>
              <w:keepLines/>
              <w:rPr>
                <w:b/>
                <w:sz w:val="18"/>
                <w:szCs w:val="18"/>
              </w:rPr>
            </w:pPr>
            <w:r w:rsidRPr="00E148FC">
              <w:rPr>
                <w:b/>
                <w:sz w:val="18"/>
                <w:szCs w:val="18"/>
              </w:rPr>
              <w:t>Prescribing Instructions:</w:t>
            </w:r>
          </w:p>
          <w:p w:rsidR="00FE388C" w:rsidRPr="00E148FC" w:rsidRDefault="00FE388C" w:rsidP="000F36FE">
            <w:pPr>
              <w:keepNext/>
              <w:keepLines/>
              <w:rPr>
                <w:rFonts w:ascii="Arial Narrow" w:hAnsi="Arial Narrow"/>
                <w:b/>
                <w:bCs/>
                <w:color w:val="333333"/>
                <w:sz w:val="18"/>
                <w:szCs w:val="18"/>
              </w:rPr>
            </w:pPr>
            <w:r w:rsidRPr="00E148FC">
              <w:rPr>
                <w:rFonts w:ascii="Arial Narrow" w:eastAsia="Calibri" w:hAnsi="Arial Narrow"/>
                <w:sz w:val="18"/>
                <w:szCs w:val="18"/>
              </w:rPr>
              <w:t>The results of the blood glucose monitoring, which must be no more than 4 months old at the time of initiation of treatment with a gliptin, a glitazone, a glu</w:t>
            </w:r>
            <w:r w:rsidR="00D2765F">
              <w:rPr>
                <w:rFonts w:ascii="Arial Narrow" w:eastAsia="Calibri" w:hAnsi="Arial Narrow"/>
                <w:sz w:val="18"/>
                <w:szCs w:val="18"/>
              </w:rPr>
              <w:t>cagon-like peptide-1 or an SGLT</w:t>
            </w:r>
            <w:r w:rsidRPr="00E148FC">
              <w:rPr>
                <w:rFonts w:ascii="Arial Narrow" w:eastAsia="Calibri" w:hAnsi="Arial Narrow"/>
                <w:sz w:val="18"/>
                <w:szCs w:val="18"/>
              </w:rPr>
              <w:t>2 inhibitor, must be documented in the patient's medical records.</w:t>
            </w:r>
          </w:p>
        </w:tc>
      </w:tr>
      <w:tr w:rsidR="00FE388C" w:rsidRPr="00E148FC" w:rsidTr="00FC0A90">
        <w:trPr>
          <w:trHeight w:val="663"/>
        </w:trPr>
        <w:tc>
          <w:tcPr>
            <w:tcW w:w="541" w:type="pct"/>
            <w:vAlign w:val="center"/>
          </w:tcPr>
          <w:p w:rsidR="00FE388C" w:rsidRPr="00E148FC" w:rsidRDefault="00FE388C" w:rsidP="000F36FE">
            <w:pPr>
              <w:keepNext/>
              <w:keepLines/>
              <w:jc w:val="center"/>
              <w:rPr>
                <w:rFonts w:ascii="Arial Narrow" w:hAnsi="Arial Narrow"/>
                <w:color w:val="333333"/>
                <w:sz w:val="18"/>
                <w:szCs w:val="18"/>
              </w:rPr>
            </w:pPr>
          </w:p>
        </w:tc>
        <w:tc>
          <w:tcPr>
            <w:tcW w:w="4459" w:type="pct"/>
            <w:vAlign w:val="center"/>
            <w:hideMark/>
          </w:tcPr>
          <w:p w:rsidR="00FE388C" w:rsidRPr="00E148FC" w:rsidRDefault="00FE388C" w:rsidP="000F36FE">
            <w:pPr>
              <w:keepNext/>
              <w:keepLines/>
              <w:rPr>
                <w:rFonts w:ascii="Arial Narrow" w:hAnsi="Arial Narrow"/>
                <w:color w:val="333333"/>
                <w:sz w:val="18"/>
                <w:szCs w:val="18"/>
              </w:rPr>
            </w:pPr>
            <w:r w:rsidRPr="00E148FC">
              <w:rPr>
                <w:rFonts w:ascii="Arial Narrow" w:hAnsi="Arial Narrow"/>
                <w:b/>
                <w:bCs/>
                <w:color w:val="333333"/>
                <w:sz w:val="18"/>
                <w:szCs w:val="18"/>
              </w:rPr>
              <w:t xml:space="preserve">Administrative Advice: </w:t>
            </w:r>
          </w:p>
          <w:p w:rsidR="00FE388C" w:rsidRPr="00E148FC" w:rsidRDefault="00FE388C" w:rsidP="000F36FE">
            <w:pPr>
              <w:keepNext/>
              <w:keepLines/>
              <w:rPr>
                <w:rFonts w:ascii="Arial Narrow" w:hAnsi="Arial Narrow"/>
                <w:color w:val="333333"/>
                <w:sz w:val="18"/>
                <w:szCs w:val="18"/>
              </w:rPr>
            </w:pPr>
            <w:r w:rsidRPr="00E148FC">
              <w:rPr>
                <w:rFonts w:ascii="Arial Narrow" w:eastAsia="Calibri" w:hAnsi="Arial Narrow"/>
                <w:sz w:val="18"/>
                <w:szCs w:val="18"/>
              </w:rPr>
              <w:t>This drug is not PBS-subsidised for use as monotherapy or in combination with a dipeptidyl peptidase 4 inhibitor (gliptin), a thiazolidi</w:t>
            </w:r>
            <w:r w:rsidR="00D2765F">
              <w:rPr>
                <w:rFonts w:ascii="Arial Narrow" w:eastAsia="Calibri" w:hAnsi="Arial Narrow"/>
                <w:sz w:val="18"/>
                <w:szCs w:val="18"/>
              </w:rPr>
              <w:t>nedione (glitazone), or an SGLT</w:t>
            </w:r>
            <w:r w:rsidRPr="00E148FC">
              <w:rPr>
                <w:rFonts w:ascii="Arial Narrow" w:eastAsia="Calibri" w:hAnsi="Arial Narrow"/>
                <w:sz w:val="18"/>
                <w:szCs w:val="18"/>
              </w:rPr>
              <w:t>2 inhibitor.</w:t>
            </w:r>
          </w:p>
        </w:tc>
      </w:tr>
      <w:tr w:rsidR="00FE388C" w:rsidRPr="00E148FC" w:rsidTr="002B6CD8">
        <w:tc>
          <w:tcPr>
            <w:tcW w:w="541" w:type="pct"/>
            <w:vAlign w:val="center"/>
          </w:tcPr>
          <w:p w:rsidR="00FE388C" w:rsidRPr="00E148FC" w:rsidRDefault="00FE388C" w:rsidP="000F36FE">
            <w:pPr>
              <w:keepNext/>
              <w:keepLines/>
              <w:jc w:val="center"/>
              <w:rPr>
                <w:rFonts w:ascii="Arial Narrow" w:hAnsi="Arial Narrow"/>
                <w:color w:val="333333"/>
                <w:sz w:val="18"/>
                <w:szCs w:val="18"/>
              </w:rPr>
            </w:pPr>
          </w:p>
        </w:tc>
        <w:tc>
          <w:tcPr>
            <w:tcW w:w="4459" w:type="pct"/>
            <w:vAlign w:val="center"/>
          </w:tcPr>
          <w:p w:rsidR="00FE388C" w:rsidRPr="00E148FC" w:rsidRDefault="00FE388C" w:rsidP="000F36FE">
            <w:pPr>
              <w:keepNext/>
              <w:keepLines/>
              <w:rPr>
                <w:rFonts w:ascii="Arial Narrow" w:hAnsi="Arial Narrow"/>
                <w:color w:val="333333"/>
                <w:sz w:val="18"/>
                <w:szCs w:val="18"/>
              </w:rPr>
            </w:pPr>
            <w:r w:rsidRPr="00E148FC">
              <w:rPr>
                <w:rFonts w:ascii="Arial Narrow" w:hAnsi="Arial Narrow"/>
                <w:b/>
                <w:bCs/>
                <w:color w:val="333333"/>
                <w:sz w:val="18"/>
                <w:szCs w:val="18"/>
              </w:rPr>
              <w:t xml:space="preserve">Administrative Advice: </w:t>
            </w:r>
            <w:r w:rsidRPr="00E148FC">
              <w:rPr>
                <w:rFonts w:ascii="Arial Narrow" w:eastAsia="Calibri" w:hAnsi="Arial Narrow"/>
                <w:sz w:val="18"/>
                <w:szCs w:val="18"/>
              </w:rPr>
              <w:t>Special Pricing Arrangements apply.</w:t>
            </w:r>
          </w:p>
        </w:tc>
      </w:tr>
    </w:tbl>
    <w:p w:rsidR="00BE6B24" w:rsidRPr="00E148FC" w:rsidRDefault="00BE6B24">
      <w:pPr>
        <w:jc w:val="left"/>
      </w:pPr>
    </w:p>
    <w:p w:rsidR="00BE6B24" w:rsidRPr="00E148FC" w:rsidRDefault="00BE6B24" w:rsidP="00BE6B24">
      <w:pPr>
        <w:pStyle w:val="Bodytextitalics"/>
        <w:rPr>
          <w:rFonts w:eastAsiaTheme="majorEastAsia" w:cstheme="majorBidi"/>
          <w:b/>
          <w:iCs/>
          <w:lang w:eastAsia="en-US"/>
        </w:rPr>
      </w:pPr>
      <w:r w:rsidRPr="00E148FC">
        <w:rPr>
          <w:rFonts w:eastAsiaTheme="majorEastAsia" w:cstheme="majorBidi"/>
          <w:b/>
          <w:iCs/>
          <w:lang w:eastAsia="en-US"/>
        </w:rPr>
        <w:t>This restriction may be subject to further review. Should there be any changes made to the restriction the Sponsor will be informed.</w:t>
      </w:r>
    </w:p>
    <w:p w:rsidR="00F66065" w:rsidRPr="00F66065" w:rsidRDefault="00F66065" w:rsidP="00F66065">
      <w:pPr>
        <w:pStyle w:val="2-SectionHeading"/>
        <w:numPr>
          <w:ilvl w:val="0"/>
          <w:numId w:val="1"/>
        </w:numPr>
      </w:pPr>
      <w:r w:rsidRPr="00C07617">
        <w:t>Context for Decision</w:t>
      </w:r>
    </w:p>
    <w:p w:rsidR="00F66065" w:rsidRPr="007129F2" w:rsidRDefault="00F66065" w:rsidP="00F66065">
      <w:pPr>
        <w:spacing w:after="120"/>
        <w:ind w:left="720"/>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w:t>
      </w:r>
      <w:r w:rsidRPr="007129F2">
        <w:rPr>
          <w:rFonts w:asciiTheme="minorHAnsi" w:hAnsiTheme="minorHAnsi"/>
          <w:bCs/>
          <w:lang w:val="en-GB"/>
        </w:rPr>
        <w:lastRenderedPageBreak/>
        <w:t>merits of the medicine or the circumstances in which it should be made available through the PBS. The PBAC welcomes applications containing new information at any time.</w:t>
      </w:r>
    </w:p>
    <w:p w:rsidR="00F66065" w:rsidRPr="00F66065" w:rsidRDefault="00F66065" w:rsidP="00F66065">
      <w:pPr>
        <w:pStyle w:val="2-SectionHeading"/>
        <w:numPr>
          <w:ilvl w:val="0"/>
          <w:numId w:val="1"/>
        </w:numPr>
      </w:pPr>
      <w:r>
        <w:t>Sponsor’s Comment</w:t>
      </w:r>
    </w:p>
    <w:p w:rsidR="00F66065" w:rsidRPr="001179AC" w:rsidRDefault="00F66065" w:rsidP="00F66065">
      <w:pPr>
        <w:spacing w:after="120"/>
        <w:ind w:left="426" w:firstLine="294"/>
        <w:rPr>
          <w:rFonts w:asciiTheme="minorHAnsi" w:hAnsiTheme="minorHAnsi"/>
          <w:bCs/>
        </w:rPr>
      </w:pPr>
      <w:r w:rsidRPr="00C07617">
        <w:rPr>
          <w:rFonts w:asciiTheme="minorHAnsi" w:hAnsiTheme="minorHAnsi"/>
          <w:bCs/>
        </w:rPr>
        <w:t>The sponsor had no comment.</w:t>
      </w:r>
    </w:p>
    <w:p w:rsidR="00BE6B24" w:rsidRPr="00E148FC" w:rsidRDefault="00BE6B24" w:rsidP="004D17B9">
      <w:pPr>
        <w:jc w:val="left"/>
        <w:rPr>
          <w:rFonts w:ascii="Times New Roman" w:hAnsi="Times New Roman" w:cs="Times New Roman"/>
          <w:lang w:eastAsia="en-US"/>
        </w:rPr>
      </w:pPr>
    </w:p>
    <w:sectPr w:rsidR="00BE6B24" w:rsidRPr="00E148FC" w:rsidSect="00953114">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274312" w16cid:durableId="23B12F3D"/>
  <w16cid:commentId w16cid:paraId="35E670D3" w16cid:durableId="23B12F3E"/>
  <w16cid:commentId w16cid:paraId="1F29DA04" w16cid:durableId="23B12F3F"/>
  <w16cid:commentId w16cid:paraId="4B260B3A" w16cid:durableId="23B12F40"/>
  <w16cid:commentId w16cid:paraId="78545981" w16cid:durableId="23B12F41"/>
  <w16cid:commentId w16cid:paraId="35BD5BD6" w16cid:durableId="23B12F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454" w:rsidRDefault="00BB0454" w:rsidP="00124A51">
      <w:r>
        <w:separator/>
      </w:r>
    </w:p>
    <w:p w:rsidR="00BB0454" w:rsidRDefault="00BB0454"/>
  </w:endnote>
  <w:endnote w:type="continuationSeparator" w:id="0">
    <w:p w:rsidR="00BB0454" w:rsidRDefault="00BB0454" w:rsidP="00124A51">
      <w:r>
        <w:continuationSeparator/>
      </w:r>
    </w:p>
    <w:p w:rsidR="00BB0454" w:rsidRDefault="00BB0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454" w:rsidRDefault="00BB04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B5F" w:rsidRDefault="00361B5F">
    <w:pPr>
      <w:pStyle w:val="Footer"/>
      <w:jc w:val="center"/>
    </w:pPr>
  </w:p>
  <w:p w:rsidR="00361B5F" w:rsidRPr="0052495F" w:rsidRDefault="005E6211" w:rsidP="0052495F">
    <w:pPr>
      <w:pStyle w:val="Footer"/>
      <w:jc w:val="center"/>
      <w:rPr>
        <w:b/>
      </w:rPr>
    </w:pPr>
    <w:sdt>
      <w:sdtPr>
        <w:rPr>
          <w:b/>
        </w:rPr>
        <w:id w:val="13808843"/>
        <w:docPartObj>
          <w:docPartGallery w:val="Page Numbers (Bottom of Page)"/>
          <w:docPartUnique/>
        </w:docPartObj>
      </w:sdtPr>
      <w:sdtEndPr>
        <w:rPr>
          <w:noProof/>
        </w:rPr>
      </w:sdtEndPr>
      <w:sdtContent>
        <w:r w:rsidR="00361B5F" w:rsidRPr="0052495F">
          <w:rPr>
            <w:b/>
          </w:rPr>
          <w:fldChar w:fldCharType="begin"/>
        </w:r>
        <w:r w:rsidR="00361B5F" w:rsidRPr="0052495F">
          <w:rPr>
            <w:b/>
          </w:rPr>
          <w:instrText xml:space="preserve"> PAGE   \* MERGEFORMAT </w:instrText>
        </w:r>
        <w:r w:rsidR="00361B5F" w:rsidRPr="0052495F">
          <w:rPr>
            <w:b/>
          </w:rPr>
          <w:fldChar w:fldCharType="separate"/>
        </w:r>
        <w:r>
          <w:rPr>
            <w:b/>
            <w:noProof/>
          </w:rPr>
          <w:t>26</w:t>
        </w:r>
        <w:r w:rsidR="00361B5F" w:rsidRPr="0052495F">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454" w:rsidRDefault="00BB0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454" w:rsidRDefault="00BB0454" w:rsidP="00124A51">
      <w:r>
        <w:separator/>
      </w:r>
    </w:p>
    <w:p w:rsidR="00BB0454" w:rsidRDefault="00BB0454"/>
  </w:footnote>
  <w:footnote w:type="continuationSeparator" w:id="0">
    <w:p w:rsidR="00BB0454" w:rsidRDefault="00BB0454" w:rsidP="00124A51">
      <w:r>
        <w:continuationSeparator/>
      </w:r>
    </w:p>
    <w:p w:rsidR="00BB0454" w:rsidRDefault="00BB0454"/>
  </w:footnote>
  <w:footnote w:id="1">
    <w:p w:rsidR="00361B5F" w:rsidRPr="00CE3A1E" w:rsidRDefault="00361B5F">
      <w:pPr>
        <w:pStyle w:val="FootnoteText"/>
        <w:rPr>
          <w:rFonts w:ascii="Arial Narrow" w:hAnsi="Arial Narrow"/>
          <w:sz w:val="18"/>
          <w:szCs w:val="18"/>
        </w:rPr>
      </w:pPr>
      <w:r w:rsidRPr="00CE3A1E">
        <w:rPr>
          <w:rStyle w:val="FootnoteReference"/>
          <w:rFonts w:ascii="Arial Narrow" w:hAnsi="Arial Narrow"/>
          <w:sz w:val="18"/>
          <w:szCs w:val="18"/>
        </w:rPr>
        <w:footnoteRef/>
      </w:r>
      <w:r w:rsidRPr="00CE3A1E">
        <w:rPr>
          <w:rFonts w:ascii="Arial Narrow" w:hAnsi="Arial Narrow"/>
          <w:sz w:val="18"/>
          <w:szCs w:val="18"/>
        </w:rPr>
        <w:t xml:space="preserve"> </w:t>
      </w:r>
      <w:r>
        <w:rPr>
          <w:rFonts w:ascii="Arial Narrow" w:hAnsi="Arial Narrow"/>
          <w:sz w:val="18"/>
          <w:szCs w:val="18"/>
        </w:rPr>
        <w:t xml:space="preserve">Diabetes Care 2018; 41(12): 2669-2701; </w:t>
      </w:r>
      <w:hyperlink r:id="rId1" w:history="1">
        <w:r w:rsidRPr="00A62095">
          <w:rPr>
            <w:rStyle w:val="Hyperlink"/>
            <w:rFonts w:ascii="Arial Narrow" w:hAnsi="Arial Narrow"/>
            <w:sz w:val="18"/>
            <w:szCs w:val="18"/>
          </w:rPr>
          <w:t>https://care.diabetesjournals.org/content/41/12/2669</w:t>
        </w:r>
      </w:hyperlink>
      <w:r>
        <w:rPr>
          <w:rFonts w:ascii="Arial Narrow" w:hAnsi="Arial Narrow"/>
          <w:sz w:val="18"/>
          <w:szCs w:val="18"/>
        </w:rPr>
        <w:t xml:space="preserve"> </w:t>
      </w:r>
    </w:p>
  </w:footnote>
  <w:footnote w:id="2">
    <w:p w:rsidR="00361B5F" w:rsidRPr="00320B87" w:rsidRDefault="00361B5F" w:rsidP="00EA5957">
      <w:pPr>
        <w:pStyle w:val="EndNoteBibliography"/>
        <w:spacing w:after="240"/>
        <w:rPr>
          <w:rFonts w:ascii="Arial Narrow" w:hAnsi="Arial Narrow"/>
          <w:sz w:val="18"/>
          <w:szCs w:val="18"/>
        </w:rPr>
      </w:pPr>
      <w:r w:rsidRPr="00CE3A1E">
        <w:rPr>
          <w:rStyle w:val="FootnoteReference"/>
          <w:rFonts w:ascii="Arial Narrow" w:hAnsi="Arial Narrow"/>
          <w:sz w:val="18"/>
          <w:szCs w:val="18"/>
        </w:rPr>
        <w:footnoteRef/>
      </w:r>
      <w:r w:rsidRPr="00CE3A1E">
        <w:rPr>
          <w:rFonts w:ascii="Arial Narrow" w:hAnsi="Arial Narrow"/>
          <w:sz w:val="18"/>
          <w:szCs w:val="18"/>
        </w:rPr>
        <w:t xml:space="preserve"> ADS (2020). Australian Type 2 diabetes management algorithm. S. Australian Diabetes</w:t>
      </w:r>
      <w:r w:rsidRPr="00CE3A1E">
        <w:rPr>
          <w:rFonts w:ascii="Arial Narrow" w:hAnsi="Arial Narrow"/>
          <w:b/>
          <w:sz w:val="18"/>
          <w:szCs w:val="18"/>
        </w:rPr>
        <w:t xml:space="preserve">: </w:t>
      </w:r>
      <w:r w:rsidRPr="00CE3A1E">
        <w:rPr>
          <w:rFonts w:ascii="Arial Narrow" w:hAnsi="Arial Narrow"/>
          <w:sz w:val="18"/>
          <w:szCs w:val="18"/>
        </w:rPr>
        <w:t>1-2.</w:t>
      </w:r>
    </w:p>
  </w:footnote>
  <w:footnote w:id="3">
    <w:p w:rsidR="00361B5F" w:rsidRPr="00F81FDD" w:rsidRDefault="00361B5F" w:rsidP="000C6ACD">
      <w:pPr>
        <w:pStyle w:val="FootnoteText"/>
        <w:rPr>
          <w:rFonts w:ascii="Arial Narrow" w:hAnsi="Arial Narrow"/>
          <w:sz w:val="18"/>
          <w:szCs w:val="18"/>
        </w:rPr>
      </w:pPr>
      <w:r w:rsidRPr="00F81FDD">
        <w:rPr>
          <w:rStyle w:val="FootnoteReference"/>
          <w:rFonts w:ascii="Arial Narrow" w:hAnsi="Arial Narrow"/>
          <w:sz w:val="18"/>
          <w:szCs w:val="18"/>
        </w:rPr>
        <w:footnoteRef/>
      </w:r>
      <w:r w:rsidRPr="00F81FDD">
        <w:rPr>
          <w:rFonts w:ascii="Arial Narrow" w:hAnsi="Arial Narrow"/>
          <w:sz w:val="18"/>
          <w:szCs w:val="18"/>
        </w:rPr>
        <w:t xml:space="preserve"> https://www.ndss.com.au/about-the-ndss/diabetes-facts-and-figures/diabetes-data-snapshots/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454" w:rsidRDefault="00BB04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B5F" w:rsidRPr="0052495F" w:rsidRDefault="00361B5F" w:rsidP="0052495F">
    <w:pPr>
      <w:jc w:val="center"/>
      <w:rPr>
        <w:i/>
      </w:rPr>
    </w:pPr>
    <w:r>
      <w:rPr>
        <w:i/>
      </w:rPr>
      <w:t>Public Summary Document</w:t>
    </w:r>
    <w:r w:rsidRPr="0052495F">
      <w:rPr>
        <w:i/>
      </w:rPr>
      <w:t xml:space="preserve"> – March 2021 PBAC Meeting </w:t>
    </w:r>
  </w:p>
  <w:p w:rsidR="00361B5F" w:rsidRDefault="00361B5F" w:rsidP="0052495F">
    <w:pP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454" w:rsidRDefault="00BB04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D8483D"/>
    <w:multiLevelType w:val="hybridMultilevel"/>
    <w:tmpl w:val="26DC37FA"/>
    <w:lvl w:ilvl="0" w:tplc="F62EFEA4">
      <w:start w:val="10"/>
      <w:numFmt w:val="bullet"/>
      <w:lvlText w:val="-"/>
      <w:lvlJc w:val="left"/>
      <w:pPr>
        <w:ind w:left="720" w:hanging="360"/>
      </w:pPr>
      <w:rPr>
        <w:rFonts w:ascii="Calibri" w:eastAsia="Times New Roman" w:hAnsi="Calibri"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410BF3"/>
    <w:multiLevelType w:val="hybridMultilevel"/>
    <w:tmpl w:val="FBD47AD2"/>
    <w:lvl w:ilvl="0" w:tplc="407647DE">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B67B1E"/>
    <w:multiLevelType w:val="hybridMultilevel"/>
    <w:tmpl w:val="2668B7A4"/>
    <w:lvl w:ilvl="0" w:tplc="C142A9B4">
      <w:start w:val="1"/>
      <w:numFmt w:val="bullet"/>
      <w:lvlText w:val="•"/>
      <w:lvlJc w:val="left"/>
      <w:pPr>
        <w:tabs>
          <w:tab w:val="num" w:pos="720"/>
        </w:tabs>
        <w:ind w:left="720" w:hanging="360"/>
      </w:pPr>
      <w:rPr>
        <w:rFonts w:ascii="Arial" w:hAnsi="Arial" w:hint="default"/>
      </w:rPr>
    </w:lvl>
    <w:lvl w:ilvl="1" w:tplc="DC727FB2">
      <w:start w:val="142"/>
      <w:numFmt w:val="bullet"/>
      <w:lvlText w:val="•"/>
      <w:lvlJc w:val="left"/>
      <w:pPr>
        <w:tabs>
          <w:tab w:val="num" w:pos="1440"/>
        </w:tabs>
        <w:ind w:left="1440" w:hanging="360"/>
      </w:pPr>
      <w:rPr>
        <w:rFonts w:ascii="Arial" w:hAnsi="Arial" w:hint="default"/>
      </w:rPr>
    </w:lvl>
    <w:lvl w:ilvl="2" w:tplc="4E6E5560" w:tentative="1">
      <w:start w:val="1"/>
      <w:numFmt w:val="bullet"/>
      <w:lvlText w:val="•"/>
      <w:lvlJc w:val="left"/>
      <w:pPr>
        <w:tabs>
          <w:tab w:val="num" w:pos="2160"/>
        </w:tabs>
        <w:ind w:left="2160" w:hanging="360"/>
      </w:pPr>
      <w:rPr>
        <w:rFonts w:ascii="Arial" w:hAnsi="Arial" w:hint="default"/>
      </w:rPr>
    </w:lvl>
    <w:lvl w:ilvl="3" w:tplc="97FC2A0A" w:tentative="1">
      <w:start w:val="1"/>
      <w:numFmt w:val="bullet"/>
      <w:lvlText w:val="•"/>
      <w:lvlJc w:val="left"/>
      <w:pPr>
        <w:tabs>
          <w:tab w:val="num" w:pos="2880"/>
        </w:tabs>
        <w:ind w:left="2880" w:hanging="360"/>
      </w:pPr>
      <w:rPr>
        <w:rFonts w:ascii="Arial" w:hAnsi="Arial" w:hint="default"/>
      </w:rPr>
    </w:lvl>
    <w:lvl w:ilvl="4" w:tplc="3C50176E" w:tentative="1">
      <w:start w:val="1"/>
      <w:numFmt w:val="bullet"/>
      <w:lvlText w:val="•"/>
      <w:lvlJc w:val="left"/>
      <w:pPr>
        <w:tabs>
          <w:tab w:val="num" w:pos="3600"/>
        </w:tabs>
        <w:ind w:left="3600" w:hanging="360"/>
      </w:pPr>
      <w:rPr>
        <w:rFonts w:ascii="Arial" w:hAnsi="Arial" w:hint="default"/>
      </w:rPr>
    </w:lvl>
    <w:lvl w:ilvl="5" w:tplc="48E844EA" w:tentative="1">
      <w:start w:val="1"/>
      <w:numFmt w:val="bullet"/>
      <w:lvlText w:val="•"/>
      <w:lvlJc w:val="left"/>
      <w:pPr>
        <w:tabs>
          <w:tab w:val="num" w:pos="4320"/>
        </w:tabs>
        <w:ind w:left="4320" w:hanging="360"/>
      </w:pPr>
      <w:rPr>
        <w:rFonts w:ascii="Arial" w:hAnsi="Arial" w:hint="default"/>
      </w:rPr>
    </w:lvl>
    <w:lvl w:ilvl="6" w:tplc="44E6A8E4" w:tentative="1">
      <w:start w:val="1"/>
      <w:numFmt w:val="bullet"/>
      <w:lvlText w:val="•"/>
      <w:lvlJc w:val="left"/>
      <w:pPr>
        <w:tabs>
          <w:tab w:val="num" w:pos="5040"/>
        </w:tabs>
        <w:ind w:left="5040" w:hanging="360"/>
      </w:pPr>
      <w:rPr>
        <w:rFonts w:ascii="Arial" w:hAnsi="Arial" w:hint="default"/>
      </w:rPr>
    </w:lvl>
    <w:lvl w:ilvl="7" w:tplc="B4768F0A" w:tentative="1">
      <w:start w:val="1"/>
      <w:numFmt w:val="bullet"/>
      <w:lvlText w:val="•"/>
      <w:lvlJc w:val="left"/>
      <w:pPr>
        <w:tabs>
          <w:tab w:val="num" w:pos="5760"/>
        </w:tabs>
        <w:ind w:left="5760" w:hanging="360"/>
      </w:pPr>
      <w:rPr>
        <w:rFonts w:ascii="Arial" w:hAnsi="Arial" w:hint="default"/>
      </w:rPr>
    </w:lvl>
    <w:lvl w:ilvl="8" w:tplc="EB00E54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CC623A"/>
    <w:multiLevelType w:val="hybridMultilevel"/>
    <w:tmpl w:val="0BD64D48"/>
    <w:lvl w:ilvl="0" w:tplc="1EF029EC">
      <w:start w:val="2"/>
      <w:numFmt w:val="upperLetter"/>
      <w:lvlText w:val="(%1)"/>
      <w:lvlJc w:val="left"/>
      <w:pPr>
        <w:tabs>
          <w:tab w:val="num" w:pos="720"/>
        </w:tabs>
        <w:ind w:left="720" w:hanging="360"/>
      </w:pPr>
    </w:lvl>
    <w:lvl w:ilvl="1" w:tplc="C5CCB334" w:tentative="1">
      <w:start w:val="1"/>
      <w:numFmt w:val="upperLetter"/>
      <w:lvlText w:val="(%2)"/>
      <w:lvlJc w:val="left"/>
      <w:pPr>
        <w:tabs>
          <w:tab w:val="num" w:pos="1440"/>
        </w:tabs>
        <w:ind w:left="1440" w:hanging="360"/>
      </w:pPr>
    </w:lvl>
    <w:lvl w:ilvl="2" w:tplc="4F9C7106" w:tentative="1">
      <w:start w:val="1"/>
      <w:numFmt w:val="upperLetter"/>
      <w:lvlText w:val="(%3)"/>
      <w:lvlJc w:val="left"/>
      <w:pPr>
        <w:tabs>
          <w:tab w:val="num" w:pos="2160"/>
        </w:tabs>
        <w:ind w:left="2160" w:hanging="360"/>
      </w:pPr>
    </w:lvl>
    <w:lvl w:ilvl="3" w:tplc="95205F0C" w:tentative="1">
      <w:start w:val="1"/>
      <w:numFmt w:val="upperLetter"/>
      <w:lvlText w:val="(%4)"/>
      <w:lvlJc w:val="left"/>
      <w:pPr>
        <w:tabs>
          <w:tab w:val="num" w:pos="2880"/>
        </w:tabs>
        <w:ind w:left="2880" w:hanging="360"/>
      </w:pPr>
    </w:lvl>
    <w:lvl w:ilvl="4" w:tplc="E4B241AA" w:tentative="1">
      <w:start w:val="1"/>
      <w:numFmt w:val="upperLetter"/>
      <w:lvlText w:val="(%5)"/>
      <w:lvlJc w:val="left"/>
      <w:pPr>
        <w:tabs>
          <w:tab w:val="num" w:pos="3600"/>
        </w:tabs>
        <w:ind w:left="3600" w:hanging="360"/>
      </w:pPr>
    </w:lvl>
    <w:lvl w:ilvl="5" w:tplc="98101CD8" w:tentative="1">
      <w:start w:val="1"/>
      <w:numFmt w:val="upperLetter"/>
      <w:lvlText w:val="(%6)"/>
      <w:lvlJc w:val="left"/>
      <w:pPr>
        <w:tabs>
          <w:tab w:val="num" w:pos="4320"/>
        </w:tabs>
        <w:ind w:left="4320" w:hanging="360"/>
      </w:pPr>
    </w:lvl>
    <w:lvl w:ilvl="6" w:tplc="EA182814" w:tentative="1">
      <w:start w:val="1"/>
      <w:numFmt w:val="upperLetter"/>
      <w:lvlText w:val="(%7)"/>
      <w:lvlJc w:val="left"/>
      <w:pPr>
        <w:tabs>
          <w:tab w:val="num" w:pos="5040"/>
        </w:tabs>
        <w:ind w:left="5040" w:hanging="360"/>
      </w:pPr>
    </w:lvl>
    <w:lvl w:ilvl="7" w:tplc="F5BCB61A" w:tentative="1">
      <w:start w:val="1"/>
      <w:numFmt w:val="upperLetter"/>
      <w:lvlText w:val="(%8)"/>
      <w:lvlJc w:val="left"/>
      <w:pPr>
        <w:tabs>
          <w:tab w:val="num" w:pos="5760"/>
        </w:tabs>
        <w:ind w:left="5760" w:hanging="360"/>
      </w:pPr>
    </w:lvl>
    <w:lvl w:ilvl="8" w:tplc="954E6A3C" w:tentative="1">
      <w:start w:val="1"/>
      <w:numFmt w:val="upperLetter"/>
      <w:lvlText w:val="(%9)"/>
      <w:lvlJc w:val="left"/>
      <w:pPr>
        <w:tabs>
          <w:tab w:val="num" w:pos="6480"/>
        </w:tabs>
        <w:ind w:left="6480" w:hanging="360"/>
      </w:pPr>
    </w:lvl>
  </w:abstractNum>
  <w:abstractNum w:abstractNumId="7" w15:restartNumberingAfterBreak="0">
    <w:nsid w:val="15656BA3"/>
    <w:multiLevelType w:val="hybridMultilevel"/>
    <w:tmpl w:val="33BC3BEA"/>
    <w:styleLink w:val="Style221"/>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C85EE2"/>
    <w:multiLevelType w:val="hybridMultilevel"/>
    <w:tmpl w:val="94A05DE4"/>
    <w:lvl w:ilvl="0" w:tplc="60AC2324">
      <w:start w:val="1"/>
      <w:numFmt w:val="bullet"/>
      <w:lvlText w:val="•"/>
      <w:lvlJc w:val="left"/>
      <w:pPr>
        <w:tabs>
          <w:tab w:val="num" w:pos="720"/>
        </w:tabs>
        <w:ind w:left="720" w:hanging="360"/>
      </w:pPr>
      <w:rPr>
        <w:rFonts w:ascii="Arial" w:hAnsi="Arial" w:hint="default"/>
      </w:rPr>
    </w:lvl>
    <w:lvl w:ilvl="1" w:tplc="89E820DA" w:tentative="1">
      <w:start w:val="1"/>
      <w:numFmt w:val="bullet"/>
      <w:lvlText w:val="•"/>
      <w:lvlJc w:val="left"/>
      <w:pPr>
        <w:tabs>
          <w:tab w:val="num" w:pos="1440"/>
        </w:tabs>
        <w:ind w:left="1440" w:hanging="360"/>
      </w:pPr>
      <w:rPr>
        <w:rFonts w:ascii="Arial" w:hAnsi="Arial" w:hint="default"/>
      </w:rPr>
    </w:lvl>
    <w:lvl w:ilvl="2" w:tplc="9FA402A4" w:tentative="1">
      <w:start w:val="1"/>
      <w:numFmt w:val="bullet"/>
      <w:lvlText w:val="•"/>
      <w:lvlJc w:val="left"/>
      <w:pPr>
        <w:tabs>
          <w:tab w:val="num" w:pos="2160"/>
        </w:tabs>
        <w:ind w:left="2160" w:hanging="360"/>
      </w:pPr>
      <w:rPr>
        <w:rFonts w:ascii="Arial" w:hAnsi="Arial" w:hint="default"/>
      </w:rPr>
    </w:lvl>
    <w:lvl w:ilvl="3" w:tplc="A5B21A4A" w:tentative="1">
      <w:start w:val="1"/>
      <w:numFmt w:val="bullet"/>
      <w:lvlText w:val="•"/>
      <w:lvlJc w:val="left"/>
      <w:pPr>
        <w:tabs>
          <w:tab w:val="num" w:pos="2880"/>
        </w:tabs>
        <w:ind w:left="2880" w:hanging="360"/>
      </w:pPr>
      <w:rPr>
        <w:rFonts w:ascii="Arial" w:hAnsi="Arial" w:hint="default"/>
      </w:rPr>
    </w:lvl>
    <w:lvl w:ilvl="4" w:tplc="0EFA09C4" w:tentative="1">
      <w:start w:val="1"/>
      <w:numFmt w:val="bullet"/>
      <w:lvlText w:val="•"/>
      <w:lvlJc w:val="left"/>
      <w:pPr>
        <w:tabs>
          <w:tab w:val="num" w:pos="3600"/>
        </w:tabs>
        <w:ind w:left="3600" w:hanging="360"/>
      </w:pPr>
      <w:rPr>
        <w:rFonts w:ascii="Arial" w:hAnsi="Arial" w:hint="default"/>
      </w:rPr>
    </w:lvl>
    <w:lvl w:ilvl="5" w:tplc="E7F68330" w:tentative="1">
      <w:start w:val="1"/>
      <w:numFmt w:val="bullet"/>
      <w:lvlText w:val="•"/>
      <w:lvlJc w:val="left"/>
      <w:pPr>
        <w:tabs>
          <w:tab w:val="num" w:pos="4320"/>
        </w:tabs>
        <w:ind w:left="4320" w:hanging="360"/>
      </w:pPr>
      <w:rPr>
        <w:rFonts w:ascii="Arial" w:hAnsi="Arial" w:hint="default"/>
      </w:rPr>
    </w:lvl>
    <w:lvl w:ilvl="6" w:tplc="485ED3AA" w:tentative="1">
      <w:start w:val="1"/>
      <w:numFmt w:val="bullet"/>
      <w:lvlText w:val="•"/>
      <w:lvlJc w:val="left"/>
      <w:pPr>
        <w:tabs>
          <w:tab w:val="num" w:pos="5040"/>
        </w:tabs>
        <w:ind w:left="5040" w:hanging="360"/>
      </w:pPr>
      <w:rPr>
        <w:rFonts w:ascii="Arial" w:hAnsi="Arial" w:hint="default"/>
      </w:rPr>
    </w:lvl>
    <w:lvl w:ilvl="7" w:tplc="E1C27B22" w:tentative="1">
      <w:start w:val="1"/>
      <w:numFmt w:val="bullet"/>
      <w:lvlText w:val="•"/>
      <w:lvlJc w:val="left"/>
      <w:pPr>
        <w:tabs>
          <w:tab w:val="num" w:pos="5760"/>
        </w:tabs>
        <w:ind w:left="5760" w:hanging="360"/>
      </w:pPr>
      <w:rPr>
        <w:rFonts w:ascii="Arial" w:hAnsi="Arial" w:hint="default"/>
      </w:rPr>
    </w:lvl>
    <w:lvl w:ilvl="8" w:tplc="5D2A867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D855FC"/>
    <w:multiLevelType w:val="hybridMultilevel"/>
    <w:tmpl w:val="EE105B02"/>
    <w:lvl w:ilvl="0" w:tplc="EF2E5428">
      <w:start w:val="1"/>
      <w:numFmt w:val="bullet"/>
      <w:pStyle w:val="Tabletextbullet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8446E1"/>
    <w:multiLevelType w:val="hybridMultilevel"/>
    <w:tmpl w:val="C682DD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9C33E5D"/>
    <w:multiLevelType w:val="hybridMultilevel"/>
    <w:tmpl w:val="47504FD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784D033C"/>
    <w:multiLevelType w:val="multilevel"/>
    <w:tmpl w:val="CC92A716"/>
    <w:lvl w:ilvl="0">
      <w:start w:val="1"/>
      <w:numFmt w:val="decimal"/>
      <w:pStyle w:val="2-SectionHeading"/>
      <w:lvlText w:val="%1"/>
      <w:lvlJc w:val="left"/>
      <w:pPr>
        <w:ind w:left="720" w:hanging="720"/>
      </w:pPr>
      <w:rPr>
        <w:rFonts w:hint="default"/>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CC60315"/>
    <w:multiLevelType w:val="hybridMultilevel"/>
    <w:tmpl w:val="CCE27694"/>
    <w:lvl w:ilvl="0" w:tplc="0C090001">
      <w:start w:val="1"/>
      <w:numFmt w:val="bullet"/>
      <w:lvlText w:val=""/>
      <w:lvlJc w:val="left"/>
      <w:pPr>
        <w:ind w:left="829" w:hanging="360"/>
      </w:pPr>
      <w:rPr>
        <w:rFonts w:ascii="Symbol" w:hAnsi="Symbol" w:hint="default"/>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18"/>
  </w:num>
  <w:num w:numId="2">
    <w:abstractNumId w:val="13"/>
  </w:num>
  <w:num w:numId="3">
    <w:abstractNumId w:val="0"/>
  </w:num>
  <w:num w:numId="4">
    <w:abstractNumId w:val="18"/>
  </w:num>
  <w:num w:numId="5">
    <w:abstractNumId w:val="11"/>
  </w:num>
  <w:num w:numId="6">
    <w:abstractNumId w:val="3"/>
  </w:num>
  <w:num w:numId="7">
    <w:abstractNumId w:val="17"/>
  </w:num>
  <w:num w:numId="8">
    <w:abstractNumId w:val="7"/>
  </w:num>
  <w:num w:numId="9">
    <w:abstractNumId w:val="16"/>
  </w:num>
  <w:num w:numId="10">
    <w:abstractNumId w:val="19"/>
  </w:num>
  <w:num w:numId="11">
    <w:abstractNumId w:val="14"/>
  </w:num>
  <w:num w:numId="12">
    <w:abstractNumId w:val="15"/>
  </w:num>
  <w:num w:numId="13">
    <w:abstractNumId w:val="5"/>
  </w:num>
  <w:num w:numId="14">
    <w:abstractNumId w:val="1"/>
  </w:num>
  <w:num w:numId="15">
    <w:abstractNumId w:val="10"/>
  </w:num>
  <w:num w:numId="16">
    <w:abstractNumId w:val="12"/>
  </w:num>
  <w:num w:numId="17">
    <w:abstractNumId w:val="9"/>
  </w:num>
  <w:num w:numId="18">
    <w:abstractNumId w:val="4"/>
  </w:num>
  <w:num w:numId="19">
    <w:abstractNumId w:val="2"/>
  </w:num>
  <w:num w:numId="20">
    <w:abstractNumId w:val="6"/>
  </w:num>
  <w:num w:numId="21">
    <w:abstractNumId w:val="8"/>
  </w:num>
  <w:num w:numId="22">
    <w:abstractNumId w:val="18"/>
  </w:num>
  <w:num w:numId="23">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3127"/>
    <w:rsid w:val="00003499"/>
    <w:rsid w:val="000039B7"/>
    <w:rsid w:val="000054A1"/>
    <w:rsid w:val="0000639A"/>
    <w:rsid w:val="0000737E"/>
    <w:rsid w:val="000101FE"/>
    <w:rsid w:val="000105A2"/>
    <w:rsid w:val="00011D2A"/>
    <w:rsid w:val="000126DC"/>
    <w:rsid w:val="00013247"/>
    <w:rsid w:val="00013481"/>
    <w:rsid w:val="00015886"/>
    <w:rsid w:val="000162EF"/>
    <w:rsid w:val="00016561"/>
    <w:rsid w:val="000207C9"/>
    <w:rsid w:val="00020E43"/>
    <w:rsid w:val="0002225F"/>
    <w:rsid w:val="00023763"/>
    <w:rsid w:val="00023E8F"/>
    <w:rsid w:val="00024DF6"/>
    <w:rsid w:val="000274B8"/>
    <w:rsid w:val="00027A2A"/>
    <w:rsid w:val="00030432"/>
    <w:rsid w:val="00030B02"/>
    <w:rsid w:val="00031E87"/>
    <w:rsid w:val="00033863"/>
    <w:rsid w:val="00033ECF"/>
    <w:rsid w:val="0003479C"/>
    <w:rsid w:val="0003598D"/>
    <w:rsid w:val="00035DC0"/>
    <w:rsid w:val="00036829"/>
    <w:rsid w:val="00036D7F"/>
    <w:rsid w:val="00040895"/>
    <w:rsid w:val="000408D7"/>
    <w:rsid w:val="00040A26"/>
    <w:rsid w:val="00042C87"/>
    <w:rsid w:val="00043282"/>
    <w:rsid w:val="000435EE"/>
    <w:rsid w:val="00043C37"/>
    <w:rsid w:val="00044CDC"/>
    <w:rsid w:val="00045017"/>
    <w:rsid w:val="00045A2B"/>
    <w:rsid w:val="0004698F"/>
    <w:rsid w:val="0004737C"/>
    <w:rsid w:val="00051D43"/>
    <w:rsid w:val="00052422"/>
    <w:rsid w:val="000539D0"/>
    <w:rsid w:val="0005453C"/>
    <w:rsid w:val="00054621"/>
    <w:rsid w:val="000546D7"/>
    <w:rsid w:val="000554AA"/>
    <w:rsid w:val="00056ECF"/>
    <w:rsid w:val="000604DF"/>
    <w:rsid w:val="00060787"/>
    <w:rsid w:val="000616D1"/>
    <w:rsid w:val="00062E0B"/>
    <w:rsid w:val="00063B99"/>
    <w:rsid w:val="000641FB"/>
    <w:rsid w:val="00064513"/>
    <w:rsid w:val="000648B5"/>
    <w:rsid w:val="000653B5"/>
    <w:rsid w:val="00066360"/>
    <w:rsid w:val="00066AF8"/>
    <w:rsid w:val="0007087E"/>
    <w:rsid w:val="00071248"/>
    <w:rsid w:val="000720B9"/>
    <w:rsid w:val="00073104"/>
    <w:rsid w:val="0007366F"/>
    <w:rsid w:val="00073676"/>
    <w:rsid w:val="000737F7"/>
    <w:rsid w:val="000745E9"/>
    <w:rsid w:val="000745FE"/>
    <w:rsid w:val="00075624"/>
    <w:rsid w:val="0007672F"/>
    <w:rsid w:val="00076B24"/>
    <w:rsid w:val="00076B54"/>
    <w:rsid w:val="000774F0"/>
    <w:rsid w:val="00077ADE"/>
    <w:rsid w:val="00080909"/>
    <w:rsid w:val="00080EDB"/>
    <w:rsid w:val="000812CA"/>
    <w:rsid w:val="00081E63"/>
    <w:rsid w:val="0008258D"/>
    <w:rsid w:val="00083E99"/>
    <w:rsid w:val="00084644"/>
    <w:rsid w:val="0008494D"/>
    <w:rsid w:val="00084FA8"/>
    <w:rsid w:val="000856C5"/>
    <w:rsid w:val="00085C31"/>
    <w:rsid w:val="000902D9"/>
    <w:rsid w:val="00090937"/>
    <w:rsid w:val="00090C7E"/>
    <w:rsid w:val="000915BD"/>
    <w:rsid w:val="00092600"/>
    <w:rsid w:val="0009262B"/>
    <w:rsid w:val="00093310"/>
    <w:rsid w:val="00093807"/>
    <w:rsid w:val="00093D46"/>
    <w:rsid w:val="000940B5"/>
    <w:rsid w:val="0009445C"/>
    <w:rsid w:val="00095200"/>
    <w:rsid w:val="00095DBB"/>
    <w:rsid w:val="00095EFD"/>
    <w:rsid w:val="00095FE5"/>
    <w:rsid w:val="00096284"/>
    <w:rsid w:val="00097E0F"/>
    <w:rsid w:val="000A0018"/>
    <w:rsid w:val="000A1BC0"/>
    <w:rsid w:val="000A48E5"/>
    <w:rsid w:val="000A6039"/>
    <w:rsid w:val="000A7108"/>
    <w:rsid w:val="000A7453"/>
    <w:rsid w:val="000A7D08"/>
    <w:rsid w:val="000A7ED3"/>
    <w:rsid w:val="000B0121"/>
    <w:rsid w:val="000B03D6"/>
    <w:rsid w:val="000B0670"/>
    <w:rsid w:val="000B0E75"/>
    <w:rsid w:val="000B2DCB"/>
    <w:rsid w:val="000B3D5F"/>
    <w:rsid w:val="000B4F6B"/>
    <w:rsid w:val="000B5CE0"/>
    <w:rsid w:val="000B6CAC"/>
    <w:rsid w:val="000B7612"/>
    <w:rsid w:val="000B78AE"/>
    <w:rsid w:val="000B7D8B"/>
    <w:rsid w:val="000C18A6"/>
    <w:rsid w:val="000C198A"/>
    <w:rsid w:val="000C245B"/>
    <w:rsid w:val="000C30DE"/>
    <w:rsid w:val="000C3DF9"/>
    <w:rsid w:val="000C3E89"/>
    <w:rsid w:val="000C5061"/>
    <w:rsid w:val="000C51B3"/>
    <w:rsid w:val="000C6026"/>
    <w:rsid w:val="000C6713"/>
    <w:rsid w:val="000C6A78"/>
    <w:rsid w:val="000C6ACD"/>
    <w:rsid w:val="000C74A6"/>
    <w:rsid w:val="000D11D9"/>
    <w:rsid w:val="000D1BFC"/>
    <w:rsid w:val="000D1D5D"/>
    <w:rsid w:val="000D281A"/>
    <w:rsid w:val="000D2848"/>
    <w:rsid w:val="000D2E4C"/>
    <w:rsid w:val="000D326A"/>
    <w:rsid w:val="000D37B6"/>
    <w:rsid w:val="000D412C"/>
    <w:rsid w:val="000D450C"/>
    <w:rsid w:val="000D51FB"/>
    <w:rsid w:val="000D7FA8"/>
    <w:rsid w:val="000E04B2"/>
    <w:rsid w:val="000E0640"/>
    <w:rsid w:val="000E135D"/>
    <w:rsid w:val="000E17B5"/>
    <w:rsid w:val="000E33B9"/>
    <w:rsid w:val="000E723B"/>
    <w:rsid w:val="000E7D70"/>
    <w:rsid w:val="000F00BA"/>
    <w:rsid w:val="000F15EA"/>
    <w:rsid w:val="000F2F90"/>
    <w:rsid w:val="000F316A"/>
    <w:rsid w:val="000F36FE"/>
    <w:rsid w:val="000F3C74"/>
    <w:rsid w:val="000F4BB8"/>
    <w:rsid w:val="000F4FA9"/>
    <w:rsid w:val="000F53FB"/>
    <w:rsid w:val="000F5603"/>
    <w:rsid w:val="000F5816"/>
    <w:rsid w:val="000F7127"/>
    <w:rsid w:val="000F7B54"/>
    <w:rsid w:val="000F7D5B"/>
    <w:rsid w:val="00100F8A"/>
    <w:rsid w:val="00103118"/>
    <w:rsid w:val="00103782"/>
    <w:rsid w:val="0010452E"/>
    <w:rsid w:val="0010493A"/>
    <w:rsid w:val="00105AE2"/>
    <w:rsid w:val="001060C6"/>
    <w:rsid w:val="00106B80"/>
    <w:rsid w:val="0011032E"/>
    <w:rsid w:val="00110E48"/>
    <w:rsid w:val="001113B0"/>
    <w:rsid w:val="00111F0C"/>
    <w:rsid w:val="0011348B"/>
    <w:rsid w:val="00114203"/>
    <w:rsid w:val="00114914"/>
    <w:rsid w:val="00114C50"/>
    <w:rsid w:val="00115982"/>
    <w:rsid w:val="00116C53"/>
    <w:rsid w:val="00121799"/>
    <w:rsid w:val="00121E44"/>
    <w:rsid w:val="001222FC"/>
    <w:rsid w:val="00123902"/>
    <w:rsid w:val="00124A51"/>
    <w:rsid w:val="00125BE2"/>
    <w:rsid w:val="00126206"/>
    <w:rsid w:val="00126621"/>
    <w:rsid w:val="00126B1D"/>
    <w:rsid w:val="0012711C"/>
    <w:rsid w:val="001275A0"/>
    <w:rsid w:val="00127C40"/>
    <w:rsid w:val="001301E9"/>
    <w:rsid w:val="001307C0"/>
    <w:rsid w:val="0013185F"/>
    <w:rsid w:val="00131D82"/>
    <w:rsid w:val="00132B22"/>
    <w:rsid w:val="00133D36"/>
    <w:rsid w:val="00133F2C"/>
    <w:rsid w:val="001342C2"/>
    <w:rsid w:val="00135B89"/>
    <w:rsid w:val="00137645"/>
    <w:rsid w:val="0014015A"/>
    <w:rsid w:val="00140E99"/>
    <w:rsid w:val="00143F67"/>
    <w:rsid w:val="00144C4B"/>
    <w:rsid w:val="00145540"/>
    <w:rsid w:val="001456B0"/>
    <w:rsid w:val="00145DBC"/>
    <w:rsid w:val="0014609A"/>
    <w:rsid w:val="0014775C"/>
    <w:rsid w:val="00150F91"/>
    <w:rsid w:val="00151D44"/>
    <w:rsid w:val="00153168"/>
    <w:rsid w:val="00156F8F"/>
    <w:rsid w:val="00157130"/>
    <w:rsid w:val="001576B1"/>
    <w:rsid w:val="0016047B"/>
    <w:rsid w:val="00160A4C"/>
    <w:rsid w:val="001615BD"/>
    <w:rsid w:val="00162836"/>
    <w:rsid w:val="00162913"/>
    <w:rsid w:val="00163EFF"/>
    <w:rsid w:val="00163F66"/>
    <w:rsid w:val="00165B14"/>
    <w:rsid w:val="001661FB"/>
    <w:rsid w:val="001671A0"/>
    <w:rsid w:val="0016767F"/>
    <w:rsid w:val="00173565"/>
    <w:rsid w:val="00173B07"/>
    <w:rsid w:val="00174615"/>
    <w:rsid w:val="0017502D"/>
    <w:rsid w:val="001751FA"/>
    <w:rsid w:val="00176B13"/>
    <w:rsid w:val="001801AE"/>
    <w:rsid w:val="00180D82"/>
    <w:rsid w:val="00180E87"/>
    <w:rsid w:val="00181507"/>
    <w:rsid w:val="00181550"/>
    <w:rsid w:val="00181D9C"/>
    <w:rsid w:val="00184B0E"/>
    <w:rsid w:val="00185305"/>
    <w:rsid w:val="0018752F"/>
    <w:rsid w:val="0019055A"/>
    <w:rsid w:val="001930EC"/>
    <w:rsid w:val="00193838"/>
    <w:rsid w:val="00193E2A"/>
    <w:rsid w:val="00194AD8"/>
    <w:rsid w:val="00195222"/>
    <w:rsid w:val="00196A20"/>
    <w:rsid w:val="001975D8"/>
    <w:rsid w:val="00197900"/>
    <w:rsid w:val="001A0BDC"/>
    <w:rsid w:val="001A178E"/>
    <w:rsid w:val="001A1A93"/>
    <w:rsid w:val="001A33AD"/>
    <w:rsid w:val="001A43FA"/>
    <w:rsid w:val="001A47C5"/>
    <w:rsid w:val="001A48EC"/>
    <w:rsid w:val="001A4AE0"/>
    <w:rsid w:val="001A4F15"/>
    <w:rsid w:val="001A59FB"/>
    <w:rsid w:val="001A5E9E"/>
    <w:rsid w:val="001A6354"/>
    <w:rsid w:val="001A6366"/>
    <w:rsid w:val="001A75F5"/>
    <w:rsid w:val="001A7AE8"/>
    <w:rsid w:val="001B204E"/>
    <w:rsid w:val="001B2372"/>
    <w:rsid w:val="001B2BC0"/>
    <w:rsid w:val="001B3443"/>
    <w:rsid w:val="001B449C"/>
    <w:rsid w:val="001B4A79"/>
    <w:rsid w:val="001B4D20"/>
    <w:rsid w:val="001C2A9B"/>
    <w:rsid w:val="001C4299"/>
    <w:rsid w:val="001C4874"/>
    <w:rsid w:val="001C5F94"/>
    <w:rsid w:val="001C6E66"/>
    <w:rsid w:val="001C75F4"/>
    <w:rsid w:val="001D1100"/>
    <w:rsid w:val="001D1391"/>
    <w:rsid w:val="001D25D7"/>
    <w:rsid w:val="001D499D"/>
    <w:rsid w:val="001D50B2"/>
    <w:rsid w:val="001D5B77"/>
    <w:rsid w:val="001D5D52"/>
    <w:rsid w:val="001D7645"/>
    <w:rsid w:val="001E1962"/>
    <w:rsid w:val="001E1E86"/>
    <w:rsid w:val="001E238E"/>
    <w:rsid w:val="001E2483"/>
    <w:rsid w:val="001E25F9"/>
    <w:rsid w:val="001E2B1E"/>
    <w:rsid w:val="001E2CFF"/>
    <w:rsid w:val="001E2F24"/>
    <w:rsid w:val="001E30D4"/>
    <w:rsid w:val="001E34DF"/>
    <w:rsid w:val="001E38C7"/>
    <w:rsid w:val="001E4C66"/>
    <w:rsid w:val="001E4E32"/>
    <w:rsid w:val="001E50B7"/>
    <w:rsid w:val="001E52EB"/>
    <w:rsid w:val="001E545E"/>
    <w:rsid w:val="001E61D2"/>
    <w:rsid w:val="001E740C"/>
    <w:rsid w:val="001F1235"/>
    <w:rsid w:val="001F1CB3"/>
    <w:rsid w:val="001F2A6B"/>
    <w:rsid w:val="001F38B5"/>
    <w:rsid w:val="001F4081"/>
    <w:rsid w:val="001F4AC5"/>
    <w:rsid w:val="001F55A6"/>
    <w:rsid w:val="001F6D40"/>
    <w:rsid w:val="001F7361"/>
    <w:rsid w:val="001F75C8"/>
    <w:rsid w:val="00200EF8"/>
    <w:rsid w:val="002011B0"/>
    <w:rsid w:val="002011EB"/>
    <w:rsid w:val="00202589"/>
    <w:rsid w:val="00202796"/>
    <w:rsid w:val="00203181"/>
    <w:rsid w:val="00203783"/>
    <w:rsid w:val="0020385F"/>
    <w:rsid w:val="00205B42"/>
    <w:rsid w:val="002068A0"/>
    <w:rsid w:val="00206AF2"/>
    <w:rsid w:val="00207021"/>
    <w:rsid w:val="0020732F"/>
    <w:rsid w:val="00207D00"/>
    <w:rsid w:val="00207EDA"/>
    <w:rsid w:val="002105C1"/>
    <w:rsid w:val="00210DE0"/>
    <w:rsid w:val="002115B2"/>
    <w:rsid w:val="00212340"/>
    <w:rsid w:val="00212683"/>
    <w:rsid w:val="0021299E"/>
    <w:rsid w:val="002129A1"/>
    <w:rsid w:val="00213877"/>
    <w:rsid w:val="00213EF5"/>
    <w:rsid w:val="002161C7"/>
    <w:rsid w:val="00216BF5"/>
    <w:rsid w:val="0022366A"/>
    <w:rsid w:val="00223A02"/>
    <w:rsid w:val="00223B49"/>
    <w:rsid w:val="00223D5A"/>
    <w:rsid w:val="00224DD4"/>
    <w:rsid w:val="002278A0"/>
    <w:rsid w:val="002302C7"/>
    <w:rsid w:val="002309CC"/>
    <w:rsid w:val="00230D3D"/>
    <w:rsid w:val="00230DB1"/>
    <w:rsid w:val="002313C7"/>
    <w:rsid w:val="0023209F"/>
    <w:rsid w:val="0023324B"/>
    <w:rsid w:val="00233C01"/>
    <w:rsid w:val="0023413C"/>
    <w:rsid w:val="0023436A"/>
    <w:rsid w:val="002346F0"/>
    <w:rsid w:val="0023486A"/>
    <w:rsid w:val="0023629D"/>
    <w:rsid w:val="00237255"/>
    <w:rsid w:val="00237AEC"/>
    <w:rsid w:val="00240030"/>
    <w:rsid w:val="00241176"/>
    <w:rsid w:val="0024132D"/>
    <w:rsid w:val="0024202C"/>
    <w:rsid w:val="002424AF"/>
    <w:rsid w:val="002433C1"/>
    <w:rsid w:val="002439DC"/>
    <w:rsid w:val="002441D2"/>
    <w:rsid w:val="00244DC8"/>
    <w:rsid w:val="002451FC"/>
    <w:rsid w:val="002458BA"/>
    <w:rsid w:val="00245CE9"/>
    <w:rsid w:val="0024636C"/>
    <w:rsid w:val="00247925"/>
    <w:rsid w:val="00250685"/>
    <w:rsid w:val="00251006"/>
    <w:rsid w:val="002510A6"/>
    <w:rsid w:val="002523EC"/>
    <w:rsid w:val="002524D5"/>
    <w:rsid w:val="00252910"/>
    <w:rsid w:val="00253B1D"/>
    <w:rsid w:val="00254073"/>
    <w:rsid w:val="00254DCF"/>
    <w:rsid w:val="0025534B"/>
    <w:rsid w:val="00255BB7"/>
    <w:rsid w:val="00257541"/>
    <w:rsid w:val="00257A39"/>
    <w:rsid w:val="00257AC4"/>
    <w:rsid w:val="00261EEF"/>
    <w:rsid w:val="00262A1A"/>
    <w:rsid w:val="00262A87"/>
    <w:rsid w:val="0026312F"/>
    <w:rsid w:val="00264D26"/>
    <w:rsid w:val="00266463"/>
    <w:rsid w:val="00267642"/>
    <w:rsid w:val="00267AEA"/>
    <w:rsid w:val="002700E6"/>
    <w:rsid w:val="00272257"/>
    <w:rsid w:val="0027294B"/>
    <w:rsid w:val="002739FE"/>
    <w:rsid w:val="00273EB4"/>
    <w:rsid w:val="00273F32"/>
    <w:rsid w:val="00273F7B"/>
    <w:rsid w:val="00274682"/>
    <w:rsid w:val="00275C5A"/>
    <w:rsid w:val="002767FA"/>
    <w:rsid w:val="00281014"/>
    <w:rsid w:val="00281F72"/>
    <w:rsid w:val="00283F6E"/>
    <w:rsid w:val="00284197"/>
    <w:rsid w:val="00284919"/>
    <w:rsid w:val="0028665D"/>
    <w:rsid w:val="0028798A"/>
    <w:rsid w:val="0029050C"/>
    <w:rsid w:val="00290BDA"/>
    <w:rsid w:val="00290D0D"/>
    <w:rsid w:val="00293BF5"/>
    <w:rsid w:val="00294D54"/>
    <w:rsid w:val="00294F25"/>
    <w:rsid w:val="00295D49"/>
    <w:rsid w:val="002A0034"/>
    <w:rsid w:val="002A14AB"/>
    <w:rsid w:val="002A2ADE"/>
    <w:rsid w:val="002A2F50"/>
    <w:rsid w:val="002A3096"/>
    <w:rsid w:val="002A523E"/>
    <w:rsid w:val="002A72FF"/>
    <w:rsid w:val="002B05A1"/>
    <w:rsid w:val="002B09A4"/>
    <w:rsid w:val="002B1C1F"/>
    <w:rsid w:val="002B1FA7"/>
    <w:rsid w:val="002B285D"/>
    <w:rsid w:val="002B432F"/>
    <w:rsid w:val="002B62B3"/>
    <w:rsid w:val="002B6754"/>
    <w:rsid w:val="002B6CCE"/>
    <w:rsid w:val="002B6CD8"/>
    <w:rsid w:val="002B7A00"/>
    <w:rsid w:val="002B7A61"/>
    <w:rsid w:val="002C2510"/>
    <w:rsid w:val="002C2775"/>
    <w:rsid w:val="002C27C1"/>
    <w:rsid w:val="002C5099"/>
    <w:rsid w:val="002C5889"/>
    <w:rsid w:val="002C71CE"/>
    <w:rsid w:val="002C7284"/>
    <w:rsid w:val="002D08F8"/>
    <w:rsid w:val="002D0E81"/>
    <w:rsid w:val="002D1FBA"/>
    <w:rsid w:val="002D2BC1"/>
    <w:rsid w:val="002D3C83"/>
    <w:rsid w:val="002D3D8E"/>
    <w:rsid w:val="002D4E43"/>
    <w:rsid w:val="002D577C"/>
    <w:rsid w:val="002D57BE"/>
    <w:rsid w:val="002D5A5B"/>
    <w:rsid w:val="002D5C58"/>
    <w:rsid w:val="002D6847"/>
    <w:rsid w:val="002D74EF"/>
    <w:rsid w:val="002E0686"/>
    <w:rsid w:val="002E0744"/>
    <w:rsid w:val="002E1071"/>
    <w:rsid w:val="002E128E"/>
    <w:rsid w:val="002E15B9"/>
    <w:rsid w:val="002E17CB"/>
    <w:rsid w:val="002E2158"/>
    <w:rsid w:val="002E4F02"/>
    <w:rsid w:val="002E7233"/>
    <w:rsid w:val="002E7722"/>
    <w:rsid w:val="002E7B3E"/>
    <w:rsid w:val="002F07BA"/>
    <w:rsid w:val="002F0C94"/>
    <w:rsid w:val="002F0DA9"/>
    <w:rsid w:val="002F1014"/>
    <w:rsid w:val="002F2E57"/>
    <w:rsid w:val="002F4CDF"/>
    <w:rsid w:val="002F50A5"/>
    <w:rsid w:val="002F59A2"/>
    <w:rsid w:val="002F643C"/>
    <w:rsid w:val="002F70CA"/>
    <w:rsid w:val="002F71C0"/>
    <w:rsid w:val="002F71D9"/>
    <w:rsid w:val="002F74F1"/>
    <w:rsid w:val="002F777E"/>
    <w:rsid w:val="002F7B2D"/>
    <w:rsid w:val="00301017"/>
    <w:rsid w:val="0030155F"/>
    <w:rsid w:val="003036F1"/>
    <w:rsid w:val="0030587B"/>
    <w:rsid w:val="00306D98"/>
    <w:rsid w:val="0030772F"/>
    <w:rsid w:val="0030786C"/>
    <w:rsid w:val="0031031A"/>
    <w:rsid w:val="00310981"/>
    <w:rsid w:val="003124D9"/>
    <w:rsid w:val="00312594"/>
    <w:rsid w:val="00312D02"/>
    <w:rsid w:val="00312FAC"/>
    <w:rsid w:val="0031333D"/>
    <w:rsid w:val="00314BD0"/>
    <w:rsid w:val="00315498"/>
    <w:rsid w:val="00316474"/>
    <w:rsid w:val="00317BBE"/>
    <w:rsid w:val="00320616"/>
    <w:rsid w:val="00320B87"/>
    <w:rsid w:val="00322107"/>
    <w:rsid w:val="00322355"/>
    <w:rsid w:val="00322846"/>
    <w:rsid w:val="00322C1E"/>
    <w:rsid w:val="00323979"/>
    <w:rsid w:val="00326DA7"/>
    <w:rsid w:val="003270E4"/>
    <w:rsid w:val="00330A9E"/>
    <w:rsid w:val="00330DAA"/>
    <w:rsid w:val="00330E59"/>
    <w:rsid w:val="00330F5C"/>
    <w:rsid w:val="00331CB7"/>
    <w:rsid w:val="0033295C"/>
    <w:rsid w:val="00332ED7"/>
    <w:rsid w:val="00334722"/>
    <w:rsid w:val="00334AC1"/>
    <w:rsid w:val="003366C9"/>
    <w:rsid w:val="00336DB4"/>
    <w:rsid w:val="003371B0"/>
    <w:rsid w:val="00340618"/>
    <w:rsid w:val="00340DF1"/>
    <w:rsid w:val="0034168E"/>
    <w:rsid w:val="00341E9E"/>
    <w:rsid w:val="003425B6"/>
    <w:rsid w:val="00344613"/>
    <w:rsid w:val="00344BE3"/>
    <w:rsid w:val="003517F9"/>
    <w:rsid w:val="00351A8B"/>
    <w:rsid w:val="00351BA9"/>
    <w:rsid w:val="00352021"/>
    <w:rsid w:val="00352C79"/>
    <w:rsid w:val="00354F64"/>
    <w:rsid w:val="00355DB8"/>
    <w:rsid w:val="0035620E"/>
    <w:rsid w:val="0035662D"/>
    <w:rsid w:val="003569C7"/>
    <w:rsid w:val="00360345"/>
    <w:rsid w:val="00360D94"/>
    <w:rsid w:val="00361A05"/>
    <w:rsid w:val="00361B5F"/>
    <w:rsid w:val="003624C4"/>
    <w:rsid w:val="00363B00"/>
    <w:rsid w:val="00364028"/>
    <w:rsid w:val="00364B82"/>
    <w:rsid w:val="00365270"/>
    <w:rsid w:val="003654AC"/>
    <w:rsid w:val="00366BB6"/>
    <w:rsid w:val="0036718E"/>
    <w:rsid w:val="003710CF"/>
    <w:rsid w:val="00372420"/>
    <w:rsid w:val="0037358A"/>
    <w:rsid w:val="003750F6"/>
    <w:rsid w:val="003760FC"/>
    <w:rsid w:val="00376A93"/>
    <w:rsid w:val="00377CD9"/>
    <w:rsid w:val="00381293"/>
    <w:rsid w:val="00381D37"/>
    <w:rsid w:val="0038365C"/>
    <w:rsid w:val="0038369B"/>
    <w:rsid w:val="00383B78"/>
    <w:rsid w:val="0038568C"/>
    <w:rsid w:val="0038596C"/>
    <w:rsid w:val="00385A9D"/>
    <w:rsid w:val="0038744C"/>
    <w:rsid w:val="003902B1"/>
    <w:rsid w:val="0039179C"/>
    <w:rsid w:val="00394B9F"/>
    <w:rsid w:val="00395B3C"/>
    <w:rsid w:val="00395EF5"/>
    <w:rsid w:val="00395F64"/>
    <w:rsid w:val="00396896"/>
    <w:rsid w:val="00396FD0"/>
    <w:rsid w:val="003975B5"/>
    <w:rsid w:val="00397867"/>
    <w:rsid w:val="003A0798"/>
    <w:rsid w:val="003A1A7A"/>
    <w:rsid w:val="003A2392"/>
    <w:rsid w:val="003A2831"/>
    <w:rsid w:val="003A2D8C"/>
    <w:rsid w:val="003A3CB6"/>
    <w:rsid w:val="003A3ED1"/>
    <w:rsid w:val="003A44DB"/>
    <w:rsid w:val="003B0028"/>
    <w:rsid w:val="003B3971"/>
    <w:rsid w:val="003B55D1"/>
    <w:rsid w:val="003B5B61"/>
    <w:rsid w:val="003C06E7"/>
    <w:rsid w:val="003C1654"/>
    <w:rsid w:val="003C271C"/>
    <w:rsid w:val="003C4604"/>
    <w:rsid w:val="003C517A"/>
    <w:rsid w:val="003C5542"/>
    <w:rsid w:val="003C5B62"/>
    <w:rsid w:val="003C7215"/>
    <w:rsid w:val="003C7D19"/>
    <w:rsid w:val="003C7D2F"/>
    <w:rsid w:val="003D1828"/>
    <w:rsid w:val="003D1DE4"/>
    <w:rsid w:val="003D1E9A"/>
    <w:rsid w:val="003D2422"/>
    <w:rsid w:val="003D34BB"/>
    <w:rsid w:val="003D39A1"/>
    <w:rsid w:val="003D3FBF"/>
    <w:rsid w:val="003D42FB"/>
    <w:rsid w:val="003D4A30"/>
    <w:rsid w:val="003D643A"/>
    <w:rsid w:val="003D64F2"/>
    <w:rsid w:val="003D7452"/>
    <w:rsid w:val="003D78A1"/>
    <w:rsid w:val="003D79BB"/>
    <w:rsid w:val="003D7C98"/>
    <w:rsid w:val="003D7D9D"/>
    <w:rsid w:val="003E0543"/>
    <w:rsid w:val="003E198A"/>
    <w:rsid w:val="003E20FC"/>
    <w:rsid w:val="003E26E1"/>
    <w:rsid w:val="003E2B76"/>
    <w:rsid w:val="003E340A"/>
    <w:rsid w:val="003E5B5B"/>
    <w:rsid w:val="003E749E"/>
    <w:rsid w:val="003F11CE"/>
    <w:rsid w:val="003F261E"/>
    <w:rsid w:val="003F4156"/>
    <w:rsid w:val="003F564C"/>
    <w:rsid w:val="003F576D"/>
    <w:rsid w:val="003F5ADF"/>
    <w:rsid w:val="003F7235"/>
    <w:rsid w:val="003F7579"/>
    <w:rsid w:val="003F7D12"/>
    <w:rsid w:val="0040052C"/>
    <w:rsid w:val="00400B29"/>
    <w:rsid w:val="00402B39"/>
    <w:rsid w:val="00402B58"/>
    <w:rsid w:val="004038C9"/>
    <w:rsid w:val="004040A3"/>
    <w:rsid w:val="0040504B"/>
    <w:rsid w:val="004059F4"/>
    <w:rsid w:val="00407FE5"/>
    <w:rsid w:val="004101B0"/>
    <w:rsid w:val="00410326"/>
    <w:rsid w:val="00410708"/>
    <w:rsid w:val="00410750"/>
    <w:rsid w:val="00410EC7"/>
    <w:rsid w:val="00411B39"/>
    <w:rsid w:val="004127A7"/>
    <w:rsid w:val="00413A1E"/>
    <w:rsid w:val="00414312"/>
    <w:rsid w:val="00414362"/>
    <w:rsid w:val="00414476"/>
    <w:rsid w:val="00414C2E"/>
    <w:rsid w:val="004151CF"/>
    <w:rsid w:val="00416364"/>
    <w:rsid w:val="0042047F"/>
    <w:rsid w:val="00420AA6"/>
    <w:rsid w:val="00420B9F"/>
    <w:rsid w:val="004213A0"/>
    <w:rsid w:val="0042192C"/>
    <w:rsid w:val="00422260"/>
    <w:rsid w:val="004223C5"/>
    <w:rsid w:val="0042413F"/>
    <w:rsid w:val="004249CB"/>
    <w:rsid w:val="00426059"/>
    <w:rsid w:val="004265FE"/>
    <w:rsid w:val="0042771F"/>
    <w:rsid w:val="00427AA7"/>
    <w:rsid w:val="00430E47"/>
    <w:rsid w:val="0043127B"/>
    <w:rsid w:val="004319F8"/>
    <w:rsid w:val="00431E55"/>
    <w:rsid w:val="004321F6"/>
    <w:rsid w:val="00433044"/>
    <w:rsid w:val="00434088"/>
    <w:rsid w:val="00435182"/>
    <w:rsid w:val="004356DD"/>
    <w:rsid w:val="00435E0E"/>
    <w:rsid w:val="004375B9"/>
    <w:rsid w:val="004428D0"/>
    <w:rsid w:val="00442AAB"/>
    <w:rsid w:val="00443776"/>
    <w:rsid w:val="0044382B"/>
    <w:rsid w:val="00444185"/>
    <w:rsid w:val="004443A7"/>
    <w:rsid w:val="0044442C"/>
    <w:rsid w:val="00445721"/>
    <w:rsid w:val="004457F4"/>
    <w:rsid w:val="00445941"/>
    <w:rsid w:val="004464EB"/>
    <w:rsid w:val="0044757C"/>
    <w:rsid w:val="00447D26"/>
    <w:rsid w:val="00447DFC"/>
    <w:rsid w:val="004527AD"/>
    <w:rsid w:val="004529CA"/>
    <w:rsid w:val="00452CAE"/>
    <w:rsid w:val="004539D9"/>
    <w:rsid w:val="00453BED"/>
    <w:rsid w:val="00455D45"/>
    <w:rsid w:val="00455DDE"/>
    <w:rsid w:val="00461610"/>
    <w:rsid w:val="00464595"/>
    <w:rsid w:val="00464E45"/>
    <w:rsid w:val="00464EA2"/>
    <w:rsid w:val="004653E9"/>
    <w:rsid w:val="004658B5"/>
    <w:rsid w:val="00466291"/>
    <w:rsid w:val="0046643E"/>
    <w:rsid w:val="0046707C"/>
    <w:rsid w:val="004713A6"/>
    <w:rsid w:val="00471EA5"/>
    <w:rsid w:val="004723C7"/>
    <w:rsid w:val="00472A79"/>
    <w:rsid w:val="00473F19"/>
    <w:rsid w:val="00475E22"/>
    <w:rsid w:val="0048088E"/>
    <w:rsid w:val="00480F2B"/>
    <w:rsid w:val="00481C82"/>
    <w:rsid w:val="00482720"/>
    <w:rsid w:val="004835E7"/>
    <w:rsid w:val="004867E2"/>
    <w:rsid w:val="00486837"/>
    <w:rsid w:val="00490009"/>
    <w:rsid w:val="00490799"/>
    <w:rsid w:val="00490B17"/>
    <w:rsid w:val="00491B3A"/>
    <w:rsid w:val="00492471"/>
    <w:rsid w:val="00492CFD"/>
    <w:rsid w:val="004941EE"/>
    <w:rsid w:val="00494207"/>
    <w:rsid w:val="0049475A"/>
    <w:rsid w:val="00494DD5"/>
    <w:rsid w:val="00495D72"/>
    <w:rsid w:val="004962D2"/>
    <w:rsid w:val="00497487"/>
    <w:rsid w:val="00497942"/>
    <w:rsid w:val="004A0DA1"/>
    <w:rsid w:val="004A13D6"/>
    <w:rsid w:val="004A2A1A"/>
    <w:rsid w:val="004A468A"/>
    <w:rsid w:val="004A4A43"/>
    <w:rsid w:val="004A4CB9"/>
    <w:rsid w:val="004A4E9E"/>
    <w:rsid w:val="004A52E9"/>
    <w:rsid w:val="004A6040"/>
    <w:rsid w:val="004A6597"/>
    <w:rsid w:val="004A6D75"/>
    <w:rsid w:val="004A7848"/>
    <w:rsid w:val="004B0DF6"/>
    <w:rsid w:val="004B1CB4"/>
    <w:rsid w:val="004B2F18"/>
    <w:rsid w:val="004B3DDB"/>
    <w:rsid w:val="004B3EE3"/>
    <w:rsid w:val="004B44FD"/>
    <w:rsid w:val="004B5AF2"/>
    <w:rsid w:val="004B5CFC"/>
    <w:rsid w:val="004B6F79"/>
    <w:rsid w:val="004B774D"/>
    <w:rsid w:val="004B799E"/>
    <w:rsid w:val="004B7AE3"/>
    <w:rsid w:val="004C093A"/>
    <w:rsid w:val="004C2D9A"/>
    <w:rsid w:val="004C4AED"/>
    <w:rsid w:val="004C54A6"/>
    <w:rsid w:val="004C5F1F"/>
    <w:rsid w:val="004C64F8"/>
    <w:rsid w:val="004C6671"/>
    <w:rsid w:val="004D0960"/>
    <w:rsid w:val="004D17B9"/>
    <w:rsid w:val="004D2C2D"/>
    <w:rsid w:val="004D32AC"/>
    <w:rsid w:val="004D63FA"/>
    <w:rsid w:val="004D69B5"/>
    <w:rsid w:val="004D6F74"/>
    <w:rsid w:val="004D7227"/>
    <w:rsid w:val="004D7560"/>
    <w:rsid w:val="004D76A9"/>
    <w:rsid w:val="004E0074"/>
    <w:rsid w:val="004E035A"/>
    <w:rsid w:val="004E0E7F"/>
    <w:rsid w:val="004E0EB8"/>
    <w:rsid w:val="004E18E9"/>
    <w:rsid w:val="004E2144"/>
    <w:rsid w:val="004E2710"/>
    <w:rsid w:val="004E2ADC"/>
    <w:rsid w:val="004E2B06"/>
    <w:rsid w:val="004E2F84"/>
    <w:rsid w:val="004E43B2"/>
    <w:rsid w:val="004E5BC6"/>
    <w:rsid w:val="004E7352"/>
    <w:rsid w:val="004E7EFA"/>
    <w:rsid w:val="004F0697"/>
    <w:rsid w:val="004F0BE4"/>
    <w:rsid w:val="004F0F59"/>
    <w:rsid w:val="004F1D02"/>
    <w:rsid w:val="004F2679"/>
    <w:rsid w:val="004F2F21"/>
    <w:rsid w:val="004F355E"/>
    <w:rsid w:val="004F390A"/>
    <w:rsid w:val="004F3DE5"/>
    <w:rsid w:val="004F3FC3"/>
    <w:rsid w:val="004F4AE5"/>
    <w:rsid w:val="004F50A3"/>
    <w:rsid w:val="004F631C"/>
    <w:rsid w:val="004F6913"/>
    <w:rsid w:val="004F6A14"/>
    <w:rsid w:val="004F7865"/>
    <w:rsid w:val="0050174E"/>
    <w:rsid w:val="00501854"/>
    <w:rsid w:val="00501A64"/>
    <w:rsid w:val="0050219B"/>
    <w:rsid w:val="0050280C"/>
    <w:rsid w:val="00503F17"/>
    <w:rsid w:val="00506928"/>
    <w:rsid w:val="0050762E"/>
    <w:rsid w:val="005077EF"/>
    <w:rsid w:val="00511AD5"/>
    <w:rsid w:val="00511DC7"/>
    <w:rsid w:val="00511E9A"/>
    <w:rsid w:val="005122C4"/>
    <w:rsid w:val="005142C5"/>
    <w:rsid w:val="0051501B"/>
    <w:rsid w:val="005152B5"/>
    <w:rsid w:val="00516758"/>
    <w:rsid w:val="005201F9"/>
    <w:rsid w:val="0052123C"/>
    <w:rsid w:val="00521319"/>
    <w:rsid w:val="00521F4F"/>
    <w:rsid w:val="00522BC8"/>
    <w:rsid w:val="00523C28"/>
    <w:rsid w:val="005240CC"/>
    <w:rsid w:val="0052495F"/>
    <w:rsid w:val="00524FCB"/>
    <w:rsid w:val="00525E25"/>
    <w:rsid w:val="00525EC9"/>
    <w:rsid w:val="00527017"/>
    <w:rsid w:val="00527CF7"/>
    <w:rsid w:val="00530FC5"/>
    <w:rsid w:val="00531121"/>
    <w:rsid w:val="0053176B"/>
    <w:rsid w:val="00531BEF"/>
    <w:rsid w:val="00534938"/>
    <w:rsid w:val="00534B0F"/>
    <w:rsid w:val="00534ED8"/>
    <w:rsid w:val="00535FC6"/>
    <w:rsid w:val="0053601C"/>
    <w:rsid w:val="0053616D"/>
    <w:rsid w:val="00536957"/>
    <w:rsid w:val="00536E31"/>
    <w:rsid w:val="00536F42"/>
    <w:rsid w:val="00537182"/>
    <w:rsid w:val="0053776E"/>
    <w:rsid w:val="00537820"/>
    <w:rsid w:val="00541EDD"/>
    <w:rsid w:val="00542595"/>
    <w:rsid w:val="00542743"/>
    <w:rsid w:val="00542C2D"/>
    <w:rsid w:val="00543A56"/>
    <w:rsid w:val="00546443"/>
    <w:rsid w:val="0054781D"/>
    <w:rsid w:val="005478BD"/>
    <w:rsid w:val="005478CF"/>
    <w:rsid w:val="005479E3"/>
    <w:rsid w:val="00547D03"/>
    <w:rsid w:val="00551985"/>
    <w:rsid w:val="00552BD3"/>
    <w:rsid w:val="00552DE3"/>
    <w:rsid w:val="005532A0"/>
    <w:rsid w:val="00553C2D"/>
    <w:rsid w:val="00555109"/>
    <w:rsid w:val="00556B35"/>
    <w:rsid w:val="0055741A"/>
    <w:rsid w:val="00560988"/>
    <w:rsid w:val="005611B7"/>
    <w:rsid w:val="005618D4"/>
    <w:rsid w:val="00562AA9"/>
    <w:rsid w:val="005645F5"/>
    <w:rsid w:val="00564A77"/>
    <w:rsid w:val="00565CB1"/>
    <w:rsid w:val="00565DF0"/>
    <w:rsid w:val="0056696F"/>
    <w:rsid w:val="00566EFF"/>
    <w:rsid w:val="0056781F"/>
    <w:rsid w:val="00572269"/>
    <w:rsid w:val="0057244A"/>
    <w:rsid w:val="005726BC"/>
    <w:rsid w:val="00572E2C"/>
    <w:rsid w:val="00572F26"/>
    <w:rsid w:val="00573204"/>
    <w:rsid w:val="0057380F"/>
    <w:rsid w:val="00574884"/>
    <w:rsid w:val="005750C5"/>
    <w:rsid w:val="005752DE"/>
    <w:rsid w:val="00575D8D"/>
    <w:rsid w:val="00576972"/>
    <w:rsid w:val="005769A1"/>
    <w:rsid w:val="0058103F"/>
    <w:rsid w:val="00581EA6"/>
    <w:rsid w:val="00582402"/>
    <w:rsid w:val="00582449"/>
    <w:rsid w:val="00582FE3"/>
    <w:rsid w:val="00583699"/>
    <w:rsid w:val="00583749"/>
    <w:rsid w:val="00585BCF"/>
    <w:rsid w:val="00585CDD"/>
    <w:rsid w:val="00587058"/>
    <w:rsid w:val="00591957"/>
    <w:rsid w:val="005930F0"/>
    <w:rsid w:val="00594CBE"/>
    <w:rsid w:val="005960C5"/>
    <w:rsid w:val="00597810"/>
    <w:rsid w:val="00597BF9"/>
    <w:rsid w:val="005A18F3"/>
    <w:rsid w:val="005A309A"/>
    <w:rsid w:val="005A373D"/>
    <w:rsid w:val="005A4C95"/>
    <w:rsid w:val="005A5D9A"/>
    <w:rsid w:val="005A7E2D"/>
    <w:rsid w:val="005A7F48"/>
    <w:rsid w:val="005B07C6"/>
    <w:rsid w:val="005B0B58"/>
    <w:rsid w:val="005B1562"/>
    <w:rsid w:val="005B23DD"/>
    <w:rsid w:val="005B29E8"/>
    <w:rsid w:val="005B3E07"/>
    <w:rsid w:val="005B4E53"/>
    <w:rsid w:val="005B5857"/>
    <w:rsid w:val="005B7EB7"/>
    <w:rsid w:val="005C1A07"/>
    <w:rsid w:val="005C1B83"/>
    <w:rsid w:val="005C1FF6"/>
    <w:rsid w:val="005C25FF"/>
    <w:rsid w:val="005C2A4C"/>
    <w:rsid w:val="005C2D55"/>
    <w:rsid w:val="005C346B"/>
    <w:rsid w:val="005C4A14"/>
    <w:rsid w:val="005C4AC6"/>
    <w:rsid w:val="005C4BD1"/>
    <w:rsid w:val="005C5250"/>
    <w:rsid w:val="005C75AC"/>
    <w:rsid w:val="005D044D"/>
    <w:rsid w:val="005D0ABD"/>
    <w:rsid w:val="005D18AD"/>
    <w:rsid w:val="005D26B4"/>
    <w:rsid w:val="005D2C18"/>
    <w:rsid w:val="005D5736"/>
    <w:rsid w:val="005E3F24"/>
    <w:rsid w:val="005E5907"/>
    <w:rsid w:val="005E6211"/>
    <w:rsid w:val="005E6CBC"/>
    <w:rsid w:val="005E72FF"/>
    <w:rsid w:val="005E73C0"/>
    <w:rsid w:val="005F05E6"/>
    <w:rsid w:val="005F0C10"/>
    <w:rsid w:val="005F2044"/>
    <w:rsid w:val="005F2706"/>
    <w:rsid w:val="005F2929"/>
    <w:rsid w:val="005F31AA"/>
    <w:rsid w:val="005F61C9"/>
    <w:rsid w:val="005F6A8F"/>
    <w:rsid w:val="005F6BB7"/>
    <w:rsid w:val="005F7588"/>
    <w:rsid w:val="005F7E3B"/>
    <w:rsid w:val="00602308"/>
    <w:rsid w:val="00603A50"/>
    <w:rsid w:val="00603DB9"/>
    <w:rsid w:val="0060421E"/>
    <w:rsid w:val="00606FBA"/>
    <w:rsid w:val="00607502"/>
    <w:rsid w:val="00607669"/>
    <w:rsid w:val="006076F4"/>
    <w:rsid w:val="00607AFD"/>
    <w:rsid w:val="006114C8"/>
    <w:rsid w:val="0061201D"/>
    <w:rsid w:val="00612657"/>
    <w:rsid w:val="00612B70"/>
    <w:rsid w:val="00612F97"/>
    <w:rsid w:val="0061345D"/>
    <w:rsid w:val="0061549B"/>
    <w:rsid w:val="0061570E"/>
    <w:rsid w:val="00616802"/>
    <w:rsid w:val="00616A79"/>
    <w:rsid w:val="006171CB"/>
    <w:rsid w:val="00617E12"/>
    <w:rsid w:val="00620296"/>
    <w:rsid w:val="00620C25"/>
    <w:rsid w:val="00621477"/>
    <w:rsid w:val="00621ADA"/>
    <w:rsid w:val="006233AF"/>
    <w:rsid w:val="00623F7B"/>
    <w:rsid w:val="0062421E"/>
    <w:rsid w:val="00627505"/>
    <w:rsid w:val="00627FB4"/>
    <w:rsid w:val="00630A27"/>
    <w:rsid w:val="0063158F"/>
    <w:rsid w:val="00631D6B"/>
    <w:rsid w:val="00632183"/>
    <w:rsid w:val="00632312"/>
    <w:rsid w:val="006330A1"/>
    <w:rsid w:val="0063466A"/>
    <w:rsid w:val="0063479F"/>
    <w:rsid w:val="006353F0"/>
    <w:rsid w:val="006357B5"/>
    <w:rsid w:val="006364A1"/>
    <w:rsid w:val="00636522"/>
    <w:rsid w:val="0063678E"/>
    <w:rsid w:val="00637BFD"/>
    <w:rsid w:val="006407D9"/>
    <w:rsid w:val="00641C4E"/>
    <w:rsid w:val="00641FB3"/>
    <w:rsid w:val="0064401E"/>
    <w:rsid w:val="0064434C"/>
    <w:rsid w:val="0064532A"/>
    <w:rsid w:val="00645AEC"/>
    <w:rsid w:val="00645B76"/>
    <w:rsid w:val="006471CC"/>
    <w:rsid w:val="00647A29"/>
    <w:rsid w:val="0065079F"/>
    <w:rsid w:val="00652A28"/>
    <w:rsid w:val="0065379F"/>
    <w:rsid w:val="00656188"/>
    <w:rsid w:val="00656548"/>
    <w:rsid w:val="0065694C"/>
    <w:rsid w:val="0065715A"/>
    <w:rsid w:val="00657DD0"/>
    <w:rsid w:val="006610F1"/>
    <w:rsid w:val="00661C6B"/>
    <w:rsid w:val="00663CA8"/>
    <w:rsid w:val="00667813"/>
    <w:rsid w:val="00671004"/>
    <w:rsid w:val="00672646"/>
    <w:rsid w:val="0067361E"/>
    <w:rsid w:val="0067461A"/>
    <w:rsid w:val="00674CD0"/>
    <w:rsid w:val="00674E42"/>
    <w:rsid w:val="00680F59"/>
    <w:rsid w:val="006813F8"/>
    <w:rsid w:val="00682112"/>
    <w:rsid w:val="00682512"/>
    <w:rsid w:val="00682BA6"/>
    <w:rsid w:val="00682CF7"/>
    <w:rsid w:val="00683A7E"/>
    <w:rsid w:val="006846E8"/>
    <w:rsid w:val="006850A8"/>
    <w:rsid w:val="00685FBC"/>
    <w:rsid w:val="00686957"/>
    <w:rsid w:val="006872BA"/>
    <w:rsid w:val="00690777"/>
    <w:rsid w:val="00690795"/>
    <w:rsid w:val="00690B7D"/>
    <w:rsid w:val="00691648"/>
    <w:rsid w:val="006917D7"/>
    <w:rsid w:val="0069434C"/>
    <w:rsid w:val="00694F44"/>
    <w:rsid w:val="00695991"/>
    <w:rsid w:val="00696B43"/>
    <w:rsid w:val="00696F51"/>
    <w:rsid w:val="006979A5"/>
    <w:rsid w:val="006A050B"/>
    <w:rsid w:val="006A4A4B"/>
    <w:rsid w:val="006A6B99"/>
    <w:rsid w:val="006A7E5F"/>
    <w:rsid w:val="006B0603"/>
    <w:rsid w:val="006B09BC"/>
    <w:rsid w:val="006B21DE"/>
    <w:rsid w:val="006B261B"/>
    <w:rsid w:val="006B2C90"/>
    <w:rsid w:val="006B3557"/>
    <w:rsid w:val="006B35E6"/>
    <w:rsid w:val="006B465A"/>
    <w:rsid w:val="006B57BE"/>
    <w:rsid w:val="006B5D0D"/>
    <w:rsid w:val="006B6DD0"/>
    <w:rsid w:val="006C0399"/>
    <w:rsid w:val="006C20D9"/>
    <w:rsid w:val="006C227C"/>
    <w:rsid w:val="006C2A8E"/>
    <w:rsid w:val="006C3255"/>
    <w:rsid w:val="006C3F26"/>
    <w:rsid w:val="006C55D2"/>
    <w:rsid w:val="006D0D17"/>
    <w:rsid w:val="006D3C7D"/>
    <w:rsid w:val="006D4659"/>
    <w:rsid w:val="006D5D5F"/>
    <w:rsid w:val="006D68FB"/>
    <w:rsid w:val="006E0BAD"/>
    <w:rsid w:val="006E2191"/>
    <w:rsid w:val="006E2868"/>
    <w:rsid w:val="006E43F1"/>
    <w:rsid w:val="006E452E"/>
    <w:rsid w:val="006E749B"/>
    <w:rsid w:val="006E7ADF"/>
    <w:rsid w:val="006F18D1"/>
    <w:rsid w:val="006F306C"/>
    <w:rsid w:val="006F58C8"/>
    <w:rsid w:val="006F63A5"/>
    <w:rsid w:val="006F6F53"/>
    <w:rsid w:val="0070142B"/>
    <w:rsid w:val="00701E9D"/>
    <w:rsid w:val="0070276E"/>
    <w:rsid w:val="00702B8F"/>
    <w:rsid w:val="00702F0E"/>
    <w:rsid w:val="00702F8F"/>
    <w:rsid w:val="00704379"/>
    <w:rsid w:val="00704CFD"/>
    <w:rsid w:val="0070631A"/>
    <w:rsid w:val="00707651"/>
    <w:rsid w:val="007076A2"/>
    <w:rsid w:val="007079FC"/>
    <w:rsid w:val="00711A36"/>
    <w:rsid w:val="0071254A"/>
    <w:rsid w:val="0071393F"/>
    <w:rsid w:val="00714C26"/>
    <w:rsid w:val="0071529C"/>
    <w:rsid w:val="00715C70"/>
    <w:rsid w:val="007165BA"/>
    <w:rsid w:val="00716B9D"/>
    <w:rsid w:val="007170DA"/>
    <w:rsid w:val="007172AD"/>
    <w:rsid w:val="00720801"/>
    <w:rsid w:val="007218B8"/>
    <w:rsid w:val="00722B1B"/>
    <w:rsid w:val="00722DAC"/>
    <w:rsid w:val="007234CB"/>
    <w:rsid w:val="007239F3"/>
    <w:rsid w:val="00723C84"/>
    <w:rsid w:val="0072416F"/>
    <w:rsid w:val="00725065"/>
    <w:rsid w:val="007262AA"/>
    <w:rsid w:val="00727C94"/>
    <w:rsid w:val="00731B0A"/>
    <w:rsid w:val="00731E54"/>
    <w:rsid w:val="00731EAE"/>
    <w:rsid w:val="00733073"/>
    <w:rsid w:val="007338E1"/>
    <w:rsid w:val="00733E27"/>
    <w:rsid w:val="00735033"/>
    <w:rsid w:val="00735328"/>
    <w:rsid w:val="0073685B"/>
    <w:rsid w:val="0074013D"/>
    <w:rsid w:val="0074252E"/>
    <w:rsid w:val="00744596"/>
    <w:rsid w:val="007449BF"/>
    <w:rsid w:val="00746BC0"/>
    <w:rsid w:val="00747065"/>
    <w:rsid w:val="00750527"/>
    <w:rsid w:val="007510B4"/>
    <w:rsid w:val="007511EC"/>
    <w:rsid w:val="00751DF1"/>
    <w:rsid w:val="00752142"/>
    <w:rsid w:val="007523F9"/>
    <w:rsid w:val="0075357E"/>
    <w:rsid w:val="007542E1"/>
    <w:rsid w:val="007552F9"/>
    <w:rsid w:val="007573E8"/>
    <w:rsid w:val="00757CC7"/>
    <w:rsid w:val="00760B08"/>
    <w:rsid w:val="00760C4E"/>
    <w:rsid w:val="00760F9E"/>
    <w:rsid w:val="007627BE"/>
    <w:rsid w:val="00764F03"/>
    <w:rsid w:val="00765B1A"/>
    <w:rsid w:val="007708F1"/>
    <w:rsid w:val="00771922"/>
    <w:rsid w:val="007730F4"/>
    <w:rsid w:val="007742DC"/>
    <w:rsid w:val="0077435B"/>
    <w:rsid w:val="00777335"/>
    <w:rsid w:val="0077752A"/>
    <w:rsid w:val="007800C0"/>
    <w:rsid w:val="007807BB"/>
    <w:rsid w:val="00782AF3"/>
    <w:rsid w:val="007843F2"/>
    <w:rsid w:val="00785A00"/>
    <w:rsid w:val="00785A9F"/>
    <w:rsid w:val="00790B5E"/>
    <w:rsid w:val="00790C2A"/>
    <w:rsid w:val="00791EE7"/>
    <w:rsid w:val="00792267"/>
    <w:rsid w:val="007925DF"/>
    <w:rsid w:val="00794498"/>
    <w:rsid w:val="0079674C"/>
    <w:rsid w:val="007A08AA"/>
    <w:rsid w:val="007A0A12"/>
    <w:rsid w:val="007A132D"/>
    <w:rsid w:val="007A1345"/>
    <w:rsid w:val="007A1CF9"/>
    <w:rsid w:val="007A2255"/>
    <w:rsid w:val="007A2DDB"/>
    <w:rsid w:val="007A2DE5"/>
    <w:rsid w:val="007A375A"/>
    <w:rsid w:val="007A5883"/>
    <w:rsid w:val="007A687F"/>
    <w:rsid w:val="007A6CAF"/>
    <w:rsid w:val="007A70BA"/>
    <w:rsid w:val="007B0D68"/>
    <w:rsid w:val="007B251D"/>
    <w:rsid w:val="007B2AF4"/>
    <w:rsid w:val="007B2DB0"/>
    <w:rsid w:val="007B471B"/>
    <w:rsid w:val="007B4F58"/>
    <w:rsid w:val="007B528D"/>
    <w:rsid w:val="007B593C"/>
    <w:rsid w:val="007B63CA"/>
    <w:rsid w:val="007B77D1"/>
    <w:rsid w:val="007C07C7"/>
    <w:rsid w:val="007C1CD9"/>
    <w:rsid w:val="007C2A7C"/>
    <w:rsid w:val="007C2E04"/>
    <w:rsid w:val="007C32EF"/>
    <w:rsid w:val="007C361D"/>
    <w:rsid w:val="007C4ADF"/>
    <w:rsid w:val="007C4B84"/>
    <w:rsid w:val="007C586F"/>
    <w:rsid w:val="007C70FF"/>
    <w:rsid w:val="007C7C25"/>
    <w:rsid w:val="007C7E6F"/>
    <w:rsid w:val="007D004F"/>
    <w:rsid w:val="007D09D1"/>
    <w:rsid w:val="007D0B38"/>
    <w:rsid w:val="007D3733"/>
    <w:rsid w:val="007D37A6"/>
    <w:rsid w:val="007D5440"/>
    <w:rsid w:val="007D6969"/>
    <w:rsid w:val="007D69EB"/>
    <w:rsid w:val="007E128F"/>
    <w:rsid w:val="007E2408"/>
    <w:rsid w:val="007E318E"/>
    <w:rsid w:val="007E3F92"/>
    <w:rsid w:val="007E5423"/>
    <w:rsid w:val="007E5F63"/>
    <w:rsid w:val="007E644E"/>
    <w:rsid w:val="007E6B7F"/>
    <w:rsid w:val="007E6D89"/>
    <w:rsid w:val="007E7EF2"/>
    <w:rsid w:val="007F03EE"/>
    <w:rsid w:val="007F0E94"/>
    <w:rsid w:val="007F1017"/>
    <w:rsid w:val="007F205D"/>
    <w:rsid w:val="007F27E5"/>
    <w:rsid w:val="007F2A25"/>
    <w:rsid w:val="007F3B69"/>
    <w:rsid w:val="007F4A3F"/>
    <w:rsid w:val="007F4A61"/>
    <w:rsid w:val="007F5073"/>
    <w:rsid w:val="007F5255"/>
    <w:rsid w:val="007F56CC"/>
    <w:rsid w:val="007F5C42"/>
    <w:rsid w:val="007F61C2"/>
    <w:rsid w:val="0080008B"/>
    <w:rsid w:val="00800DAE"/>
    <w:rsid w:val="00801AA8"/>
    <w:rsid w:val="00801ADD"/>
    <w:rsid w:val="00805142"/>
    <w:rsid w:val="00805E05"/>
    <w:rsid w:val="00805FCE"/>
    <w:rsid w:val="0080790E"/>
    <w:rsid w:val="00807A8B"/>
    <w:rsid w:val="00811383"/>
    <w:rsid w:val="00811A1B"/>
    <w:rsid w:val="00812149"/>
    <w:rsid w:val="00812CAC"/>
    <w:rsid w:val="00812D34"/>
    <w:rsid w:val="00813EB2"/>
    <w:rsid w:val="00816361"/>
    <w:rsid w:val="008166EF"/>
    <w:rsid w:val="00816A54"/>
    <w:rsid w:val="00816BB2"/>
    <w:rsid w:val="00816FEF"/>
    <w:rsid w:val="008204B1"/>
    <w:rsid w:val="00820A8C"/>
    <w:rsid w:val="008215FB"/>
    <w:rsid w:val="00823174"/>
    <w:rsid w:val="00825751"/>
    <w:rsid w:val="00825DFC"/>
    <w:rsid w:val="008264EB"/>
    <w:rsid w:val="00826CD8"/>
    <w:rsid w:val="00831CBC"/>
    <w:rsid w:val="00832C71"/>
    <w:rsid w:val="00833B05"/>
    <w:rsid w:val="00834196"/>
    <w:rsid w:val="0083436A"/>
    <w:rsid w:val="008347AF"/>
    <w:rsid w:val="008351CA"/>
    <w:rsid w:val="00835241"/>
    <w:rsid w:val="008362B4"/>
    <w:rsid w:val="00840CA2"/>
    <w:rsid w:val="00842C93"/>
    <w:rsid w:val="0084374F"/>
    <w:rsid w:val="00844A22"/>
    <w:rsid w:val="00845D5D"/>
    <w:rsid w:val="00846BCA"/>
    <w:rsid w:val="00847703"/>
    <w:rsid w:val="00847DF5"/>
    <w:rsid w:val="008509F6"/>
    <w:rsid w:val="00852392"/>
    <w:rsid w:val="00852FAB"/>
    <w:rsid w:val="0085309D"/>
    <w:rsid w:val="00853113"/>
    <w:rsid w:val="00855214"/>
    <w:rsid w:val="00856897"/>
    <w:rsid w:val="00856E0E"/>
    <w:rsid w:val="00856E9A"/>
    <w:rsid w:val="00860487"/>
    <w:rsid w:val="0086075D"/>
    <w:rsid w:val="00860A2E"/>
    <w:rsid w:val="00860F44"/>
    <w:rsid w:val="008621F4"/>
    <w:rsid w:val="00862226"/>
    <w:rsid w:val="00862502"/>
    <w:rsid w:val="00862CC1"/>
    <w:rsid w:val="008638D0"/>
    <w:rsid w:val="00864421"/>
    <w:rsid w:val="008660D4"/>
    <w:rsid w:val="008710DC"/>
    <w:rsid w:val="00871FA9"/>
    <w:rsid w:val="008721D5"/>
    <w:rsid w:val="008728E9"/>
    <w:rsid w:val="00874B6D"/>
    <w:rsid w:val="00874CD9"/>
    <w:rsid w:val="00875AE7"/>
    <w:rsid w:val="00876770"/>
    <w:rsid w:val="00877985"/>
    <w:rsid w:val="00880525"/>
    <w:rsid w:val="0088084F"/>
    <w:rsid w:val="00881409"/>
    <w:rsid w:val="00882473"/>
    <w:rsid w:val="00882874"/>
    <w:rsid w:val="00882A6C"/>
    <w:rsid w:val="00882E3C"/>
    <w:rsid w:val="00883635"/>
    <w:rsid w:val="00883787"/>
    <w:rsid w:val="00884FBB"/>
    <w:rsid w:val="008855E4"/>
    <w:rsid w:val="00885FA6"/>
    <w:rsid w:val="00886CD2"/>
    <w:rsid w:val="00887A30"/>
    <w:rsid w:val="0089189C"/>
    <w:rsid w:val="00891E6F"/>
    <w:rsid w:val="0089275D"/>
    <w:rsid w:val="00892A36"/>
    <w:rsid w:val="00893239"/>
    <w:rsid w:val="008936C0"/>
    <w:rsid w:val="00894489"/>
    <w:rsid w:val="00894580"/>
    <w:rsid w:val="00894A83"/>
    <w:rsid w:val="00894D39"/>
    <w:rsid w:val="008963A5"/>
    <w:rsid w:val="0089666F"/>
    <w:rsid w:val="00896D5D"/>
    <w:rsid w:val="008971F6"/>
    <w:rsid w:val="00897226"/>
    <w:rsid w:val="00897365"/>
    <w:rsid w:val="008975EA"/>
    <w:rsid w:val="008A01CE"/>
    <w:rsid w:val="008A13C6"/>
    <w:rsid w:val="008A2B66"/>
    <w:rsid w:val="008A3363"/>
    <w:rsid w:val="008A3371"/>
    <w:rsid w:val="008A3655"/>
    <w:rsid w:val="008A3C3E"/>
    <w:rsid w:val="008A3C90"/>
    <w:rsid w:val="008A4B33"/>
    <w:rsid w:val="008A4B4A"/>
    <w:rsid w:val="008A58A7"/>
    <w:rsid w:val="008A653C"/>
    <w:rsid w:val="008A79DE"/>
    <w:rsid w:val="008B1757"/>
    <w:rsid w:val="008B335B"/>
    <w:rsid w:val="008B5F59"/>
    <w:rsid w:val="008B7992"/>
    <w:rsid w:val="008B7B2D"/>
    <w:rsid w:val="008B7D7E"/>
    <w:rsid w:val="008C0BD0"/>
    <w:rsid w:val="008C199F"/>
    <w:rsid w:val="008C5610"/>
    <w:rsid w:val="008C5739"/>
    <w:rsid w:val="008C6B24"/>
    <w:rsid w:val="008C7403"/>
    <w:rsid w:val="008C7ECB"/>
    <w:rsid w:val="008D21EB"/>
    <w:rsid w:val="008D2AC7"/>
    <w:rsid w:val="008D2F37"/>
    <w:rsid w:val="008D375B"/>
    <w:rsid w:val="008D3B86"/>
    <w:rsid w:val="008D4755"/>
    <w:rsid w:val="008D4C3D"/>
    <w:rsid w:val="008D71D3"/>
    <w:rsid w:val="008D743C"/>
    <w:rsid w:val="008E0D3C"/>
    <w:rsid w:val="008E0D47"/>
    <w:rsid w:val="008E1B9E"/>
    <w:rsid w:val="008E4DE8"/>
    <w:rsid w:val="008E55AB"/>
    <w:rsid w:val="008E58E9"/>
    <w:rsid w:val="008E5A9A"/>
    <w:rsid w:val="008E6CDA"/>
    <w:rsid w:val="008E7AA4"/>
    <w:rsid w:val="008F120A"/>
    <w:rsid w:val="008F27E0"/>
    <w:rsid w:val="008F28C2"/>
    <w:rsid w:val="008F332B"/>
    <w:rsid w:val="008F48EB"/>
    <w:rsid w:val="008F4F0B"/>
    <w:rsid w:val="008F78C6"/>
    <w:rsid w:val="0090099A"/>
    <w:rsid w:val="009009F0"/>
    <w:rsid w:val="0090169B"/>
    <w:rsid w:val="00901E8E"/>
    <w:rsid w:val="00903A30"/>
    <w:rsid w:val="00903B7A"/>
    <w:rsid w:val="009046C4"/>
    <w:rsid w:val="009062A5"/>
    <w:rsid w:val="009071A2"/>
    <w:rsid w:val="00907606"/>
    <w:rsid w:val="00910FA7"/>
    <w:rsid w:val="00911272"/>
    <w:rsid w:val="00911DD9"/>
    <w:rsid w:val="00912523"/>
    <w:rsid w:val="009135D6"/>
    <w:rsid w:val="00914C77"/>
    <w:rsid w:val="00915CCB"/>
    <w:rsid w:val="00916358"/>
    <w:rsid w:val="00921ACB"/>
    <w:rsid w:val="0092369B"/>
    <w:rsid w:val="009256D1"/>
    <w:rsid w:val="009262FA"/>
    <w:rsid w:val="00932AE7"/>
    <w:rsid w:val="00933886"/>
    <w:rsid w:val="009339F9"/>
    <w:rsid w:val="00934988"/>
    <w:rsid w:val="009353AA"/>
    <w:rsid w:val="00935D69"/>
    <w:rsid w:val="00935F68"/>
    <w:rsid w:val="009360E0"/>
    <w:rsid w:val="00937089"/>
    <w:rsid w:val="00937602"/>
    <w:rsid w:val="00937F6F"/>
    <w:rsid w:val="0094255D"/>
    <w:rsid w:val="00942AB9"/>
    <w:rsid w:val="00944D80"/>
    <w:rsid w:val="00944F8A"/>
    <w:rsid w:val="00946AF7"/>
    <w:rsid w:val="009510A2"/>
    <w:rsid w:val="00951462"/>
    <w:rsid w:val="009518FF"/>
    <w:rsid w:val="00952155"/>
    <w:rsid w:val="009523B7"/>
    <w:rsid w:val="009523DE"/>
    <w:rsid w:val="00952715"/>
    <w:rsid w:val="00952E33"/>
    <w:rsid w:val="00953114"/>
    <w:rsid w:val="00953257"/>
    <w:rsid w:val="00953641"/>
    <w:rsid w:val="009546F0"/>
    <w:rsid w:val="0095474C"/>
    <w:rsid w:val="00954FE4"/>
    <w:rsid w:val="009555A8"/>
    <w:rsid w:val="00955ED3"/>
    <w:rsid w:val="00956E1F"/>
    <w:rsid w:val="009579C9"/>
    <w:rsid w:val="00960098"/>
    <w:rsid w:val="00960734"/>
    <w:rsid w:val="00962781"/>
    <w:rsid w:val="00962CB9"/>
    <w:rsid w:val="00963698"/>
    <w:rsid w:val="00964312"/>
    <w:rsid w:val="00965B8A"/>
    <w:rsid w:val="0097071F"/>
    <w:rsid w:val="009717AC"/>
    <w:rsid w:val="009719EF"/>
    <w:rsid w:val="00971F8D"/>
    <w:rsid w:val="00973956"/>
    <w:rsid w:val="009751C1"/>
    <w:rsid w:val="00975B4B"/>
    <w:rsid w:val="00976D28"/>
    <w:rsid w:val="00977D04"/>
    <w:rsid w:val="00980088"/>
    <w:rsid w:val="009808FE"/>
    <w:rsid w:val="009811F1"/>
    <w:rsid w:val="009831A2"/>
    <w:rsid w:val="00983849"/>
    <w:rsid w:val="00983E57"/>
    <w:rsid w:val="00983F18"/>
    <w:rsid w:val="00983FC6"/>
    <w:rsid w:val="00985DE2"/>
    <w:rsid w:val="00985F78"/>
    <w:rsid w:val="0098675D"/>
    <w:rsid w:val="00987DAB"/>
    <w:rsid w:val="009926E0"/>
    <w:rsid w:val="0099451E"/>
    <w:rsid w:val="00994608"/>
    <w:rsid w:val="00995499"/>
    <w:rsid w:val="00995C19"/>
    <w:rsid w:val="00995DE8"/>
    <w:rsid w:val="009964E1"/>
    <w:rsid w:val="00996B1A"/>
    <w:rsid w:val="00997CF7"/>
    <w:rsid w:val="009A2DCC"/>
    <w:rsid w:val="009A5ABC"/>
    <w:rsid w:val="009A74EA"/>
    <w:rsid w:val="009A766B"/>
    <w:rsid w:val="009A7971"/>
    <w:rsid w:val="009A7F10"/>
    <w:rsid w:val="009B0144"/>
    <w:rsid w:val="009B0BBD"/>
    <w:rsid w:val="009B0E6E"/>
    <w:rsid w:val="009B1ED5"/>
    <w:rsid w:val="009B2A7D"/>
    <w:rsid w:val="009B3724"/>
    <w:rsid w:val="009B3E26"/>
    <w:rsid w:val="009B5A3A"/>
    <w:rsid w:val="009B60E4"/>
    <w:rsid w:val="009B7C11"/>
    <w:rsid w:val="009C0426"/>
    <w:rsid w:val="009C08D0"/>
    <w:rsid w:val="009C28E2"/>
    <w:rsid w:val="009C3473"/>
    <w:rsid w:val="009C3706"/>
    <w:rsid w:val="009C3A3A"/>
    <w:rsid w:val="009C3E0B"/>
    <w:rsid w:val="009C3F62"/>
    <w:rsid w:val="009C46FE"/>
    <w:rsid w:val="009C4F00"/>
    <w:rsid w:val="009C60A8"/>
    <w:rsid w:val="009C615A"/>
    <w:rsid w:val="009C6CEA"/>
    <w:rsid w:val="009C7B85"/>
    <w:rsid w:val="009D0254"/>
    <w:rsid w:val="009D0633"/>
    <w:rsid w:val="009D0AF1"/>
    <w:rsid w:val="009D1A64"/>
    <w:rsid w:val="009D4442"/>
    <w:rsid w:val="009D5B91"/>
    <w:rsid w:val="009D792E"/>
    <w:rsid w:val="009E0DFE"/>
    <w:rsid w:val="009E31F6"/>
    <w:rsid w:val="009E4C07"/>
    <w:rsid w:val="009E6C06"/>
    <w:rsid w:val="009F0E52"/>
    <w:rsid w:val="009F1149"/>
    <w:rsid w:val="009F1818"/>
    <w:rsid w:val="009F260A"/>
    <w:rsid w:val="009F3189"/>
    <w:rsid w:val="009F4BD6"/>
    <w:rsid w:val="009F7E52"/>
    <w:rsid w:val="00A00703"/>
    <w:rsid w:val="00A01184"/>
    <w:rsid w:val="00A037C2"/>
    <w:rsid w:val="00A03B0F"/>
    <w:rsid w:val="00A03D43"/>
    <w:rsid w:val="00A04380"/>
    <w:rsid w:val="00A04A94"/>
    <w:rsid w:val="00A051CD"/>
    <w:rsid w:val="00A05472"/>
    <w:rsid w:val="00A05C32"/>
    <w:rsid w:val="00A0653F"/>
    <w:rsid w:val="00A07EA3"/>
    <w:rsid w:val="00A108C5"/>
    <w:rsid w:val="00A11CD0"/>
    <w:rsid w:val="00A12236"/>
    <w:rsid w:val="00A12306"/>
    <w:rsid w:val="00A13948"/>
    <w:rsid w:val="00A14929"/>
    <w:rsid w:val="00A14BD5"/>
    <w:rsid w:val="00A152DC"/>
    <w:rsid w:val="00A1555B"/>
    <w:rsid w:val="00A155C5"/>
    <w:rsid w:val="00A16AD8"/>
    <w:rsid w:val="00A16B0A"/>
    <w:rsid w:val="00A21C95"/>
    <w:rsid w:val="00A21CF3"/>
    <w:rsid w:val="00A2263E"/>
    <w:rsid w:val="00A22A8F"/>
    <w:rsid w:val="00A233E7"/>
    <w:rsid w:val="00A245A6"/>
    <w:rsid w:val="00A24813"/>
    <w:rsid w:val="00A27AEC"/>
    <w:rsid w:val="00A319F3"/>
    <w:rsid w:val="00A320DB"/>
    <w:rsid w:val="00A347E9"/>
    <w:rsid w:val="00A34F54"/>
    <w:rsid w:val="00A35D16"/>
    <w:rsid w:val="00A35E62"/>
    <w:rsid w:val="00A37BCD"/>
    <w:rsid w:val="00A40EDB"/>
    <w:rsid w:val="00A41689"/>
    <w:rsid w:val="00A4179A"/>
    <w:rsid w:val="00A42592"/>
    <w:rsid w:val="00A4385B"/>
    <w:rsid w:val="00A43BEE"/>
    <w:rsid w:val="00A43C59"/>
    <w:rsid w:val="00A43F4D"/>
    <w:rsid w:val="00A446E2"/>
    <w:rsid w:val="00A5029D"/>
    <w:rsid w:val="00A50BFF"/>
    <w:rsid w:val="00A50ECD"/>
    <w:rsid w:val="00A518F3"/>
    <w:rsid w:val="00A52729"/>
    <w:rsid w:val="00A53675"/>
    <w:rsid w:val="00A564D7"/>
    <w:rsid w:val="00A568D7"/>
    <w:rsid w:val="00A56B6A"/>
    <w:rsid w:val="00A578DC"/>
    <w:rsid w:val="00A61369"/>
    <w:rsid w:val="00A621D8"/>
    <w:rsid w:val="00A640E2"/>
    <w:rsid w:val="00A64D65"/>
    <w:rsid w:val="00A66E5A"/>
    <w:rsid w:val="00A6725B"/>
    <w:rsid w:val="00A7044F"/>
    <w:rsid w:val="00A70605"/>
    <w:rsid w:val="00A70664"/>
    <w:rsid w:val="00A71E13"/>
    <w:rsid w:val="00A73134"/>
    <w:rsid w:val="00A75D0E"/>
    <w:rsid w:val="00A76001"/>
    <w:rsid w:val="00A777B2"/>
    <w:rsid w:val="00A77F8F"/>
    <w:rsid w:val="00A82521"/>
    <w:rsid w:val="00A825D4"/>
    <w:rsid w:val="00A828F6"/>
    <w:rsid w:val="00A82B73"/>
    <w:rsid w:val="00A840B4"/>
    <w:rsid w:val="00A84E41"/>
    <w:rsid w:val="00A856A8"/>
    <w:rsid w:val="00A8665F"/>
    <w:rsid w:val="00A86E8B"/>
    <w:rsid w:val="00A87164"/>
    <w:rsid w:val="00A872E1"/>
    <w:rsid w:val="00A9051F"/>
    <w:rsid w:val="00A92F97"/>
    <w:rsid w:val="00A93072"/>
    <w:rsid w:val="00A938BD"/>
    <w:rsid w:val="00A93953"/>
    <w:rsid w:val="00A93E43"/>
    <w:rsid w:val="00A959D8"/>
    <w:rsid w:val="00AA113D"/>
    <w:rsid w:val="00AA3130"/>
    <w:rsid w:val="00AA3223"/>
    <w:rsid w:val="00AA6BD5"/>
    <w:rsid w:val="00AA6BD8"/>
    <w:rsid w:val="00AA6C7D"/>
    <w:rsid w:val="00AA7FD6"/>
    <w:rsid w:val="00AB042A"/>
    <w:rsid w:val="00AB0925"/>
    <w:rsid w:val="00AB0C11"/>
    <w:rsid w:val="00AB190E"/>
    <w:rsid w:val="00AB19EF"/>
    <w:rsid w:val="00AB2D34"/>
    <w:rsid w:val="00AB3430"/>
    <w:rsid w:val="00AB37B9"/>
    <w:rsid w:val="00AB3CD8"/>
    <w:rsid w:val="00AB4AD1"/>
    <w:rsid w:val="00AB5E07"/>
    <w:rsid w:val="00AB6354"/>
    <w:rsid w:val="00AB6CB4"/>
    <w:rsid w:val="00AB74EF"/>
    <w:rsid w:val="00AB7CFA"/>
    <w:rsid w:val="00AC5B48"/>
    <w:rsid w:val="00AC6A8C"/>
    <w:rsid w:val="00AD036F"/>
    <w:rsid w:val="00AD03EC"/>
    <w:rsid w:val="00AD1450"/>
    <w:rsid w:val="00AD1E6E"/>
    <w:rsid w:val="00AD214D"/>
    <w:rsid w:val="00AD2655"/>
    <w:rsid w:val="00AD32C7"/>
    <w:rsid w:val="00AD449B"/>
    <w:rsid w:val="00AD6502"/>
    <w:rsid w:val="00AD675F"/>
    <w:rsid w:val="00AD706D"/>
    <w:rsid w:val="00AE0695"/>
    <w:rsid w:val="00AE1615"/>
    <w:rsid w:val="00AE3E7E"/>
    <w:rsid w:val="00AF1315"/>
    <w:rsid w:val="00AF16D9"/>
    <w:rsid w:val="00AF19BF"/>
    <w:rsid w:val="00AF2478"/>
    <w:rsid w:val="00AF2DC3"/>
    <w:rsid w:val="00AF4CC0"/>
    <w:rsid w:val="00AF6739"/>
    <w:rsid w:val="00AF6D59"/>
    <w:rsid w:val="00AF7077"/>
    <w:rsid w:val="00AF71E6"/>
    <w:rsid w:val="00B00157"/>
    <w:rsid w:val="00B033E5"/>
    <w:rsid w:val="00B03A63"/>
    <w:rsid w:val="00B05C00"/>
    <w:rsid w:val="00B06390"/>
    <w:rsid w:val="00B07BFD"/>
    <w:rsid w:val="00B133F8"/>
    <w:rsid w:val="00B13808"/>
    <w:rsid w:val="00B14722"/>
    <w:rsid w:val="00B1528A"/>
    <w:rsid w:val="00B16D98"/>
    <w:rsid w:val="00B201A4"/>
    <w:rsid w:val="00B201D1"/>
    <w:rsid w:val="00B20D89"/>
    <w:rsid w:val="00B213A6"/>
    <w:rsid w:val="00B21C9C"/>
    <w:rsid w:val="00B232F4"/>
    <w:rsid w:val="00B235B0"/>
    <w:rsid w:val="00B24DF6"/>
    <w:rsid w:val="00B279F7"/>
    <w:rsid w:val="00B27A9D"/>
    <w:rsid w:val="00B302B6"/>
    <w:rsid w:val="00B32B76"/>
    <w:rsid w:val="00B34FE2"/>
    <w:rsid w:val="00B35166"/>
    <w:rsid w:val="00B357D8"/>
    <w:rsid w:val="00B360F4"/>
    <w:rsid w:val="00B363C8"/>
    <w:rsid w:val="00B36A00"/>
    <w:rsid w:val="00B37BFC"/>
    <w:rsid w:val="00B40358"/>
    <w:rsid w:val="00B41614"/>
    <w:rsid w:val="00B41B14"/>
    <w:rsid w:val="00B42851"/>
    <w:rsid w:val="00B42F80"/>
    <w:rsid w:val="00B435CB"/>
    <w:rsid w:val="00B467C5"/>
    <w:rsid w:val="00B4729C"/>
    <w:rsid w:val="00B50050"/>
    <w:rsid w:val="00B505C8"/>
    <w:rsid w:val="00B5068F"/>
    <w:rsid w:val="00B50DB8"/>
    <w:rsid w:val="00B53654"/>
    <w:rsid w:val="00B53905"/>
    <w:rsid w:val="00B545E0"/>
    <w:rsid w:val="00B54B5B"/>
    <w:rsid w:val="00B552F7"/>
    <w:rsid w:val="00B5562E"/>
    <w:rsid w:val="00B55846"/>
    <w:rsid w:val="00B55D65"/>
    <w:rsid w:val="00B57000"/>
    <w:rsid w:val="00B57FF9"/>
    <w:rsid w:val="00B60939"/>
    <w:rsid w:val="00B60AFD"/>
    <w:rsid w:val="00B60CC0"/>
    <w:rsid w:val="00B613C5"/>
    <w:rsid w:val="00B62715"/>
    <w:rsid w:val="00B63FEF"/>
    <w:rsid w:val="00B644EE"/>
    <w:rsid w:val="00B65611"/>
    <w:rsid w:val="00B6580B"/>
    <w:rsid w:val="00B66112"/>
    <w:rsid w:val="00B662B3"/>
    <w:rsid w:val="00B675D8"/>
    <w:rsid w:val="00B70E8E"/>
    <w:rsid w:val="00B71B20"/>
    <w:rsid w:val="00B74C64"/>
    <w:rsid w:val="00B76C92"/>
    <w:rsid w:val="00B80F74"/>
    <w:rsid w:val="00B818A4"/>
    <w:rsid w:val="00B83563"/>
    <w:rsid w:val="00B835C4"/>
    <w:rsid w:val="00B84117"/>
    <w:rsid w:val="00B858F0"/>
    <w:rsid w:val="00B85AA2"/>
    <w:rsid w:val="00B8649C"/>
    <w:rsid w:val="00B8695D"/>
    <w:rsid w:val="00B86CFE"/>
    <w:rsid w:val="00B87F0A"/>
    <w:rsid w:val="00B91586"/>
    <w:rsid w:val="00B92D0B"/>
    <w:rsid w:val="00B94945"/>
    <w:rsid w:val="00B94DD6"/>
    <w:rsid w:val="00B95058"/>
    <w:rsid w:val="00B9515E"/>
    <w:rsid w:val="00B96C46"/>
    <w:rsid w:val="00BA0A23"/>
    <w:rsid w:val="00BA1BD0"/>
    <w:rsid w:val="00BA2982"/>
    <w:rsid w:val="00BA322D"/>
    <w:rsid w:val="00BA418C"/>
    <w:rsid w:val="00BA5C1E"/>
    <w:rsid w:val="00BA63FA"/>
    <w:rsid w:val="00BB00B3"/>
    <w:rsid w:val="00BB0454"/>
    <w:rsid w:val="00BB0BDD"/>
    <w:rsid w:val="00BB176C"/>
    <w:rsid w:val="00BB2A73"/>
    <w:rsid w:val="00BB3A45"/>
    <w:rsid w:val="00BB3C34"/>
    <w:rsid w:val="00BB40B0"/>
    <w:rsid w:val="00BB41C5"/>
    <w:rsid w:val="00BB4ACC"/>
    <w:rsid w:val="00BB703E"/>
    <w:rsid w:val="00BB732D"/>
    <w:rsid w:val="00BB7405"/>
    <w:rsid w:val="00BB7B81"/>
    <w:rsid w:val="00BC01AF"/>
    <w:rsid w:val="00BC3631"/>
    <w:rsid w:val="00BC3FAE"/>
    <w:rsid w:val="00BC591F"/>
    <w:rsid w:val="00BC730A"/>
    <w:rsid w:val="00BC7D6D"/>
    <w:rsid w:val="00BD168F"/>
    <w:rsid w:val="00BD1EF0"/>
    <w:rsid w:val="00BD2108"/>
    <w:rsid w:val="00BD2244"/>
    <w:rsid w:val="00BD2844"/>
    <w:rsid w:val="00BD2DB3"/>
    <w:rsid w:val="00BD4AAB"/>
    <w:rsid w:val="00BD4F7D"/>
    <w:rsid w:val="00BD5DAE"/>
    <w:rsid w:val="00BD68A3"/>
    <w:rsid w:val="00BD6938"/>
    <w:rsid w:val="00BD6CF3"/>
    <w:rsid w:val="00BE0ECA"/>
    <w:rsid w:val="00BE129E"/>
    <w:rsid w:val="00BE2180"/>
    <w:rsid w:val="00BE21F2"/>
    <w:rsid w:val="00BE4275"/>
    <w:rsid w:val="00BE6158"/>
    <w:rsid w:val="00BE6B24"/>
    <w:rsid w:val="00BE6C55"/>
    <w:rsid w:val="00BF0408"/>
    <w:rsid w:val="00BF06AE"/>
    <w:rsid w:val="00BF0F95"/>
    <w:rsid w:val="00BF2155"/>
    <w:rsid w:val="00BF2433"/>
    <w:rsid w:val="00BF5A1B"/>
    <w:rsid w:val="00BF5A4D"/>
    <w:rsid w:val="00BF61C9"/>
    <w:rsid w:val="00BF6C30"/>
    <w:rsid w:val="00BF6C94"/>
    <w:rsid w:val="00C00424"/>
    <w:rsid w:val="00C0192A"/>
    <w:rsid w:val="00C02875"/>
    <w:rsid w:val="00C0320E"/>
    <w:rsid w:val="00C04D10"/>
    <w:rsid w:val="00C06670"/>
    <w:rsid w:val="00C069D4"/>
    <w:rsid w:val="00C10997"/>
    <w:rsid w:val="00C1179F"/>
    <w:rsid w:val="00C117F2"/>
    <w:rsid w:val="00C12C14"/>
    <w:rsid w:val="00C12FE9"/>
    <w:rsid w:val="00C14426"/>
    <w:rsid w:val="00C15F04"/>
    <w:rsid w:val="00C16B65"/>
    <w:rsid w:val="00C170AA"/>
    <w:rsid w:val="00C179B3"/>
    <w:rsid w:val="00C17E3F"/>
    <w:rsid w:val="00C200AA"/>
    <w:rsid w:val="00C20EB7"/>
    <w:rsid w:val="00C23120"/>
    <w:rsid w:val="00C237ED"/>
    <w:rsid w:val="00C24632"/>
    <w:rsid w:val="00C24A3D"/>
    <w:rsid w:val="00C25418"/>
    <w:rsid w:val="00C25D9C"/>
    <w:rsid w:val="00C26126"/>
    <w:rsid w:val="00C26970"/>
    <w:rsid w:val="00C2778B"/>
    <w:rsid w:val="00C27F21"/>
    <w:rsid w:val="00C301F3"/>
    <w:rsid w:val="00C31649"/>
    <w:rsid w:val="00C323C2"/>
    <w:rsid w:val="00C33590"/>
    <w:rsid w:val="00C3361B"/>
    <w:rsid w:val="00C3434C"/>
    <w:rsid w:val="00C34985"/>
    <w:rsid w:val="00C35013"/>
    <w:rsid w:val="00C350D7"/>
    <w:rsid w:val="00C3511A"/>
    <w:rsid w:val="00C358F1"/>
    <w:rsid w:val="00C36DE1"/>
    <w:rsid w:val="00C37107"/>
    <w:rsid w:val="00C37722"/>
    <w:rsid w:val="00C37C39"/>
    <w:rsid w:val="00C40385"/>
    <w:rsid w:val="00C41768"/>
    <w:rsid w:val="00C41839"/>
    <w:rsid w:val="00C441D7"/>
    <w:rsid w:val="00C454B2"/>
    <w:rsid w:val="00C475AA"/>
    <w:rsid w:val="00C50854"/>
    <w:rsid w:val="00C51568"/>
    <w:rsid w:val="00C53C82"/>
    <w:rsid w:val="00C53C98"/>
    <w:rsid w:val="00C55BFC"/>
    <w:rsid w:val="00C56FCF"/>
    <w:rsid w:val="00C56FFB"/>
    <w:rsid w:val="00C57225"/>
    <w:rsid w:val="00C57B6C"/>
    <w:rsid w:val="00C62066"/>
    <w:rsid w:val="00C620CC"/>
    <w:rsid w:val="00C628A6"/>
    <w:rsid w:val="00C62ABE"/>
    <w:rsid w:val="00C64150"/>
    <w:rsid w:val="00C64344"/>
    <w:rsid w:val="00C648E6"/>
    <w:rsid w:val="00C65108"/>
    <w:rsid w:val="00C65576"/>
    <w:rsid w:val="00C6568C"/>
    <w:rsid w:val="00C65B91"/>
    <w:rsid w:val="00C66165"/>
    <w:rsid w:val="00C66FCE"/>
    <w:rsid w:val="00C67521"/>
    <w:rsid w:val="00C7060A"/>
    <w:rsid w:val="00C713C9"/>
    <w:rsid w:val="00C7151A"/>
    <w:rsid w:val="00C717E3"/>
    <w:rsid w:val="00C71F60"/>
    <w:rsid w:val="00C72241"/>
    <w:rsid w:val="00C750C8"/>
    <w:rsid w:val="00C7560F"/>
    <w:rsid w:val="00C80A0E"/>
    <w:rsid w:val="00C81F55"/>
    <w:rsid w:val="00C8213F"/>
    <w:rsid w:val="00C82724"/>
    <w:rsid w:val="00C83CC8"/>
    <w:rsid w:val="00C84077"/>
    <w:rsid w:val="00C85154"/>
    <w:rsid w:val="00C8571B"/>
    <w:rsid w:val="00C868B5"/>
    <w:rsid w:val="00C8797A"/>
    <w:rsid w:val="00C900B8"/>
    <w:rsid w:val="00C90C71"/>
    <w:rsid w:val="00C91C44"/>
    <w:rsid w:val="00C91FD1"/>
    <w:rsid w:val="00C920BB"/>
    <w:rsid w:val="00C931CF"/>
    <w:rsid w:val="00C938CF"/>
    <w:rsid w:val="00C94053"/>
    <w:rsid w:val="00C94A06"/>
    <w:rsid w:val="00C95990"/>
    <w:rsid w:val="00C96098"/>
    <w:rsid w:val="00C9624D"/>
    <w:rsid w:val="00C9649F"/>
    <w:rsid w:val="00C966AD"/>
    <w:rsid w:val="00C969DA"/>
    <w:rsid w:val="00C972BC"/>
    <w:rsid w:val="00CA2158"/>
    <w:rsid w:val="00CA2C77"/>
    <w:rsid w:val="00CA3325"/>
    <w:rsid w:val="00CA33FE"/>
    <w:rsid w:val="00CA444F"/>
    <w:rsid w:val="00CA5245"/>
    <w:rsid w:val="00CA5492"/>
    <w:rsid w:val="00CA66D4"/>
    <w:rsid w:val="00CA71F4"/>
    <w:rsid w:val="00CA7640"/>
    <w:rsid w:val="00CA7A20"/>
    <w:rsid w:val="00CA7B09"/>
    <w:rsid w:val="00CB0831"/>
    <w:rsid w:val="00CB12A5"/>
    <w:rsid w:val="00CB1CAC"/>
    <w:rsid w:val="00CB1DDA"/>
    <w:rsid w:val="00CB2F2A"/>
    <w:rsid w:val="00CB4E4C"/>
    <w:rsid w:val="00CB5B1A"/>
    <w:rsid w:val="00CB5BE0"/>
    <w:rsid w:val="00CB665F"/>
    <w:rsid w:val="00CB6B22"/>
    <w:rsid w:val="00CB6D5F"/>
    <w:rsid w:val="00CB7F5F"/>
    <w:rsid w:val="00CC08EB"/>
    <w:rsid w:val="00CC1B39"/>
    <w:rsid w:val="00CC26C0"/>
    <w:rsid w:val="00CC35EA"/>
    <w:rsid w:val="00CC3848"/>
    <w:rsid w:val="00CC4B77"/>
    <w:rsid w:val="00CC5797"/>
    <w:rsid w:val="00CD3F77"/>
    <w:rsid w:val="00CD6ADC"/>
    <w:rsid w:val="00CD7193"/>
    <w:rsid w:val="00CD7213"/>
    <w:rsid w:val="00CE2931"/>
    <w:rsid w:val="00CE38C8"/>
    <w:rsid w:val="00CE3A1E"/>
    <w:rsid w:val="00CE5E85"/>
    <w:rsid w:val="00CE6274"/>
    <w:rsid w:val="00CE6F11"/>
    <w:rsid w:val="00CE77B6"/>
    <w:rsid w:val="00CE799A"/>
    <w:rsid w:val="00CF00BE"/>
    <w:rsid w:val="00CF226C"/>
    <w:rsid w:val="00CF26CD"/>
    <w:rsid w:val="00CF2B8D"/>
    <w:rsid w:val="00CF2D74"/>
    <w:rsid w:val="00CF456B"/>
    <w:rsid w:val="00CF4691"/>
    <w:rsid w:val="00CF5A22"/>
    <w:rsid w:val="00CF6CDB"/>
    <w:rsid w:val="00D0262E"/>
    <w:rsid w:val="00D0542D"/>
    <w:rsid w:val="00D05E3D"/>
    <w:rsid w:val="00D06139"/>
    <w:rsid w:val="00D063B7"/>
    <w:rsid w:val="00D0652E"/>
    <w:rsid w:val="00D06B01"/>
    <w:rsid w:val="00D110BD"/>
    <w:rsid w:val="00D13110"/>
    <w:rsid w:val="00D13675"/>
    <w:rsid w:val="00D141E1"/>
    <w:rsid w:val="00D14DE8"/>
    <w:rsid w:val="00D15314"/>
    <w:rsid w:val="00D17D6C"/>
    <w:rsid w:val="00D2155B"/>
    <w:rsid w:val="00D221BA"/>
    <w:rsid w:val="00D22E53"/>
    <w:rsid w:val="00D22F99"/>
    <w:rsid w:val="00D23064"/>
    <w:rsid w:val="00D23D11"/>
    <w:rsid w:val="00D244B6"/>
    <w:rsid w:val="00D26CA2"/>
    <w:rsid w:val="00D270AD"/>
    <w:rsid w:val="00D2754D"/>
    <w:rsid w:val="00D2765F"/>
    <w:rsid w:val="00D27B27"/>
    <w:rsid w:val="00D30421"/>
    <w:rsid w:val="00D33BE9"/>
    <w:rsid w:val="00D33F93"/>
    <w:rsid w:val="00D357FF"/>
    <w:rsid w:val="00D362C8"/>
    <w:rsid w:val="00D36671"/>
    <w:rsid w:val="00D37A82"/>
    <w:rsid w:val="00D4054A"/>
    <w:rsid w:val="00D409B8"/>
    <w:rsid w:val="00D41397"/>
    <w:rsid w:val="00D424C7"/>
    <w:rsid w:val="00D434CD"/>
    <w:rsid w:val="00D43B2A"/>
    <w:rsid w:val="00D43D83"/>
    <w:rsid w:val="00D47575"/>
    <w:rsid w:val="00D513D0"/>
    <w:rsid w:val="00D51790"/>
    <w:rsid w:val="00D5243B"/>
    <w:rsid w:val="00D53075"/>
    <w:rsid w:val="00D533EC"/>
    <w:rsid w:val="00D5380B"/>
    <w:rsid w:val="00D53DCF"/>
    <w:rsid w:val="00D5541C"/>
    <w:rsid w:val="00D55738"/>
    <w:rsid w:val="00D56A95"/>
    <w:rsid w:val="00D5741A"/>
    <w:rsid w:val="00D57C55"/>
    <w:rsid w:val="00D60BB7"/>
    <w:rsid w:val="00D61D9B"/>
    <w:rsid w:val="00D61F6C"/>
    <w:rsid w:val="00D63D97"/>
    <w:rsid w:val="00D63E39"/>
    <w:rsid w:val="00D63ECF"/>
    <w:rsid w:val="00D66426"/>
    <w:rsid w:val="00D67DC3"/>
    <w:rsid w:val="00D70F16"/>
    <w:rsid w:val="00D71EF5"/>
    <w:rsid w:val="00D72F57"/>
    <w:rsid w:val="00D738D0"/>
    <w:rsid w:val="00D744AB"/>
    <w:rsid w:val="00D74BB6"/>
    <w:rsid w:val="00D74E3B"/>
    <w:rsid w:val="00D75240"/>
    <w:rsid w:val="00D75AFB"/>
    <w:rsid w:val="00D76955"/>
    <w:rsid w:val="00D76A44"/>
    <w:rsid w:val="00D76FD8"/>
    <w:rsid w:val="00D77BE7"/>
    <w:rsid w:val="00D810E0"/>
    <w:rsid w:val="00D815E7"/>
    <w:rsid w:val="00D815EF"/>
    <w:rsid w:val="00D81B8E"/>
    <w:rsid w:val="00D81F26"/>
    <w:rsid w:val="00D83B39"/>
    <w:rsid w:val="00D85D93"/>
    <w:rsid w:val="00D86231"/>
    <w:rsid w:val="00D864A6"/>
    <w:rsid w:val="00D8716F"/>
    <w:rsid w:val="00D90A7D"/>
    <w:rsid w:val="00D90BE9"/>
    <w:rsid w:val="00D90C58"/>
    <w:rsid w:val="00D91923"/>
    <w:rsid w:val="00D92A47"/>
    <w:rsid w:val="00D933CE"/>
    <w:rsid w:val="00D93753"/>
    <w:rsid w:val="00D93DA5"/>
    <w:rsid w:val="00DA0491"/>
    <w:rsid w:val="00DA08C4"/>
    <w:rsid w:val="00DA2288"/>
    <w:rsid w:val="00DA3167"/>
    <w:rsid w:val="00DA3AE4"/>
    <w:rsid w:val="00DA47D0"/>
    <w:rsid w:val="00DA4DC3"/>
    <w:rsid w:val="00DA5B43"/>
    <w:rsid w:val="00DA6C5C"/>
    <w:rsid w:val="00DA77A5"/>
    <w:rsid w:val="00DA7A66"/>
    <w:rsid w:val="00DB24F7"/>
    <w:rsid w:val="00DB3DBF"/>
    <w:rsid w:val="00DB484F"/>
    <w:rsid w:val="00DB4DD9"/>
    <w:rsid w:val="00DB6869"/>
    <w:rsid w:val="00DB6A85"/>
    <w:rsid w:val="00DC04F6"/>
    <w:rsid w:val="00DC0690"/>
    <w:rsid w:val="00DC0A1F"/>
    <w:rsid w:val="00DC1777"/>
    <w:rsid w:val="00DC1D65"/>
    <w:rsid w:val="00DC2C19"/>
    <w:rsid w:val="00DC33A2"/>
    <w:rsid w:val="00DC3C57"/>
    <w:rsid w:val="00DC3CD4"/>
    <w:rsid w:val="00DC5501"/>
    <w:rsid w:val="00DC7154"/>
    <w:rsid w:val="00DC7E8A"/>
    <w:rsid w:val="00DD0867"/>
    <w:rsid w:val="00DD0F78"/>
    <w:rsid w:val="00DD273C"/>
    <w:rsid w:val="00DD2969"/>
    <w:rsid w:val="00DD3F28"/>
    <w:rsid w:val="00DD4537"/>
    <w:rsid w:val="00DD4E15"/>
    <w:rsid w:val="00DE1A35"/>
    <w:rsid w:val="00DE22E4"/>
    <w:rsid w:val="00DE2304"/>
    <w:rsid w:val="00DE3138"/>
    <w:rsid w:val="00DE37F8"/>
    <w:rsid w:val="00DE401A"/>
    <w:rsid w:val="00DE4FCB"/>
    <w:rsid w:val="00DE525B"/>
    <w:rsid w:val="00DE5D07"/>
    <w:rsid w:val="00DE6811"/>
    <w:rsid w:val="00DE6E1C"/>
    <w:rsid w:val="00DE72A7"/>
    <w:rsid w:val="00DE7832"/>
    <w:rsid w:val="00DF16BF"/>
    <w:rsid w:val="00DF18FC"/>
    <w:rsid w:val="00DF2AF2"/>
    <w:rsid w:val="00DF2FA8"/>
    <w:rsid w:val="00DF440E"/>
    <w:rsid w:val="00DF507B"/>
    <w:rsid w:val="00DF5D2B"/>
    <w:rsid w:val="00DF7733"/>
    <w:rsid w:val="00DF7838"/>
    <w:rsid w:val="00E00E8E"/>
    <w:rsid w:val="00E02EB4"/>
    <w:rsid w:val="00E037A9"/>
    <w:rsid w:val="00E05630"/>
    <w:rsid w:val="00E05690"/>
    <w:rsid w:val="00E06DBB"/>
    <w:rsid w:val="00E0732F"/>
    <w:rsid w:val="00E07E8B"/>
    <w:rsid w:val="00E10149"/>
    <w:rsid w:val="00E102F1"/>
    <w:rsid w:val="00E10F77"/>
    <w:rsid w:val="00E11340"/>
    <w:rsid w:val="00E11C8A"/>
    <w:rsid w:val="00E122A1"/>
    <w:rsid w:val="00E13438"/>
    <w:rsid w:val="00E136EE"/>
    <w:rsid w:val="00E148FC"/>
    <w:rsid w:val="00E16372"/>
    <w:rsid w:val="00E20E4D"/>
    <w:rsid w:val="00E20ED6"/>
    <w:rsid w:val="00E21358"/>
    <w:rsid w:val="00E2249B"/>
    <w:rsid w:val="00E22A0D"/>
    <w:rsid w:val="00E24441"/>
    <w:rsid w:val="00E244F6"/>
    <w:rsid w:val="00E25C06"/>
    <w:rsid w:val="00E264C4"/>
    <w:rsid w:val="00E26A54"/>
    <w:rsid w:val="00E2746F"/>
    <w:rsid w:val="00E2771E"/>
    <w:rsid w:val="00E311EF"/>
    <w:rsid w:val="00E316F1"/>
    <w:rsid w:val="00E32180"/>
    <w:rsid w:val="00E3477A"/>
    <w:rsid w:val="00E34948"/>
    <w:rsid w:val="00E35C54"/>
    <w:rsid w:val="00E37569"/>
    <w:rsid w:val="00E401B2"/>
    <w:rsid w:val="00E406F5"/>
    <w:rsid w:val="00E41E30"/>
    <w:rsid w:val="00E42F73"/>
    <w:rsid w:val="00E42FFB"/>
    <w:rsid w:val="00E43D70"/>
    <w:rsid w:val="00E45773"/>
    <w:rsid w:val="00E466F3"/>
    <w:rsid w:val="00E4729C"/>
    <w:rsid w:val="00E47B2C"/>
    <w:rsid w:val="00E50D53"/>
    <w:rsid w:val="00E513EA"/>
    <w:rsid w:val="00E51560"/>
    <w:rsid w:val="00E526FF"/>
    <w:rsid w:val="00E53FC8"/>
    <w:rsid w:val="00E54347"/>
    <w:rsid w:val="00E55424"/>
    <w:rsid w:val="00E55915"/>
    <w:rsid w:val="00E55BB5"/>
    <w:rsid w:val="00E61F4B"/>
    <w:rsid w:val="00E625E6"/>
    <w:rsid w:val="00E63D74"/>
    <w:rsid w:val="00E646DA"/>
    <w:rsid w:val="00E64B55"/>
    <w:rsid w:val="00E65E79"/>
    <w:rsid w:val="00E6622B"/>
    <w:rsid w:val="00E6653C"/>
    <w:rsid w:val="00E66BA2"/>
    <w:rsid w:val="00E67416"/>
    <w:rsid w:val="00E701C3"/>
    <w:rsid w:val="00E7044D"/>
    <w:rsid w:val="00E718B6"/>
    <w:rsid w:val="00E723BA"/>
    <w:rsid w:val="00E73581"/>
    <w:rsid w:val="00E75915"/>
    <w:rsid w:val="00E75A04"/>
    <w:rsid w:val="00E7767C"/>
    <w:rsid w:val="00E81CDD"/>
    <w:rsid w:val="00E82E90"/>
    <w:rsid w:val="00E833F7"/>
    <w:rsid w:val="00E83BDF"/>
    <w:rsid w:val="00E8481B"/>
    <w:rsid w:val="00E87A1D"/>
    <w:rsid w:val="00E9094A"/>
    <w:rsid w:val="00E913EB"/>
    <w:rsid w:val="00E9171A"/>
    <w:rsid w:val="00E91D35"/>
    <w:rsid w:val="00E926A5"/>
    <w:rsid w:val="00E93791"/>
    <w:rsid w:val="00E96168"/>
    <w:rsid w:val="00E979E1"/>
    <w:rsid w:val="00E97BDB"/>
    <w:rsid w:val="00EA178B"/>
    <w:rsid w:val="00EA17C3"/>
    <w:rsid w:val="00EA2808"/>
    <w:rsid w:val="00EA2CAA"/>
    <w:rsid w:val="00EA3864"/>
    <w:rsid w:val="00EA3D49"/>
    <w:rsid w:val="00EA40DA"/>
    <w:rsid w:val="00EA49D0"/>
    <w:rsid w:val="00EA5957"/>
    <w:rsid w:val="00EA7EC4"/>
    <w:rsid w:val="00EA7F1C"/>
    <w:rsid w:val="00EB09BE"/>
    <w:rsid w:val="00EB153C"/>
    <w:rsid w:val="00EB15B6"/>
    <w:rsid w:val="00EB3C1C"/>
    <w:rsid w:val="00EB3D06"/>
    <w:rsid w:val="00EB41D5"/>
    <w:rsid w:val="00EB4916"/>
    <w:rsid w:val="00EB4B7F"/>
    <w:rsid w:val="00EC00C9"/>
    <w:rsid w:val="00EC0A59"/>
    <w:rsid w:val="00EC0DD9"/>
    <w:rsid w:val="00EC2649"/>
    <w:rsid w:val="00EC31ED"/>
    <w:rsid w:val="00EC4065"/>
    <w:rsid w:val="00EC5836"/>
    <w:rsid w:val="00EC688C"/>
    <w:rsid w:val="00EC6DD4"/>
    <w:rsid w:val="00EC6E40"/>
    <w:rsid w:val="00ED08CC"/>
    <w:rsid w:val="00ED0F86"/>
    <w:rsid w:val="00ED346B"/>
    <w:rsid w:val="00ED57EA"/>
    <w:rsid w:val="00ED5BD4"/>
    <w:rsid w:val="00ED744E"/>
    <w:rsid w:val="00ED7756"/>
    <w:rsid w:val="00ED7F38"/>
    <w:rsid w:val="00EE07D3"/>
    <w:rsid w:val="00EE07ED"/>
    <w:rsid w:val="00EE0CE5"/>
    <w:rsid w:val="00EE1996"/>
    <w:rsid w:val="00EE1C01"/>
    <w:rsid w:val="00EE22AF"/>
    <w:rsid w:val="00EE4896"/>
    <w:rsid w:val="00EF0171"/>
    <w:rsid w:val="00EF1B25"/>
    <w:rsid w:val="00EF1DA0"/>
    <w:rsid w:val="00EF2C7A"/>
    <w:rsid w:val="00EF39FA"/>
    <w:rsid w:val="00EF4747"/>
    <w:rsid w:val="00EF4BF8"/>
    <w:rsid w:val="00EF5A81"/>
    <w:rsid w:val="00EF749B"/>
    <w:rsid w:val="00EF761B"/>
    <w:rsid w:val="00F001CA"/>
    <w:rsid w:val="00F00E6C"/>
    <w:rsid w:val="00F02089"/>
    <w:rsid w:val="00F02253"/>
    <w:rsid w:val="00F03C2E"/>
    <w:rsid w:val="00F04A66"/>
    <w:rsid w:val="00F04B4B"/>
    <w:rsid w:val="00F0516C"/>
    <w:rsid w:val="00F067A2"/>
    <w:rsid w:val="00F0752D"/>
    <w:rsid w:val="00F07B9E"/>
    <w:rsid w:val="00F07C73"/>
    <w:rsid w:val="00F11129"/>
    <w:rsid w:val="00F1116F"/>
    <w:rsid w:val="00F11211"/>
    <w:rsid w:val="00F1263A"/>
    <w:rsid w:val="00F1293C"/>
    <w:rsid w:val="00F13F6D"/>
    <w:rsid w:val="00F15B77"/>
    <w:rsid w:val="00F16142"/>
    <w:rsid w:val="00F1650D"/>
    <w:rsid w:val="00F211A1"/>
    <w:rsid w:val="00F217E4"/>
    <w:rsid w:val="00F21FB5"/>
    <w:rsid w:val="00F23FF7"/>
    <w:rsid w:val="00F243FC"/>
    <w:rsid w:val="00F24837"/>
    <w:rsid w:val="00F24912"/>
    <w:rsid w:val="00F2575F"/>
    <w:rsid w:val="00F257A0"/>
    <w:rsid w:val="00F26794"/>
    <w:rsid w:val="00F26BF1"/>
    <w:rsid w:val="00F2706D"/>
    <w:rsid w:val="00F27565"/>
    <w:rsid w:val="00F27F53"/>
    <w:rsid w:val="00F30A05"/>
    <w:rsid w:val="00F30F0E"/>
    <w:rsid w:val="00F310D4"/>
    <w:rsid w:val="00F312E2"/>
    <w:rsid w:val="00F31D5A"/>
    <w:rsid w:val="00F320F3"/>
    <w:rsid w:val="00F33975"/>
    <w:rsid w:val="00F33DE9"/>
    <w:rsid w:val="00F3549F"/>
    <w:rsid w:val="00F35E6D"/>
    <w:rsid w:val="00F3619A"/>
    <w:rsid w:val="00F37B2C"/>
    <w:rsid w:val="00F37EEF"/>
    <w:rsid w:val="00F40899"/>
    <w:rsid w:val="00F40AAA"/>
    <w:rsid w:val="00F40BA7"/>
    <w:rsid w:val="00F40F9D"/>
    <w:rsid w:val="00F41ACD"/>
    <w:rsid w:val="00F43C27"/>
    <w:rsid w:val="00F440C8"/>
    <w:rsid w:val="00F44BF3"/>
    <w:rsid w:val="00F45C15"/>
    <w:rsid w:val="00F460E4"/>
    <w:rsid w:val="00F4618F"/>
    <w:rsid w:val="00F46CB6"/>
    <w:rsid w:val="00F4756D"/>
    <w:rsid w:val="00F47DE8"/>
    <w:rsid w:val="00F5242A"/>
    <w:rsid w:val="00F53457"/>
    <w:rsid w:val="00F542C1"/>
    <w:rsid w:val="00F546D7"/>
    <w:rsid w:val="00F55E73"/>
    <w:rsid w:val="00F55EDA"/>
    <w:rsid w:val="00F56C80"/>
    <w:rsid w:val="00F56F5D"/>
    <w:rsid w:val="00F57D74"/>
    <w:rsid w:val="00F60092"/>
    <w:rsid w:val="00F61C18"/>
    <w:rsid w:val="00F62806"/>
    <w:rsid w:val="00F63E14"/>
    <w:rsid w:val="00F640E7"/>
    <w:rsid w:val="00F65F4B"/>
    <w:rsid w:val="00F66042"/>
    <w:rsid w:val="00F66065"/>
    <w:rsid w:val="00F66E9F"/>
    <w:rsid w:val="00F67A69"/>
    <w:rsid w:val="00F7014E"/>
    <w:rsid w:val="00F70AB5"/>
    <w:rsid w:val="00F70BFF"/>
    <w:rsid w:val="00F70C9D"/>
    <w:rsid w:val="00F73A52"/>
    <w:rsid w:val="00F73C1E"/>
    <w:rsid w:val="00F73F1D"/>
    <w:rsid w:val="00F74CD9"/>
    <w:rsid w:val="00F75592"/>
    <w:rsid w:val="00F80A7B"/>
    <w:rsid w:val="00F80E5D"/>
    <w:rsid w:val="00F81D79"/>
    <w:rsid w:val="00F81E78"/>
    <w:rsid w:val="00F83C1D"/>
    <w:rsid w:val="00F851CE"/>
    <w:rsid w:val="00F858ED"/>
    <w:rsid w:val="00F86C17"/>
    <w:rsid w:val="00F91219"/>
    <w:rsid w:val="00F9198D"/>
    <w:rsid w:val="00F92444"/>
    <w:rsid w:val="00F9266C"/>
    <w:rsid w:val="00F9328C"/>
    <w:rsid w:val="00F9393E"/>
    <w:rsid w:val="00F93D6C"/>
    <w:rsid w:val="00F96491"/>
    <w:rsid w:val="00F969D3"/>
    <w:rsid w:val="00F96FD0"/>
    <w:rsid w:val="00F97A78"/>
    <w:rsid w:val="00F97B32"/>
    <w:rsid w:val="00FA0B20"/>
    <w:rsid w:val="00FA24E7"/>
    <w:rsid w:val="00FA27E5"/>
    <w:rsid w:val="00FA3C33"/>
    <w:rsid w:val="00FA5EE6"/>
    <w:rsid w:val="00FA69C8"/>
    <w:rsid w:val="00FA6A0C"/>
    <w:rsid w:val="00FA7956"/>
    <w:rsid w:val="00FA7FE6"/>
    <w:rsid w:val="00FB06DF"/>
    <w:rsid w:val="00FB2FCB"/>
    <w:rsid w:val="00FB4746"/>
    <w:rsid w:val="00FB483E"/>
    <w:rsid w:val="00FB5311"/>
    <w:rsid w:val="00FB7808"/>
    <w:rsid w:val="00FB7C55"/>
    <w:rsid w:val="00FC0A90"/>
    <w:rsid w:val="00FC1074"/>
    <w:rsid w:val="00FC1884"/>
    <w:rsid w:val="00FC2898"/>
    <w:rsid w:val="00FC371D"/>
    <w:rsid w:val="00FC39BE"/>
    <w:rsid w:val="00FC59BB"/>
    <w:rsid w:val="00FC5F0B"/>
    <w:rsid w:val="00FD02B4"/>
    <w:rsid w:val="00FD0910"/>
    <w:rsid w:val="00FD2044"/>
    <w:rsid w:val="00FD2100"/>
    <w:rsid w:val="00FD35F6"/>
    <w:rsid w:val="00FD436C"/>
    <w:rsid w:val="00FD446D"/>
    <w:rsid w:val="00FD4F2C"/>
    <w:rsid w:val="00FD6394"/>
    <w:rsid w:val="00FD7D5E"/>
    <w:rsid w:val="00FE0E6C"/>
    <w:rsid w:val="00FE13F2"/>
    <w:rsid w:val="00FE1CDC"/>
    <w:rsid w:val="00FE388C"/>
    <w:rsid w:val="00FE4E68"/>
    <w:rsid w:val="00FE5D9F"/>
    <w:rsid w:val="00FE63F4"/>
    <w:rsid w:val="00FE70C3"/>
    <w:rsid w:val="00FF2AD9"/>
    <w:rsid w:val="00FF359F"/>
    <w:rsid w:val="00FF3DCF"/>
    <w:rsid w:val="00FF492C"/>
    <w:rsid w:val="00FF4A21"/>
    <w:rsid w:val="00FF4CA1"/>
    <w:rsid w:val="00FF5311"/>
    <w:rsid w:val="00FF5AA3"/>
    <w:rsid w:val="00FF5AD8"/>
    <w:rsid w:val="00FF6F1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914"/>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qFormat/>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4"/>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unhideWhenUsed/>
    <w:rsid w:val="00EE1996"/>
    <w:pPr>
      <w:numPr>
        <w:numId w:val="3"/>
      </w:num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paragraph" w:styleId="Header">
    <w:name w:val="header"/>
    <w:aliases w:val="Page Header,Header title,he=header,cntr/bld"/>
    <w:basedOn w:val="Normal"/>
    <w:link w:val="HeaderChar"/>
    <w:uiPriority w:val="99"/>
    <w:unhideWhenUsed/>
    <w:qFormat/>
    <w:rsid w:val="002E0686"/>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2E0686"/>
    <w:rPr>
      <w:rFonts w:ascii="Calibri" w:hAnsi="Calibri" w:cs="Arial"/>
      <w:sz w:val="24"/>
      <w:szCs w:val="24"/>
    </w:rPr>
  </w:style>
  <w:style w:type="paragraph" w:styleId="Footer">
    <w:name w:val="footer"/>
    <w:basedOn w:val="Normal"/>
    <w:link w:val="FooterChar"/>
    <w:uiPriority w:val="99"/>
    <w:unhideWhenUsed/>
    <w:rsid w:val="002E0686"/>
    <w:pPr>
      <w:tabs>
        <w:tab w:val="center" w:pos="4513"/>
        <w:tab w:val="right" w:pos="9026"/>
      </w:tabs>
    </w:pPr>
  </w:style>
  <w:style w:type="character" w:customStyle="1" w:styleId="FooterChar">
    <w:name w:val="Footer Char"/>
    <w:basedOn w:val="DefaultParagraphFont"/>
    <w:link w:val="Footer"/>
    <w:uiPriority w:val="99"/>
    <w:rsid w:val="002E0686"/>
    <w:rPr>
      <w:rFonts w:ascii="Calibri" w:hAnsi="Calibri" w:cs="Arial"/>
      <w:sz w:val="24"/>
      <w:szCs w:val="24"/>
    </w:rPr>
  </w:style>
  <w:style w:type="paragraph" w:styleId="ListParagraph">
    <w:name w:val="List Paragraph"/>
    <w:aliases w:val="Numbered para,BulletPoints,Bullet point,List Paragraph1,List Paragraph11,Recommendation,L,Bullet Point,Bulletr List Paragraph,Content descriptions,FooterText,List Bullet 1,List Paragraph2,List Paragraph21,Listeafsnit1,NFP GP Bulleted List"/>
    <w:basedOn w:val="Normal"/>
    <w:link w:val="ListParagraphChar"/>
    <w:uiPriority w:val="34"/>
    <w:qFormat/>
    <w:rsid w:val="00955ED3"/>
    <w:pPr>
      <w:widowControl w:val="0"/>
      <w:spacing w:after="160"/>
      <w:ind w:left="720"/>
    </w:pPr>
    <w:rPr>
      <w:snapToGrid w:val="0"/>
      <w:szCs w:val="22"/>
      <w:lang w:eastAsia="en-US"/>
    </w:rPr>
  </w:style>
  <w:style w:type="character" w:customStyle="1" w:styleId="ListParagraphChar">
    <w:name w:val="List Paragraph Char"/>
    <w:aliases w:val="Numbered para Char,BulletPoints Char,Bullet point Char,List Paragraph1 Char,List Paragraph11 Char,Recommendation Char,L Char,Bullet Point Char,Bulletr List Paragraph Char,Content descriptions Char,FooterText Char,List Bullet 1 Char"/>
    <w:basedOn w:val="DefaultParagraphFont"/>
    <w:link w:val="ListParagraph"/>
    <w:uiPriority w:val="72"/>
    <w:qFormat/>
    <w:locked/>
    <w:rsid w:val="00955ED3"/>
    <w:rPr>
      <w:rFonts w:ascii="Calibri" w:hAnsi="Calibri" w:cs="Arial"/>
      <w:snapToGrid w:val="0"/>
      <w:sz w:val="24"/>
      <w:szCs w:val="22"/>
      <w:lang w:eastAsia="en-US"/>
    </w:rPr>
  </w:style>
  <w:style w:type="paragraph" w:customStyle="1" w:styleId="Tabletext0">
    <w:name w:val="Table text"/>
    <w:basedOn w:val="Normal"/>
    <w:link w:val="TabletextChar0"/>
    <w:qFormat/>
    <w:rsid w:val="000E17B5"/>
    <w:pPr>
      <w:jc w:val="left"/>
    </w:pPr>
    <w:rPr>
      <w:rFonts w:ascii="Arial Narrow" w:hAnsi="Arial Narrow" w:cs="Times New Roman"/>
      <w:sz w:val="20"/>
      <w:szCs w:val="22"/>
      <w:lang w:eastAsia="en-US"/>
    </w:rPr>
  </w:style>
  <w:style w:type="character" w:customStyle="1" w:styleId="TabletextChar0">
    <w:name w:val="Table text Char"/>
    <w:link w:val="Tabletext0"/>
    <w:rsid w:val="000E17B5"/>
    <w:rPr>
      <w:rFonts w:ascii="Arial Narrow" w:hAnsi="Arial Narrow"/>
      <w:szCs w:val="22"/>
      <w:lang w:eastAsia="en-US"/>
    </w:rPr>
  </w:style>
  <w:style w:type="paragraph" w:styleId="BodyText">
    <w:name w:val="Body Text"/>
    <w:basedOn w:val="Normal"/>
    <w:link w:val="BodyTextChar"/>
    <w:qFormat/>
    <w:rsid w:val="00612B70"/>
    <w:pPr>
      <w:widowControl w:val="0"/>
      <w:jc w:val="left"/>
    </w:pPr>
    <w:rPr>
      <w:snapToGrid w:val="0"/>
      <w:szCs w:val="22"/>
      <w:lang w:eastAsia="en-US"/>
    </w:rPr>
  </w:style>
  <w:style w:type="character" w:customStyle="1" w:styleId="BodyTextChar">
    <w:name w:val="Body Text Char"/>
    <w:basedOn w:val="DefaultParagraphFont"/>
    <w:link w:val="BodyText"/>
    <w:rsid w:val="00612B70"/>
    <w:rPr>
      <w:rFonts w:ascii="Calibri" w:hAnsi="Calibri" w:cs="Arial"/>
      <w:snapToGrid w:val="0"/>
      <w:sz w:val="24"/>
      <w:szCs w:val="22"/>
      <w:lang w:eastAsia="en-US"/>
    </w:rPr>
  </w:style>
  <w:style w:type="paragraph" w:customStyle="1" w:styleId="TableHeading">
    <w:name w:val="Table Heading"/>
    <w:basedOn w:val="Normal"/>
    <w:link w:val="TableHeadingChar"/>
    <w:qFormat/>
    <w:rsid w:val="00612B70"/>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612B70"/>
    <w:rPr>
      <w:rFonts w:ascii="Arial Narrow" w:eastAsiaTheme="minorHAnsi" w:hAnsi="Arial Narrow" w:cstheme="minorBidi"/>
      <w:b/>
      <w:szCs w:val="22"/>
      <w:lang w:eastAsia="en-US"/>
    </w:rPr>
  </w:style>
  <w:style w:type="paragraph" w:customStyle="1" w:styleId="TableFooter">
    <w:name w:val="Table Footer"/>
    <w:basedOn w:val="Normal"/>
    <w:link w:val="TableFooterChar"/>
    <w:qFormat/>
    <w:rsid w:val="00612B70"/>
    <w:pPr>
      <w:widowControl w:val="0"/>
    </w:pPr>
    <w:rPr>
      <w:rFonts w:ascii="Arial Narrow" w:hAnsi="Arial Narrow"/>
      <w:snapToGrid w:val="0"/>
      <w:sz w:val="18"/>
      <w:szCs w:val="22"/>
      <w:lang w:eastAsia="en-US"/>
    </w:rPr>
  </w:style>
  <w:style w:type="character" w:customStyle="1" w:styleId="TableFooterChar">
    <w:name w:val="Table Footer Char"/>
    <w:link w:val="TableFooter"/>
    <w:rsid w:val="00612B70"/>
    <w:rPr>
      <w:rFonts w:ascii="Arial Narrow" w:hAnsi="Arial Narrow" w:cs="Arial"/>
      <w:snapToGrid w:val="0"/>
      <w:sz w:val="18"/>
      <w:szCs w:val="22"/>
      <w:lang w:eastAsia="en-US"/>
    </w:rPr>
  </w:style>
  <w:style w:type="character" w:styleId="PlaceholderText">
    <w:name w:val="Placeholder Text"/>
    <w:basedOn w:val="DefaultParagraphFont"/>
    <w:uiPriority w:val="99"/>
    <w:semiHidden/>
    <w:rsid w:val="0074013D"/>
    <w:rPr>
      <w:color w:val="808080"/>
    </w:rPr>
  </w:style>
  <w:style w:type="character" w:styleId="CommentReference">
    <w:name w:val="annotation reference"/>
    <w:aliases w:val="Table Title"/>
    <w:uiPriority w:val="99"/>
    <w:unhideWhenUsed/>
    <w:qFormat/>
    <w:rsid w:val="00D0542D"/>
    <w:rPr>
      <w:rFonts w:ascii="Arial Narrow" w:hAnsi="Arial Narrow" w:hint="default"/>
      <w:b/>
      <w:bCs w:val="0"/>
      <w:sz w:val="20"/>
      <w:szCs w:val="16"/>
    </w:rPr>
  </w:style>
  <w:style w:type="character" w:styleId="Strong">
    <w:name w:val="Strong"/>
    <w:uiPriority w:val="22"/>
    <w:qFormat/>
    <w:rsid w:val="000C6A78"/>
    <w:rPr>
      <w:b/>
      <w:bCs/>
    </w:rPr>
  </w:style>
  <w:style w:type="paragraph" w:customStyle="1" w:styleId="TableText1">
    <w:name w:val="TableText"/>
    <w:basedOn w:val="Tabletext0"/>
    <w:link w:val="TableTextChar1"/>
    <w:qFormat/>
    <w:rsid w:val="00281F72"/>
    <w:pPr>
      <w:spacing w:before="40" w:after="40"/>
    </w:pPr>
    <w:rPr>
      <w:rFonts w:ascii="Calibri" w:eastAsia="Calibri" w:hAnsi="Calibri"/>
      <w:sz w:val="18"/>
    </w:rPr>
  </w:style>
  <w:style w:type="table" w:customStyle="1" w:styleId="TableGrid1">
    <w:name w:val="Table Grid1"/>
    <w:basedOn w:val="TableNormal"/>
    <w:next w:val="TableGrid"/>
    <w:uiPriority w:val="59"/>
    <w:rsid w:val="00281F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1">
    <w:name w:val="TableText Char"/>
    <w:link w:val="TableText1"/>
    <w:rsid w:val="00281F72"/>
    <w:rPr>
      <w:rFonts w:ascii="Calibri" w:eastAsia="Calibri" w:hAnsi="Calibri"/>
      <w:sz w:val="18"/>
      <w:szCs w:val="22"/>
      <w:lang w:eastAsia="en-US"/>
    </w:rPr>
  </w:style>
  <w:style w:type="paragraph" w:customStyle="1" w:styleId="TableFigNoteLast">
    <w:name w:val="TableFigNote Last"/>
    <w:basedOn w:val="Normal"/>
    <w:next w:val="Normal"/>
    <w:qFormat/>
    <w:rsid w:val="006C227C"/>
    <w:pPr>
      <w:spacing w:after="120"/>
      <w:contextualSpacing/>
      <w:jc w:val="left"/>
    </w:pPr>
    <w:rPr>
      <w:rFonts w:asciiTheme="minorHAnsi" w:eastAsiaTheme="minorHAnsi" w:hAnsiTheme="minorHAnsi" w:cstheme="minorBidi"/>
      <w:sz w:val="16"/>
      <w:szCs w:val="22"/>
      <w:lang w:eastAsia="zh-CN"/>
    </w:rPr>
  </w:style>
  <w:style w:type="paragraph" w:customStyle="1" w:styleId="Tabletextbulletdash">
    <w:name w:val="Table text bullet dash"/>
    <w:basedOn w:val="Tabletext0"/>
    <w:qFormat/>
    <w:rsid w:val="00DC1777"/>
    <w:pPr>
      <w:numPr>
        <w:numId w:val="5"/>
      </w:numPr>
      <w:adjustRightInd w:val="0"/>
      <w:snapToGrid w:val="0"/>
      <w:spacing w:before="40" w:after="40"/>
    </w:pPr>
    <w:rPr>
      <w:rFonts w:ascii="Calibri" w:eastAsia="SimSun" w:hAnsi="Calibri"/>
      <w:sz w:val="18"/>
      <w:lang w:eastAsia="zh-CN"/>
    </w:rPr>
  </w:style>
  <w:style w:type="paragraph" w:customStyle="1" w:styleId="Bullet1">
    <w:name w:val="Bullet 1"/>
    <w:basedOn w:val="Normal"/>
    <w:link w:val="Bullet1Char"/>
    <w:qFormat/>
    <w:rsid w:val="004C54A6"/>
    <w:pPr>
      <w:numPr>
        <w:numId w:val="6"/>
      </w:numPr>
      <w:spacing w:before="120" w:after="120"/>
      <w:jc w:val="left"/>
    </w:pPr>
    <w:rPr>
      <w:rFonts w:eastAsia="Calibri" w:cs="Times New Roman"/>
      <w:sz w:val="22"/>
      <w:szCs w:val="22"/>
      <w:lang w:eastAsia="en-US"/>
    </w:rPr>
  </w:style>
  <w:style w:type="character" w:customStyle="1" w:styleId="Bullet1Char">
    <w:name w:val="Bullet 1 Char"/>
    <w:link w:val="Bullet1"/>
    <w:rsid w:val="004C54A6"/>
    <w:rPr>
      <w:rFonts w:ascii="Calibri" w:eastAsia="Calibri" w:hAnsi="Calibri"/>
      <w:sz w:val="22"/>
      <w:szCs w:val="22"/>
      <w:lang w:eastAsia="en-US"/>
    </w:rPr>
  </w:style>
  <w:style w:type="paragraph" w:styleId="CommentText">
    <w:name w:val="annotation text"/>
    <w:basedOn w:val="Normal"/>
    <w:link w:val="CommentTextChar"/>
    <w:uiPriority w:val="99"/>
    <w:unhideWhenUsed/>
    <w:rsid w:val="00C34985"/>
    <w:rPr>
      <w:sz w:val="20"/>
      <w:szCs w:val="20"/>
    </w:rPr>
  </w:style>
  <w:style w:type="character" w:customStyle="1" w:styleId="CommentTextChar">
    <w:name w:val="Comment Text Char"/>
    <w:basedOn w:val="DefaultParagraphFont"/>
    <w:link w:val="CommentText"/>
    <w:uiPriority w:val="99"/>
    <w:rsid w:val="00C34985"/>
    <w:rPr>
      <w:rFonts w:ascii="Calibri" w:hAnsi="Calibri" w:cs="Arial"/>
    </w:rPr>
  </w:style>
  <w:style w:type="paragraph" w:styleId="CommentSubject">
    <w:name w:val="annotation subject"/>
    <w:basedOn w:val="CommentText"/>
    <w:next w:val="CommentText"/>
    <w:link w:val="CommentSubjectChar"/>
    <w:semiHidden/>
    <w:unhideWhenUsed/>
    <w:rsid w:val="00C34985"/>
    <w:rPr>
      <w:b/>
      <w:bCs/>
    </w:rPr>
  </w:style>
  <w:style w:type="character" w:customStyle="1" w:styleId="CommentSubjectChar">
    <w:name w:val="Comment Subject Char"/>
    <w:basedOn w:val="CommentTextChar"/>
    <w:link w:val="CommentSubject"/>
    <w:semiHidden/>
    <w:rsid w:val="00C34985"/>
    <w:rPr>
      <w:rFonts w:ascii="Calibri" w:hAnsi="Calibri" w:cs="Arial"/>
      <w:b/>
      <w:bCs/>
    </w:rPr>
  </w:style>
  <w:style w:type="paragraph" w:styleId="FootnoteText">
    <w:name w:val="footnote text"/>
    <w:basedOn w:val="Normal"/>
    <w:link w:val="FootnoteTextChar"/>
    <w:semiHidden/>
    <w:unhideWhenUsed/>
    <w:rsid w:val="00223A02"/>
    <w:pPr>
      <w:widowControl w:val="0"/>
    </w:pPr>
    <w:rPr>
      <w:snapToGrid w:val="0"/>
      <w:sz w:val="20"/>
      <w:szCs w:val="20"/>
      <w:lang w:eastAsia="en-US"/>
    </w:rPr>
  </w:style>
  <w:style w:type="character" w:customStyle="1" w:styleId="FootnoteTextChar">
    <w:name w:val="Footnote Text Char"/>
    <w:basedOn w:val="DefaultParagraphFont"/>
    <w:link w:val="FootnoteText"/>
    <w:semiHidden/>
    <w:rsid w:val="00223A02"/>
    <w:rPr>
      <w:rFonts w:ascii="Calibri" w:hAnsi="Calibri" w:cs="Arial"/>
      <w:snapToGrid w:val="0"/>
      <w:lang w:eastAsia="en-US"/>
    </w:rPr>
  </w:style>
  <w:style w:type="character" w:styleId="FootnoteReference">
    <w:name w:val="footnote reference"/>
    <w:basedOn w:val="DefaultParagraphFont"/>
    <w:semiHidden/>
    <w:unhideWhenUsed/>
    <w:rsid w:val="00223A02"/>
    <w:rPr>
      <w:vertAlign w:val="superscript"/>
    </w:rPr>
  </w:style>
  <w:style w:type="paragraph" w:customStyle="1" w:styleId="tabletextsuperscript">
    <w:name w:val="table text superscript"/>
    <w:basedOn w:val="Normal"/>
    <w:qFormat/>
    <w:rsid w:val="00B644EE"/>
    <w:pPr>
      <w:adjustRightInd w:val="0"/>
      <w:snapToGrid w:val="0"/>
      <w:spacing w:before="40" w:after="40"/>
      <w:jc w:val="center"/>
    </w:pPr>
    <w:rPr>
      <w:rFonts w:eastAsia="SimSun" w:cs="Times New Roman"/>
      <w:sz w:val="18"/>
      <w:szCs w:val="22"/>
      <w:lang w:eastAsia="en-US"/>
    </w:rPr>
  </w:style>
  <w:style w:type="paragraph" w:customStyle="1" w:styleId="PBACHeading1">
    <w:name w:val="PBAC Heading 1"/>
    <w:qFormat/>
    <w:rsid w:val="00560988"/>
    <w:pPr>
      <w:ind w:left="720" w:hanging="720"/>
    </w:pPr>
    <w:rPr>
      <w:rFonts w:ascii="Calibri" w:hAnsi="Calibri" w:cs="Arial"/>
      <w:b/>
      <w:snapToGrid w:val="0"/>
      <w:sz w:val="32"/>
      <w:szCs w:val="22"/>
      <w:lang w:eastAsia="en-US"/>
    </w:rPr>
  </w:style>
  <w:style w:type="numbering" w:customStyle="1" w:styleId="Style221">
    <w:name w:val="Style221"/>
    <w:uiPriority w:val="99"/>
    <w:rsid w:val="00805E05"/>
    <w:pPr>
      <w:numPr>
        <w:numId w:val="8"/>
      </w:numPr>
    </w:pPr>
  </w:style>
  <w:style w:type="paragraph" w:customStyle="1" w:styleId="Default">
    <w:name w:val="Default"/>
    <w:rsid w:val="00A347E9"/>
    <w:pPr>
      <w:autoSpaceDE w:val="0"/>
      <w:autoSpaceDN w:val="0"/>
      <w:adjustRightInd w:val="0"/>
    </w:pPr>
    <w:rPr>
      <w:rFonts w:ascii="Calibri" w:hAnsi="Calibri" w:cs="Calibri"/>
      <w:color w:val="000000"/>
      <w:sz w:val="24"/>
      <w:szCs w:val="24"/>
    </w:rPr>
  </w:style>
  <w:style w:type="paragraph" w:customStyle="1" w:styleId="3-BodyText">
    <w:name w:val="3-Body Text"/>
    <w:basedOn w:val="ListParagraph"/>
    <w:qFormat/>
    <w:rsid w:val="00E513EA"/>
    <w:pPr>
      <w:widowControl/>
      <w:spacing w:after="120"/>
      <w:ind w:hanging="720"/>
    </w:pPr>
    <w:rPr>
      <w:rFonts w:asciiTheme="minorHAnsi" w:hAnsiTheme="minorHAnsi"/>
      <w:szCs w:val="24"/>
      <w:lang w:eastAsia="en-AU"/>
    </w:rPr>
  </w:style>
  <w:style w:type="paragraph" w:styleId="NoSpacing">
    <w:name w:val="No Spacing"/>
    <w:uiPriority w:val="1"/>
    <w:qFormat/>
    <w:rsid w:val="0052495F"/>
    <w:rPr>
      <w:sz w:val="24"/>
      <w:szCs w:val="24"/>
      <w:lang w:eastAsia="en-US"/>
    </w:rPr>
  </w:style>
  <w:style w:type="paragraph" w:styleId="EndnoteText">
    <w:name w:val="endnote text"/>
    <w:basedOn w:val="Normal"/>
    <w:link w:val="EndnoteTextChar"/>
    <w:semiHidden/>
    <w:unhideWhenUsed/>
    <w:rsid w:val="00C966AD"/>
    <w:rPr>
      <w:sz w:val="20"/>
      <w:szCs w:val="20"/>
    </w:rPr>
  </w:style>
  <w:style w:type="character" w:customStyle="1" w:styleId="EndnoteTextChar">
    <w:name w:val="Endnote Text Char"/>
    <w:basedOn w:val="DefaultParagraphFont"/>
    <w:link w:val="EndnoteText"/>
    <w:semiHidden/>
    <w:rsid w:val="00C966AD"/>
    <w:rPr>
      <w:rFonts w:ascii="Calibri" w:hAnsi="Calibri" w:cs="Arial"/>
    </w:rPr>
  </w:style>
  <w:style w:type="character" w:styleId="EndnoteReference">
    <w:name w:val="endnote reference"/>
    <w:basedOn w:val="DefaultParagraphFont"/>
    <w:semiHidden/>
    <w:unhideWhenUsed/>
    <w:rsid w:val="00C966AD"/>
    <w:rPr>
      <w:vertAlign w:val="superscript"/>
    </w:rPr>
  </w:style>
  <w:style w:type="paragraph" w:customStyle="1" w:styleId="EndNoteBibliography">
    <w:name w:val="EndNote Bibliography"/>
    <w:basedOn w:val="Normal"/>
    <w:link w:val="EndNoteBibliographyChar"/>
    <w:rsid w:val="00C966AD"/>
    <w:pPr>
      <w:spacing w:after="200"/>
      <w:jc w:val="left"/>
    </w:pPr>
    <w:rPr>
      <w:rFonts w:eastAsiaTheme="minorHAnsi" w:cs="Calibri"/>
      <w:noProof/>
      <w:sz w:val="22"/>
      <w:szCs w:val="22"/>
      <w:lang w:val="en-US" w:eastAsia="en-US"/>
    </w:rPr>
  </w:style>
  <w:style w:type="character" w:customStyle="1" w:styleId="EndNoteBibliographyChar">
    <w:name w:val="EndNote Bibliography Char"/>
    <w:basedOn w:val="DefaultParagraphFont"/>
    <w:link w:val="EndNoteBibliography"/>
    <w:rsid w:val="00C966AD"/>
    <w:rPr>
      <w:rFonts w:ascii="Calibri" w:eastAsiaTheme="minorHAnsi" w:hAnsi="Calibri" w:cs="Calibri"/>
      <w:noProof/>
      <w:sz w:val="22"/>
      <w:szCs w:val="22"/>
      <w:lang w:val="en-US" w:eastAsia="en-US"/>
    </w:rPr>
  </w:style>
  <w:style w:type="paragraph" w:customStyle="1" w:styleId="Bodytextitalics">
    <w:name w:val="Body text italics"/>
    <w:basedOn w:val="BodyText"/>
    <w:qFormat/>
    <w:rsid w:val="00BE6B24"/>
    <w:pPr>
      <w:widowControl/>
      <w:spacing w:after="120"/>
      <w:jc w:val="both"/>
    </w:pPr>
    <w:rPr>
      <w:rFonts w:asciiTheme="minorHAnsi" w:eastAsiaTheme="minorHAnsi" w:hAnsiTheme="minorHAnsi" w:cstheme="minorBidi"/>
      <w:i/>
      <w:snapToGrid/>
      <w:lang w:eastAsia="en-AU"/>
    </w:rPr>
  </w:style>
  <w:style w:type="paragraph" w:customStyle="1" w:styleId="3Bodytext">
    <w:name w:val="3. Body text"/>
    <w:basedOn w:val="ListParagraph"/>
    <w:link w:val="3BodytextChar"/>
    <w:qFormat/>
    <w:rsid w:val="00BE6B24"/>
    <w:pPr>
      <w:widowControl/>
      <w:spacing w:after="120"/>
      <w:ind w:hanging="720"/>
      <w:jc w:val="left"/>
    </w:pPr>
    <w:rPr>
      <w:rFonts w:asciiTheme="minorHAnsi" w:eastAsiaTheme="minorHAnsi" w:hAnsiTheme="minorHAnsi" w:cstheme="minorBidi"/>
      <w:snapToGrid/>
      <w:lang w:eastAsia="en-AU"/>
    </w:rPr>
  </w:style>
  <w:style w:type="character" w:customStyle="1" w:styleId="3BodytextChar">
    <w:name w:val="3. Body text Char"/>
    <w:basedOn w:val="DefaultParagraphFont"/>
    <w:link w:val="3Bodytext"/>
    <w:rsid w:val="00BE6B24"/>
    <w:rPr>
      <w:rFonts w:asciiTheme="minorHAnsi" w:eastAsiaTheme="minorHAnsi" w:hAnsiTheme="minorHAnsi" w:cstheme="minorBidi"/>
      <w:sz w:val="24"/>
      <w:szCs w:val="22"/>
    </w:rPr>
  </w:style>
  <w:style w:type="paragraph" w:customStyle="1" w:styleId="PBACESHeading1">
    <w:name w:val="PBAC ES Heading 1"/>
    <w:basedOn w:val="Heading1"/>
    <w:next w:val="ListParagraph"/>
    <w:uiPriority w:val="1"/>
    <w:qFormat/>
    <w:rsid w:val="0090099A"/>
    <w:pPr>
      <w:keepNext/>
      <w:keepLines/>
      <w:tabs>
        <w:tab w:val="left" w:pos="1077"/>
      </w:tabs>
      <w:spacing w:before="240" w:after="120"/>
      <w:jc w:val="left"/>
    </w:pPr>
    <w:rPr>
      <w:rFonts w:asciiTheme="minorHAnsi" w:hAnsiTheme="minorHAnsi"/>
      <w:caps w:val="0"/>
      <w:snapToGrid w:val="0"/>
      <w:szCs w:val="32"/>
      <w:lang w:eastAsia="en-US"/>
    </w:rPr>
  </w:style>
  <w:style w:type="paragraph" w:customStyle="1" w:styleId="PBACESHeading2">
    <w:name w:val="PBAC ES Heading 2"/>
    <w:basedOn w:val="Heading2"/>
    <w:uiPriority w:val="1"/>
    <w:qFormat/>
    <w:rsid w:val="0090099A"/>
    <w:pPr>
      <w:keepNext/>
      <w:keepLines/>
      <w:spacing w:before="360" w:after="120"/>
      <w:ind w:left="720" w:hanging="720"/>
      <w:jc w:val="left"/>
    </w:pPr>
    <w:rPr>
      <w:rFonts w:asciiTheme="majorHAnsi" w:eastAsiaTheme="majorEastAsia" w:hAnsiTheme="majorHAnsi" w:cstheme="majorBidi"/>
      <w:snapToGrid w:val="0"/>
      <w:szCs w:val="28"/>
      <w:lang w:eastAsia="en-US"/>
    </w:rPr>
  </w:style>
  <w:style w:type="paragraph" w:customStyle="1" w:styleId="PBACESHeadingCAPS">
    <w:name w:val="PBAC ES Heading CAPS"/>
    <w:basedOn w:val="PBACESHeading2"/>
    <w:uiPriority w:val="1"/>
    <w:qFormat/>
    <w:rsid w:val="0090099A"/>
    <w:rPr>
      <w:i w:val="0"/>
      <w:smallCaps/>
      <w:sz w:val="32"/>
    </w:rPr>
  </w:style>
  <w:style w:type="paragraph" w:customStyle="1" w:styleId="PBACESHeading3">
    <w:name w:val="PBAC ES Heading 3"/>
    <w:basedOn w:val="PBACESHeading2"/>
    <w:uiPriority w:val="1"/>
    <w:qFormat/>
    <w:rsid w:val="0090099A"/>
    <w:pPr>
      <w:ind w:left="1080" w:hanging="1080"/>
    </w:pPr>
    <w:rPr>
      <w:i w:val="0"/>
      <w:sz w:val="24"/>
    </w:rPr>
  </w:style>
  <w:style w:type="paragraph" w:customStyle="1" w:styleId="MSACHeading1">
    <w:name w:val="MSAC Heading 1"/>
    <w:basedOn w:val="Heading1"/>
    <w:next w:val="Normal"/>
    <w:uiPriority w:val="1"/>
    <w:qFormat/>
    <w:rsid w:val="0090099A"/>
    <w:pPr>
      <w:keepNext/>
      <w:keepLines/>
      <w:spacing w:before="160" w:after="240" w:line="259" w:lineRule="auto"/>
      <w:jc w:val="left"/>
    </w:pPr>
    <w:rPr>
      <w:rFonts w:ascii="Arial" w:eastAsiaTheme="majorEastAsia" w:hAnsi="Arial" w:cstheme="majorBidi"/>
      <w:caps w:val="0"/>
      <w:sz w:val="24"/>
      <w:szCs w:val="28"/>
      <w:lang w:eastAsia="en-US"/>
    </w:rPr>
  </w:style>
  <w:style w:type="paragraph" w:customStyle="1" w:styleId="MSACESHeading2">
    <w:name w:val="MSAC ES Heading 2"/>
    <w:basedOn w:val="Heading2"/>
    <w:next w:val="Normal"/>
    <w:uiPriority w:val="1"/>
    <w:qFormat/>
    <w:rsid w:val="0090099A"/>
    <w:pPr>
      <w:keepNext/>
      <w:keepLines/>
      <w:spacing w:before="360" w:after="120"/>
      <w:ind w:left="720" w:hanging="720"/>
      <w:jc w:val="left"/>
    </w:pPr>
    <w:rPr>
      <w:rFonts w:ascii="Cambria" w:eastAsiaTheme="majorEastAsia" w:hAnsi="Cambria" w:cstheme="majorBidi"/>
      <w:i w:val="0"/>
      <w:snapToGrid w:val="0"/>
      <w:sz w:val="24"/>
      <w:szCs w:val="28"/>
      <w:lang w:eastAsia="en-US"/>
    </w:rPr>
  </w:style>
  <w:style w:type="paragraph" w:styleId="NormalWeb">
    <w:name w:val="Normal (Web)"/>
    <w:basedOn w:val="Normal"/>
    <w:uiPriority w:val="99"/>
    <w:semiHidden/>
    <w:unhideWhenUsed/>
    <w:rsid w:val="00EA178B"/>
    <w:pPr>
      <w:spacing w:before="100" w:beforeAutospacing="1" w:after="100" w:afterAutospacing="1"/>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8434">
      <w:bodyDiv w:val="1"/>
      <w:marLeft w:val="0"/>
      <w:marRight w:val="0"/>
      <w:marTop w:val="0"/>
      <w:marBottom w:val="0"/>
      <w:divBdr>
        <w:top w:val="none" w:sz="0" w:space="0" w:color="auto"/>
        <w:left w:val="none" w:sz="0" w:space="0" w:color="auto"/>
        <w:bottom w:val="none" w:sz="0" w:space="0" w:color="auto"/>
        <w:right w:val="none" w:sz="0" w:space="0" w:color="auto"/>
      </w:divBdr>
    </w:div>
    <w:div w:id="93206538">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65307980">
      <w:bodyDiv w:val="1"/>
      <w:marLeft w:val="0"/>
      <w:marRight w:val="0"/>
      <w:marTop w:val="0"/>
      <w:marBottom w:val="0"/>
      <w:divBdr>
        <w:top w:val="none" w:sz="0" w:space="0" w:color="auto"/>
        <w:left w:val="none" w:sz="0" w:space="0" w:color="auto"/>
        <w:bottom w:val="none" w:sz="0" w:space="0" w:color="auto"/>
        <w:right w:val="none" w:sz="0" w:space="0" w:color="auto"/>
      </w:divBdr>
    </w:div>
    <w:div w:id="288244552">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8946552">
      <w:bodyDiv w:val="1"/>
      <w:marLeft w:val="0"/>
      <w:marRight w:val="0"/>
      <w:marTop w:val="0"/>
      <w:marBottom w:val="0"/>
      <w:divBdr>
        <w:top w:val="none" w:sz="0" w:space="0" w:color="auto"/>
        <w:left w:val="none" w:sz="0" w:space="0" w:color="auto"/>
        <w:bottom w:val="none" w:sz="0" w:space="0" w:color="auto"/>
        <w:right w:val="none" w:sz="0" w:space="0" w:color="auto"/>
      </w:divBdr>
      <w:divsChild>
        <w:div w:id="740174204">
          <w:marLeft w:val="547"/>
          <w:marRight w:val="0"/>
          <w:marTop w:val="0"/>
          <w:marBottom w:val="0"/>
          <w:divBdr>
            <w:top w:val="none" w:sz="0" w:space="0" w:color="auto"/>
            <w:left w:val="none" w:sz="0" w:space="0" w:color="auto"/>
            <w:bottom w:val="none" w:sz="0" w:space="0" w:color="auto"/>
            <w:right w:val="none" w:sz="0" w:space="0" w:color="auto"/>
          </w:divBdr>
        </w:div>
      </w:divsChild>
    </w:div>
    <w:div w:id="396168988">
      <w:bodyDiv w:val="1"/>
      <w:marLeft w:val="0"/>
      <w:marRight w:val="0"/>
      <w:marTop w:val="0"/>
      <w:marBottom w:val="0"/>
      <w:divBdr>
        <w:top w:val="none" w:sz="0" w:space="0" w:color="auto"/>
        <w:left w:val="none" w:sz="0" w:space="0" w:color="auto"/>
        <w:bottom w:val="none" w:sz="0" w:space="0" w:color="auto"/>
        <w:right w:val="none" w:sz="0" w:space="0" w:color="auto"/>
      </w:divBdr>
    </w:div>
    <w:div w:id="422067705">
      <w:bodyDiv w:val="1"/>
      <w:marLeft w:val="0"/>
      <w:marRight w:val="0"/>
      <w:marTop w:val="0"/>
      <w:marBottom w:val="0"/>
      <w:divBdr>
        <w:top w:val="none" w:sz="0" w:space="0" w:color="auto"/>
        <w:left w:val="none" w:sz="0" w:space="0" w:color="auto"/>
        <w:bottom w:val="none" w:sz="0" w:space="0" w:color="auto"/>
        <w:right w:val="none" w:sz="0" w:space="0" w:color="auto"/>
      </w:divBdr>
    </w:div>
    <w:div w:id="490174465">
      <w:bodyDiv w:val="1"/>
      <w:marLeft w:val="0"/>
      <w:marRight w:val="0"/>
      <w:marTop w:val="0"/>
      <w:marBottom w:val="0"/>
      <w:divBdr>
        <w:top w:val="none" w:sz="0" w:space="0" w:color="auto"/>
        <w:left w:val="none" w:sz="0" w:space="0" w:color="auto"/>
        <w:bottom w:val="none" w:sz="0" w:space="0" w:color="auto"/>
        <w:right w:val="none" w:sz="0" w:space="0" w:color="auto"/>
      </w:divBdr>
    </w:div>
    <w:div w:id="523830854">
      <w:bodyDiv w:val="1"/>
      <w:marLeft w:val="0"/>
      <w:marRight w:val="0"/>
      <w:marTop w:val="0"/>
      <w:marBottom w:val="0"/>
      <w:divBdr>
        <w:top w:val="none" w:sz="0" w:space="0" w:color="auto"/>
        <w:left w:val="none" w:sz="0" w:space="0" w:color="auto"/>
        <w:bottom w:val="none" w:sz="0" w:space="0" w:color="auto"/>
        <w:right w:val="none" w:sz="0" w:space="0" w:color="auto"/>
      </w:divBdr>
    </w:div>
    <w:div w:id="528641963">
      <w:bodyDiv w:val="1"/>
      <w:marLeft w:val="0"/>
      <w:marRight w:val="0"/>
      <w:marTop w:val="0"/>
      <w:marBottom w:val="0"/>
      <w:divBdr>
        <w:top w:val="none" w:sz="0" w:space="0" w:color="auto"/>
        <w:left w:val="none" w:sz="0" w:space="0" w:color="auto"/>
        <w:bottom w:val="none" w:sz="0" w:space="0" w:color="auto"/>
        <w:right w:val="none" w:sz="0" w:space="0" w:color="auto"/>
      </w:divBdr>
    </w:div>
    <w:div w:id="806968074">
      <w:bodyDiv w:val="1"/>
      <w:marLeft w:val="0"/>
      <w:marRight w:val="0"/>
      <w:marTop w:val="0"/>
      <w:marBottom w:val="0"/>
      <w:divBdr>
        <w:top w:val="none" w:sz="0" w:space="0" w:color="auto"/>
        <w:left w:val="none" w:sz="0" w:space="0" w:color="auto"/>
        <w:bottom w:val="none" w:sz="0" w:space="0" w:color="auto"/>
        <w:right w:val="none" w:sz="0" w:space="0" w:color="auto"/>
      </w:divBdr>
    </w:div>
    <w:div w:id="922379022">
      <w:bodyDiv w:val="1"/>
      <w:marLeft w:val="0"/>
      <w:marRight w:val="0"/>
      <w:marTop w:val="0"/>
      <w:marBottom w:val="0"/>
      <w:divBdr>
        <w:top w:val="none" w:sz="0" w:space="0" w:color="auto"/>
        <w:left w:val="none" w:sz="0" w:space="0" w:color="auto"/>
        <w:bottom w:val="none" w:sz="0" w:space="0" w:color="auto"/>
        <w:right w:val="none" w:sz="0" w:space="0" w:color="auto"/>
      </w:divBdr>
    </w:div>
    <w:div w:id="936641786">
      <w:bodyDiv w:val="1"/>
      <w:marLeft w:val="0"/>
      <w:marRight w:val="0"/>
      <w:marTop w:val="0"/>
      <w:marBottom w:val="0"/>
      <w:divBdr>
        <w:top w:val="none" w:sz="0" w:space="0" w:color="auto"/>
        <w:left w:val="none" w:sz="0" w:space="0" w:color="auto"/>
        <w:bottom w:val="none" w:sz="0" w:space="0" w:color="auto"/>
        <w:right w:val="none" w:sz="0" w:space="0" w:color="auto"/>
      </w:divBdr>
    </w:div>
    <w:div w:id="978459874">
      <w:bodyDiv w:val="1"/>
      <w:marLeft w:val="0"/>
      <w:marRight w:val="0"/>
      <w:marTop w:val="0"/>
      <w:marBottom w:val="0"/>
      <w:divBdr>
        <w:top w:val="none" w:sz="0" w:space="0" w:color="auto"/>
        <w:left w:val="none" w:sz="0" w:space="0" w:color="auto"/>
        <w:bottom w:val="none" w:sz="0" w:space="0" w:color="auto"/>
        <w:right w:val="none" w:sz="0" w:space="0" w:color="auto"/>
      </w:divBdr>
    </w:div>
    <w:div w:id="1001080396">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88100">
      <w:bodyDiv w:val="1"/>
      <w:marLeft w:val="0"/>
      <w:marRight w:val="0"/>
      <w:marTop w:val="0"/>
      <w:marBottom w:val="0"/>
      <w:divBdr>
        <w:top w:val="none" w:sz="0" w:space="0" w:color="auto"/>
        <w:left w:val="none" w:sz="0" w:space="0" w:color="auto"/>
        <w:bottom w:val="none" w:sz="0" w:space="0" w:color="auto"/>
        <w:right w:val="none" w:sz="0" w:space="0" w:color="auto"/>
      </w:divBdr>
    </w:div>
    <w:div w:id="1294336151">
      <w:bodyDiv w:val="1"/>
      <w:marLeft w:val="0"/>
      <w:marRight w:val="0"/>
      <w:marTop w:val="0"/>
      <w:marBottom w:val="0"/>
      <w:divBdr>
        <w:top w:val="none" w:sz="0" w:space="0" w:color="auto"/>
        <w:left w:val="none" w:sz="0" w:space="0" w:color="auto"/>
        <w:bottom w:val="none" w:sz="0" w:space="0" w:color="auto"/>
        <w:right w:val="none" w:sz="0" w:space="0" w:color="auto"/>
      </w:divBdr>
    </w:div>
    <w:div w:id="1479766963">
      <w:bodyDiv w:val="1"/>
      <w:marLeft w:val="0"/>
      <w:marRight w:val="0"/>
      <w:marTop w:val="0"/>
      <w:marBottom w:val="0"/>
      <w:divBdr>
        <w:top w:val="none" w:sz="0" w:space="0" w:color="auto"/>
        <w:left w:val="none" w:sz="0" w:space="0" w:color="auto"/>
        <w:bottom w:val="none" w:sz="0" w:space="0" w:color="auto"/>
        <w:right w:val="none" w:sz="0" w:space="0" w:color="auto"/>
      </w:divBdr>
    </w:div>
    <w:div w:id="1583366316">
      <w:bodyDiv w:val="1"/>
      <w:marLeft w:val="0"/>
      <w:marRight w:val="0"/>
      <w:marTop w:val="0"/>
      <w:marBottom w:val="0"/>
      <w:divBdr>
        <w:top w:val="none" w:sz="0" w:space="0" w:color="auto"/>
        <w:left w:val="none" w:sz="0" w:space="0" w:color="auto"/>
        <w:bottom w:val="none" w:sz="0" w:space="0" w:color="auto"/>
        <w:right w:val="none" w:sz="0" w:space="0" w:color="auto"/>
      </w:divBdr>
      <w:divsChild>
        <w:div w:id="1351957253">
          <w:marLeft w:val="360"/>
          <w:marRight w:val="0"/>
          <w:marTop w:val="200"/>
          <w:marBottom w:val="0"/>
          <w:divBdr>
            <w:top w:val="none" w:sz="0" w:space="0" w:color="auto"/>
            <w:left w:val="none" w:sz="0" w:space="0" w:color="auto"/>
            <w:bottom w:val="none" w:sz="0" w:space="0" w:color="auto"/>
            <w:right w:val="none" w:sz="0" w:space="0" w:color="auto"/>
          </w:divBdr>
        </w:div>
        <w:div w:id="250629301">
          <w:marLeft w:val="1080"/>
          <w:marRight w:val="0"/>
          <w:marTop w:val="100"/>
          <w:marBottom w:val="0"/>
          <w:divBdr>
            <w:top w:val="none" w:sz="0" w:space="0" w:color="auto"/>
            <w:left w:val="none" w:sz="0" w:space="0" w:color="auto"/>
            <w:bottom w:val="none" w:sz="0" w:space="0" w:color="auto"/>
            <w:right w:val="none" w:sz="0" w:space="0" w:color="auto"/>
          </w:divBdr>
        </w:div>
        <w:div w:id="1829665740">
          <w:marLeft w:val="1080"/>
          <w:marRight w:val="0"/>
          <w:marTop w:val="100"/>
          <w:marBottom w:val="0"/>
          <w:divBdr>
            <w:top w:val="none" w:sz="0" w:space="0" w:color="auto"/>
            <w:left w:val="none" w:sz="0" w:space="0" w:color="auto"/>
            <w:bottom w:val="none" w:sz="0" w:space="0" w:color="auto"/>
            <w:right w:val="none" w:sz="0" w:space="0" w:color="auto"/>
          </w:divBdr>
        </w:div>
      </w:divsChild>
    </w:div>
    <w:div w:id="1598246513">
      <w:bodyDiv w:val="1"/>
      <w:marLeft w:val="0"/>
      <w:marRight w:val="0"/>
      <w:marTop w:val="0"/>
      <w:marBottom w:val="0"/>
      <w:divBdr>
        <w:top w:val="none" w:sz="0" w:space="0" w:color="auto"/>
        <w:left w:val="none" w:sz="0" w:space="0" w:color="auto"/>
        <w:bottom w:val="none" w:sz="0" w:space="0" w:color="auto"/>
        <w:right w:val="none" w:sz="0" w:space="0" w:color="auto"/>
      </w:divBdr>
      <w:divsChild>
        <w:div w:id="302734842">
          <w:marLeft w:val="360"/>
          <w:marRight w:val="0"/>
          <w:marTop w:val="200"/>
          <w:marBottom w:val="0"/>
          <w:divBdr>
            <w:top w:val="none" w:sz="0" w:space="0" w:color="auto"/>
            <w:left w:val="none" w:sz="0" w:space="0" w:color="auto"/>
            <w:bottom w:val="none" w:sz="0" w:space="0" w:color="auto"/>
            <w:right w:val="none" w:sz="0" w:space="0" w:color="auto"/>
          </w:divBdr>
        </w:div>
      </w:divsChild>
    </w:div>
    <w:div w:id="1888108150">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are.diabetesjournals.org/content/41/12/26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BC451-76D7-45D0-9963-FE3CAF859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10703</Words>
  <Characters>60956</Characters>
  <Application>Microsoft Office Word</Application>
  <DocSecurity>0</DocSecurity>
  <Lines>507</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2021-06-30T05:59:00Z</dcterms:created>
  <dcterms:modified xsi:type="dcterms:W3CDTF">2021-06-30T05:59:00Z</dcterms:modified>
</cp:coreProperties>
</file>