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4A6040" w:rsidRDefault="00126048" w:rsidP="004A6040">
      <w:pPr>
        <w:pStyle w:val="1-MainHeading"/>
      </w:pPr>
      <w:bookmarkStart w:id="0" w:name="_Toc62027393"/>
      <w:r>
        <w:t>6.09</w:t>
      </w:r>
      <w:r w:rsidR="00163F66">
        <w:tab/>
      </w:r>
      <w:r w:rsidR="00E72E84">
        <w:t>PEMBROLIZUMAB</w:t>
      </w:r>
      <w:r w:rsidR="00163F66">
        <w:t>,</w:t>
      </w:r>
      <w:r w:rsidR="00163F66">
        <w:br/>
      </w:r>
      <w:r w:rsidR="00E72E84">
        <w:t>Solution concentration for I.V. infusion</w:t>
      </w:r>
      <w:r w:rsidR="00163F66">
        <w:t>,</w:t>
      </w:r>
      <w:r w:rsidR="00163F66">
        <w:br/>
      </w:r>
      <w:r w:rsidR="00E72E84">
        <w:t>100 mg in 4 mL</w:t>
      </w:r>
      <w:r w:rsidR="00163F66">
        <w:t>,</w:t>
      </w:r>
      <w:r w:rsidR="00163F66">
        <w:br/>
      </w:r>
      <w:r w:rsidR="00E72E84">
        <w:t>Keytrud</w:t>
      </w:r>
      <w:r w:rsidR="00BB4046">
        <w:t>a</w:t>
      </w:r>
      <w:r w:rsidR="00E72E84">
        <w:t>®</w:t>
      </w:r>
      <w:r w:rsidR="004A6040" w:rsidRPr="004A6040">
        <w:t>,</w:t>
      </w:r>
      <w:r w:rsidR="004A6040" w:rsidRPr="004A6040">
        <w:br/>
      </w:r>
      <w:r w:rsidR="00E72E84">
        <w:t>Merck Sharp &amp; Dohme (Australia) Pty Ltd</w:t>
      </w:r>
      <w:bookmarkEnd w:id="0"/>
    </w:p>
    <w:p w:rsidR="00B50DB8" w:rsidRPr="00407F2D" w:rsidRDefault="00B50DB8" w:rsidP="004A6040">
      <w:pPr>
        <w:pStyle w:val="2-SectionHeading"/>
      </w:pPr>
      <w:bookmarkStart w:id="1" w:name="_Toc62027395"/>
      <w:r w:rsidRPr="00407F2D">
        <w:t xml:space="preserve">Purpose of </w:t>
      </w:r>
      <w:r w:rsidR="00CD7193">
        <w:t>s</w:t>
      </w:r>
      <w:r w:rsidR="00BB3A45">
        <w:t>ubmission</w:t>
      </w:r>
      <w:bookmarkEnd w:id="1"/>
    </w:p>
    <w:p w:rsidR="002C2775" w:rsidRPr="008B25A7" w:rsidRDefault="007170DA" w:rsidP="004E18E9">
      <w:pPr>
        <w:pStyle w:val="3-BodyText"/>
      </w:pPr>
      <w:r>
        <w:t xml:space="preserve">The submission </w:t>
      </w:r>
      <w:r w:rsidRPr="004E18E9">
        <w:t xml:space="preserve">requested </w:t>
      </w:r>
      <w:r w:rsidR="008B1757" w:rsidRPr="004E18E9">
        <w:t>Section 100</w:t>
      </w:r>
      <w:r w:rsidR="0011507D">
        <w:t xml:space="preserve"> (Efficient Funding of Chemotherapy),</w:t>
      </w:r>
      <w:r w:rsidR="008B1757" w:rsidRPr="004E18E9">
        <w:t xml:space="preserve"> Authority Required listing for </w:t>
      </w:r>
      <w:r w:rsidR="008B25A7">
        <w:t xml:space="preserve">pembrolizumab </w:t>
      </w:r>
      <w:r w:rsidR="008B1757" w:rsidRPr="004E18E9">
        <w:t xml:space="preserve">for </w:t>
      </w:r>
      <w:r w:rsidR="0050174E" w:rsidRPr="004E18E9">
        <w:t xml:space="preserve">the </w:t>
      </w:r>
      <w:r w:rsidR="008B25A7">
        <w:t xml:space="preserve">first line treatment of mismatch repair deficient </w:t>
      </w:r>
      <w:r w:rsidR="006E6922">
        <w:t xml:space="preserve">(dMMR) </w:t>
      </w:r>
      <w:r w:rsidR="008B25A7">
        <w:t>metastatic (Stage IV) colorectal cancer (</w:t>
      </w:r>
      <w:r w:rsidR="008B25A7" w:rsidRPr="008B25A7">
        <w:t>m</w:t>
      </w:r>
      <w:r w:rsidR="008B25A7">
        <w:t>CRC</w:t>
      </w:r>
      <w:r w:rsidR="008B25A7" w:rsidRPr="008B25A7">
        <w:t>).</w:t>
      </w:r>
    </w:p>
    <w:p w:rsidR="00C2778B" w:rsidRPr="008B25A7" w:rsidRDefault="008B25A7" w:rsidP="004E18E9">
      <w:pPr>
        <w:pStyle w:val="3-BodyText"/>
      </w:pPr>
      <w:r>
        <w:t>L</w:t>
      </w:r>
      <w:r w:rsidRPr="008B25A7">
        <w:t>isting was requested on the basis of a cost-effectiveness analysis versus standard of care (</w:t>
      </w:r>
      <w:r>
        <w:t>SoC</w:t>
      </w:r>
      <w:r w:rsidRPr="008B25A7">
        <w:t>).</w:t>
      </w:r>
    </w:p>
    <w:p w:rsidR="008B1757" w:rsidRPr="008B25A7" w:rsidRDefault="008B25A7" w:rsidP="008B25A7">
      <w:pPr>
        <w:pStyle w:val="TableFigureHeading"/>
        <w:rPr>
          <w:rStyle w:val="CommentReference"/>
          <w:b/>
          <w:szCs w:val="24"/>
        </w:rPr>
      </w:pPr>
      <w:r>
        <w:t>T</w:t>
      </w:r>
      <w:r w:rsidRPr="008B25A7">
        <w:t xml:space="preserve">able </w:t>
      </w:r>
      <w:r w:rsidR="009A4847">
        <w:rPr>
          <w:noProof/>
        </w:rPr>
        <w:t>1</w:t>
      </w:r>
      <w:r w:rsidRPr="008B25A7">
        <w:t xml:space="preserve">: </w:t>
      </w:r>
      <w:r w:rsidR="00725A70">
        <w:rPr>
          <w:rStyle w:val="CommentReference"/>
          <w:b/>
          <w:szCs w:val="24"/>
        </w:rPr>
        <w:t>K</w:t>
      </w:r>
      <w:r w:rsidRPr="008B25A7">
        <w:rPr>
          <w:rStyle w:val="CommentReference"/>
          <w:b/>
          <w:szCs w:val="24"/>
        </w:rPr>
        <w:t xml:space="preserve">ey components of the clinical issue addressed by the submission (as </w:t>
      </w:r>
      <w:r w:rsidR="006E6922">
        <w:rPr>
          <w:rStyle w:val="CommentReference"/>
          <w:b/>
          <w:szCs w:val="24"/>
        </w:rPr>
        <w:t>stated</w:t>
      </w:r>
      <w:r w:rsidRPr="008B25A7">
        <w:rPr>
          <w:rStyle w:val="CommentReference"/>
          <w:b/>
          <w:szCs w:val="24"/>
        </w:rPr>
        <w:t xml:space="preserve">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8B25A7" w:rsidRPr="008B25A7" w:rsidTr="00015096">
        <w:tc>
          <w:tcPr>
            <w:tcW w:w="1668" w:type="dxa"/>
            <w:vAlign w:val="center"/>
          </w:tcPr>
          <w:p w:rsidR="008B25A7" w:rsidRPr="008B25A7" w:rsidRDefault="00400F01" w:rsidP="00015096">
            <w:pPr>
              <w:pStyle w:val="In-tableHeading"/>
            </w:pPr>
            <w:r>
              <w:t>Co</w:t>
            </w:r>
            <w:r w:rsidR="008B25A7" w:rsidRPr="008B25A7">
              <w:t>mponent</w:t>
            </w:r>
          </w:p>
        </w:tc>
        <w:tc>
          <w:tcPr>
            <w:tcW w:w="7488" w:type="dxa"/>
            <w:vAlign w:val="center"/>
          </w:tcPr>
          <w:p w:rsidR="008B25A7" w:rsidRPr="008B25A7" w:rsidRDefault="00725A70" w:rsidP="00015096">
            <w:pPr>
              <w:pStyle w:val="In-tableHeading"/>
            </w:pPr>
            <w:r>
              <w:t>D</w:t>
            </w:r>
            <w:r w:rsidR="008B25A7" w:rsidRPr="008B25A7">
              <w:t>escription</w:t>
            </w:r>
          </w:p>
        </w:tc>
      </w:tr>
      <w:tr w:rsidR="008B25A7" w:rsidRPr="008B25A7" w:rsidTr="00015096">
        <w:tc>
          <w:tcPr>
            <w:tcW w:w="1668" w:type="dxa"/>
            <w:vAlign w:val="center"/>
          </w:tcPr>
          <w:p w:rsidR="008B25A7" w:rsidRPr="008B25A7" w:rsidRDefault="00725A70" w:rsidP="00015096">
            <w:pPr>
              <w:pStyle w:val="TableText0"/>
            </w:pPr>
            <w:r>
              <w:t>P</w:t>
            </w:r>
            <w:r w:rsidR="008B25A7" w:rsidRPr="008B25A7">
              <w:t>opulation</w:t>
            </w:r>
          </w:p>
        </w:tc>
        <w:tc>
          <w:tcPr>
            <w:tcW w:w="7488" w:type="dxa"/>
            <w:vAlign w:val="center"/>
          </w:tcPr>
          <w:p w:rsidR="008B25A7" w:rsidRPr="008B25A7" w:rsidRDefault="008B25A7" w:rsidP="0097449C">
            <w:pPr>
              <w:pStyle w:val="TableText0"/>
            </w:pPr>
            <w:r>
              <w:t>P</w:t>
            </w:r>
            <w:r w:rsidRPr="008B25A7">
              <w:t xml:space="preserve">atients with </w:t>
            </w:r>
            <w:r w:rsidR="0097449C">
              <w:t>S</w:t>
            </w:r>
            <w:r w:rsidRPr="008B25A7">
              <w:t>tage</w:t>
            </w:r>
            <w:r w:rsidR="0097449C" w:rsidRPr="008B25A7">
              <w:t xml:space="preserve"> IV </w:t>
            </w:r>
            <w:r w:rsidRPr="008B25A7">
              <w:t xml:space="preserve">(metastatic) colorectal cancer, with mismatch repair deficient </w:t>
            </w:r>
            <w:r w:rsidR="007D4DCE">
              <w:t>(</w:t>
            </w:r>
            <w:r w:rsidR="0097449C">
              <w:t>dMMR</w:t>
            </w:r>
            <w:r w:rsidRPr="008B25A7">
              <w:t xml:space="preserve">) tumours who have not previously received systemic therapy for metastatic </w:t>
            </w:r>
            <w:r w:rsidR="0097449C">
              <w:t>colorectal cancer</w:t>
            </w:r>
          </w:p>
        </w:tc>
      </w:tr>
      <w:tr w:rsidR="008B25A7" w:rsidRPr="008B25A7" w:rsidTr="00015096">
        <w:tc>
          <w:tcPr>
            <w:tcW w:w="1668" w:type="dxa"/>
            <w:vAlign w:val="center"/>
          </w:tcPr>
          <w:p w:rsidR="008B25A7" w:rsidRPr="008B25A7" w:rsidRDefault="00725A70" w:rsidP="00015096">
            <w:pPr>
              <w:pStyle w:val="TableText0"/>
            </w:pPr>
            <w:r>
              <w:t>I</w:t>
            </w:r>
            <w:r w:rsidR="008B25A7" w:rsidRPr="008B25A7">
              <w:t>ntervention</w:t>
            </w:r>
          </w:p>
        </w:tc>
        <w:tc>
          <w:tcPr>
            <w:tcW w:w="7488" w:type="dxa"/>
            <w:vAlign w:val="center"/>
          </w:tcPr>
          <w:p w:rsidR="008B25A7" w:rsidRPr="008B25A7" w:rsidRDefault="003A4530" w:rsidP="00015096">
            <w:pPr>
              <w:pStyle w:val="TableText0"/>
            </w:pPr>
            <w:r>
              <w:t>P</w:t>
            </w:r>
            <w:r w:rsidR="008B25A7" w:rsidRPr="008B25A7">
              <w:t xml:space="preserve">embrolizumab 200 mg </w:t>
            </w:r>
            <w:r w:rsidR="0097449C" w:rsidRPr="008B25A7">
              <w:t>Q3W</w:t>
            </w:r>
            <w:r w:rsidR="008B25A7" w:rsidRPr="008B25A7">
              <w:t xml:space="preserve"> for up to 35 cycles</w:t>
            </w:r>
          </w:p>
        </w:tc>
      </w:tr>
      <w:tr w:rsidR="008B25A7" w:rsidRPr="008B25A7" w:rsidTr="00015096">
        <w:tc>
          <w:tcPr>
            <w:tcW w:w="1668" w:type="dxa"/>
            <w:vAlign w:val="center"/>
          </w:tcPr>
          <w:p w:rsidR="008B25A7" w:rsidRPr="008B25A7" w:rsidRDefault="00725A70" w:rsidP="00015096">
            <w:pPr>
              <w:pStyle w:val="TableText0"/>
            </w:pPr>
            <w:r>
              <w:t>C</w:t>
            </w:r>
            <w:r w:rsidR="008B25A7" w:rsidRPr="008B25A7">
              <w:t>omparator</w:t>
            </w:r>
          </w:p>
        </w:tc>
        <w:tc>
          <w:tcPr>
            <w:tcW w:w="7488" w:type="dxa"/>
            <w:vAlign w:val="center"/>
          </w:tcPr>
          <w:p w:rsidR="008B25A7" w:rsidRPr="008B25A7" w:rsidRDefault="008B25A7" w:rsidP="00015096">
            <w:pPr>
              <w:pStyle w:val="TableText0"/>
            </w:pPr>
            <w:r>
              <w:t>S</w:t>
            </w:r>
            <w:r w:rsidRPr="008B25A7">
              <w:t>tandard of care (</w:t>
            </w:r>
            <w:r w:rsidR="0097449C">
              <w:t>SoC</w:t>
            </w:r>
            <w:r w:rsidRPr="008B25A7">
              <w:t xml:space="preserve">). </w:t>
            </w:r>
            <w:r w:rsidR="003A4530">
              <w:t>V</w:t>
            </w:r>
            <w:r w:rsidRPr="008B25A7">
              <w:t xml:space="preserve">arious regimens </w:t>
            </w:r>
            <w:r w:rsidR="007D4DCE">
              <w:t xml:space="preserve">that </w:t>
            </w:r>
            <w:r w:rsidRPr="008B25A7">
              <w:t xml:space="preserve">are complex but the following were identified as representative of all comparators: </w:t>
            </w:r>
          </w:p>
          <w:p w:rsidR="008B25A7" w:rsidRPr="008B25A7" w:rsidRDefault="0097449C" w:rsidP="00015096">
            <w:pPr>
              <w:pStyle w:val="TableText0"/>
            </w:pPr>
            <w:r w:rsidRPr="008B25A7">
              <w:t>FOLFOX</w:t>
            </w:r>
            <w:r w:rsidR="008B25A7" w:rsidRPr="008B25A7">
              <w:t xml:space="preserve"> (represents other chemotherapy regimens including </w:t>
            </w:r>
            <w:r w:rsidRPr="008B25A7">
              <w:t>FOLFIRI</w:t>
            </w:r>
            <w:r w:rsidR="008B25A7" w:rsidRPr="008B25A7">
              <w:t xml:space="preserve"> and </w:t>
            </w:r>
            <w:r w:rsidRPr="008B25A7">
              <w:t>XELOX</w:t>
            </w:r>
            <w:r w:rsidR="008B25A7" w:rsidRPr="008B25A7">
              <w:t xml:space="preserve">); </w:t>
            </w:r>
          </w:p>
          <w:p w:rsidR="008B25A7" w:rsidRPr="008B25A7" w:rsidRDefault="008B25A7" w:rsidP="00015096">
            <w:pPr>
              <w:pStyle w:val="TableText0"/>
            </w:pPr>
            <w:r w:rsidRPr="008B25A7">
              <w:t xml:space="preserve">cetuximab + </w:t>
            </w:r>
            <w:r w:rsidR="0097449C" w:rsidRPr="008B25A7">
              <w:t>FOLFOX</w:t>
            </w:r>
            <w:r w:rsidRPr="008B25A7">
              <w:t xml:space="preserve"> (representing </w:t>
            </w:r>
            <w:r w:rsidR="0097449C" w:rsidRPr="008B25A7">
              <w:t>EGFR</w:t>
            </w:r>
            <w:r w:rsidRPr="008B25A7">
              <w:t xml:space="preserve"> antibodies + chemotherapy)</w:t>
            </w:r>
          </w:p>
          <w:p w:rsidR="008B25A7" w:rsidRPr="008B25A7" w:rsidRDefault="008B25A7" w:rsidP="00015096">
            <w:pPr>
              <w:pStyle w:val="TableText0"/>
            </w:pPr>
            <w:r w:rsidRPr="008B25A7">
              <w:t xml:space="preserve">bevacizumab + </w:t>
            </w:r>
            <w:r w:rsidR="0097449C" w:rsidRPr="008B25A7">
              <w:t>FOLFOX</w:t>
            </w:r>
            <w:r w:rsidRPr="008B25A7">
              <w:t xml:space="preserve"> (representing bevacizumab + chemotherapy)</w:t>
            </w:r>
          </w:p>
        </w:tc>
      </w:tr>
      <w:tr w:rsidR="008B25A7" w:rsidTr="00015096">
        <w:tc>
          <w:tcPr>
            <w:tcW w:w="1668" w:type="dxa"/>
            <w:vAlign w:val="center"/>
          </w:tcPr>
          <w:p w:rsidR="008B25A7" w:rsidRDefault="008B25A7" w:rsidP="00015096">
            <w:pPr>
              <w:pStyle w:val="TableText0"/>
            </w:pPr>
            <w:r>
              <w:t>Outcomes</w:t>
            </w:r>
          </w:p>
        </w:tc>
        <w:tc>
          <w:tcPr>
            <w:tcW w:w="7488" w:type="dxa"/>
            <w:vAlign w:val="center"/>
          </w:tcPr>
          <w:p w:rsidR="008B25A7" w:rsidRDefault="008B25A7" w:rsidP="00015096">
            <w:pPr>
              <w:pStyle w:val="TableText0"/>
            </w:pPr>
            <w:r w:rsidRPr="000B55DF">
              <w:t>Objective response rate (ORR), Progression Free Survival and Overall Survival.</w:t>
            </w:r>
          </w:p>
        </w:tc>
      </w:tr>
      <w:tr w:rsidR="008B25A7" w:rsidTr="00015096">
        <w:tc>
          <w:tcPr>
            <w:tcW w:w="1668" w:type="dxa"/>
            <w:vAlign w:val="center"/>
          </w:tcPr>
          <w:p w:rsidR="008B25A7" w:rsidRDefault="008B25A7" w:rsidP="00015096">
            <w:pPr>
              <w:pStyle w:val="TableText0"/>
            </w:pPr>
            <w:r>
              <w:t>Clinical claim</w:t>
            </w:r>
          </w:p>
        </w:tc>
        <w:tc>
          <w:tcPr>
            <w:tcW w:w="7488" w:type="dxa"/>
            <w:vAlign w:val="center"/>
          </w:tcPr>
          <w:p w:rsidR="008B25A7" w:rsidRDefault="008B25A7" w:rsidP="00015096">
            <w:pPr>
              <w:pStyle w:val="TableText0"/>
            </w:pPr>
            <w:r w:rsidRPr="000B55DF">
              <w:t>In patients with Stage IV (metastatic) mismatch repair deficient (dMMR) colorectal cancer pembrolizumab is more effective than standard chemotherapy, cetuximab + chemotherapy or bevacizumab + chemotherapy at improving survival, progression free survival, safety and quality of life</w:t>
            </w:r>
          </w:p>
        </w:tc>
      </w:tr>
    </w:tbl>
    <w:p w:rsidR="008B25A7" w:rsidRDefault="008B25A7" w:rsidP="008B25A7">
      <w:pPr>
        <w:pStyle w:val="TableFigureFooter"/>
      </w:pPr>
      <w:r>
        <w:t>Source: Table 1.1.1, p5 of the submission.</w:t>
      </w:r>
    </w:p>
    <w:p w:rsidR="004E43B2" w:rsidRPr="004A6040" w:rsidRDefault="008B25A7" w:rsidP="008B25A7">
      <w:pPr>
        <w:pStyle w:val="TableFigureFooter"/>
        <w:rPr>
          <w:sz w:val="20"/>
        </w:rPr>
      </w:pPr>
      <w:r>
        <w:t>FOLFOX = f</w:t>
      </w:r>
      <w:r w:rsidRPr="000B55DF">
        <w:t xml:space="preserve">olinic acid (leucovorin) "FOL", Fluorouracil (5-FU) "F", </w:t>
      </w:r>
      <w:r>
        <w:t xml:space="preserve">and Oxaliplatin (Eloxatin) "OX"; FOLFIRI = </w:t>
      </w:r>
      <w:r w:rsidRPr="000B55DF">
        <w:t>folinic acid, fluorouracil and irinotecan</w:t>
      </w:r>
      <w:r>
        <w:t xml:space="preserve">; EGFR = </w:t>
      </w:r>
      <w:r w:rsidRPr="000B55DF">
        <w:t>Epidermal growth factor receptor</w:t>
      </w:r>
      <w:r w:rsidR="00F5002F">
        <w:t>; Q3W = every 3 weeks</w:t>
      </w:r>
      <w:r w:rsidR="00FB48C5">
        <w:t xml:space="preserve">; XELOX=capecitabine (XEL) and oxaliplatin (OX). </w:t>
      </w:r>
    </w:p>
    <w:p w:rsidR="005C25FF" w:rsidRPr="00407F2D" w:rsidRDefault="005C25FF" w:rsidP="004A6040">
      <w:pPr>
        <w:pStyle w:val="2-SectionHeading"/>
      </w:pPr>
      <w:bookmarkStart w:id="2" w:name="_Toc62027396"/>
      <w:r w:rsidRPr="00407F2D">
        <w:t>Background</w:t>
      </w:r>
      <w:bookmarkEnd w:id="2"/>
    </w:p>
    <w:p w:rsidR="005C25FF" w:rsidRPr="004151CF" w:rsidRDefault="005C25FF" w:rsidP="004A6040">
      <w:pPr>
        <w:pStyle w:val="4-SubsectionHeading"/>
      </w:pPr>
      <w:bookmarkStart w:id="3" w:name="_Toc22897638"/>
      <w:bookmarkStart w:id="4" w:name="_Toc62027397"/>
      <w:r w:rsidRPr="004151CF">
        <w:t>Registration status</w:t>
      </w:r>
      <w:bookmarkEnd w:id="3"/>
      <w:bookmarkEnd w:id="4"/>
    </w:p>
    <w:p w:rsidR="00BE206C" w:rsidRDefault="00BE206C" w:rsidP="006A1068">
      <w:pPr>
        <w:pStyle w:val="3-BodyText"/>
      </w:pPr>
      <w:r w:rsidRPr="009D0A1B">
        <w:rPr>
          <w:rFonts w:ascii="Calibri" w:eastAsia="Calibri" w:hAnsi="Calibri"/>
          <w:b/>
          <w:szCs w:val="22"/>
        </w:rPr>
        <w:t>TGA status at time of</w:t>
      </w:r>
      <w:r w:rsidR="007A30AB">
        <w:rPr>
          <w:rFonts w:ascii="Calibri" w:eastAsia="Calibri" w:hAnsi="Calibri"/>
          <w:b/>
          <w:szCs w:val="22"/>
        </w:rPr>
        <w:t xml:space="preserve"> PBAC consideration</w:t>
      </w:r>
      <w:r w:rsidRPr="009D0A1B">
        <w:rPr>
          <w:rFonts w:ascii="Calibri" w:eastAsia="Calibri" w:hAnsi="Calibri"/>
          <w:szCs w:val="22"/>
        </w:rPr>
        <w:t>:</w:t>
      </w:r>
      <w:r w:rsidR="00142D23">
        <w:rPr>
          <w:rFonts w:ascii="Calibri" w:eastAsia="Calibri" w:hAnsi="Calibri"/>
          <w:szCs w:val="22"/>
        </w:rPr>
        <w:t xml:space="preserve"> </w:t>
      </w:r>
      <w:r w:rsidR="00142D23" w:rsidRPr="007A30AB">
        <w:rPr>
          <w:rFonts w:ascii="Calibri" w:eastAsia="Calibri" w:hAnsi="Calibri"/>
          <w:szCs w:val="22"/>
        </w:rPr>
        <w:t>registered</w:t>
      </w:r>
      <w:r w:rsidR="009D0A1B" w:rsidRPr="007A30AB">
        <w:rPr>
          <w:rFonts w:ascii="Calibri" w:eastAsia="Calibri" w:hAnsi="Calibri"/>
          <w:szCs w:val="22"/>
        </w:rPr>
        <w:t>.</w:t>
      </w:r>
      <w:r w:rsidR="009D0A1B">
        <w:rPr>
          <w:rFonts w:ascii="Calibri" w:eastAsia="Calibri" w:hAnsi="Calibri"/>
          <w:szCs w:val="22"/>
        </w:rPr>
        <w:t xml:space="preserve"> </w:t>
      </w:r>
    </w:p>
    <w:p w:rsidR="005C25FF" w:rsidRPr="00F26BE0" w:rsidRDefault="0097449C" w:rsidP="009D0A1B">
      <w:pPr>
        <w:pStyle w:val="3-BodyText"/>
        <w:rPr>
          <w:rFonts w:ascii="Cambria-Italic" w:hAnsi="Cambria-Italic" w:cs="Cambria-Italic"/>
          <w:iCs/>
          <w:sz w:val="22"/>
          <w:szCs w:val="22"/>
        </w:rPr>
      </w:pPr>
      <w:r w:rsidRPr="0097449C">
        <w:t>Pembrolizumab</w:t>
      </w:r>
      <w:r w:rsidR="009D0A1B">
        <w:t xml:space="preserve"> </w:t>
      </w:r>
      <w:r w:rsidR="009D0A1B" w:rsidRPr="00F26BE0">
        <w:t>was approved by the TGA on 4 December 2020 for the first-line treatment of patients with unresectable or metastatic colorectal cancer (CRC) that is MSI-H or dMMR as determined by a validated test.</w:t>
      </w:r>
      <w:r w:rsidRPr="00F26BE0">
        <w:t xml:space="preserve"> </w:t>
      </w:r>
    </w:p>
    <w:p w:rsidR="005F75EF" w:rsidRDefault="005F75EF" w:rsidP="005F75EF">
      <w:pPr>
        <w:pStyle w:val="3-BodyText"/>
      </w:pPr>
      <w:r>
        <w:t>Other dMMR indications:</w:t>
      </w:r>
    </w:p>
    <w:p w:rsidR="005F75EF" w:rsidRDefault="005F75EF" w:rsidP="00E03BA8">
      <w:pPr>
        <w:pStyle w:val="ListParagraph"/>
      </w:pPr>
      <w:r>
        <w:lastRenderedPageBreak/>
        <w:t>CRC – Adult and paediatric patients for the treatment of unresectable or metastatic, MSI-H or dMMR CRC that has progressed following treatment with a fluoropyrimidine, oxaliplatin, and irinotecan</w:t>
      </w:r>
      <w:r w:rsidR="00B15A09">
        <w:t xml:space="preserve"> (</w:t>
      </w:r>
      <w:r>
        <w:t>provisional approval pathway</w:t>
      </w:r>
      <w:r w:rsidR="00B15A09">
        <w:t>)</w:t>
      </w:r>
      <w:r>
        <w:t>.</w:t>
      </w:r>
    </w:p>
    <w:p w:rsidR="005F75EF" w:rsidRDefault="005F75EF" w:rsidP="00E03BA8">
      <w:pPr>
        <w:pStyle w:val="ListParagraph"/>
      </w:pPr>
      <w:r>
        <w:t xml:space="preserve">Non-CRC </w:t>
      </w:r>
      <w:r w:rsidR="00B15A09">
        <w:t xml:space="preserve">indications </w:t>
      </w:r>
      <w:r>
        <w:t xml:space="preserve">- Adult and paediatric patients for the treatment of unresectable or metastatic, MSI-H/dMMR </w:t>
      </w:r>
      <w:r w:rsidR="005D17EE">
        <w:t xml:space="preserve">solid </w:t>
      </w:r>
      <w:r>
        <w:t>tumours that have progressed following prior treatment and when there are no satisfactory alternative treatment options</w:t>
      </w:r>
      <w:r w:rsidR="00B15A09">
        <w:t xml:space="preserve"> (provisional approval pathway)</w:t>
      </w:r>
      <w:r>
        <w:t>.</w:t>
      </w:r>
    </w:p>
    <w:p w:rsidR="0031402E" w:rsidRDefault="0031402E" w:rsidP="0031402E">
      <w:pPr>
        <w:pStyle w:val="3-BodyText"/>
      </w:pPr>
      <w:r>
        <w:t>Non-dMMR indications: Pembrolizumab is also approved for various lines of treatment and subsets of patients with melanoma, non-small cell lung cancer, head and neck squamous cell carcinoma, Hodgkin lymphoma, primary mediastinal B cell lymphoma, urothelial carcinoma, endometrial carcinoma and renal cell carcinoma.</w:t>
      </w:r>
    </w:p>
    <w:p w:rsidR="006F1C31" w:rsidRPr="005F75EF" w:rsidRDefault="00561B3C" w:rsidP="00AB7FA3">
      <w:pPr>
        <w:pStyle w:val="3-BodyText"/>
      </w:pPr>
      <w:r w:rsidRPr="00F71C5B">
        <w:t xml:space="preserve">The recommended dose of pembrolizumab monotherapy to treat adults with </w:t>
      </w:r>
      <w:r w:rsidR="004A41EE">
        <w:t xml:space="preserve">dMMR </w:t>
      </w:r>
      <w:r w:rsidRPr="00F71C5B">
        <w:t>CRC is a 200 mg injection every 3 weeks (Q3W) for up to 24 months in the absence</w:t>
      </w:r>
      <w:r w:rsidRPr="00561B3C">
        <w:t xml:space="preserve"> of disease </w:t>
      </w:r>
      <w:r w:rsidRPr="00F71C5B">
        <w:t xml:space="preserve">progression. This was the pembrolizumab dosing regimen used in the key KN177 trial. </w:t>
      </w:r>
    </w:p>
    <w:p w:rsidR="005C25FF" w:rsidRPr="00621ADA" w:rsidRDefault="005C25FF" w:rsidP="00B41C4F">
      <w:pPr>
        <w:pStyle w:val="4-SubsectionHeading"/>
      </w:pPr>
      <w:bookmarkStart w:id="5" w:name="_Toc22897639"/>
      <w:bookmarkStart w:id="6" w:name="_Toc62027398"/>
      <w:r w:rsidRPr="00621ADA">
        <w:t>Previous PBAC consideration</w:t>
      </w:r>
      <w:bookmarkEnd w:id="5"/>
      <w:bookmarkEnd w:id="6"/>
    </w:p>
    <w:p w:rsidR="002E4F02" w:rsidRPr="00BE6AFF" w:rsidRDefault="001F3181" w:rsidP="002E4F02">
      <w:pPr>
        <w:pStyle w:val="3-BodyText"/>
      </w:pPr>
      <w:r w:rsidRPr="00BE6AFF">
        <w:rPr>
          <w:snapToGrid/>
          <w:lang w:val="en-US"/>
        </w:rPr>
        <w:t xml:space="preserve">This is the first consideration of pembrolizumab for the </w:t>
      </w:r>
      <w:r w:rsidRPr="00E100DA">
        <w:rPr>
          <w:snapToGrid/>
          <w:lang w:val="en-US"/>
        </w:rPr>
        <w:t>first line</w:t>
      </w:r>
      <w:r w:rsidRPr="00BE6AFF">
        <w:rPr>
          <w:snapToGrid/>
          <w:lang w:val="en-US"/>
        </w:rPr>
        <w:t xml:space="preserve"> treatment of mCRC.</w:t>
      </w:r>
      <w:r w:rsidR="006F1C31">
        <w:rPr>
          <w:snapToGrid/>
          <w:lang w:val="en-US"/>
        </w:rPr>
        <w:t xml:space="preserve"> </w:t>
      </w:r>
    </w:p>
    <w:p w:rsidR="00205961" w:rsidRDefault="00511330" w:rsidP="00C454FB">
      <w:pPr>
        <w:pStyle w:val="3-BodyText"/>
        <w:rPr>
          <w:snapToGrid/>
          <w:lang w:val="en-US"/>
        </w:rPr>
      </w:pPr>
      <w:r w:rsidRPr="00BE6AFF">
        <w:rPr>
          <w:snapToGrid/>
          <w:lang w:val="en-US"/>
        </w:rPr>
        <w:t>At the March 2019 PBAC Meeting, the</w:t>
      </w:r>
      <w:r w:rsidR="001F6867" w:rsidRPr="00BE6AFF">
        <w:rPr>
          <w:snapToGrid/>
          <w:lang w:val="en-US"/>
        </w:rPr>
        <w:t xml:space="preserve"> </w:t>
      </w:r>
      <w:r w:rsidRPr="00BE6AFF">
        <w:rPr>
          <w:snapToGrid/>
          <w:lang w:val="en-US"/>
        </w:rPr>
        <w:t xml:space="preserve">PBAC considered a submission to list pembrolizumab for </w:t>
      </w:r>
      <w:r w:rsidR="0014507D" w:rsidRPr="00BE6AFF">
        <w:rPr>
          <w:snapToGrid/>
          <w:lang w:val="en-US"/>
        </w:rPr>
        <w:t xml:space="preserve">dMMR </w:t>
      </w:r>
      <w:r w:rsidRPr="00BE6AFF">
        <w:rPr>
          <w:snapToGrid/>
          <w:lang w:val="en-US"/>
        </w:rPr>
        <w:t xml:space="preserve">locally advanced (unresectable) or </w:t>
      </w:r>
      <w:r w:rsidR="00BE6AFF" w:rsidRPr="00BE6AFF">
        <w:rPr>
          <w:snapToGrid/>
          <w:lang w:val="en-US"/>
        </w:rPr>
        <w:t>mCRC</w:t>
      </w:r>
      <w:r w:rsidRPr="00BE6AFF">
        <w:rPr>
          <w:snapToGrid/>
          <w:lang w:val="en-US"/>
        </w:rPr>
        <w:t xml:space="preserve"> in patients who had failed at least one prior therapy</w:t>
      </w:r>
      <w:r w:rsidR="001F6867" w:rsidRPr="00BE6AFF">
        <w:rPr>
          <w:snapToGrid/>
          <w:lang w:val="en-US"/>
        </w:rPr>
        <w:t xml:space="preserve"> (</w:t>
      </w:r>
      <w:r w:rsidR="00BE6AFF" w:rsidRPr="00BE6AFF">
        <w:rPr>
          <w:snapToGrid/>
          <w:lang w:val="en-US"/>
        </w:rPr>
        <w:t>Pembrolizumab Public Summary Document (PSD)</w:t>
      </w:r>
      <w:r w:rsidR="008A2A78">
        <w:rPr>
          <w:snapToGrid/>
          <w:lang w:val="en-US"/>
        </w:rPr>
        <w:t>,</w:t>
      </w:r>
      <w:r w:rsidR="004F3A1D">
        <w:rPr>
          <w:snapToGrid/>
          <w:lang w:val="en-US"/>
        </w:rPr>
        <w:t xml:space="preserve"> </w:t>
      </w:r>
      <w:r w:rsidR="00BE6AFF" w:rsidRPr="00BE6AFF">
        <w:rPr>
          <w:snapToGrid/>
          <w:lang w:val="en-US"/>
        </w:rPr>
        <w:t xml:space="preserve">March 2019 PBAC </w:t>
      </w:r>
      <w:r w:rsidR="008A2A78">
        <w:rPr>
          <w:snapToGrid/>
          <w:lang w:val="en-US"/>
        </w:rPr>
        <w:t>m</w:t>
      </w:r>
      <w:r w:rsidR="00BE6AFF" w:rsidRPr="00BE6AFF">
        <w:rPr>
          <w:snapToGrid/>
          <w:lang w:val="en-US"/>
        </w:rPr>
        <w:t>eeting)</w:t>
      </w:r>
      <w:r w:rsidRPr="00BE6AFF">
        <w:rPr>
          <w:snapToGrid/>
          <w:lang w:val="en-US"/>
        </w:rPr>
        <w:t xml:space="preserve">. The evidence was based on a naïve indirect comparison between Study KN164 (a single-arm </w:t>
      </w:r>
      <w:r w:rsidR="00BE6AFF" w:rsidRPr="00BE6AFF">
        <w:rPr>
          <w:snapToGrid/>
          <w:lang w:val="en-US"/>
        </w:rPr>
        <w:t xml:space="preserve">pembrolizumab </w:t>
      </w:r>
      <w:r w:rsidRPr="00BE6AFF">
        <w:rPr>
          <w:snapToGrid/>
          <w:lang w:val="en-US"/>
        </w:rPr>
        <w:t>study in heavily pre-treated MSI-H/dMMR mCRC patients) and 16 SoC comparator studies on ‘all comers’ (</w:t>
      </w:r>
      <w:r w:rsidRPr="00F71C5B">
        <w:rPr>
          <w:snapToGrid/>
          <w:lang w:val="en-US"/>
        </w:rPr>
        <w:t>i.e.</w:t>
      </w:r>
      <w:r w:rsidRPr="00BE6AFF">
        <w:rPr>
          <w:snapToGrid/>
          <w:lang w:val="en-US"/>
        </w:rPr>
        <w:t xml:space="preserve"> irrespective of MMR status). The PBAC decided not to recommend pembrolizumab as a second-line treatment for </w:t>
      </w:r>
      <w:r w:rsidR="00BE6AFF">
        <w:rPr>
          <w:snapToGrid/>
          <w:lang w:val="en-US"/>
        </w:rPr>
        <w:t xml:space="preserve">the proposed indication as the </w:t>
      </w:r>
      <w:r w:rsidRPr="00BE6AFF">
        <w:rPr>
          <w:snapToGrid/>
          <w:lang w:val="en-US"/>
        </w:rPr>
        <w:t xml:space="preserve">limited evidence provided suggested that the benefit of pembrolizumab was modest in dMMR mCRC. The PBAC </w:t>
      </w:r>
      <w:r w:rsidR="00BE6AFF">
        <w:rPr>
          <w:snapToGrid/>
          <w:lang w:val="en-US"/>
        </w:rPr>
        <w:t xml:space="preserve">also </w:t>
      </w:r>
      <w:r w:rsidRPr="00BE6AFF">
        <w:rPr>
          <w:snapToGrid/>
          <w:lang w:val="en-US"/>
        </w:rPr>
        <w:t>considered that insufficient evidence was provided in the submission to evaluate the comparative efficacy and safety of pembrolizumab in either the second-line setting or a last-line setting</w:t>
      </w:r>
      <w:r w:rsidR="00BE6AFF">
        <w:rPr>
          <w:snapToGrid/>
          <w:lang w:val="en-US"/>
        </w:rPr>
        <w:t xml:space="preserve"> (Paragraph 7.1, </w:t>
      </w:r>
      <w:r w:rsidR="00BE6AFF" w:rsidRPr="00BE6AFF">
        <w:rPr>
          <w:snapToGrid/>
          <w:lang w:val="en-US"/>
        </w:rPr>
        <w:t>Pembrolizumab</w:t>
      </w:r>
      <w:r w:rsidR="001B62D1">
        <w:rPr>
          <w:snapToGrid/>
          <w:lang w:val="en-US"/>
        </w:rPr>
        <w:t xml:space="preserve"> </w:t>
      </w:r>
      <w:r w:rsidR="00BE6AFF" w:rsidRPr="00BE6AFF">
        <w:rPr>
          <w:snapToGrid/>
          <w:lang w:val="en-US"/>
        </w:rPr>
        <w:t>PSD</w:t>
      </w:r>
      <w:r w:rsidR="009F2A3D">
        <w:rPr>
          <w:snapToGrid/>
          <w:lang w:val="en-US"/>
        </w:rPr>
        <w:t xml:space="preserve">, </w:t>
      </w:r>
      <w:r w:rsidR="00BE6AFF" w:rsidRPr="00BE6AFF">
        <w:rPr>
          <w:snapToGrid/>
          <w:lang w:val="en-US"/>
        </w:rPr>
        <w:t xml:space="preserve">March 2019 PBAC </w:t>
      </w:r>
      <w:r w:rsidR="008A2A78">
        <w:rPr>
          <w:snapToGrid/>
          <w:lang w:val="en-US"/>
        </w:rPr>
        <w:t>m</w:t>
      </w:r>
      <w:r w:rsidR="00BE6AFF" w:rsidRPr="00BE6AFF">
        <w:rPr>
          <w:snapToGrid/>
          <w:lang w:val="en-US"/>
        </w:rPr>
        <w:t>eeting</w:t>
      </w:r>
      <w:r w:rsidR="00BE6AFF">
        <w:rPr>
          <w:snapToGrid/>
          <w:lang w:val="en-US"/>
        </w:rPr>
        <w:t>)</w:t>
      </w:r>
      <w:r w:rsidRPr="00BE6AFF">
        <w:rPr>
          <w:snapToGrid/>
          <w:lang w:val="en-US"/>
        </w:rPr>
        <w:t xml:space="preserve">. </w:t>
      </w:r>
    </w:p>
    <w:p w:rsidR="00205961" w:rsidRDefault="00205961">
      <w:pPr>
        <w:jc w:val="left"/>
        <w:rPr>
          <w:rFonts w:asciiTheme="minorHAnsi" w:hAnsiTheme="minorHAnsi"/>
          <w:lang w:val="en-US"/>
        </w:rPr>
      </w:pPr>
      <w:r>
        <w:rPr>
          <w:lang w:val="en-US"/>
        </w:rPr>
        <w:br w:type="page"/>
      </w:r>
    </w:p>
    <w:p w:rsidR="00B60939" w:rsidRDefault="00B50DB8" w:rsidP="004E18E9">
      <w:pPr>
        <w:pStyle w:val="2-SectionHeading"/>
      </w:pPr>
      <w:bookmarkStart w:id="7" w:name="_Toc62027399"/>
      <w:r w:rsidRPr="00407F2D">
        <w:t>Requested listing</w:t>
      </w:r>
      <w:bookmarkEnd w:id="7"/>
    </w:p>
    <w:p w:rsidR="00BE206C" w:rsidRPr="00B41C4F" w:rsidRDefault="00B41C4F" w:rsidP="00B41C4F">
      <w:pPr>
        <w:pStyle w:val="3-BodyText"/>
        <w:rPr>
          <w:rFonts w:cs="Calibri"/>
          <w:bCs/>
        </w:rPr>
      </w:pPr>
      <w:r w:rsidRPr="00B41C4F">
        <w:rPr>
          <w:rFonts w:cs="Calibri"/>
          <w:bCs/>
        </w:rPr>
        <w:t>Suggestions and additions proposed by the Secretariat are added in italics and suggested deletions are crossed out with strikethrough.</w:t>
      </w:r>
    </w:p>
    <w:tbl>
      <w:tblPr>
        <w:tblW w:w="9028" w:type="dxa"/>
        <w:tblCellMar>
          <w:left w:w="28" w:type="dxa"/>
          <w:right w:w="28" w:type="dxa"/>
        </w:tblCellMar>
        <w:tblLook w:val="0000" w:firstRow="0" w:lastRow="0" w:firstColumn="0" w:lastColumn="0" w:noHBand="0" w:noVBand="0"/>
      </w:tblPr>
      <w:tblGrid>
        <w:gridCol w:w="1843"/>
        <w:gridCol w:w="283"/>
        <w:gridCol w:w="1558"/>
        <w:gridCol w:w="1229"/>
        <w:gridCol w:w="1845"/>
        <w:gridCol w:w="2270"/>
      </w:tblGrid>
      <w:tr w:rsidR="00BE6AFF" w:rsidRPr="001E481A" w:rsidTr="00E02233">
        <w:trPr>
          <w:cantSplit/>
          <w:trHeight w:val="463"/>
        </w:trPr>
        <w:tc>
          <w:tcPr>
            <w:tcW w:w="2126" w:type="dxa"/>
            <w:gridSpan w:val="2"/>
            <w:tcBorders>
              <w:top w:val="single" w:sz="4" w:space="0" w:color="auto"/>
              <w:bottom w:val="single" w:sz="4" w:space="0" w:color="auto"/>
            </w:tcBorders>
            <w:shd w:val="clear" w:color="auto" w:fill="auto"/>
            <w:vAlign w:val="center"/>
          </w:tcPr>
          <w:p w:rsidR="00BE6AFF" w:rsidRPr="001E481A" w:rsidRDefault="00BE6AFF" w:rsidP="00A9746B">
            <w:pPr>
              <w:keepNext/>
              <w:keepLines/>
              <w:rPr>
                <w:rFonts w:ascii="Arial Narrow" w:hAnsi="Arial Narrow"/>
                <w:b/>
                <w:sz w:val="20"/>
              </w:rPr>
            </w:pPr>
            <w:r w:rsidRPr="001E481A">
              <w:rPr>
                <w:rFonts w:ascii="Arial Narrow" w:hAnsi="Arial Narrow"/>
                <w:b/>
                <w:sz w:val="20"/>
              </w:rPr>
              <w:t>Name, restriction, manner of administration, form</w:t>
            </w:r>
          </w:p>
        </w:tc>
        <w:tc>
          <w:tcPr>
            <w:tcW w:w="1558" w:type="dxa"/>
            <w:tcBorders>
              <w:top w:val="single" w:sz="4" w:space="0" w:color="auto"/>
              <w:bottom w:val="single" w:sz="4" w:space="0" w:color="auto"/>
            </w:tcBorders>
            <w:shd w:val="clear" w:color="auto" w:fill="auto"/>
            <w:vAlign w:val="center"/>
          </w:tcPr>
          <w:p w:rsidR="00BE6AFF" w:rsidRPr="001E481A" w:rsidRDefault="00BE6AFF" w:rsidP="00A9746B">
            <w:pPr>
              <w:keepNext/>
              <w:keepLines/>
              <w:jc w:val="center"/>
              <w:rPr>
                <w:rFonts w:ascii="Arial Narrow" w:hAnsi="Arial Narrow"/>
                <w:b/>
                <w:sz w:val="20"/>
              </w:rPr>
            </w:pPr>
            <w:r w:rsidRPr="001E481A">
              <w:rPr>
                <w:rFonts w:ascii="Arial Narrow" w:hAnsi="Arial Narrow"/>
                <w:b/>
                <w:sz w:val="20"/>
                <w:szCs w:val="20"/>
              </w:rPr>
              <w:t>Maximum amount (units)</w:t>
            </w:r>
          </w:p>
        </w:tc>
        <w:tc>
          <w:tcPr>
            <w:tcW w:w="1229" w:type="dxa"/>
            <w:tcBorders>
              <w:top w:val="single" w:sz="4" w:space="0" w:color="auto"/>
              <w:bottom w:val="single" w:sz="4" w:space="0" w:color="auto"/>
            </w:tcBorders>
            <w:shd w:val="clear" w:color="auto" w:fill="auto"/>
            <w:vAlign w:val="center"/>
          </w:tcPr>
          <w:p w:rsidR="00BE6AFF" w:rsidRPr="001E481A" w:rsidRDefault="00BE6AFF" w:rsidP="00A9746B">
            <w:pPr>
              <w:pStyle w:val="TableText0"/>
              <w:rPr>
                <w:b/>
              </w:rPr>
            </w:pPr>
            <w:r w:rsidRPr="001E481A">
              <w:rPr>
                <w:b/>
              </w:rPr>
              <w:t>No. of repeats</w:t>
            </w:r>
          </w:p>
        </w:tc>
        <w:tc>
          <w:tcPr>
            <w:tcW w:w="1845" w:type="dxa"/>
            <w:tcBorders>
              <w:top w:val="single" w:sz="4" w:space="0" w:color="auto"/>
              <w:bottom w:val="single" w:sz="4" w:space="0" w:color="auto"/>
            </w:tcBorders>
            <w:shd w:val="clear" w:color="auto" w:fill="auto"/>
          </w:tcPr>
          <w:p w:rsidR="00BE6AFF" w:rsidRPr="001E481A" w:rsidRDefault="00BE6AFF" w:rsidP="00A9746B">
            <w:pPr>
              <w:keepNext/>
              <w:keepLines/>
              <w:jc w:val="left"/>
              <w:rPr>
                <w:rFonts w:ascii="Arial Narrow" w:hAnsi="Arial Narrow"/>
                <w:b/>
                <w:sz w:val="20"/>
              </w:rPr>
            </w:pPr>
            <w:r w:rsidRPr="001E481A">
              <w:rPr>
                <w:rFonts w:ascii="Arial Narrow" w:hAnsi="Arial Narrow"/>
                <w:b/>
                <w:sz w:val="20"/>
                <w:szCs w:val="20"/>
              </w:rPr>
              <w:t>Dispensed price for maximum amount</w:t>
            </w:r>
          </w:p>
        </w:tc>
        <w:tc>
          <w:tcPr>
            <w:tcW w:w="2270" w:type="dxa"/>
            <w:tcBorders>
              <w:top w:val="single" w:sz="4" w:space="0" w:color="auto"/>
              <w:bottom w:val="single" w:sz="4" w:space="0" w:color="auto"/>
            </w:tcBorders>
            <w:shd w:val="clear" w:color="auto" w:fill="auto"/>
            <w:vAlign w:val="center"/>
          </w:tcPr>
          <w:p w:rsidR="00BE6AFF" w:rsidRPr="001E481A" w:rsidRDefault="00BE6AFF" w:rsidP="00A9746B">
            <w:pPr>
              <w:keepNext/>
              <w:keepLines/>
              <w:jc w:val="left"/>
              <w:rPr>
                <w:rFonts w:ascii="Arial Narrow" w:hAnsi="Arial Narrow"/>
                <w:b/>
                <w:sz w:val="20"/>
              </w:rPr>
            </w:pPr>
            <w:r w:rsidRPr="001E481A">
              <w:rPr>
                <w:rFonts w:ascii="Arial Narrow" w:hAnsi="Arial Narrow"/>
                <w:b/>
                <w:sz w:val="20"/>
                <w:szCs w:val="20"/>
              </w:rPr>
              <w:t>Proprietary name and manufacturer</w:t>
            </w:r>
          </w:p>
        </w:tc>
      </w:tr>
      <w:tr w:rsidR="00BE6AFF" w:rsidRPr="001E481A" w:rsidTr="00E02233">
        <w:trPr>
          <w:cantSplit/>
          <w:trHeight w:val="567"/>
        </w:trPr>
        <w:tc>
          <w:tcPr>
            <w:tcW w:w="2126" w:type="dxa"/>
            <w:gridSpan w:val="2"/>
            <w:tcBorders>
              <w:top w:val="single" w:sz="4" w:space="0" w:color="auto"/>
              <w:bottom w:val="single" w:sz="4" w:space="0" w:color="auto"/>
            </w:tcBorders>
            <w:vAlign w:val="center"/>
          </w:tcPr>
          <w:p w:rsidR="00BE6AFF" w:rsidRPr="001E481A" w:rsidRDefault="00BE6AFF" w:rsidP="00A9746B">
            <w:pPr>
              <w:keepNext/>
              <w:keepLines/>
              <w:rPr>
                <w:rFonts w:ascii="Arial Narrow" w:hAnsi="Arial Narrow"/>
                <w:smallCaps/>
                <w:sz w:val="20"/>
              </w:rPr>
            </w:pPr>
            <w:r w:rsidRPr="001E481A">
              <w:rPr>
                <w:rFonts w:ascii="Arial Narrow" w:hAnsi="Arial Narrow"/>
                <w:smallCaps/>
                <w:sz w:val="20"/>
              </w:rPr>
              <w:t>Pembrolizumab</w:t>
            </w:r>
          </w:p>
          <w:p w:rsidR="00BE6AFF" w:rsidRPr="001E481A" w:rsidRDefault="00BE6AFF" w:rsidP="00A9746B">
            <w:pPr>
              <w:keepNext/>
              <w:keepLines/>
              <w:rPr>
                <w:rFonts w:ascii="Arial Narrow" w:hAnsi="Arial Narrow"/>
                <w:sz w:val="20"/>
              </w:rPr>
            </w:pPr>
            <w:r w:rsidRPr="001E481A">
              <w:rPr>
                <w:rFonts w:ascii="Arial Narrow" w:hAnsi="Arial Narrow"/>
                <w:sz w:val="20"/>
              </w:rPr>
              <w:t>Injection, 100 mg, 1 vial</w:t>
            </w:r>
          </w:p>
        </w:tc>
        <w:tc>
          <w:tcPr>
            <w:tcW w:w="1558" w:type="dxa"/>
            <w:tcBorders>
              <w:top w:val="single" w:sz="4" w:space="0" w:color="auto"/>
              <w:bottom w:val="single" w:sz="4" w:space="0" w:color="auto"/>
            </w:tcBorders>
            <w:vAlign w:val="center"/>
          </w:tcPr>
          <w:p w:rsidR="00BE6AFF" w:rsidRPr="001E481A" w:rsidRDefault="00BE6AFF" w:rsidP="00A9746B">
            <w:pPr>
              <w:keepNext/>
              <w:keepLines/>
              <w:jc w:val="center"/>
              <w:rPr>
                <w:rFonts w:ascii="Arial Narrow" w:hAnsi="Arial Narrow"/>
                <w:sz w:val="20"/>
              </w:rPr>
            </w:pPr>
            <w:r w:rsidRPr="001E481A">
              <w:rPr>
                <w:rFonts w:ascii="Arial Narrow" w:hAnsi="Arial Narrow"/>
                <w:sz w:val="20"/>
              </w:rPr>
              <w:t xml:space="preserve">200 mg </w:t>
            </w:r>
          </w:p>
        </w:tc>
        <w:tc>
          <w:tcPr>
            <w:tcW w:w="1229" w:type="dxa"/>
            <w:tcBorders>
              <w:top w:val="single" w:sz="4" w:space="0" w:color="auto"/>
              <w:bottom w:val="single" w:sz="4" w:space="0" w:color="auto"/>
            </w:tcBorders>
            <w:vAlign w:val="center"/>
          </w:tcPr>
          <w:p w:rsidR="00BE6AFF" w:rsidRDefault="00BE6AFF" w:rsidP="00A9746B">
            <w:pPr>
              <w:keepNext/>
              <w:keepLines/>
              <w:jc w:val="center"/>
              <w:rPr>
                <w:rFonts w:ascii="Arial Narrow" w:hAnsi="Arial Narrow"/>
                <w:sz w:val="20"/>
              </w:rPr>
            </w:pPr>
            <w:r w:rsidRPr="001E481A">
              <w:rPr>
                <w:rFonts w:ascii="Arial Narrow" w:hAnsi="Arial Narrow"/>
                <w:sz w:val="20"/>
              </w:rPr>
              <w:t>6</w:t>
            </w:r>
            <w:r>
              <w:rPr>
                <w:rFonts w:ascii="Arial Narrow" w:hAnsi="Arial Narrow"/>
                <w:sz w:val="20"/>
              </w:rPr>
              <w:t xml:space="preserve"> Initial</w:t>
            </w:r>
          </w:p>
          <w:p w:rsidR="00BE6AFF" w:rsidRPr="001E481A" w:rsidRDefault="00BE6AFF" w:rsidP="00A9746B">
            <w:pPr>
              <w:keepNext/>
              <w:keepLines/>
              <w:jc w:val="center"/>
              <w:rPr>
                <w:rFonts w:ascii="Arial Narrow" w:hAnsi="Arial Narrow"/>
                <w:sz w:val="20"/>
              </w:rPr>
            </w:pPr>
            <w:r>
              <w:rPr>
                <w:rFonts w:ascii="Arial Narrow" w:hAnsi="Arial Narrow"/>
                <w:sz w:val="20"/>
              </w:rPr>
              <w:t>6 Continuing</w:t>
            </w:r>
          </w:p>
        </w:tc>
        <w:tc>
          <w:tcPr>
            <w:tcW w:w="1845" w:type="dxa"/>
            <w:tcBorders>
              <w:top w:val="single" w:sz="4" w:space="0" w:color="auto"/>
              <w:bottom w:val="single" w:sz="4" w:space="0" w:color="auto"/>
            </w:tcBorders>
          </w:tcPr>
          <w:p w:rsidR="00EB5963" w:rsidRPr="001E481A" w:rsidRDefault="00BE6AFF" w:rsidP="00A9746B">
            <w:pPr>
              <w:keepNext/>
              <w:keepLines/>
              <w:jc w:val="left"/>
              <w:rPr>
                <w:rFonts w:ascii="Arial Narrow" w:hAnsi="Arial Narrow"/>
                <w:sz w:val="20"/>
              </w:rPr>
            </w:pPr>
            <w:r w:rsidRPr="001E481A">
              <w:rPr>
                <w:rFonts w:ascii="Arial Narrow" w:hAnsi="Arial Narrow"/>
                <w:sz w:val="20"/>
              </w:rPr>
              <w:t>Published</w:t>
            </w:r>
            <w:r w:rsidR="00EB5963">
              <w:rPr>
                <w:rFonts w:ascii="Arial Narrow" w:hAnsi="Arial Narrow"/>
                <w:sz w:val="20"/>
              </w:rPr>
              <w:t>:</w:t>
            </w:r>
          </w:p>
          <w:p w:rsidR="00EB5963" w:rsidRDefault="00EB5963" w:rsidP="00EB5963">
            <w:pPr>
              <w:keepNext/>
              <w:keepLines/>
              <w:jc w:val="left"/>
              <w:rPr>
                <w:rFonts w:ascii="Arial Narrow" w:hAnsi="Arial Narrow"/>
                <w:sz w:val="20"/>
              </w:rPr>
            </w:pPr>
            <w:r w:rsidRPr="001E481A">
              <w:rPr>
                <w:rFonts w:ascii="Arial Narrow" w:hAnsi="Arial Narrow"/>
                <w:sz w:val="20"/>
              </w:rPr>
              <w:t>$8,135.78 (public)</w:t>
            </w:r>
          </w:p>
          <w:p w:rsidR="00BE6AFF" w:rsidRPr="001E481A" w:rsidRDefault="00BE6AFF" w:rsidP="00A9746B">
            <w:pPr>
              <w:keepNext/>
              <w:keepLines/>
              <w:jc w:val="left"/>
              <w:rPr>
                <w:rFonts w:ascii="Arial Narrow" w:hAnsi="Arial Narrow"/>
                <w:sz w:val="20"/>
              </w:rPr>
            </w:pPr>
            <w:r w:rsidRPr="001E481A">
              <w:rPr>
                <w:rFonts w:ascii="Arial Narrow" w:hAnsi="Arial Narrow"/>
                <w:sz w:val="20"/>
              </w:rPr>
              <w:t>$8</w:t>
            </w:r>
            <w:r w:rsidR="00EB5963">
              <w:rPr>
                <w:rFonts w:ascii="Arial Narrow" w:hAnsi="Arial Narrow"/>
                <w:sz w:val="20"/>
              </w:rPr>
              <w:t>,289.11 (private)</w:t>
            </w:r>
          </w:p>
          <w:p w:rsidR="00EB5963" w:rsidRDefault="00EB5963" w:rsidP="00A9746B">
            <w:pPr>
              <w:keepNext/>
              <w:keepLines/>
              <w:jc w:val="left"/>
              <w:rPr>
                <w:rFonts w:ascii="Arial Narrow" w:hAnsi="Arial Narrow"/>
                <w:sz w:val="20"/>
              </w:rPr>
            </w:pPr>
            <w:r>
              <w:rPr>
                <w:rFonts w:ascii="Arial Narrow" w:hAnsi="Arial Narrow"/>
                <w:sz w:val="20"/>
              </w:rPr>
              <w:t>Effective:</w:t>
            </w:r>
          </w:p>
          <w:p w:rsidR="00EB5963" w:rsidRDefault="00EB5963" w:rsidP="00A9746B">
            <w:pPr>
              <w:keepNext/>
              <w:keepLines/>
              <w:jc w:val="left"/>
              <w:rPr>
                <w:rFonts w:ascii="Arial Narrow" w:hAnsi="Arial Narrow"/>
                <w:sz w:val="20"/>
              </w:rPr>
            </w:pPr>
            <w:r>
              <w:rPr>
                <w:rFonts w:ascii="Arial Narrow" w:hAnsi="Arial Narrow"/>
                <w:sz w:val="20"/>
              </w:rPr>
              <w:t>$</w:t>
            </w:r>
            <w:r w:rsidR="0047136C">
              <w:rPr>
                <w:rFonts w:ascii="Arial Narrow" w:hAnsi="Arial Narrow"/>
                <w:noProof/>
                <w:color w:val="000000"/>
                <w:sz w:val="20"/>
                <w:highlight w:val="black"/>
              </w:rPr>
              <w:t>'''''''''''''''''''''</w:t>
            </w:r>
            <w:r>
              <w:rPr>
                <w:rFonts w:ascii="Arial Narrow" w:hAnsi="Arial Narrow"/>
                <w:sz w:val="20"/>
              </w:rPr>
              <w:t xml:space="preserve"> (public)</w:t>
            </w:r>
          </w:p>
          <w:p w:rsidR="00EB5963" w:rsidRPr="001E481A" w:rsidRDefault="00EB5963" w:rsidP="00A9746B">
            <w:pPr>
              <w:keepNext/>
              <w:keepLines/>
              <w:jc w:val="left"/>
              <w:rPr>
                <w:rFonts w:ascii="Arial Narrow" w:hAnsi="Arial Narrow"/>
                <w:sz w:val="20"/>
              </w:rPr>
            </w:pPr>
            <w:r>
              <w:rPr>
                <w:rFonts w:ascii="Arial Narrow" w:hAnsi="Arial Narrow"/>
                <w:sz w:val="20"/>
              </w:rPr>
              <w:t>$</w:t>
            </w:r>
            <w:r w:rsidR="0047136C">
              <w:rPr>
                <w:rFonts w:ascii="Arial Narrow" w:hAnsi="Arial Narrow"/>
                <w:noProof/>
                <w:color w:val="000000"/>
                <w:sz w:val="20"/>
                <w:highlight w:val="black"/>
              </w:rPr>
              <w:t>''''''''''''''''''''</w:t>
            </w:r>
            <w:r>
              <w:rPr>
                <w:rFonts w:ascii="Arial Narrow" w:hAnsi="Arial Narrow"/>
                <w:sz w:val="20"/>
              </w:rPr>
              <w:t xml:space="preserve"> (private)</w:t>
            </w:r>
          </w:p>
        </w:tc>
        <w:tc>
          <w:tcPr>
            <w:tcW w:w="2270" w:type="dxa"/>
            <w:tcBorders>
              <w:top w:val="single" w:sz="4" w:space="0" w:color="auto"/>
              <w:bottom w:val="single" w:sz="4" w:space="0" w:color="auto"/>
            </w:tcBorders>
          </w:tcPr>
          <w:p w:rsidR="00BE6AFF" w:rsidRPr="001E481A" w:rsidRDefault="00BE6AFF" w:rsidP="00A9746B">
            <w:pPr>
              <w:keepNext/>
              <w:keepLines/>
              <w:jc w:val="left"/>
              <w:rPr>
                <w:rFonts w:ascii="Arial Narrow" w:hAnsi="Arial Narrow"/>
                <w:sz w:val="20"/>
              </w:rPr>
            </w:pPr>
            <w:r w:rsidRPr="001E481A">
              <w:rPr>
                <w:rFonts w:ascii="Arial Narrow" w:hAnsi="Arial Narrow"/>
                <w:sz w:val="20"/>
              </w:rPr>
              <w:t>Keytruda</w:t>
            </w:r>
            <w:r w:rsidRPr="00F5002F">
              <w:rPr>
                <w:rFonts w:ascii="Arial Narrow" w:hAnsi="Arial Narrow"/>
                <w:sz w:val="20"/>
                <w:vertAlign w:val="superscript"/>
              </w:rPr>
              <w:t>®</w:t>
            </w:r>
            <w:r w:rsidRPr="001E481A">
              <w:rPr>
                <w:rFonts w:ascii="Arial Narrow" w:hAnsi="Arial Narrow"/>
                <w:sz w:val="20"/>
              </w:rPr>
              <w:t>, Merck Sharp &amp; Dohme (Australia) Pty Ltd</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rPr>
                <w:b/>
              </w:rPr>
            </w:pPr>
            <w:r w:rsidRPr="00DD5189">
              <w:rPr>
                <w:b/>
              </w:rPr>
              <w:t>Category / Program</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rPr>
                <w:vertAlign w:val="superscript"/>
              </w:rPr>
            </w:pPr>
            <w:r w:rsidRPr="00DD5189">
              <w:t>Section 100 – Efficient Funding of Chemotherapy</w:t>
            </w:r>
            <w:r>
              <w:t xml:space="preserve"> - Public/Private hospitals</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rPr>
                <w:rFonts w:cs="Arial"/>
                <w:b/>
                <w:szCs w:val="20"/>
              </w:rPr>
            </w:pPr>
            <w:r w:rsidRPr="00DD5189">
              <w:rPr>
                <w:rFonts w:cs="Arial"/>
                <w:b/>
                <w:szCs w:val="20"/>
              </w:rPr>
              <w:t>Prescriber type:</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pPr>
            <w:r w:rsidRPr="00DD5189">
              <w:rPr>
                <w:rFonts w:cs="Arial"/>
                <w:szCs w:val="20"/>
              </w:rPr>
              <w:fldChar w:fldCharType="begin">
                <w:ffData>
                  <w:name w:val="Check1"/>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Dental  </w:t>
            </w:r>
            <w:r w:rsidRPr="00DD5189">
              <w:rPr>
                <w:rFonts w:cs="Arial"/>
                <w:szCs w:val="20"/>
              </w:rPr>
              <w:fldChar w:fldCharType="begin">
                <w:ffData>
                  <w:name w:val=""/>
                  <w:enabled/>
                  <w:calcOnExit w:val="0"/>
                  <w:checkBox>
                    <w:sizeAuto/>
                    <w:default w:val="1"/>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Medical Practitioners  </w:t>
            </w:r>
            <w:r w:rsidRPr="00DD5189">
              <w:rPr>
                <w:rFonts w:cs="Arial"/>
                <w:szCs w:val="20"/>
              </w:rPr>
              <w:fldChar w:fldCharType="begin">
                <w:ffData>
                  <w:name w:val="Check3"/>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Nurse practitioners  </w:t>
            </w:r>
            <w:r w:rsidRPr="00DD5189">
              <w:rPr>
                <w:rFonts w:cs="Arial"/>
                <w:szCs w:val="20"/>
              </w:rPr>
              <w:fldChar w:fldCharType="begin">
                <w:ffData>
                  <w:name w:val=""/>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Optometrists </w:t>
            </w:r>
            <w:r w:rsidRPr="00DD5189">
              <w:rPr>
                <w:rFonts w:cs="Arial"/>
                <w:szCs w:val="20"/>
              </w:rPr>
              <w:fldChar w:fldCharType="begin">
                <w:ffData>
                  <w:name w:val="Check5"/>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Midwives</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b/>
                <w:snapToGrid w:val="0"/>
                <w:sz w:val="20"/>
                <w:szCs w:val="20"/>
              </w:rPr>
            </w:pPr>
            <w:r w:rsidRPr="00DD5189">
              <w:rPr>
                <w:rFonts w:ascii="Arial Narrow" w:hAnsi="Arial Narrow"/>
                <w:b/>
                <w:snapToGrid w:val="0"/>
                <w:sz w:val="20"/>
                <w:szCs w:val="20"/>
              </w:rPr>
              <w:t>Condition:</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sz w:val="20"/>
                <w:szCs w:val="20"/>
              </w:rPr>
            </w:pPr>
            <w:r w:rsidRPr="00B41C4F">
              <w:rPr>
                <w:rFonts w:ascii="Arial Narrow" w:hAnsi="Arial Narrow"/>
                <w:strike/>
                <w:sz w:val="20"/>
                <w:szCs w:val="20"/>
              </w:rPr>
              <w:t>Stage IV (metastatic)</w:t>
            </w:r>
            <w:r w:rsidRPr="008D781B">
              <w:rPr>
                <w:rFonts w:ascii="Arial Narrow" w:hAnsi="Arial Narrow"/>
                <w:sz w:val="20"/>
                <w:szCs w:val="20"/>
              </w:rPr>
              <w:t xml:space="preserve"> colorectal cancer</w:t>
            </w:r>
          </w:p>
        </w:tc>
      </w:tr>
      <w:tr w:rsidR="00C454FB"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C454FB" w:rsidRPr="00DD5189" w:rsidRDefault="00C454FB" w:rsidP="00A9746B">
            <w:pPr>
              <w:rPr>
                <w:rFonts w:ascii="Arial Narrow" w:hAnsi="Arial Narrow"/>
                <w:b/>
                <w:sz w:val="20"/>
                <w:szCs w:val="20"/>
              </w:rPr>
            </w:pPr>
            <w:r>
              <w:rPr>
                <w:rFonts w:ascii="Arial Narrow" w:hAnsi="Arial Narrow"/>
                <w:b/>
                <w:sz w:val="20"/>
                <w:szCs w:val="20"/>
              </w:rPr>
              <w:t>Severity:</w:t>
            </w:r>
          </w:p>
        </w:tc>
        <w:tc>
          <w:tcPr>
            <w:tcW w:w="7185" w:type="dxa"/>
            <w:gridSpan w:val="5"/>
            <w:tcBorders>
              <w:top w:val="single" w:sz="4" w:space="0" w:color="auto"/>
              <w:left w:val="single" w:sz="4" w:space="0" w:color="auto"/>
              <w:bottom w:val="single" w:sz="4" w:space="0" w:color="auto"/>
              <w:right w:val="single" w:sz="4" w:space="0" w:color="auto"/>
            </w:tcBorders>
          </w:tcPr>
          <w:p w:rsidR="00C454FB" w:rsidRPr="00C454FB" w:rsidRDefault="00C454FB" w:rsidP="00A9746B">
            <w:pPr>
              <w:rPr>
                <w:rFonts w:ascii="Arial Narrow" w:hAnsi="Arial Narrow"/>
                <w:i/>
                <w:sz w:val="20"/>
                <w:szCs w:val="20"/>
              </w:rPr>
            </w:pPr>
            <w:r>
              <w:rPr>
                <w:rFonts w:ascii="Arial Narrow" w:hAnsi="Arial Narrow"/>
                <w:i/>
                <w:sz w:val="20"/>
                <w:szCs w:val="20"/>
              </w:rPr>
              <w:t>M</w:t>
            </w:r>
            <w:r w:rsidRPr="00C454FB">
              <w:rPr>
                <w:rFonts w:ascii="Arial Narrow" w:hAnsi="Arial Narrow"/>
                <w:i/>
                <w:sz w:val="20"/>
                <w:szCs w:val="20"/>
              </w:rPr>
              <w:t>etastatic</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b/>
                <w:sz w:val="20"/>
                <w:szCs w:val="20"/>
              </w:rPr>
            </w:pPr>
            <w:r w:rsidRPr="00DD5189">
              <w:rPr>
                <w:rFonts w:ascii="Arial Narrow" w:hAnsi="Arial Narrow"/>
                <w:b/>
                <w:sz w:val="20"/>
                <w:szCs w:val="20"/>
              </w:rPr>
              <w:t>PBS Indication:</w:t>
            </w: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sz w:val="20"/>
                <w:szCs w:val="20"/>
              </w:rPr>
            </w:pPr>
            <w:r w:rsidRPr="00B41C4F">
              <w:rPr>
                <w:rFonts w:ascii="Arial Narrow" w:hAnsi="Arial Narrow"/>
                <w:strike/>
                <w:sz w:val="20"/>
                <w:szCs w:val="20"/>
              </w:rPr>
              <w:t xml:space="preserve">Stage IV </w:t>
            </w:r>
            <w:r w:rsidRPr="008D781B">
              <w:rPr>
                <w:rFonts w:ascii="Arial Narrow" w:hAnsi="Arial Narrow"/>
                <w:sz w:val="20"/>
                <w:szCs w:val="20"/>
              </w:rPr>
              <w:t xml:space="preserve">metastatic </w:t>
            </w:r>
            <w:r w:rsidRPr="00C454FB">
              <w:rPr>
                <w:rFonts w:ascii="Arial Narrow" w:hAnsi="Arial Narrow"/>
                <w:strike/>
                <w:sz w:val="20"/>
                <w:szCs w:val="20"/>
              </w:rPr>
              <w:t xml:space="preserve">dMMR </w:t>
            </w:r>
            <w:r w:rsidRPr="008D781B">
              <w:rPr>
                <w:rFonts w:ascii="Arial Narrow" w:hAnsi="Arial Narrow"/>
                <w:sz w:val="20"/>
                <w:szCs w:val="20"/>
              </w:rPr>
              <w:t>colorectal cancer</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b/>
                <w:sz w:val="20"/>
                <w:szCs w:val="20"/>
              </w:rPr>
            </w:pPr>
            <w:r w:rsidRPr="00DD5189">
              <w:rPr>
                <w:rFonts w:ascii="Arial Narrow" w:hAnsi="Arial Narrow"/>
                <w:b/>
                <w:sz w:val="20"/>
                <w:szCs w:val="20"/>
              </w:rPr>
              <w:t>Treatment phase:</w:t>
            </w: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sz w:val="20"/>
                <w:szCs w:val="20"/>
              </w:rPr>
            </w:pPr>
            <w:r w:rsidRPr="00DD5189">
              <w:rPr>
                <w:rFonts w:ascii="Arial Narrow" w:hAnsi="Arial Narrow"/>
                <w:sz w:val="20"/>
                <w:szCs w:val="20"/>
              </w:rPr>
              <w:t>Initial treatment</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sz w:val="20"/>
                <w:szCs w:val="20"/>
              </w:rPr>
            </w:pPr>
            <w:r w:rsidRPr="00DD5189">
              <w:rPr>
                <w:rFonts w:ascii="Arial Narrow" w:hAnsi="Arial Narrow"/>
                <w:b/>
                <w:sz w:val="20"/>
                <w:szCs w:val="20"/>
              </w:rPr>
              <w:t>Restriction:</w:t>
            </w: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sz w:val="20"/>
                <w:szCs w:val="20"/>
              </w:rPr>
            </w:pPr>
            <w:r w:rsidRPr="00DD5189">
              <w:rPr>
                <w:rFonts w:ascii="Arial Narrow" w:hAnsi="Arial Narrow"/>
                <w:sz w:val="20"/>
                <w:szCs w:val="20"/>
              </w:rPr>
              <w:fldChar w:fldCharType="begin">
                <w:ffData>
                  <w:name w:val=""/>
                  <w:enabled/>
                  <w:calcOnExit w:val="0"/>
                  <w:checkBox>
                    <w:sizeAuto/>
                    <w:default w:val="1"/>
                  </w:checkBox>
                </w:ffData>
              </w:fldChar>
            </w:r>
            <w:r w:rsidRPr="00DD5189">
              <w:rPr>
                <w:rFonts w:ascii="Arial Narrow" w:hAnsi="Arial Narrow"/>
                <w:sz w:val="20"/>
                <w:szCs w:val="20"/>
              </w:rPr>
              <w:instrText xml:space="preserve"> FORMCHECKBOX </w:instrText>
            </w:r>
            <w:r w:rsidR="00205961">
              <w:rPr>
                <w:rFonts w:ascii="Arial Narrow" w:hAnsi="Arial Narrow"/>
                <w:sz w:val="20"/>
                <w:szCs w:val="20"/>
              </w:rPr>
            </w:r>
            <w:r w:rsidR="00205961">
              <w:rPr>
                <w:rFonts w:ascii="Arial Narrow" w:hAnsi="Arial Narrow"/>
                <w:sz w:val="20"/>
                <w:szCs w:val="20"/>
              </w:rPr>
              <w:fldChar w:fldCharType="separate"/>
            </w:r>
            <w:r w:rsidRPr="00DD5189">
              <w:rPr>
                <w:rFonts w:ascii="Arial Narrow" w:hAnsi="Arial Narrow"/>
                <w:sz w:val="20"/>
                <w:szCs w:val="20"/>
              </w:rPr>
              <w:fldChar w:fldCharType="end"/>
            </w:r>
            <w:r w:rsidRPr="00DD5189">
              <w:rPr>
                <w:rFonts w:ascii="Arial Narrow" w:hAnsi="Arial Narrow"/>
                <w:sz w:val="20"/>
                <w:szCs w:val="20"/>
              </w:rPr>
              <w:t xml:space="preserve">Authority Required </w:t>
            </w:r>
            <w:r>
              <w:rPr>
                <w:rFonts w:ascii="Arial Narrow" w:hAnsi="Arial Narrow"/>
                <w:sz w:val="20"/>
                <w:szCs w:val="20"/>
              </w:rPr>
              <w:t>–</w:t>
            </w:r>
            <w:r w:rsidRPr="00DD5189">
              <w:rPr>
                <w:rFonts w:ascii="Arial Narrow" w:hAnsi="Arial Narrow"/>
                <w:sz w:val="20"/>
                <w:szCs w:val="20"/>
              </w:rPr>
              <w:t xml:space="preserve"> </w:t>
            </w:r>
            <w:r>
              <w:rPr>
                <w:rFonts w:ascii="Arial Narrow" w:hAnsi="Arial Narrow"/>
                <w:sz w:val="20"/>
                <w:szCs w:val="20"/>
              </w:rPr>
              <w:t>Streamed line [New existing code]</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b/>
                <w:sz w:val="20"/>
                <w:szCs w:val="20"/>
              </w:rPr>
            </w:pPr>
            <w:r w:rsidRPr="00DD5189">
              <w:rPr>
                <w:rFonts w:ascii="Arial Narrow" w:hAnsi="Arial Narrow"/>
                <w:b/>
                <w:sz w:val="20"/>
                <w:szCs w:val="20"/>
              </w:rPr>
              <w:t>Clinical criteria:</w:t>
            </w:r>
          </w:p>
          <w:p w:rsidR="00BE6AFF" w:rsidRPr="00DD5189" w:rsidRDefault="00BE6AFF" w:rsidP="00A9746B">
            <w:pPr>
              <w:rPr>
                <w:rFonts w:ascii="Arial Narrow" w:hAnsi="Arial Narrow"/>
                <w:sz w:val="20"/>
                <w:szCs w:val="20"/>
              </w:rPr>
            </w:pP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8D781B" w:rsidRDefault="00BE6AFF" w:rsidP="00A9746B">
            <w:pPr>
              <w:rPr>
                <w:rFonts w:ascii="Arial Narrow" w:hAnsi="Arial Narrow"/>
                <w:sz w:val="20"/>
                <w:szCs w:val="20"/>
              </w:rPr>
            </w:pPr>
            <w:r w:rsidRPr="008D781B">
              <w:rPr>
                <w:rFonts w:ascii="Arial Narrow" w:hAnsi="Arial Narrow"/>
                <w:sz w:val="20"/>
                <w:szCs w:val="20"/>
              </w:rPr>
              <w:t>Patient must not have previously been treated for this condition in the metastatic setting,</w:t>
            </w:r>
          </w:p>
          <w:p w:rsidR="00BE6AFF" w:rsidRPr="008D781B" w:rsidRDefault="00BE6AFF" w:rsidP="00A9746B">
            <w:pPr>
              <w:rPr>
                <w:rFonts w:ascii="Arial Narrow" w:hAnsi="Arial Narrow"/>
                <w:sz w:val="20"/>
                <w:szCs w:val="20"/>
              </w:rPr>
            </w:pPr>
            <w:r w:rsidRPr="008D781B">
              <w:rPr>
                <w:rFonts w:ascii="Arial Narrow" w:hAnsi="Arial Narrow"/>
                <w:sz w:val="20"/>
                <w:szCs w:val="20"/>
              </w:rPr>
              <w:t>AND</w:t>
            </w:r>
          </w:p>
          <w:p w:rsidR="00BE6AFF" w:rsidRPr="008D781B" w:rsidRDefault="00BE6AFF" w:rsidP="00A9746B">
            <w:pPr>
              <w:rPr>
                <w:rFonts w:ascii="Arial Narrow" w:hAnsi="Arial Narrow"/>
                <w:sz w:val="20"/>
                <w:szCs w:val="20"/>
              </w:rPr>
            </w:pPr>
            <w:r w:rsidRPr="008D781B">
              <w:rPr>
                <w:rFonts w:ascii="Arial Narrow" w:hAnsi="Arial Narrow"/>
                <w:sz w:val="20"/>
                <w:szCs w:val="20"/>
              </w:rPr>
              <w:t>Patient must not have received prior treatment with a programmed cell death-1 (PD-1) inhibitor or a programmed cell death ligand-1 (PD-L1) inhibitor for colorectal cancer</w:t>
            </w:r>
          </w:p>
          <w:p w:rsidR="00BE6AFF" w:rsidRPr="008D781B" w:rsidRDefault="00BE6AFF" w:rsidP="00A9746B">
            <w:pPr>
              <w:rPr>
                <w:rFonts w:ascii="Arial Narrow" w:hAnsi="Arial Narrow"/>
                <w:sz w:val="20"/>
                <w:szCs w:val="20"/>
              </w:rPr>
            </w:pPr>
            <w:r w:rsidRPr="008D781B">
              <w:rPr>
                <w:rFonts w:ascii="Arial Narrow" w:hAnsi="Arial Narrow"/>
                <w:sz w:val="20"/>
                <w:szCs w:val="20"/>
              </w:rPr>
              <w:t>AND</w:t>
            </w:r>
          </w:p>
          <w:p w:rsidR="00BE6AFF" w:rsidRPr="008D781B" w:rsidRDefault="00BE6AFF" w:rsidP="00A9746B">
            <w:pPr>
              <w:rPr>
                <w:rFonts w:ascii="Arial Narrow" w:hAnsi="Arial Narrow"/>
                <w:sz w:val="20"/>
                <w:szCs w:val="20"/>
              </w:rPr>
            </w:pPr>
            <w:r>
              <w:rPr>
                <w:rFonts w:ascii="Arial Narrow" w:hAnsi="Arial Narrow"/>
                <w:sz w:val="20"/>
                <w:szCs w:val="20"/>
              </w:rPr>
              <w:t>P</w:t>
            </w:r>
            <w:r w:rsidRPr="008D781B">
              <w:rPr>
                <w:rFonts w:ascii="Arial Narrow" w:hAnsi="Arial Narrow"/>
                <w:sz w:val="20"/>
                <w:szCs w:val="20"/>
              </w:rPr>
              <w:t>atient must have a WHO performance status of 0 or 1,</w:t>
            </w:r>
          </w:p>
          <w:p w:rsidR="00BE6AFF" w:rsidRPr="008D781B" w:rsidRDefault="00BE6AFF" w:rsidP="00A9746B">
            <w:pPr>
              <w:rPr>
                <w:rFonts w:ascii="Arial Narrow" w:hAnsi="Arial Narrow"/>
                <w:sz w:val="20"/>
                <w:szCs w:val="20"/>
              </w:rPr>
            </w:pPr>
            <w:r w:rsidRPr="008D781B">
              <w:rPr>
                <w:rFonts w:ascii="Arial Narrow" w:hAnsi="Arial Narrow"/>
                <w:sz w:val="20"/>
                <w:szCs w:val="20"/>
              </w:rPr>
              <w:t>AND</w:t>
            </w:r>
          </w:p>
          <w:p w:rsidR="00BE6AFF" w:rsidRPr="00DD5189" w:rsidRDefault="00BE6AFF" w:rsidP="00A9746B">
            <w:pPr>
              <w:rPr>
                <w:rFonts w:ascii="Arial Narrow" w:hAnsi="Arial Narrow"/>
                <w:sz w:val="20"/>
                <w:szCs w:val="20"/>
              </w:rPr>
            </w:pPr>
            <w:r w:rsidRPr="008D781B">
              <w:rPr>
                <w:rFonts w:ascii="Arial Narrow" w:hAnsi="Arial Narrow"/>
                <w:sz w:val="20"/>
                <w:szCs w:val="20"/>
              </w:rPr>
              <w:t>Patient must have deficient mismatch repair (dMMR) colorectal cancer, as determined by immunohistochemistry test</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b/>
                <w:sz w:val="20"/>
                <w:szCs w:val="20"/>
              </w:rPr>
            </w:pPr>
            <w:r>
              <w:rPr>
                <w:rFonts w:ascii="Arial Narrow" w:hAnsi="Arial Narrow"/>
                <w:b/>
                <w:sz w:val="20"/>
                <w:szCs w:val="20"/>
              </w:rPr>
              <w:t>Treatment criteria</w:t>
            </w:r>
            <w:r w:rsidRPr="00DD5189">
              <w:rPr>
                <w:rFonts w:ascii="Arial Narrow" w:hAnsi="Arial Narrow"/>
                <w:b/>
                <w:sz w:val="20"/>
                <w:szCs w:val="20"/>
              </w:rPr>
              <w:t>:</w:t>
            </w: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snapToGrid w:val="0"/>
              <w:rPr>
                <w:rFonts w:ascii="Arial Narrow" w:hAnsi="Arial Narrow"/>
                <w:sz w:val="20"/>
                <w:szCs w:val="20"/>
              </w:rPr>
            </w:pPr>
            <w:r w:rsidRPr="00AF59D9">
              <w:rPr>
                <w:rFonts w:ascii="Arial Narrow" w:hAnsi="Arial Narrow"/>
                <w:sz w:val="20"/>
                <w:szCs w:val="20"/>
              </w:rPr>
              <w:t>The treatment must not exceed a total of 7 doses under this restriction</w:t>
            </w:r>
            <w:r w:rsidRPr="00DD5189">
              <w:rPr>
                <w:rFonts w:ascii="Arial Narrow" w:hAnsi="Arial Narrow"/>
                <w:sz w:val="20"/>
                <w:szCs w:val="20"/>
              </w:rPr>
              <w:t>.</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b/>
                <w:sz w:val="20"/>
                <w:szCs w:val="20"/>
              </w:rPr>
            </w:pPr>
            <w:r w:rsidRPr="00DD5189">
              <w:rPr>
                <w:rFonts w:ascii="Arial Narrow" w:hAnsi="Arial Narrow"/>
                <w:b/>
                <w:sz w:val="20"/>
                <w:szCs w:val="20"/>
              </w:rPr>
              <w:t>Administrative Advice:</w:t>
            </w: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sz w:val="20"/>
                <w:szCs w:val="20"/>
              </w:rPr>
            </w:pPr>
            <w:r w:rsidRPr="00AF59D9">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rPr>
                <w:b/>
              </w:rPr>
            </w:pPr>
            <w:r w:rsidRPr="00DD5189">
              <w:rPr>
                <w:b/>
              </w:rPr>
              <w:t>Category / Program</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rPr>
                <w:vertAlign w:val="superscript"/>
              </w:rPr>
            </w:pPr>
            <w:r w:rsidRPr="00DD5189">
              <w:t>Section 100 – Efficient Funding of Chemotherapy</w:t>
            </w:r>
            <w:r>
              <w:t xml:space="preserve"> </w:t>
            </w:r>
            <w:r w:rsidRPr="00673A45">
              <w:t>Public/Private hospitals</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rPr>
                <w:b/>
              </w:rPr>
            </w:pPr>
            <w:r w:rsidRPr="00DD5189">
              <w:rPr>
                <w:rFonts w:cs="Arial"/>
                <w:b/>
                <w:szCs w:val="20"/>
              </w:rPr>
              <w:t>Prescriber type:</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pPr>
            <w:r w:rsidRPr="00DD5189">
              <w:rPr>
                <w:rFonts w:cs="Arial"/>
                <w:szCs w:val="20"/>
              </w:rPr>
              <w:fldChar w:fldCharType="begin">
                <w:ffData>
                  <w:name w:val="Check1"/>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Dental  </w:t>
            </w:r>
            <w:r w:rsidRPr="00DD5189">
              <w:rPr>
                <w:rFonts w:cs="Arial"/>
                <w:szCs w:val="20"/>
              </w:rPr>
              <w:fldChar w:fldCharType="begin">
                <w:ffData>
                  <w:name w:val=""/>
                  <w:enabled/>
                  <w:calcOnExit w:val="0"/>
                  <w:checkBox>
                    <w:sizeAuto/>
                    <w:default w:val="1"/>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Medical Practitioners  </w:t>
            </w:r>
            <w:r w:rsidRPr="00DD5189">
              <w:rPr>
                <w:rFonts w:cs="Arial"/>
                <w:szCs w:val="20"/>
              </w:rPr>
              <w:fldChar w:fldCharType="begin">
                <w:ffData>
                  <w:name w:val="Check3"/>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Nurse practitioners  </w:t>
            </w:r>
            <w:r w:rsidRPr="00DD5189">
              <w:rPr>
                <w:rFonts w:cs="Arial"/>
                <w:szCs w:val="20"/>
              </w:rPr>
              <w:fldChar w:fldCharType="begin">
                <w:ffData>
                  <w:name w:val=""/>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Optometrists </w:t>
            </w:r>
            <w:r w:rsidRPr="00DD5189">
              <w:rPr>
                <w:rFonts w:cs="Arial"/>
                <w:szCs w:val="20"/>
              </w:rPr>
              <w:fldChar w:fldCharType="begin">
                <w:ffData>
                  <w:name w:val="Check5"/>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Midwives</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b/>
                <w:snapToGrid w:val="0"/>
                <w:sz w:val="20"/>
                <w:szCs w:val="20"/>
              </w:rPr>
            </w:pPr>
            <w:r w:rsidRPr="00DD5189">
              <w:rPr>
                <w:rFonts w:ascii="Arial Narrow" w:hAnsi="Arial Narrow"/>
                <w:b/>
                <w:snapToGrid w:val="0"/>
                <w:sz w:val="20"/>
                <w:szCs w:val="20"/>
              </w:rPr>
              <w:t>Condition:</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sz w:val="20"/>
                <w:szCs w:val="20"/>
              </w:rPr>
            </w:pPr>
            <w:r w:rsidRPr="00C454FB">
              <w:rPr>
                <w:rFonts w:ascii="Arial Narrow" w:hAnsi="Arial Narrow"/>
                <w:strike/>
                <w:sz w:val="20"/>
                <w:szCs w:val="20"/>
              </w:rPr>
              <w:t>Stage IV (metastatic)</w:t>
            </w:r>
            <w:r w:rsidRPr="008D781B">
              <w:rPr>
                <w:rFonts w:ascii="Arial Narrow" w:hAnsi="Arial Narrow"/>
                <w:sz w:val="20"/>
                <w:szCs w:val="20"/>
              </w:rPr>
              <w:t xml:space="preserve"> colorectal cancer</w:t>
            </w:r>
          </w:p>
        </w:tc>
      </w:tr>
      <w:tr w:rsidR="00C454FB"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C454FB" w:rsidRPr="00DD5189" w:rsidRDefault="00C454FB" w:rsidP="00A9746B">
            <w:pPr>
              <w:rPr>
                <w:rFonts w:ascii="Arial Narrow" w:hAnsi="Arial Narrow"/>
                <w:b/>
                <w:sz w:val="20"/>
                <w:szCs w:val="20"/>
              </w:rPr>
            </w:pPr>
            <w:r>
              <w:rPr>
                <w:rFonts w:ascii="Arial Narrow" w:hAnsi="Arial Narrow"/>
                <w:b/>
                <w:sz w:val="20"/>
                <w:szCs w:val="20"/>
              </w:rPr>
              <w:t>Severity:</w:t>
            </w:r>
          </w:p>
        </w:tc>
        <w:tc>
          <w:tcPr>
            <w:tcW w:w="7185" w:type="dxa"/>
            <w:gridSpan w:val="5"/>
            <w:tcBorders>
              <w:top w:val="single" w:sz="4" w:space="0" w:color="auto"/>
              <w:left w:val="single" w:sz="4" w:space="0" w:color="auto"/>
              <w:bottom w:val="single" w:sz="4" w:space="0" w:color="auto"/>
              <w:right w:val="single" w:sz="4" w:space="0" w:color="auto"/>
            </w:tcBorders>
          </w:tcPr>
          <w:p w:rsidR="00C454FB" w:rsidRPr="00C454FB" w:rsidRDefault="00C454FB" w:rsidP="00A9746B">
            <w:pPr>
              <w:rPr>
                <w:rFonts w:ascii="Arial Narrow" w:hAnsi="Arial Narrow"/>
                <w:i/>
                <w:sz w:val="20"/>
                <w:szCs w:val="20"/>
              </w:rPr>
            </w:pPr>
            <w:r w:rsidRPr="00C454FB">
              <w:rPr>
                <w:rFonts w:ascii="Arial Narrow" w:hAnsi="Arial Narrow"/>
                <w:i/>
                <w:sz w:val="20"/>
                <w:szCs w:val="20"/>
              </w:rPr>
              <w:t>metastatic</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b/>
                <w:sz w:val="20"/>
                <w:szCs w:val="20"/>
              </w:rPr>
            </w:pPr>
            <w:r w:rsidRPr="00DD5189">
              <w:rPr>
                <w:rFonts w:ascii="Arial Narrow" w:hAnsi="Arial Narrow"/>
                <w:b/>
                <w:sz w:val="20"/>
                <w:szCs w:val="20"/>
              </w:rPr>
              <w:t>PBS Indication:</w:t>
            </w: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sz w:val="20"/>
                <w:szCs w:val="20"/>
              </w:rPr>
            </w:pPr>
            <w:r w:rsidRPr="00C454FB">
              <w:rPr>
                <w:rFonts w:ascii="Arial Narrow" w:hAnsi="Arial Narrow"/>
                <w:strike/>
                <w:sz w:val="20"/>
                <w:szCs w:val="20"/>
              </w:rPr>
              <w:t xml:space="preserve">Stage IV </w:t>
            </w:r>
            <w:r w:rsidRPr="008D781B">
              <w:rPr>
                <w:rFonts w:ascii="Arial Narrow" w:hAnsi="Arial Narrow"/>
                <w:sz w:val="20"/>
                <w:szCs w:val="20"/>
              </w:rPr>
              <w:t xml:space="preserve">metastatic </w:t>
            </w:r>
            <w:r w:rsidRPr="00C454FB">
              <w:rPr>
                <w:rFonts w:ascii="Arial Narrow" w:hAnsi="Arial Narrow"/>
                <w:strike/>
                <w:sz w:val="20"/>
                <w:szCs w:val="20"/>
              </w:rPr>
              <w:t>dMMR</w:t>
            </w:r>
            <w:r w:rsidRPr="008D781B">
              <w:rPr>
                <w:rFonts w:ascii="Arial Narrow" w:hAnsi="Arial Narrow"/>
                <w:sz w:val="20"/>
                <w:szCs w:val="20"/>
              </w:rPr>
              <w:t xml:space="preserve"> colorectal cancer</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b/>
                <w:sz w:val="20"/>
                <w:szCs w:val="20"/>
              </w:rPr>
            </w:pPr>
            <w:r w:rsidRPr="00DD5189">
              <w:rPr>
                <w:rFonts w:ascii="Arial Narrow" w:hAnsi="Arial Narrow"/>
                <w:b/>
                <w:sz w:val="20"/>
                <w:szCs w:val="20"/>
              </w:rPr>
              <w:t>Treatment phase:</w:t>
            </w: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sz w:val="20"/>
                <w:szCs w:val="20"/>
              </w:rPr>
            </w:pPr>
            <w:r w:rsidRPr="00DD5189">
              <w:rPr>
                <w:rFonts w:ascii="Arial Narrow" w:hAnsi="Arial Narrow"/>
                <w:sz w:val="20"/>
                <w:szCs w:val="20"/>
              </w:rPr>
              <w:t>Continuing treatment</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sz w:val="20"/>
                <w:szCs w:val="20"/>
              </w:rPr>
            </w:pPr>
            <w:r w:rsidRPr="00DD5189">
              <w:rPr>
                <w:rFonts w:ascii="Arial Narrow" w:hAnsi="Arial Narrow"/>
                <w:b/>
                <w:sz w:val="20"/>
                <w:szCs w:val="20"/>
              </w:rPr>
              <w:t>Restriction:</w:t>
            </w: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sz w:val="20"/>
                <w:szCs w:val="20"/>
              </w:rPr>
            </w:pPr>
            <w:r w:rsidRPr="00DD5189">
              <w:rPr>
                <w:rFonts w:ascii="Arial Narrow" w:hAnsi="Arial Narrow"/>
                <w:sz w:val="20"/>
                <w:szCs w:val="20"/>
              </w:rPr>
              <w:t xml:space="preserve">Authority Required </w:t>
            </w:r>
            <w:r>
              <w:rPr>
                <w:rFonts w:ascii="Arial Narrow" w:hAnsi="Arial Narrow"/>
                <w:sz w:val="20"/>
                <w:szCs w:val="20"/>
              </w:rPr>
              <w:t>–</w:t>
            </w:r>
            <w:r w:rsidRPr="00DD5189">
              <w:rPr>
                <w:rFonts w:ascii="Arial Narrow" w:hAnsi="Arial Narrow"/>
                <w:sz w:val="20"/>
                <w:szCs w:val="20"/>
              </w:rPr>
              <w:t xml:space="preserve"> </w:t>
            </w:r>
            <w:r>
              <w:rPr>
                <w:rFonts w:ascii="Arial Narrow" w:hAnsi="Arial Narrow"/>
                <w:sz w:val="20"/>
                <w:szCs w:val="20"/>
              </w:rPr>
              <w:t>Streamed line [New existing code]</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b/>
                <w:sz w:val="20"/>
                <w:szCs w:val="20"/>
              </w:rPr>
            </w:pPr>
            <w:r w:rsidRPr="00DD5189">
              <w:rPr>
                <w:rFonts w:ascii="Arial Narrow" w:hAnsi="Arial Narrow"/>
                <w:b/>
                <w:sz w:val="20"/>
                <w:szCs w:val="20"/>
              </w:rPr>
              <w:t>Clinical criteria:</w:t>
            </w:r>
          </w:p>
          <w:p w:rsidR="00BE6AFF" w:rsidRPr="00DD5189" w:rsidRDefault="00BE6AFF" w:rsidP="00A9746B">
            <w:pPr>
              <w:rPr>
                <w:rFonts w:ascii="Arial Narrow" w:hAnsi="Arial Narrow"/>
                <w:sz w:val="20"/>
                <w:szCs w:val="20"/>
              </w:rPr>
            </w:pP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673A45" w:rsidRDefault="00BE6AFF" w:rsidP="00A9746B">
            <w:pPr>
              <w:rPr>
                <w:rFonts w:ascii="Arial Narrow" w:hAnsi="Arial Narrow"/>
                <w:sz w:val="20"/>
                <w:szCs w:val="20"/>
              </w:rPr>
            </w:pPr>
            <w:r w:rsidRPr="00673A45">
              <w:rPr>
                <w:rFonts w:ascii="Arial Narrow" w:hAnsi="Arial Narrow"/>
                <w:sz w:val="20"/>
                <w:szCs w:val="20"/>
              </w:rPr>
              <w:t>Patient must have previously received PBS-subsidised treatment with this drug for this condition,</w:t>
            </w:r>
          </w:p>
          <w:p w:rsidR="00BE6AFF" w:rsidRPr="00673A45" w:rsidRDefault="00BE6AFF" w:rsidP="00A9746B">
            <w:pPr>
              <w:rPr>
                <w:rFonts w:ascii="Arial Narrow" w:hAnsi="Arial Narrow"/>
                <w:sz w:val="20"/>
                <w:szCs w:val="20"/>
              </w:rPr>
            </w:pPr>
            <w:r w:rsidRPr="00673A45">
              <w:rPr>
                <w:rFonts w:ascii="Arial Narrow" w:hAnsi="Arial Narrow"/>
                <w:sz w:val="20"/>
                <w:szCs w:val="20"/>
              </w:rPr>
              <w:t>AND</w:t>
            </w:r>
          </w:p>
          <w:p w:rsidR="00BE6AFF" w:rsidRPr="00DD5189" w:rsidRDefault="00BE6AFF" w:rsidP="00A9746B">
            <w:pPr>
              <w:rPr>
                <w:rFonts w:ascii="Arial Narrow" w:hAnsi="Arial Narrow"/>
                <w:sz w:val="20"/>
                <w:szCs w:val="20"/>
              </w:rPr>
            </w:pPr>
            <w:r w:rsidRPr="00673A45">
              <w:rPr>
                <w:rFonts w:ascii="Arial Narrow" w:hAnsi="Arial Narrow"/>
                <w:sz w:val="20"/>
                <w:szCs w:val="20"/>
              </w:rPr>
              <w:t>Patient must not have progressive disease while receiving PBS-subsidised treatment wit</w:t>
            </w:r>
            <w:r>
              <w:rPr>
                <w:rFonts w:ascii="Arial Narrow" w:hAnsi="Arial Narrow"/>
                <w:sz w:val="20"/>
                <w:szCs w:val="20"/>
              </w:rPr>
              <w:t>h this drug for this condition.</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b/>
                <w:sz w:val="20"/>
                <w:szCs w:val="20"/>
              </w:rPr>
            </w:pPr>
            <w:r>
              <w:rPr>
                <w:rFonts w:ascii="Arial Narrow" w:hAnsi="Arial Narrow"/>
                <w:b/>
                <w:sz w:val="20"/>
                <w:szCs w:val="20"/>
              </w:rPr>
              <w:t>Treatment criteria</w:t>
            </w:r>
            <w:r w:rsidRPr="00DD5189">
              <w:rPr>
                <w:rFonts w:ascii="Arial Narrow" w:hAnsi="Arial Narrow"/>
                <w:b/>
                <w:sz w:val="20"/>
                <w:szCs w:val="20"/>
              </w:rPr>
              <w:t>:</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sz w:val="20"/>
                <w:szCs w:val="20"/>
              </w:rPr>
            </w:pPr>
            <w:r w:rsidRPr="00673A45">
              <w:rPr>
                <w:rFonts w:ascii="Arial Narrow" w:hAnsi="Arial Narrow"/>
                <w:sz w:val="20"/>
                <w:szCs w:val="20"/>
              </w:rPr>
              <w:t>The treatment must not exceed a total of 35 cycles or up to 24 months of treatment under this restriction</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rPr>
                <w:b/>
              </w:rPr>
            </w:pPr>
            <w:r w:rsidRPr="00DD5189">
              <w:rPr>
                <w:b/>
              </w:rPr>
              <w:t>Category / Program</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rPr>
                <w:vertAlign w:val="superscript"/>
              </w:rPr>
            </w:pPr>
            <w:r w:rsidRPr="00DD5189">
              <w:t>Section 100 – Efficient Funding of Chemotherapy</w:t>
            </w:r>
            <w:r>
              <w:t xml:space="preserve"> Public/Private hospitals</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rPr>
                <w:b/>
              </w:rPr>
            </w:pPr>
            <w:r w:rsidRPr="00DD5189">
              <w:rPr>
                <w:rFonts w:cs="Arial"/>
                <w:b/>
                <w:szCs w:val="20"/>
              </w:rPr>
              <w:t>Prescriber type:</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DD5189" w:rsidRDefault="00BE6AFF" w:rsidP="00A9746B">
            <w:pPr>
              <w:pStyle w:val="Tabletext"/>
            </w:pPr>
            <w:r w:rsidRPr="00DD5189">
              <w:rPr>
                <w:rFonts w:cs="Arial"/>
                <w:szCs w:val="20"/>
              </w:rPr>
              <w:fldChar w:fldCharType="begin">
                <w:ffData>
                  <w:name w:val="Check1"/>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Dental  </w:t>
            </w:r>
            <w:r w:rsidRPr="00DD5189">
              <w:rPr>
                <w:rFonts w:cs="Arial"/>
                <w:szCs w:val="20"/>
              </w:rPr>
              <w:fldChar w:fldCharType="begin">
                <w:ffData>
                  <w:name w:val=""/>
                  <w:enabled/>
                  <w:calcOnExit w:val="0"/>
                  <w:checkBox>
                    <w:sizeAuto/>
                    <w:default w:val="1"/>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Medical Practitioners  </w:t>
            </w:r>
            <w:r w:rsidRPr="00DD5189">
              <w:rPr>
                <w:rFonts w:cs="Arial"/>
                <w:szCs w:val="20"/>
              </w:rPr>
              <w:fldChar w:fldCharType="begin">
                <w:ffData>
                  <w:name w:val="Check3"/>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Nurse practitioners  </w:t>
            </w:r>
            <w:r w:rsidRPr="00DD5189">
              <w:rPr>
                <w:rFonts w:cs="Arial"/>
                <w:szCs w:val="20"/>
              </w:rPr>
              <w:fldChar w:fldCharType="begin">
                <w:ffData>
                  <w:name w:val=""/>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 xml:space="preserve">Optometrists </w:t>
            </w:r>
            <w:r w:rsidRPr="00DD5189">
              <w:rPr>
                <w:rFonts w:cs="Arial"/>
                <w:szCs w:val="20"/>
              </w:rPr>
              <w:fldChar w:fldCharType="begin">
                <w:ffData>
                  <w:name w:val="Check5"/>
                  <w:enabled/>
                  <w:calcOnExit w:val="0"/>
                  <w:checkBox>
                    <w:sizeAuto/>
                    <w:default w:val="0"/>
                  </w:checkBox>
                </w:ffData>
              </w:fldChar>
            </w:r>
            <w:r w:rsidRPr="00DD5189">
              <w:rPr>
                <w:rFonts w:cs="Arial"/>
                <w:szCs w:val="20"/>
              </w:rPr>
              <w:instrText xml:space="preserve"> FORMCHECKBOX </w:instrText>
            </w:r>
            <w:r w:rsidR="00205961">
              <w:rPr>
                <w:rFonts w:cs="Arial"/>
                <w:szCs w:val="20"/>
              </w:rPr>
            </w:r>
            <w:r w:rsidR="00205961">
              <w:rPr>
                <w:rFonts w:cs="Arial"/>
                <w:szCs w:val="20"/>
              </w:rPr>
              <w:fldChar w:fldCharType="separate"/>
            </w:r>
            <w:r w:rsidRPr="00DD5189">
              <w:rPr>
                <w:rFonts w:cs="Arial"/>
                <w:szCs w:val="20"/>
              </w:rPr>
              <w:fldChar w:fldCharType="end"/>
            </w:r>
            <w:r w:rsidRPr="00DD5189">
              <w:rPr>
                <w:rFonts w:cs="Arial"/>
                <w:szCs w:val="20"/>
              </w:rPr>
              <w:t>Midwives</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b/>
                <w:snapToGrid w:val="0"/>
                <w:sz w:val="20"/>
                <w:szCs w:val="20"/>
              </w:rPr>
            </w:pPr>
            <w:r w:rsidRPr="00DD5189">
              <w:rPr>
                <w:rFonts w:ascii="Arial Narrow" w:hAnsi="Arial Narrow"/>
                <w:b/>
                <w:snapToGrid w:val="0"/>
                <w:sz w:val="20"/>
                <w:szCs w:val="20"/>
              </w:rPr>
              <w:t>Condition:</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sz w:val="20"/>
                <w:szCs w:val="20"/>
              </w:rPr>
            </w:pPr>
            <w:r w:rsidRPr="00C454FB">
              <w:rPr>
                <w:rFonts w:ascii="Arial Narrow" w:hAnsi="Arial Narrow"/>
                <w:strike/>
                <w:sz w:val="20"/>
                <w:szCs w:val="20"/>
              </w:rPr>
              <w:t>Stage IV (metastatic)</w:t>
            </w:r>
            <w:r w:rsidRPr="008D781B">
              <w:rPr>
                <w:rFonts w:ascii="Arial Narrow" w:hAnsi="Arial Narrow"/>
                <w:sz w:val="20"/>
                <w:szCs w:val="20"/>
              </w:rPr>
              <w:t xml:space="preserve"> colorectal cancer</w:t>
            </w:r>
          </w:p>
        </w:tc>
      </w:tr>
      <w:tr w:rsidR="00C454FB" w:rsidRPr="00DD5189" w:rsidTr="00527305">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C454FB" w:rsidRPr="00DD5189" w:rsidRDefault="00C454FB" w:rsidP="00527305">
            <w:pPr>
              <w:rPr>
                <w:rFonts w:ascii="Arial Narrow" w:hAnsi="Arial Narrow"/>
                <w:b/>
                <w:sz w:val="20"/>
                <w:szCs w:val="20"/>
              </w:rPr>
            </w:pPr>
            <w:r>
              <w:rPr>
                <w:rFonts w:ascii="Arial Narrow" w:hAnsi="Arial Narrow"/>
                <w:b/>
                <w:sz w:val="20"/>
                <w:szCs w:val="20"/>
              </w:rPr>
              <w:t>Severity:</w:t>
            </w:r>
          </w:p>
        </w:tc>
        <w:tc>
          <w:tcPr>
            <w:tcW w:w="7185" w:type="dxa"/>
            <w:gridSpan w:val="5"/>
            <w:tcBorders>
              <w:top w:val="single" w:sz="4" w:space="0" w:color="auto"/>
              <w:left w:val="single" w:sz="4" w:space="0" w:color="auto"/>
              <w:bottom w:val="single" w:sz="4" w:space="0" w:color="auto"/>
              <w:right w:val="single" w:sz="4" w:space="0" w:color="auto"/>
            </w:tcBorders>
          </w:tcPr>
          <w:p w:rsidR="00C454FB" w:rsidRPr="00C454FB" w:rsidRDefault="00C454FB" w:rsidP="00527305">
            <w:pPr>
              <w:rPr>
                <w:rFonts w:ascii="Arial Narrow" w:hAnsi="Arial Narrow"/>
                <w:i/>
                <w:sz w:val="20"/>
                <w:szCs w:val="20"/>
              </w:rPr>
            </w:pPr>
            <w:r w:rsidRPr="00C454FB">
              <w:rPr>
                <w:rFonts w:ascii="Arial Narrow" w:hAnsi="Arial Narrow"/>
                <w:i/>
                <w:sz w:val="20"/>
                <w:szCs w:val="20"/>
              </w:rPr>
              <w:t>metastatic</w:t>
            </w:r>
          </w:p>
        </w:tc>
      </w:tr>
      <w:tr w:rsidR="00BE6AFF" w:rsidRPr="00DD5189" w:rsidTr="00E02233">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b/>
                <w:sz w:val="20"/>
                <w:szCs w:val="20"/>
              </w:rPr>
            </w:pPr>
            <w:r w:rsidRPr="00DD5189">
              <w:rPr>
                <w:rFonts w:ascii="Arial Narrow" w:hAnsi="Arial Narrow"/>
                <w:b/>
                <w:sz w:val="20"/>
                <w:szCs w:val="20"/>
              </w:rPr>
              <w:t>PBS Indication:</w:t>
            </w: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DD5189" w:rsidRDefault="00BE6AFF" w:rsidP="00C454FB">
            <w:pPr>
              <w:rPr>
                <w:rFonts w:ascii="Arial Narrow" w:hAnsi="Arial Narrow"/>
                <w:sz w:val="20"/>
                <w:szCs w:val="20"/>
              </w:rPr>
            </w:pPr>
            <w:r w:rsidRPr="00C454FB">
              <w:rPr>
                <w:rFonts w:ascii="Arial Narrow" w:hAnsi="Arial Narrow"/>
                <w:strike/>
                <w:sz w:val="20"/>
                <w:szCs w:val="20"/>
              </w:rPr>
              <w:t>Stage IV</w:t>
            </w:r>
            <w:r w:rsidRPr="008D781B">
              <w:rPr>
                <w:rFonts w:ascii="Arial Narrow" w:hAnsi="Arial Narrow"/>
                <w:sz w:val="20"/>
                <w:szCs w:val="20"/>
              </w:rPr>
              <w:t>metastatic</w:t>
            </w:r>
            <w:r w:rsidR="00C454FB">
              <w:rPr>
                <w:rFonts w:ascii="Arial Narrow" w:hAnsi="Arial Narrow"/>
                <w:sz w:val="20"/>
                <w:szCs w:val="20"/>
              </w:rPr>
              <w:t xml:space="preserve"> </w:t>
            </w:r>
            <w:r w:rsidRPr="00C454FB">
              <w:rPr>
                <w:rFonts w:ascii="Arial Narrow" w:hAnsi="Arial Narrow"/>
                <w:strike/>
                <w:sz w:val="20"/>
                <w:szCs w:val="20"/>
              </w:rPr>
              <w:t xml:space="preserve"> dMMR</w:t>
            </w:r>
            <w:r w:rsidRPr="008D781B">
              <w:rPr>
                <w:rFonts w:ascii="Arial Narrow" w:hAnsi="Arial Narrow"/>
                <w:sz w:val="20"/>
                <w:szCs w:val="20"/>
              </w:rPr>
              <w:t xml:space="preserve"> colorectal cancer</w:t>
            </w:r>
          </w:p>
        </w:tc>
      </w:tr>
      <w:tr w:rsidR="00BE6AFF" w:rsidRPr="00DD5189" w:rsidTr="00ED14E9">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b/>
                <w:sz w:val="20"/>
                <w:szCs w:val="20"/>
              </w:rPr>
            </w:pPr>
            <w:r w:rsidRPr="00DD5189">
              <w:rPr>
                <w:rFonts w:ascii="Arial Narrow" w:hAnsi="Arial Narrow"/>
                <w:b/>
                <w:sz w:val="20"/>
                <w:szCs w:val="20"/>
              </w:rPr>
              <w:t>Treatment phase:</w:t>
            </w:r>
          </w:p>
        </w:tc>
        <w:tc>
          <w:tcPr>
            <w:tcW w:w="7185" w:type="dxa"/>
            <w:gridSpan w:val="5"/>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sz w:val="20"/>
                <w:szCs w:val="20"/>
              </w:rPr>
            </w:pPr>
            <w:r w:rsidRPr="00DD5189">
              <w:rPr>
                <w:rFonts w:ascii="Arial Narrow" w:hAnsi="Arial Narrow"/>
                <w:sz w:val="20"/>
                <w:szCs w:val="20"/>
              </w:rPr>
              <w:t>Initial treatment – Grandfather patients</w:t>
            </w:r>
          </w:p>
        </w:tc>
      </w:tr>
      <w:tr w:rsidR="00BE6AFF" w:rsidRPr="00DD5189" w:rsidTr="00ED14E9">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sz w:val="20"/>
                <w:szCs w:val="20"/>
              </w:rPr>
            </w:pPr>
            <w:r w:rsidRPr="00DD5189">
              <w:rPr>
                <w:rFonts w:ascii="Arial Narrow" w:hAnsi="Arial Narrow"/>
                <w:b/>
                <w:sz w:val="20"/>
                <w:szCs w:val="20"/>
              </w:rPr>
              <w:t>Restriction:</w:t>
            </w:r>
          </w:p>
        </w:tc>
        <w:tc>
          <w:tcPr>
            <w:tcW w:w="7185" w:type="dxa"/>
            <w:gridSpan w:val="5"/>
            <w:tcBorders>
              <w:top w:val="single" w:sz="4" w:space="0" w:color="auto"/>
              <w:left w:val="single" w:sz="4" w:space="0" w:color="auto"/>
              <w:bottom w:val="single" w:sz="4" w:space="0" w:color="000000"/>
              <w:right w:val="single" w:sz="4" w:space="0" w:color="auto"/>
            </w:tcBorders>
          </w:tcPr>
          <w:p w:rsidR="00BE6AFF" w:rsidRPr="00DD5189" w:rsidRDefault="00BE6AFF" w:rsidP="007E0411">
            <w:pPr>
              <w:rPr>
                <w:rFonts w:ascii="Arial Narrow" w:hAnsi="Arial Narrow"/>
                <w:sz w:val="20"/>
                <w:szCs w:val="20"/>
              </w:rPr>
            </w:pPr>
            <w:r w:rsidRPr="00DD5189">
              <w:rPr>
                <w:rFonts w:ascii="Arial Narrow" w:hAnsi="Arial Narrow"/>
                <w:sz w:val="20"/>
                <w:szCs w:val="20"/>
              </w:rPr>
              <w:fldChar w:fldCharType="begin">
                <w:ffData>
                  <w:name w:val=""/>
                  <w:enabled/>
                  <w:calcOnExit w:val="0"/>
                  <w:checkBox>
                    <w:sizeAuto/>
                    <w:default w:val="1"/>
                  </w:checkBox>
                </w:ffData>
              </w:fldChar>
            </w:r>
            <w:r w:rsidRPr="00DD5189">
              <w:rPr>
                <w:rFonts w:ascii="Arial Narrow" w:hAnsi="Arial Narrow"/>
                <w:sz w:val="20"/>
                <w:szCs w:val="20"/>
              </w:rPr>
              <w:instrText xml:space="preserve"> FORMCHECKBOX </w:instrText>
            </w:r>
            <w:r w:rsidR="00205961">
              <w:rPr>
                <w:rFonts w:ascii="Arial Narrow" w:hAnsi="Arial Narrow"/>
                <w:sz w:val="20"/>
                <w:szCs w:val="20"/>
              </w:rPr>
            </w:r>
            <w:r w:rsidR="00205961">
              <w:rPr>
                <w:rFonts w:ascii="Arial Narrow" w:hAnsi="Arial Narrow"/>
                <w:sz w:val="20"/>
                <w:szCs w:val="20"/>
              </w:rPr>
              <w:fldChar w:fldCharType="separate"/>
            </w:r>
            <w:r w:rsidRPr="00DD5189">
              <w:rPr>
                <w:rFonts w:ascii="Arial Narrow" w:hAnsi="Arial Narrow"/>
                <w:sz w:val="20"/>
                <w:szCs w:val="20"/>
              </w:rPr>
              <w:fldChar w:fldCharType="end"/>
            </w:r>
            <w:r w:rsidRPr="00DD5189">
              <w:rPr>
                <w:rFonts w:ascii="Arial Narrow" w:hAnsi="Arial Narrow"/>
                <w:sz w:val="20"/>
                <w:szCs w:val="20"/>
              </w:rPr>
              <w:t xml:space="preserve">Authority Required - </w:t>
            </w:r>
            <w:r w:rsidR="007E0411">
              <w:rPr>
                <w:rFonts w:ascii="Arial Narrow" w:hAnsi="Arial Narrow"/>
                <w:sz w:val="20"/>
                <w:szCs w:val="20"/>
              </w:rPr>
              <w:t>Streamlined</w:t>
            </w:r>
          </w:p>
        </w:tc>
      </w:tr>
      <w:tr w:rsidR="00BE6AFF" w:rsidRPr="00DD5189" w:rsidTr="00ED14E9">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b/>
                <w:sz w:val="20"/>
                <w:szCs w:val="20"/>
              </w:rPr>
            </w:pPr>
            <w:r w:rsidRPr="00DD5189">
              <w:rPr>
                <w:rFonts w:ascii="Arial Narrow" w:hAnsi="Arial Narrow"/>
                <w:b/>
                <w:sz w:val="20"/>
                <w:szCs w:val="20"/>
              </w:rPr>
              <w:t>Clinical criteria:</w:t>
            </w:r>
          </w:p>
          <w:p w:rsidR="00BE6AFF" w:rsidRPr="00DD5189" w:rsidRDefault="00BE6AFF" w:rsidP="00A9746B">
            <w:pPr>
              <w:rPr>
                <w:rFonts w:ascii="Arial Narrow" w:hAnsi="Arial Narrow"/>
                <w:sz w:val="20"/>
                <w:szCs w:val="20"/>
              </w:rPr>
            </w:pPr>
          </w:p>
        </w:tc>
        <w:tc>
          <w:tcPr>
            <w:tcW w:w="7185" w:type="dxa"/>
            <w:gridSpan w:val="5"/>
            <w:tcBorders>
              <w:top w:val="single" w:sz="4" w:space="0" w:color="000000"/>
              <w:bottom w:val="single" w:sz="4" w:space="0" w:color="auto"/>
              <w:right w:val="single" w:sz="4" w:space="0" w:color="000000"/>
            </w:tcBorders>
            <w:vAlign w:val="center"/>
            <w:hideMark/>
          </w:tcPr>
          <w:p w:rsidR="00BE6AFF" w:rsidRPr="00CA5692" w:rsidRDefault="00BE6AFF" w:rsidP="00A9746B">
            <w:pPr>
              <w:rPr>
                <w:rFonts w:ascii="Arial Narrow" w:hAnsi="Arial Narrow" w:cs="Times New Roman"/>
                <w:color w:val="333333"/>
                <w:sz w:val="20"/>
                <w:szCs w:val="20"/>
              </w:rPr>
            </w:pPr>
            <w:r w:rsidRPr="00CA5692">
              <w:rPr>
                <w:rFonts w:ascii="Arial Narrow" w:hAnsi="Arial Narrow" w:cs="Times New Roman"/>
                <w:color w:val="333333"/>
                <w:sz w:val="20"/>
                <w:szCs w:val="20"/>
              </w:rPr>
              <w:t>Patient must have previously received non-PBS subsidised treatment with this drug for this condition prior to [PBS listing date]</w:t>
            </w:r>
          </w:p>
          <w:p w:rsidR="00BE6AFF" w:rsidRPr="00CA5692" w:rsidRDefault="00BE6AFF" w:rsidP="00A9746B">
            <w:pPr>
              <w:rPr>
                <w:rFonts w:ascii="Arial Narrow" w:hAnsi="Arial Narrow" w:cs="Times New Roman"/>
                <w:color w:val="333333"/>
                <w:sz w:val="20"/>
                <w:szCs w:val="20"/>
              </w:rPr>
            </w:pPr>
            <w:r w:rsidRPr="00CA5692">
              <w:rPr>
                <w:rFonts w:ascii="Arial Narrow" w:hAnsi="Arial Narrow" w:cs="Times New Roman"/>
                <w:b/>
                <w:bCs/>
                <w:color w:val="333333"/>
                <w:sz w:val="20"/>
                <w:szCs w:val="20"/>
              </w:rPr>
              <w:t>AND</w:t>
            </w:r>
          </w:p>
          <w:p w:rsidR="00BE6AFF" w:rsidRPr="00CA5692" w:rsidRDefault="00BE6AFF" w:rsidP="00A9746B">
            <w:pPr>
              <w:rPr>
                <w:rFonts w:ascii="Arial Narrow" w:hAnsi="Arial Narrow" w:cs="Times New Roman"/>
                <w:color w:val="333333"/>
                <w:sz w:val="20"/>
                <w:szCs w:val="20"/>
              </w:rPr>
            </w:pPr>
            <w:r w:rsidRPr="00CA5692">
              <w:rPr>
                <w:rFonts w:ascii="Arial Narrow" w:hAnsi="Arial Narrow" w:cs="Times New Roman"/>
                <w:color w:val="333333"/>
                <w:sz w:val="20"/>
                <w:szCs w:val="20"/>
              </w:rPr>
              <w:t>Patient must not have received prior PBS funded treatment with a programmed cell death-1 (PD-1) inhibitor or a programmed cell death ligand-1 (PD-L1) inhibitor for colorectal cancer</w:t>
            </w:r>
          </w:p>
          <w:p w:rsidR="00BE6AFF" w:rsidRPr="00CA5692" w:rsidRDefault="00BE6AFF" w:rsidP="00A9746B">
            <w:pPr>
              <w:rPr>
                <w:rFonts w:ascii="Arial Narrow" w:hAnsi="Arial Narrow" w:cs="Times New Roman"/>
                <w:color w:val="333333"/>
                <w:sz w:val="20"/>
                <w:szCs w:val="20"/>
              </w:rPr>
            </w:pPr>
            <w:r w:rsidRPr="00CA5692">
              <w:rPr>
                <w:rFonts w:ascii="Arial Narrow" w:hAnsi="Arial Narrow" w:cs="Times New Roman"/>
                <w:b/>
                <w:bCs/>
                <w:color w:val="333333"/>
                <w:sz w:val="20"/>
                <w:szCs w:val="20"/>
              </w:rPr>
              <w:t>AND</w:t>
            </w:r>
          </w:p>
          <w:p w:rsidR="00BE6AFF" w:rsidRPr="00CA5692" w:rsidRDefault="00BE6AFF" w:rsidP="00A9746B">
            <w:pPr>
              <w:rPr>
                <w:rFonts w:ascii="Arial Narrow" w:hAnsi="Arial Narrow" w:cs="Times New Roman"/>
                <w:bCs/>
                <w:color w:val="333333"/>
                <w:sz w:val="20"/>
                <w:szCs w:val="20"/>
              </w:rPr>
            </w:pPr>
            <w:r w:rsidRPr="00CA5692">
              <w:rPr>
                <w:rFonts w:ascii="Arial Narrow" w:hAnsi="Arial Narrow" w:cs="Times New Roman"/>
                <w:bCs/>
                <w:color w:val="333333"/>
                <w:sz w:val="20"/>
                <w:szCs w:val="20"/>
              </w:rPr>
              <w:t>Patient must not have had been treated for this condition in the metastatic setting prior to initiating non-PBS subsidised treatment with this drug for this condition,</w:t>
            </w:r>
          </w:p>
          <w:p w:rsidR="00BE6AFF" w:rsidRPr="00CA5692" w:rsidRDefault="00BE6AFF" w:rsidP="00A9746B">
            <w:pPr>
              <w:rPr>
                <w:rFonts w:ascii="Arial Narrow" w:hAnsi="Arial Narrow" w:cs="Times New Roman"/>
                <w:b/>
                <w:bCs/>
                <w:color w:val="333333"/>
                <w:sz w:val="20"/>
                <w:szCs w:val="20"/>
              </w:rPr>
            </w:pPr>
            <w:r w:rsidRPr="00CA5692">
              <w:rPr>
                <w:rFonts w:ascii="Arial Narrow" w:hAnsi="Arial Narrow" w:cs="Times New Roman"/>
                <w:b/>
                <w:bCs/>
                <w:color w:val="333333"/>
                <w:sz w:val="20"/>
                <w:szCs w:val="20"/>
              </w:rPr>
              <w:t>AND</w:t>
            </w:r>
          </w:p>
          <w:p w:rsidR="00BE6AFF" w:rsidRDefault="00BE6AFF" w:rsidP="00A9746B">
            <w:pPr>
              <w:rPr>
                <w:rFonts w:ascii="Arial Narrow" w:hAnsi="Arial Narrow" w:cs="Times New Roman"/>
                <w:bCs/>
                <w:color w:val="333333"/>
                <w:sz w:val="20"/>
                <w:szCs w:val="20"/>
              </w:rPr>
            </w:pPr>
            <w:r w:rsidRPr="00CA5692">
              <w:rPr>
                <w:rFonts w:ascii="Arial Narrow" w:hAnsi="Arial Narrow" w:cs="Times New Roman"/>
                <w:bCs/>
                <w:color w:val="333333"/>
                <w:sz w:val="20"/>
                <w:szCs w:val="20"/>
              </w:rPr>
              <w:t>Patient must have stable or responding disease,</w:t>
            </w:r>
          </w:p>
          <w:p w:rsidR="00C454FB" w:rsidRPr="00CA5692" w:rsidRDefault="00C454FB" w:rsidP="00A9746B">
            <w:pPr>
              <w:rPr>
                <w:rFonts w:ascii="Arial Narrow" w:hAnsi="Arial Narrow" w:cs="Times New Roman"/>
                <w:bCs/>
                <w:color w:val="333333"/>
                <w:sz w:val="20"/>
                <w:szCs w:val="20"/>
              </w:rPr>
            </w:pPr>
            <w:r>
              <w:rPr>
                <w:rFonts w:ascii="Arial Narrow" w:hAnsi="Arial Narrow" w:cs="Times New Roman"/>
                <w:bCs/>
                <w:color w:val="333333"/>
                <w:sz w:val="20"/>
                <w:szCs w:val="20"/>
              </w:rPr>
              <w:t>AND</w:t>
            </w:r>
          </w:p>
          <w:p w:rsidR="00BE6AFF" w:rsidRPr="00CA5692" w:rsidRDefault="00BE6AFF" w:rsidP="00A9746B">
            <w:pPr>
              <w:rPr>
                <w:rFonts w:ascii="Arial Narrow" w:hAnsi="Arial Narrow" w:cs="Times New Roman"/>
                <w:color w:val="333333"/>
                <w:sz w:val="20"/>
                <w:szCs w:val="20"/>
              </w:rPr>
            </w:pPr>
            <w:r w:rsidRPr="00CA5692">
              <w:rPr>
                <w:rFonts w:ascii="Arial Narrow" w:hAnsi="Arial Narrow" w:cs="Times New Roman"/>
                <w:color w:val="333333"/>
                <w:sz w:val="20"/>
                <w:szCs w:val="20"/>
              </w:rPr>
              <w:t>Patient must have a WHO performance status of 0 or 1,</w:t>
            </w:r>
          </w:p>
          <w:p w:rsidR="00BE6AFF" w:rsidRPr="00CA5692" w:rsidRDefault="00BE6AFF" w:rsidP="00A9746B">
            <w:pPr>
              <w:rPr>
                <w:rFonts w:ascii="Arial Narrow" w:hAnsi="Arial Narrow" w:cs="Times New Roman"/>
                <w:b/>
                <w:color w:val="333333"/>
                <w:sz w:val="20"/>
                <w:szCs w:val="20"/>
              </w:rPr>
            </w:pPr>
            <w:r w:rsidRPr="00CA5692">
              <w:rPr>
                <w:rFonts w:ascii="Arial Narrow" w:hAnsi="Arial Narrow" w:cs="Times New Roman"/>
                <w:b/>
                <w:color w:val="333333"/>
                <w:sz w:val="20"/>
                <w:szCs w:val="20"/>
              </w:rPr>
              <w:t>AND</w:t>
            </w:r>
          </w:p>
          <w:p w:rsidR="00BE6AFF" w:rsidRPr="00DD5189" w:rsidRDefault="00BE6AFF" w:rsidP="00A9746B">
            <w:pPr>
              <w:rPr>
                <w:rFonts w:ascii="Arial Narrow" w:hAnsi="Arial Narrow"/>
                <w:sz w:val="20"/>
                <w:szCs w:val="20"/>
              </w:rPr>
            </w:pPr>
            <w:r w:rsidRPr="00CA5692">
              <w:rPr>
                <w:rFonts w:ascii="Arial Narrow" w:hAnsi="Arial Narrow" w:cs="Times New Roman"/>
                <w:color w:val="333333"/>
                <w:sz w:val="20"/>
                <w:szCs w:val="20"/>
              </w:rPr>
              <w:t>Patient must have deficient mismatch repair (dMMR) colorectal cancer, as determined by immunohistochemistry test</w:t>
            </w:r>
          </w:p>
        </w:tc>
      </w:tr>
      <w:tr w:rsidR="00BE6AFF" w:rsidRPr="00DD5189" w:rsidTr="00ED14E9">
        <w:tblPrEx>
          <w:tblCellMar>
            <w:left w:w="108" w:type="dxa"/>
            <w:right w:w="108" w:type="dxa"/>
          </w:tblCellMar>
          <w:tblLook w:val="04A0" w:firstRow="1" w:lastRow="0" w:firstColumn="1" w:lastColumn="0" w:noHBand="0" w:noVBand="1"/>
        </w:tblPrEx>
        <w:trPr>
          <w:cantSplit/>
        </w:trPr>
        <w:tc>
          <w:tcPr>
            <w:tcW w:w="1843" w:type="dxa"/>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b/>
                <w:sz w:val="20"/>
                <w:szCs w:val="20"/>
              </w:rPr>
            </w:pPr>
            <w:r>
              <w:rPr>
                <w:rFonts w:ascii="Arial Narrow" w:hAnsi="Arial Narrow"/>
                <w:b/>
                <w:sz w:val="20"/>
                <w:szCs w:val="20"/>
              </w:rPr>
              <w:t>Treatment criteria</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DD5189" w:rsidRDefault="00BE6AFF" w:rsidP="00A9746B">
            <w:pPr>
              <w:rPr>
                <w:rFonts w:ascii="Arial Narrow" w:hAnsi="Arial Narrow"/>
                <w:sz w:val="20"/>
                <w:szCs w:val="20"/>
              </w:rPr>
            </w:pPr>
            <w:r w:rsidRPr="00CA5692">
              <w:rPr>
                <w:rFonts w:ascii="Arial Narrow" w:hAnsi="Arial Narrow"/>
                <w:sz w:val="20"/>
                <w:szCs w:val="20"/>
              </w:rPr>
              <w:t>The treatment must not exceed a total of 35 cycles or up to 24 months of treatment under this restriction</w:t>
            </w:r>
          </w:p>
        </w:tc>
      </w:tr>
      <w:tr w:rsidR="00BE6AFF" w:rsidRPr="00DD5189" w:rsidTr="00E02233">
        <w:tblPrEx>
          <w:tblCellMar>
            <w:left w:w="108" w:type="dxa"/>
            <w:right w:w="108" w:type="dxa"/>
          </w:tblCellMar>
          <w:tblLook w:val="04A0" w:firstRow="1" w:lastRow="0" w:firstColumn="1" w:lastColumn="0" w:noHBand="0" w:noVBand="1"/>
        </w:tblPrEx>
        <w:trPr>
          <w:cantSplit/>
          <w:trHeight w:val="576"/>
        </w:trPr>
        <w:tc>
          <w:tcPr>
            <w:tcW w:w="1843" w:type="dxa"/>
            <w:tcBorders>
              <w:top w:val="single" w:sz="4" w:space="0" w:color="auto"/>
              <w:left w:val="single" w:sz="4" w:space="0" w:color="auto"/>
              <w:bottom w:val="single" w:sz="4" w:space="0" w:color="auto"/>
              <w:right w:val="single" w:sz="4" w:space="0" w:color="auto"/>
            </w:tcBorders>
            <w:hideMark/>
          </w:tcPr>
          <w:p w:rsidR="00BE6AFF" w:rsidRPr="00DD5189" w:rsidRDefault="00BE6AFF" w:rsidP="00A9746B">
            <w:pPr>
              <w:rPr>
                <w:rFonts w:ascii="Arial Narrow" w:hAnsi="Arial Narrow"/>
                <w:b/>
                <w:sz w:val="20"/>
                <w:szCs w:val="20"/>
              </w:rPr>
            </w:pPr>
            <w:r w:rsidRPr="00DD5189">
              <w:rPr>
                <w:rFonts w:ascii="Arial Narrow" w:hAnsi="Arial Narrow"/>
                <w:b/>
                <w:sz w:val="20"/>
                <w:szCs w:val="20"/>
              </w:rPr>
              <w:t>Administrative Advice:</w:t>
            </w:r>
          </w:p>
        </w:tc>
        <w:tc>
          <w:tcPr>
            <w:tcW w:w="7185" w:type="dxa"/>
            <w:gridSpan w:val="5"/>
            <w:tcBorders>
              <w:top w:val="single" w:sz="4" w:space="0" w:color="auto"/>
              <w:left w:val="single" w:sz="4" w:space="0" w:color="auto"/>
              <w:bottom w:val="single" w:sz="4" w:space="0" w:color="auto"/>
              <w:right w:val="single" w:sz="4" w:space="0" w:color="auto"/>
            </w:tcBorders>
          </w:tcPr>
          <w:p w:rsidR="00BE6AFF" w:rsidRPr="00CA5692" w:rsidRDefault="00BE6AFF" w:rsidP="00A9746B">
            <w:pPr>
              <w:snapToGrid w:val="0"/>
              <w:rPr>
                <w:rFonts w:ascii="Arial Narrow" w:hAnsi="Arial Narrow"/>
                <w:sz w:val="20"/>
                <w:szCs w:val="20"/>
              </w:rPr>
            </w:pPr>
            <w:r w:rsidRPr="00CA5692">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BE6AFF" w:rsidRPr="00CA5692" w:rsidRDefault="00BE6AFF" w:rsidP="00A9746B">
            <w:pPr>
              <w:snapToGrid w:val="0"/>
              <w:rPr>
                <w:rFonts w:ascii="Arial Narrow" w:hAnsi="Arial Narrow"/>
                <w:sz w:val="20"/>
                <w:szCs w:val="20"/>
              </w:rPr>
            </w:pPr>
            <w:r w:rsidRPr="00CA5692">
              <w:rPr>
                <w:rFonts w:ascii="Arial Narrow" w:hAnsi="Arial Narrow"/>
                <w:sz w:val="20"/>
                <w:szCs w:val="20"/>
              </w:rPr>
              <w:t>A patient may only qualify for PBS-subsidised treatment under this restriction once.</w:t>
            </w:r>
          </w:p>
          <w:p w:rsidR="00BE6AFF" w:rsidRPr="00DD5189" w:rsidRDefault="00BE6AFF" w:rsidP="00A9746B">
            <w:pPr>
              <w:snapToGrid w:val="0"/>
              <w:rPr>
                <w:rFonts w:ascii="Arial Narrow" w:hAnsi="Arial Narrow"/>
                <w:sz w:val="20"/>
                <w:szCs w:val="20"/>
              </w:rPr>
            </w:pPr>
            <w:r w:rsidRPr="00CA5692">
              <w:rPr>
                <w:rFonts w:ascii="Arial Narrow" w:hAnsi="Arial Narrow"/>
                <w:sz w:val="20"/>
                <w:szCs w:val="20"/>
              </w:rPr>
              <w:t>Following completion of the initial PBS subsidised course, further applications for treatment will be assessed under the continuing treatment restriction.</w:t>
            </w:r>
          </w:p>
        </w:tc>
      </w:tr>
    </w:tbl>
    <w:p w:rsidR="00B60939" w:rsidRDefault="00BE6AFF" w:rsidP="00BE6AFF">
      <w:pPr>
        <w:pStyle w:val="TableFooter"/>
      </w:pPr>
      <w:r w:rsidRPr="00CA5692">
        <w:t>Source: pp18-19 of the submission</w:t>
      </w:r>
    </w:p>
    <w:p w:rsidR="00E02233" w:rsidRPr="00882085" w:rsidRDefault="00E02233" w:rsidP="00BE6AFF">
      <w:pPr>
        <w:pStyle w:val="TableFooter"/>
      </w:pPr>
    </w:p>
    <w:p w:rsidR="00D505E0" w:rsidRPr="004A16E0" w:rsidRDefault="00D505E0" w:rsidP="008E3289">
      <w:pPr>
        <w:pStyle w:val="3-BodyText"/>
      </w:pPr>
      <w:r w:rsidRPr="004A16E0">
        <w:t>The submission requested a special pricing arrangement (SPA). The proposed effective and published ex</w:t>
      </w:r>
      <w:r>
        <w:t>-manufacturer price per 100 mg vial of pembrolizumab is $</w:t>
      </w:r>
      <w:r w:rsidR="0047136C">
        <w:rPr>
          <w:noProof/>
          <w:color w:val="000000"/>
          <w:highlight w:val="black"/>
        </w:rPr>
        <w:t>''''''''''''''''</w:t>
      </w:r>
      <w:r w:rsidRPr="004A16E0">
        <w:t xml:space="preserve"> and $</w:t>
      </w:r>
      <w:r w:rsidR="00EB5963">
        <w:t>4,025.00</w:t>
      </w:r>
      <w:r w:rsidRPr="004A16E0">
        <w:t>, respectively.</w:t>
      </w:r>
      <w:r w:rsidR="00AB7FA3">
        <w:t xml:space="preserve"> </w:t>
      </w:r>
      <w:r w:rsidR="00B41C4F">
        <w:t xml:space="preserve">The pre-PBAC response reduced the effective ex-manufacturer price to </w:t>
      </w:r>
      <w:r w:rsidR="00FF331A">
        <w:t>$</w:t>
      </w:r>
      <w:r w:rsidR="0047136C">
        <w:rPr>
          <w:noProof/>
          <w:color w:val="000000"/>
          <w:highlight w:val="black"/>
        </w:rPr>
        <w:t>''''''''''''''''''</w:t>
      </w:r>
      <w:r w:rsidR="00FF331A">
        <w:t xml:space="preserve"> per 100 mg vial.  </w:t>
      </w:r>
      <w:r w:rsidR="00B41C4F">
        <w:t xml:space="preserve"> </w:t>
      </w:r>
    </w:p>
    <w:p w:rsidR="0024077A" w:rsidRDefault="00FF331A" w:rsidP="00E03BA8">
      <w:pPr>
        <w:pStyle w:val="3-BodyText"/>
      </w:pPr>
      <w:r>
        <w:t xml:space="preserve">The submission requested a restriction critiera to allow grandfathering of </w:t>
      </w:r>
      <w:r w:rsidR="00903CDF">
        <w:t xml:space="preserve">approximately 50 </w:t>
      </w:r>
      <w:r w:rsidR="0024077A">
        <w:t>patients on cost share programs or paying privately and patients on patient familiarisation programs</w:t>
      </w:r>
      <w:r>
        <w:t xml:space="preserve"> to access PBS-subisided pembrolizumab</w:t>
      </w:r>
      <w:r w:rsidR="0024077A">
        <w:t>.</w:t>
      </w:r>
    </w:p>
    <w:p w:rsidR="00010517" w:rsidRDefault="00010517" w:rsidP="00010517">
      <w:pPr>
        <w:pStyle w:val="3-BodyText"/>
      </w:pPr>
      <w:r w:rsidRPr="00EF6401">
        <w:t>The submission stated that as noted by the MSAC Executive, MMR testing in CRC is routine in Australia and reimbursed under a general MBS item number for IHC staining, and therefore the sponsor was not required to lodge an integrated co-dependent submission (</w:t>
      </w:r>
      <w:r w:rsidR="003C3B2D">
        <w:t xml:space="preserve">Application 1452, </w:t>
      </w:r>
      <w:r w:rsidRPr="00EF6401">
        <w:t>MSAC Executive minutes March 3 2017).</w:t>
      </w:r>
    </w:p>
    <w:p w:rsidR="00010517" w:rsidRDefault="00010517" w:rsidP="00010517">
      <w:pPr>
        <w:pStyle w:val="3-BodyText"/>
      </w:pPr>
      <w:r w:rsidRPr="0024077A">
        <w:t>The requested restriction is for mCRC that is dMMR only whereas the</w:t>
      </w:r>
      <w:r w:rsidR="00FF331A">
        <w:t xml:space="preserve"> approved</w:t>
      </w:r>
      <w:r w:rsidR="00F63451">
        <w:t xml:space="preserve"> </w:t>
      </w:r>
      <w:r w:rsidRPr="0024077A">
        <w:t xml:space="preserve">TGA indication (as in the key KN177 trial) is for mCRC that is either MSI-H or dMMR. </w:t>
      </w:r>
      <w:r>
        <w:t xml:space="preserve">The submission argued that </w:t>
      </w:r>
      <w:r w:rsidRPr="0024077A">
        <w:t>MSI testing and IHC are considered compl</w:t>
      </w:r>
      <w:r w:rsidR="00E95173">
        <w:t>e</w:t>
      </w:r>
      <w:r w:rsidRPr="0024077A">
        <w:t>mentary, and loss of MMR protein expression, by IHC, has been shown to be highly concordant with DNA-based MSI testing, with</w:t>
      </w:r>
      <w:r w:rsidR="00FF14F6">
        <w:t xml:space="preserve"> </w:t>
      </w:r>
      <w:r w:rsidRPr="0024077A">
        <w:t>good sensitivity</w:t>
      </w:r>
      <w:r w:rsidR="005E328B">
        <w:t xml:space="preserve"> (see </w:t>
      </w:r>
      <w:r w:rsidR="00A3480E">
        <w:t>4. P</w:t>
      </w:r>
      <w:r w:rsidR="005E328B">
        <w:t>opulation and disease for further details)</w:t>
      </w:r>
      <w:r>
        <w:t>.</w:t>
      </w:r>
    </w:p>
    <w:p w:rsidR="00864508" w:rsidRPr="00041A16" w:rsidRDefault="00864508" w:rsidP="00864508">
      <w:pPr>
        <w:pStyle w:val="3-BodyText"/>
      </w:pPr>
      <w:r w:rsidRPr="00864508">
        <w:t xml:space="preserve">In the key KN177 trial, there was no specific test or assay used (to represent the “evidentiary” test) to determine dMMR/MSI-H status for the purposes of inclusion in the trial. Diagnosis was determined using different </w:t>
      </w:r>
      <w:r>
        <w:t>“</w:t>
      </w:r>
      <w:r w:rsidRPr="00864508">
        <w:t>local standard-of-care tests</w:t>
      </w:r>
      <w:r>
        <w:t>”</w:t>
      </w:r>
      <w:r w:rsidRPr="00864508">
        <w:t xml:space="preserve">. </w:t>
      </w:r>
      <w:r w:rsidR="00041A16">
        <w:t>Some</w:t>
      </w:r>
      <w:r w:rsidRPr="00041A16">
        <w:t xml:space="preserve"> Australian sites were included in the KN177 trial.</w:t>
      </w:r>
    </w:p>
    <w:p w:rsidR="00647EDA" w:rsidRDefault="00647EDA" w:rsidP="00647EDA">
      <w:pPr>
        <w:pStyle w:val="3-BodyText"/>
      </w:pPr>
      <w:r w:rsidRPr="00F71C5B">
        <w:t xml:space="preserve">The proposed PBS indication specified only metastatic disease </w:t>
      </w:r>
      <w:r w:rsidR="006F1C31" w:rsidRPr="00F71C5B">
        <w:t xml:space="preserve">(similar to the inclusion criteria of the key KN177 trial) </w:t>
      </w:r>
      <w:r w:rsidRPr="00F71C5B">
        <w:t xml:space="preserve">whereas the TGA indication included patients with unresectable </w:t>
      </w:r>
      <w:r w:rsidR="00457C4A" w:rsidRPr="00F71C5B">
        <w:t xml:space="preserve">advanced </w:t>
      </w:r>
      <w:r w:rsidRPr="00F71C5B">
        <w:t>non-metastatic disease.</w:t>
      </w:r>
      <w:r w:rsidR="00142D23">
        <w:t xml:space="preserve"> </w:t>
      </w:r>
      <w:r w:rsidR="00142D23" w:rsidRPr="00FF331A">
        <w:t>The ESC considered it may be reasonable to allow access to pembrolizumab for patients with unresectable disease</w:t>
      </w:r>
      <w:r w:rsidR="004A41EE">
        <w:t>,</w:t>
      </w:r>
      <w:r w:rsidR="00142D23" w:rsidRPr="00FF331A">
        <w:t xml:space="preserve"> and </w:t>
      </w:r>
      <w:r w:rsidR="00F87432" w:rsidRPr="00FF331A">
        <w:t xml:space="preserve">noted it </w:t>
      </w:r>
      <w:r w:rsidR="00142D23" w:rsidRPr="00FF331A">
        <w:t>was likely to</w:t>
      </w:r>
      <w:r w:rsidR="000271B2" w:rsidRPr="00FF331A">
        <w:t xml:space="preserve"> result in</w:t>
      </w:r>
      <w:r w:rsidR="00142D23" w:rsidRPr="00FF331A">
        <w:t xml:space="preserve"> </w:t>
      </w:r>
      <w:r w:rsidR="000271B2" w:rsidRPr="00FF331A">
        <w:t xml:space="preserve">an increase in the </w:t>
      </w:r>
      <w:r w:rsidR="00F87432" w:rsidRPr="00FF331A">
        <w:t>number of patients</w:t>
      </w:r>
      <w:r w:rsidR="000271B2" w:rsidRPr="00FF331A">
        <w:t xml:space="preserve"> of less than 10%</w:t>
      </w:r>
      <w:r w:rsidR="00F87432" w:rsidRPr="00FF331A">
        <w:t>.</w:t>
      </w:r>
      <w:r w:rsidR="00F87432">
        <w:t xml:space="preserve">  </w:t>
      </w:r>
    </w:p>
    <w:p w:rsidR="00081AC1" w:rsidRDefault="005773C6" w:rsidP="00647EDA">
      <w:pPr>
        <w:pStyle w:val="3-BodyText"/>
      </w:pPr>
      <w:r w:rsidRPr="00081AC1">
        <w:t xml:space="preserve">The PBAC </w:t>
      </w:r>
      <w:r w:rsidR="007E0411" w:rsidRPr="00081AC1">
        <w:t xml:space="preserve">considered </w:t>
      </w:r>
      <w:r w:rsidR="00081AC1" w:rsidRPr="00081AC1">
        <w:t xml:space="preserve">an </w:t>
      </w:r>
      <w:r w:rsidRPr="00081AC1">
        <w:t xml:space="preserve">Authority Required </w:t>
      </w:r>
      <w:r w:rsidR="007E0411" w:rsidRPr="00081AC1">
        <w:t>(</w:t>
      </w:r>
      <w:r w:rsidRPr="00081AC1">
        <w:t>telephone</w:t>
      </w:r>
      <w:r w:rsidR="007E0411" w:rsidRPr="00081AC1">
        <w:t xml:space="preserve">) </w:t>
      </w:r>
      <w:r w:rsidR="00081AC1" w:rsidRPr="00081AC1">
        <w:t xml:space="preserve">listing would be appropriate </w:t>
      </w:r>
      <w:r w:rsidR="00081AC1">
        <w:t xml:space="preserve">for all treatment phases </w:t>
      </w:r>
      <w:r w:rsidR="003D0D35" w:rsidRPr="00081AC1">
        <w:t xml:space="preserve">to </w:t>
      </w:r>
      <w:r w:rsidR="00081AC1" w:rsidRPr="00081AC1">
        <w:t xml:space="preserve">limit use outside of </w:t>
      </w:r>
      <w:r w:rsidR="00F63451">
        <w:t xml:space="preserve">the </w:t>
      </w:r>
      <w:r w:rsidR="00081AC1" w:rsidRPr="00081AC1">
        <w:t>TGA indication (i.e., in the second-line setting).</w:t>
      </w:r>
    </w:p>
    <w:p w:rsidR="005773C6" w:rsidRPr="00081AC1" w:rsidRDefault="00081AC1" w:rsidP="00647EDA">
      <w:pPr>
        <w:pStyle w:val="3-BodyText"/>
      </w:pPr>
      <w:r>
        <w:t>The PBAC noted flow on changes would be required to the restriction criteria for panitumumab, cetuximab and bevacizumab to allow treatment of patients after progression on pembrolizumab</w:t>
      </w:r>
      <w:r w:rsidR="00BA6AE1" w:rsidRPr="00081AC1">
        <w:t xml:space="preserve">. </w:t>
      </w:r>
    </w:p>
    <w:p w:rsidR="00B50DB8" w:rsidRPr="00407F2D" w:rsidRDefault="00203181" w:rsidP="004E18E9">
      <w:pPr>
        <w:pStyle w:val="2-SectionHeading"/>
      </w:pPr>
      <w:bookmarkStart w:id="8" w:name="_Toc62027400"/>
      <w:r>
        <w:t xml:space="preserve">Population and </w:t>
      </w:r>
      <w:r w:rsidR="008E0D3C">
        <w:t>d</w:t>
      </w:r>
      <w:r>
        <w:t>isease</w:t>
      </w:r>
      <w:bookmarkEnd w:id="8"/>
    </w:p>
    <w:p w:rsidR="00894EF9" w:rsidRDefault="00217B96" w:rsidP="00463953">
      <w:pPr>
        <w:pStyle w:val="3-BodyText"/>
      </w:pPr>
      <w:r w:rsidRPr="00F90B95">
        <w:t xml:space="preserve">Approximately 20% of people with CRC have metastatic disease at the time of initial diagnosis. </w:t>
      </w:r>
      <w:r w:rsidR="000E569E" w:rsidRPr="00F71C5B">
        <w:t xml:space="preserve">The 5-year relative survival rate </w:t>
      </w:r>
      <w:r w:rsidR="004A41EE">
        <w:t>of</w:t>
      </w:r>
      <w:r w:rsidR="004A41EE" w:rsidRPr="00F71C5B">
        <w:t xml:space="preserve"> </w:t>
      </w:r>
      <w:r w:rsidR="000E569E" w:rsidRPr="00F71C5B">
        <w:t>Australians diagnosed with registry derived (RD) stage IV colorectal cancer is around 13</w:t>
      </w:r>
      <w:r w:rsidR="000E569E">
        <w:t>%</w:t>
      </w:r>
      <w:r w:rsidR="000E569E">
        <w:rPr>
          <w:rStyle w:val="FootnoteReference"/>
        </w:rPr>
        <w:footnoteReference w:id="1"/>
      </w:r>
      <w:r w:rsidR="000E569E">
        <w:t>.</w:t>
      </w:r>
      <w:r w:rsidRPr="00F90B95">
        <w:t xml:space="preserve"> The MMR system is mainly composed of four proteins interacting together to recognize any deoxyribonucleic acid (DNA) mismatches during replication. dMMR results in a cancer with a 10- to 100-fold increase in the mutation rate and leads to the accumulation of frameshift mutations in microsatellites, which results in a genetic instability</w:t>
      </w:r>
      <w:r w:rsidRPr="00F90B95">
        <w:rPr>
          <w:rStyle w:val="FootnoteReference"/>
        </w:rPr>
        <w:footnoteReference w:id="2"/>
      </w:r>
      <w:r w:rsidRPr="00F90B95">
        <w:t>. dMMR tumours have significant gene upregulation of immune checkpoint proteins, including PD-L1, enabling them to s</w:t>
      </w:r>
      <w:r w:rsidR="00894EF9">
        <w:t>urvive the immune response.</w:t>
      </w:r>
    </w:p>
    <w:p w:rsidR="000D1F33" w:rsidRPr="00F71C5B" w:rsidRDefault="00BB4046" w:rsidP="00791824">
      <w:pPr>
        <w:pStyle w:val="3-BodyText"/>
      </w:pPr>
      <w:r w:rsidRPr="00154F3B">
        <w:t>The rate of dMMR in mCRC is uncertain (6.9% from the Australian Treatment of Recurrent and Advanced Colorectal Cancer (TRACC) registry</w:t>
      </w:r>
      <w:r w:rsidRPr="00F71C5B">
        <w:rPr>
          <w:rStyle w:val="FootnoteReference"/>
        </w:rPr>
        <w:footnoteReference w:id="3"/>
      </w:r>
      <w:r w:rsidRPr="00154F3B">
        <w:t xml:space="preserve"> </w:t>
      </w:r>
      <w:r>
        <w:t xml:space="preserve">and as low as </w:t>
      </w:r>
      <w:r w:rsidRPr="00154F3B">
        <w:t>3.5% from a reference</w:t>
      </w:r>
      <w:r w:rsidRPr="00F90B95">
        <w:rPr>
          <w:rStyle w:val="FootnoteReference"/>
        </w:rPr>
        <w:footnoteReference w:id="4"/>
      </w:r>
      <w:r w:rsidRPr="00154F3B">
        <w:t xml:space="preserve"> cited in the 2019 PSD for pembrolizumab (</w:t>
      </w:r>
      <w:r w:rsidR="001B62D1">
        <w:t>P</w:t>
      </w:r>
      <w:r w:rsidRPr="00154F3B">
        <w:t xml:space="preserve">aragraph 4.1, </w:t>
      </w:r>
      <w:r w:rsidR="001B62D1">
        <w:t>Pembrolizumab PSD</w:t>
      </w:r>
      <w:r w:rsidR="00FF0E58">
        <w:t xml:space="preserve">, </w:t>
      </w:r>
      <w:r w:rsidR="0042179A" w:rsidRPr="0042179A">
        <w:t xml:space="preserve">March 2019 PBAC </w:t>
      </w:r>
      <w:r w:rsidR="00FF0E58">
        <w:t>m</w:t>
      </w:r>
      <w:r w:rsidR="0042179A" w:rsidRPr="0042179A">
        <w:t>eeting).</w:t>
      </w:r>
      <w:r w:rsidR="00267949">
        <w:t xml:space="preserve"> </w:t>
      </w:r>
      <w:r w:rsidR="00FF0E58" w:rsidRPr="00FF0E58">
        <w:t>The ESC previously expressed concern that, with a lower prevalence of dMMR, there would be a higher risk of false positive results which</w:t>
      </w:r>
      <w:r w:rsidR="00FF0E58">
        <w:t xml:space="preserve"> </w:t>
      </w:r>
      <w:r w:rsidR="00267949" w:rsidRPr="00154F3B">
        <w:t>may lead to futile</w:t>
      </w:r>
      <w:r w:rsidR="00267949" w:rsidRPr="0042179A">
        <w:t xml:space="preserve"> therapy with pembrolizumab and deprivation of effective first line SoC therapies</w:t>
      </w:r>
      <w:r w:rsidR="00FF0E58">
        <w:t xml:space="preserve"> (paragraph 4.1, pembrolizumab PSD, March 2019 PBAC meeting)</w:t>
      </w:r>
      <w:r w:rsidR="00267949">
        <w:t>.</w:t>
      </w:r>
      <w:r w:rsidR="00791824">
        <w:t xml:space="preserve"> </w:t>
      </w:r>
      <w:r w:rsidR="00791824" w:rsidRPr="00F71C5B">
        <w:t xml:space="preserve">However, as dMMR testing in the key KN177 trial was done using heterogeneous, local standard-of-care testing and included Australian sites, it seems reasonable to accept that the IHC performance of dMMR testing in the trial is applicable to Australian practice. As such, false positive results would </w:t>
      </w:r>
      <w:r w:rsidR="00F63451">
        <w:t xml:space="preserve">be expected to </w:t>
      </w:r>
      <w:r w:rsidR="00791824" w:rsidRPr="00F71C5B">
        <w:t xml:space="preserve">occur to a similar extent in Australia as in the trial, and there is therefore no need to adjust the extent of effectiveness of pembrolizumab to account for false positive results. </w:t>
      </w:r>
    </w:p>
    <w:p w:rsidR="002C2775" w:rsidRDefault="006F0BC5" w:rsidP="00D5331A">
      <w:pPr>
        <w:pStyle w:val="3-BodyText"/>
      </w:pPr>
      <w:r w:rsidRPr="006F0BC5">
        <w:t xml:space="preserve">Current first-line </w:t>
      </w:r>
      <w:r w:rsidR="00BC71AD" w:rsidRPr="006F0BC5">
        <w:t xml:space="preserve">SoC </w:t>
      </w:r>
      <w:r w:rsidRPr="006F0BC5">
        <w:t>therapy for advanced CRC is not specific to patients whose disease has been identified to be dMMR</w:t>
      </w:r>
      <w:r>
        <w:t xml:space="preserve"> (or </w:t>
      </w:r>
      <w:r w:rsidRPr="006F0BC5">
        <w:t>MSI-H</w:t>
      </w:r>
      <w:r>
        <w:t>)</w:t>
      </w:r>
      <w:r w:rsidRPr="006F0BC5">
        <w:t xml:space="preserve">. </w:t>
      </w:r>
      <w:r w:rsidR="00BC71AD">
        <w:t xml:space="preserve">The submission noted that </w:t>
      </w:r>
      <w:r w:rsidR="007A033D">
        <w:t>i</w:t>
      </w:r>
      <w:r w:rsidRPr="006F0BC5">
        <w:t xml:space="preserve">n Australia, first- and second-line </w:t>
      </w:r>
      <w:r w:rsidR="00BC71AD">
        <w:t xml:space="preserve">SoC </w:t>
      </w:r>
      <w:r>
        <w:t xml:space="preserve">for </w:t>
      </w:r>
      <w:r w:rsidRPr="006F0BC5">
        <w:t>mCRC usually consists of a fluoropyrimidine-based chemotherapy regimen (usually leucovorin and fluorouracil) plus oxaliplatin (e.g., FOLFOX) or irinotecan (e.g. FOLFIRI). Monoclonal antibodies are generally added to these regimens (e.g., an anti-</w:t>
      </w:r>
      <w:r w:rsidR="002640B1" w:rsidRPr="006F0BC5">
        <w:t xml:space="preserve"> </w:t>
      </w:r>
      <w:r w:rsidRPr="006F0BC5">
        <w:t>VEG</w:t>
      </w:r>
      <w:r w:rsidR="00EF6401">
        <w:t>F</w:t>
      </w:r>
      <w:r w:rsidRPr="006F0BC5">
        <w:t xml:space="preserve"> pathway drug</w:t>
      </w:r>
      <w:r>
        <w:t xml:space="preserve"> (such as bevacizumab)</w:t>
      </w:r>
      <w:r w:rsidRPr="006F0BC5">
        <w:t xml:space="preserve"> or if RAS wild-type, an EGFR antibody</w:t>
      </w:r>
      <w:r>
        <w:t xml:space="preserve"> (such as cetuximab or panitumumab)).</w:t>
      </w:r>
    </w:p>
    <w:p w:rsidR="0071219D" w:rsidRPr="00F71C5B" w:rsidRDefault="00745F99" w:rsidP="00B50E98">
      <w:pPr>
        <w:pStyle w:val="3-BodyText"/>
      </w:pPr>
      <w:r>
        <w:t xml:space="preserve">The management algorithm for the intended use of pembrolizumab is presented in the figure below. </w:t>
      </w:r>
    </w:p>
    <w:p w:rsidR="00E976B1" w:rsidRDefault="00E976B1" w:rsidP="00E976B1"/>
    <w:p w:rsidR="00E976B1" w:rsidRDefault="00E976B1" w:rsidP="00E976B1">
      <w:pPr>
        <w:pStyle w:val="TableFigureHeading"/>
        <w:keepLines/>
        <w:widowControl w:val="0"/>
      </w:pPr>
      <w:r>
        <w:t xml:space="preserve">Figure </w:t>
      </w:r>
      <w:r w:rsidR="009A4847">
        <w:rPr>
          <w:noProof/>
        </w:rPr>
        <w:t>1</w:t>
      </w:r>
      <w:r>
        <w:t>: Proposed treatment algorithm in the submission</w:t>
      </w:r>
    </w:p>
    <w:p w:rsidR="00E976B1" w:rsidRDefault="00E976B1" w:rsidP="00E976B1">
      <w:pPr>
        <w:keepNext/>
        <w:keepLines/>
        <w:widowControl w:val="0"/>
      </w:pPr>
      <w:r>
        <w:rPr>
          <w:noProof/>
        </w:rPr>
        <w:drawing>
          <wp:inline distT="0" distB="0" distL="0" distR="0" wp14:anchorId="386FADAD" wp14:editId="2F6686BD">
            <wp:extent cx="5441950" cy="3352800"/>
            <wp:effectExtent l="19050" t="19050" r="25400" b="19050"/>
            <wp:docPr id="27" name="Picture 27" title="Figure 1: Proposed treatment algorithm in th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62952" cy="3365739"/>
                    </a:xfrm>
                    <a:prstGeom prst="rect">
                      <a:avLst/>
                    </a:prstGeom>
                    <a:noFill/>
                    <a:ln w="12700">
                      <a:solidFill>
                        <a:schemeClr val="tx1"/>
                      </a:solidFill>
                    </a:ln>
                  </pic:spPr>
                </pic:pic>
              </a:graphicData>
            </a:graphic>
          </wp:inline>
        </w:drawing>
      </w:r>
    </w:p>
    <w:p w:rsidR="00E976B1" w:rsidRDefault="00E976B1" w:rsidP="00E976B1">
      <w:pPr>
        <w:pStyle w:val="TableFooter"/>
      </w:pPr>
      <w:r>
        <w:t>Source: Figure 1.2.2, p13 of the submission</w:t>
      </w:r>
      <w:r w:rsidR="007E228E">
        <w:t>.</w:t>
      </w:r>
    </w:p>
    <w:p w:rsidR="007E228E" w:rsidRDefault="000B661B" w:rsidP="00E976B1">
      <w:pPr>
        <w:pStyle w:val="TableFooter"/>
      </w:pPr>
      <w:r>
        <w:t xml:space="preserve">CRC=colorectal cancer; </w:t>
      </w:r>
      <w:r w:rsidR="007E228E">
        <w:t>RAS=</w:t>
      </w:r>
      <w:r w:rsidR="007E228E" w:rsidRPr="007E228E">
        <w:t xml:space="preserve"> rat sarcoma</w:t>
      </w:r>
      <w:r w:rsidR="007E228E">
        <w:t>; pMMR=proficient mismatch repair; dMMR=efficient mismatch repair;</w:t>
      </w:r>
      <w:r w:rsidR="007E228E" w:rsidRPr="007E228E">
        <w:t xml:space="preserve"> FOLFOX = folinic acid (leucovorin) "FOL", Fluorouracil (5-FU) "F", and Oxaliplatin (Eloxatin) "OX"; FOLFIRI = folinic acid, fluorouracil and irinotecan;</w:t>
      </w:r>
      <w:r w:rsidR="007E228E">
        <w:t xml:space="preserve"> 1L=first line.</w:t>
      </w:r>
    </w:p>
    <w:p w:rsidR="00E976B1" w:rsidRDefault="00E976B1" w:rsidP="00E976B1"/>
    <w:p w:rsidR="00745F99" w:rsidRPr="00F71C5B" w:rsidRDefault="006D6F41" w:rsidP="00F87432">
      <w:pPr>
        <w:pStyle w:val="3-BodyText"/>
      </w:pPr>
      <w:r w:rsidRPr="006D6F41">
        <w:t xml:space="preserve">The submission described the impact of listing </w:t>
      </w:r>
      <w:r w:rsidR="00745F99" w:rsidRPr="006D6F41">
        <w:t xml:space="preserve">pembrolizumab as first line therapy for dMMR mCRC </w:t>
      </w:r>
      <w:r w:rsidRPr="006D6F41">
        <w:t xml:space="preserve">as </w:t>
      </w:r>
      <w:r w:rsidR="00745F99" w:rsidRPr="006D6F41">
        <w:t>displacement of current</w:t>
      </w:r>
      <w:r w:rsidR="005B2A32">
        <w:t xml:space="preserve"> comparators by “just one line”</w:t>
      </w:r>
      <w:r w:rsidR="00745F99" w:rsidRPr="006D6F41">
        <w:t>.</w:t>
      </w:r>
      <w:r w:rsidR="00745F99" w:rsidRPr="00F71C5B">
        <w:t xml:space="preserve"> </w:t>
      </w:r>
      <w:r w:rsidRPr="00F71C5B">
        <w:t>However, the current PBS listings for cetuximab and bevacizumab preclude use in patients who have been treated with pembrolizumab.</w:t>
      </w:r>
      <w:r w:rsidR="00630077" w:rsidRPr="00F71C5B">
        <w:t xml:space="preserve"> The current TGA indication for use of cetuximab in mCRC </w:t>
      </w:r>
      <w:r w:rsidR="000E569E" w:rsidRPr="00F71C5B">
        <w:t xml:space="preserve">would also </w:t>
      </w:r>
      <w:r w:rsidR="00630077" w:rsidRPr="00F71C5B">
        <w:t>preclude use of cetuximab with a FOLXOX-based regimen</w:t>
      </w:r>
      <w:r w:rsidR="000E569E" w:rsidRPr="00F71C5B">
        <w:t>,</w:t>
      </w:r>
      <w:r w:rsidR="00630077" w:rsidRPr="00F71C5B">
        <w:t xml:space="preserve"> post progression on first line pembrolizumab</w:t>
      </w:r>
      <w:r w:rsidR="00630077" w:rsidRPr="00F87432">
        <w:rPr>
          <w:i/>
        </w:rPr>
        <w:t>.</w:t>
      </w:r>
      <w:r w:rsidR="0051721A">
        <w:rPr>
          <w:i/>
        </w:rPr>
        <w:t xml:space="preserve"> </w:t>
      </w:r>
      <w:r w:rsidR="0051721A" w:rsidRPr="00FF331A">
        <w:t>The ESC noted the c</w:t>
      </w:r>
      <w:r w:rsidR="00F87432" w:rsidRPr="00FF331A">
        <w:t>u</w:t>
      </w:r>
      <w:r w:rsidR="00CE02E7" w:rsidRPr="00FF331A">
        <w:t xml:space="preserve">rrent PBS restriction criteria </w:t>
      </w:r>
      <w:r w:rsidR="00F87432" w:rsidRPr="00FF331A">
        <w:t xml:space="preserve">for EGFR and VEGF inhibitors would need to be </w:t>
      </w:r>
      <w:r w:rsidR="00A63FBC">
        <w:t>amended t</w:t>
      </w:r>
      <w:r w:rsidR="00F87432" w:rsidRPr="00FF331A">
        <w:t>o allow for prior treatment with pembrolizumab in patients with dMMR mCRC.</w:t>
      </w:r>
    </w:p>
    <w:p w:rsidR="00EF6401" w:rsidRDefault="00FC6DA6" w:rsidP="00EF6401">
      <w:pPr>
        <w:pStyle w:val="3-BodyText"/>
      </w:pPr>
      <w:r>
        <w:t xml:space="preserve">In the </w:t>
      </w:r>
      <w:r w:rsidR="00BD72DD">
        <w:t>intended clinical management</w:t>
      </w:r>
      <w:r>
        <w:t xml:space="preserve"> algorithm, </w:t>
      </w:r>
      <w:r w:rsidRPr="00FC6DA6">
        <w:t xml:space="preserve">Stage IV CRC </w:t>
      </w:r>
      <w:r>
        <w:t xml:space="preserve">patients </w:t>
      </w:r>
      <w:r w:rsidRPr="00FC6DA6">
        <w:t>are required to have an IHC test (if not previously tested) to determine MMR status in order to be able to access pembrolizumab.</w:t>
      </w:r>
      <w:r w:rsidR="00EF6401">
        <w:t xml:space="preserve"> </w:t>
      </w:r>
      <w:r w:rsidR="00BD72DD">
        <w:t>P</w:t>
      </w:r>
      <w:r w:rsidR="00BD72DD" w:rsidRPr="007B00A7">
        <w:t xml:space="preserve">atients who are determined to be </w:t>
      </w:r>
      <w:r w:rsidR="00BD72DD">
        <w:t xml:space="preserve">dMMR </w:t>
      </w:r>
      <w:r w:rsidR="00BD72DD" w:rsidRPr="007B00A7">
        <w:t>would be eligible for treatment with pembrolizumab for a maximum of 35 cycles</w:t>
      </w:r>
      <w:r w:rsidR="006B1F82">
        <w:t xml:space="preserve"> at a dose of 200</w:t>
      </w:r>
      <w:r w:rsidR="00BF7CAD">
        <w:t>mg Q3W</w:t>
      </w:r>
      <w:r w:rsidR="00BD72DD" w:rsidRPr="007B00A7">
        <w:t>.</w:t>
      </w:r>
    </w:p>
    <w:p w:rsidR="00B50DB8" w:rsidRPr="00A72511" w:rsidRDefault="00B50DB8" w:rsidP="004E18E9">
      <w:pPr>
        <w:pStyle w:val="2-SectionHeading"/>
      </w:pPr>
      <w:bookmarkStart w:id="9" w:name="_Toc62027401"/>
      <w:r w:rsidRPr="00A72511">
        <w:t>Comparator</w:t>
      </w:r>
      <w:bookmarkEnd w:id="9"/>
    </w:p>
    <w:p w:rsidR="0031402E" w:rsidRDefault="0031402E" w:rsidP="0031402E">
      <w:pPr>
        <w:pStyle w:val="3-BodyText"/>
      </w:pPr>
      <w:r w:rsidRPr="00A72511">
        <w:t>The submission nominated S</w:t>
      </w:r>
      <w:r w:rsidR="00A72511">
        <w:t>o</w:t>
      </w:r>
      <w:r w:rsidRPr="00A72511">
        <w:t xml:space="preserve">C as the main comparator. There is no specific regimen recommended for </w:t>
      </w:r>
      <w:r w:rsidR="00347B34">
        <w:t xml:space="preserve">the first line treatment of </w:t>
      </w:r>
      <w:r w:rsidRPr="00A72511">
        <w:t xml:space="preserve">dMMR </w:t>
      </w:r>
      <w:r w:rsidR="00347B34">
        <w:t>mCRC</w:t>
      </w:r>
      <w:r w:rsidRPr="00A72511">
        <w:t>.</w:t>
      </w:r>
      <w:r w:rsidR="004B707D" w:rsidRPr="00A72511">
        <w:t xml:space="preserve"> </w:t>
      </w:r>
      <w:r w:rsidRPr="00A72511">
        <w:t>The submission noted</w:t>
      </w:r>
      <w:r>
        <w:t xml:space="preserve"> </w:t>
      </w:r>
      <w:r w:rsidR="00347B34">
        <w:t xml:space="preserve">that SoC is complex </w:t>
      </w:r>
      <w:r w:rsidR="009538FD">
        <w:t xml:space="preserve">in terms of </w:t>
      </w:r>
      <w:r>
        <w:t>the different available agents and their regimens. The choice of agent in the first line setting is determined by the patients’ RAS status, performance status and organ function.</w:t>
      </w:r>
    </w:p>
    <w:p w:rsidR="0031402E" w:rsidRDefault="0031402E" w:rsidP="008849AA">
      <w:pPr>
        <w:pStyle w:val="3-BodyText"/>
      </w:pPr>
      <w:r>
        <w:t>The three main chemotherapy regimens used in Australia are</w:t>
      </w:r>
      <w:r w:rsidR="009538FD">
        <w:t xml:space="preserve"> 1) l</w:t>
      </w:r>
      <w:r>
        <w:t>eucovorin calcium (folinic acid), 5-fluorouracil</w:t>
      </w:r>
      <w:r w:rsidR="009538FD">
        <w:t xml:space="preserve"> (5FU) and oxaliplatin (FOLFOX), 2) l</w:t>
      </w:r>
      <w:r>
        <w:t>eucovorin calcium (folinic acid), 5FU and irinotecan hydrochloride (FOLFIRI)</w:t>
      </w:r>
      <w:r w:rsidR="009538FD">
        <w:t>, and 3) c</w:t>
      </w:r>
      <w:r>
        <w:t>apecitabine plus oxaliplatin (XELOX</w:t>
      </w:r>
      <w:r w:rsidR="009538FD">
        <w:t xml:space="preserve"> or </w:t>
      </w:r>
      <w:r>
        <w:t>CAPOX</w:t>
      </w:r>
      <w:r w:rsidR="009538FD">
        <w:t>)</w:t>
      </w:r>
      <w:r>
        <w:t>.</w:t>
      </w:r>
    </w:p>
    <w:p w:rsidR="0031402E" w:rsidRDefault="00A72511" w:rsidP="009538FD">
      <w:pPr>
        <w:pStyle w:val="3-BodyText"/>
      </w:pPr>
      <w:r>
        <w:t>Patients</w:t>
      </w:r>
      <w:r w:rsidR="0031402E">
        <w:t xml:space="preserve"> who are </w:t>
      </w:r>
      <w:r w:rsidR="009538FD">
        <w:t xml:space="preserve">RAS wild type </w:t>
      </w:r>
      <w:r w:rsidR="0031402E">
        <w:t xml:space="preserve">can also receive an EGFR antibody (cetuximab or panitumumab) </w:t>
      </w:r>
      <w:r w:rsidR="009A4847">
        <w:t xml:space="preserve">or </w:t>
      </w:r>
      <w:r w:rsidR="0031402E">
        <w:t xml:space="preserve">a VEGF antibody (bevacizumab) in combination with one of the chemotherapy regimens described above. </w:t>
      </w:r>
      <w:r w:rsidR="000271B2">
        <w:t>Patient who are RAS mutant can receive a VEGF antibody (bevacizumab) in combination with one of the chemotherapy regimens described above.</w:t>
      </w:r>
    </w:p>
    <w:p w:rsidR="00E7716E" w:rsidRDefault="0031402E" w:rsidP="00A9746B">
      <w:pPr>
        <w:pStyle w:val="3-BodyText"/>
      </w:pPr>
      <w:r>
        <w:t>The submission argued that</w:t>
      </w:r>
      <w:r w:rsidR="009538FD">
        <w:t xml:space="preserve"> s</w:t>
      </w:r>
      <w:r>
        <w:t xml:space="preserve">ince FOLFOX and FOLFIRI are most commonly used (as per guidelines), and since neither </w:t>
      </w:r>
      <w:r w:rsidR="009538FD">
        <w:t xml:space="preserve">regimen is superior </w:t>
      </w:r>
      <w:r w:rsidR="00E7716E">
        <w:t>(or cheaper), FOLFOX was chosen as being representative of all chemotherapy regimens.</w:t>
      </w:r>
    </w:p>
    <w:p w:rsidR="0031402E" w:rsidRDefault="0031402E" w:rsidP="00A9746B">
      <w:pPr>
        <w:pStyle w:val="3-BodyText"/>
      </w:pPr>
      <w:r>
        <w:t>Similarly, as cetuximab is the most commonly used EGFR antibody (Colorectal DUSC review, February 2018) and is similar in price and efficacy to panitumumab</w:t>
      </w:r>
      <w:r w:rsidR="00347B34">
        <w:t xml:space="preserve">, </w:t>
      </w:r>
      <w:r>
        <w:t xml:space="preserve">cetuximab + FOLFOX was selected as </w:t>
      </w:r>
      <w:r w:rsidR="00EF6401">
        <w:t>a</w:t>
      </w:r>
      <w:r>
        <w:t xml:space="preserve"> comparator</w:t>
      </w:r>
      <w:r w:rsidR="00347B34">
        <w:t xml:space="preserve"> to represent </w:t>
      </w:r>
      <w:r w:rsidR="007A033D">
        <w:t xml:space="preserve">EGFR antibody </w:t>
      </w:r>
      <w:r w:rsidR="00347B34">
        <w:t>+ chemotherapy</w:t>
      </w:r>
      <w:r>
        <w:t>.</w:t>
      </w:r>
    </w:p>
    <w:p w:rsidR="00E7716E" w:rsidRPr="00E7716E" w:rsidRDefault="000271B2" w:rsidP="0031402E">
      <w:pPr>
        <w:pStyle w:val="3-BodyText"/>
        <w:rPr>
          <w:snapToGrid/>
          <w:lang w:val="en-US"/>
        </w:rPr>
      </w:pPr>
      <w:r>
        <w:t>B</w:t>
      </w:r>
      <w:r w:rsidR="0031402E">
        <w:t xml:space="preserve">evacizumab + FOLFOX was </w:t>
      </w:r>
      <w:r w:rsidR="007A033D">
        <w:t xml:space="preserve">nominated </w:t>
      </w:r>
      <w:r w:rsidR="0031402E">
        <w:t xml:space="preserve">in the submission as </w:t>
      </w:r>
      <w:r w:rsidR="00EF6401">
        <w:t>a</w:t>
      </w:r>
      <w:r w:rsidR="00347B34">
        <w:t xml:space="preserve">nother main </w:t>
      </w:r>
      <w:r w:rsidR="0031402E">
        <w:t>comparator.</w:t>
      </w:r>
    </w:p>
    <w:p w:rsidR="00A05472" w:rsidRPr="00645DC7" w:rsidRDefault="00E7716E" w:rsidP="00E7716E">
      <w:pPr>
        <w:pStyle w:val="3-BodyText"/>
        <w:rPr>
          <w:i/>
          <w:snapToGrid/>
          <w:lang w:val="en-US"/>
        </w:rPr>
      </w:pPr>
      <w:r w:rsidRPr="00E7716E">
        <w:t xml:space="preserve">The key KN177 trial compared pembrolizumab monotherapy with mFOLFOX6 or FOLFIRI, +/- cetuximab or bevacizumab in an MSI-H/dMMR </w:t>
      </w:r>
      <w:r w:rsidR="00347B34">
        <w:t>mCRC</w:t>
      </w:r>
      <w:r w:rsidRPr="00E7716E">
        <w:t xml:space="preserve"> population. </w:t>
      </w:r>
      <w:r w:rsidRPr="00F71C5B">
        <w:t xml:space="preserve">Thus the nominated comparators are “therapy subsets” of the </w:t>
      </w:r>
      <w:r w:rsidR="00347B34" w:rsidRPr="00F71C5B">
        <w:t xml:space="preserve">SoC </w:t>
      </w:r>
      <w:r w:rsidRPr="00F71C5B">
        <w:t>arm in KN177. There was limited evidence from the KN177 trial to inform on the comparative effectiveness of pembrolizumab compared with cetuximab. Only 10% of patients received a cetuximab</w:t>
      </w:r>
      <w:r w:rsidR="00C1253A" w:rsidRPr="00F71C5B">
        <w:t>-</w:t>
      </w:r>
      <w:r w:rsidRPr="00F71C5B">
        <w:t>based regimen as part of the SoC arm in KN177</w:t>
      </w:r>
      <w:r w:rsidR="00347B34" w:rsidRPr="00F71C5B">
        <w:t xml:space="preserve"> (see further below)</w:t>
      </w:r>
      <w:r w:rsidRPr="00F71C5B">
        <w:t>.</w:t>
      </w:r>
      <w:r w:rsidRPr="00E7716E">
        <w:t xml:space="preserve"> </w:t>
      </w:r>
      <w:r w:rsidR="00054AD9" w:rsidRPr="00107F61">
        <w:t>The</w:t>
      </w:r>
      <w:r w:rsidR="00054AD9" w:rsidRPr="00054AD9">
        <w:rPr>
          <w:i/>
        </w:rPr>
        <w:t xml:space="preserve"> </w:t>
      </w:r>
      <w:r w:rsidR="00054AD9" w:rsidRPr="00107F61">
        <w:t xml:space="preserve">ESC noted </w:t>
      </w:r>
      <w:r w:rsidR="00261725" w:rsidRPr="00107F61">
        <w:t xml:space="preserve">dMMR disease is more likely to be right sided and a </w:t>
      </w:r>
      <w:r w:rsidR="008143D1" w:rsidRPr="00107F61">
        <w:t xml:space="preserve">higher proportion </w:t>
      </w:r>
      <w:r w:rsidR="00261725" w:rsidRPr="00107F61">
        <w:t>of d</w:t>
      </w:r>
      <w:r w:rsidR="00054AD9" w:rsidRPr="00107F61">
        <w:t xml:space="preserve">MMR disease have a </w:t>
      </w:r>
      <w:r w:rsidR="008143D1" w:rsidRPr="00107F61">
        <w:t xml:space="preserve">BRAF </w:t>
      </w:r>
      <w:r w:rsidR="00054AD9" w:rsidRPr="00107F61">
        <w:t xml:space="preserve">mutation </w:t>
      </w:r>
      <w:r w:rsidR="008143D1" w:rsidRPr="00107F61">
        <w:t xml:space="preserve">compared to an all-comer mCRC population. </w:t>
      </w:r>
      <w:r w:rsidR="00054AD9" w:rsidRPr="00107F61">
        <w:t xml:space="preserve"> </w:t>
      </w:r>
      <w:r w:rsidR="008143D1" w:rsidRPr="00107F61">
        <w:t>T</w:t>
      </w:r>
      <w:r w:rsidR="00054AD9" w:rsidRPr="00107F61">
        <w:t>his is reflected in the patient population in KN177 (</w:t>
      </w:r>
      <w:r w:rsidR="00F15855" w:rsidRPr="00107F61">
        <w:t xml:space="preserve">67% right sided primary, </w:t>
      </w:r>
      <w:r w:rsidR="008143D1" w:rsidRPr="00107F61">
        <w:t>35</w:t>
      </w:r>
      <w:r w:rsidR="00F15855" w:rsidRPr="00107F61">
        <w:t xml:space="preserve">% </w:t>
      </w:r>
      <w:r w:rsidR="008143D1" w:rsidRPr="00107F61">
        <w:t>BRAF</w:t>
      </w:r>
      <w:r w:rsidR="00054AD9" w:rsidRPr="00107F61">
        <w:t xml:space="preserve"> mutation</w:t>
      </w:r>
      <w:r w:rsidR="008143D1" w:rsidRPr="00107F61">
        <w:t xml:space="preserve"> in evaluable patients</w:t>
      </w:r>
      <w:r w:rsidR="00054AD9" w:rsidRPr="00107F61">
        <w:t xml:space="preserve">). </w:t>
      </w:r>
      <w:r w:rsidR="00D37382" w:rsidRPr="00107F61">
        <w:t>The ESC noted EGFR inhibitors are generally utilised first line for patients with RAS</w:t>
      </w:r>
      <w:r w:rsidR="008143D1" w:rsidRPr="00107F61">
        <w:t>/BRAF</w:t>
      </w:r>
      <w:r w:rsidR="00D37382" w:rsidRPr="00107F61">
        <w:t xml:space="preserve"> wild type and left sided CRC primary disease.</w:t>
      </w:r>
      <w:r w:rsidR="005B2A32" w:rsidRPr="00107F61">
        <w:t xml:space="preserve"> </w:t>
      </w:r>
      <w:r w:rsidR="00645DC7" w:rsidRPr="00107F61">
        <w:t xml:space="preserve">The ESC considered the proportion of patients receiving </w:t>
      </w:r>
      <w:r w:rsidR="00D37382" w:rsidRPr="00107F61">
        <w:t>an EGFR inhibitor (</w:t>
      </w:r>
      <w:r w:rsidR="00645DC7" w:rsidRPr="00107F61">
        <w:t>cetuximab</w:t>
      </w:r>
      <w:r w:rsidR="00D37382" w:rsidRPr="00107F61">
        <w:t>)</w:t>
      </w:r>
      <w:r w:rsidR="00645DC7" w:rsidRPr="00107F61">
        <w:t xml:space="preserve"> in KN177 was consistent with the proportion expected in clinical practice.</w:t>
      </w:r>
      <w:r w:rsidR="00645DC7" w:rsidRPr="00645DC7">
        <w:rPr>
          <w:i/>
        </w:rPr>
        <w:t xml:space="preserve"> </w:t>
      </w:r>
    </w:p>
    <w:p w:rsidR="00223D5A" w:rsidRPr="003B2F77" w:rsidRDefault="00223D5A" w:rsidP="00223D5A">
      <w:pPr>
        <w:pStyle w:val="2-SectionHeading"/>
      </w:pPr>
      <w:bookmarkStart w:id="10" w:name="_Toc62027402"/>
      <w:bookmarkStart w:id="11" w:name="_Toc22897640"/>
      <w:r w:rsidRPr="003B2F77">
        <w:t>Consideration of the evidence</w:t>
      </w:r>
      <w:bookmarkEnd w:id="10"/>
    </w:p>
    <w:p w:rsidR="007A30AB" w:rsidRPr="003B2F77" w:rsidRDefault="007A30AB" w:rsidP="007A30AB">
      <w:pPr>
        <w:pStyle w:val="4-SubsectionHeading"/>
      </w:pPr>
      <w:bookmarkStart w:id="12" w:name="_Toc62027403"/>
      <w:r w:rsidRPr="003B2F77">
        <w:t>Sponsor hearing</w:t>
      </w:r>
    </w:p>
    <w:p w:rsidR="007A30AB" w:rsidRPr="003B2F77" w:rsidRDefault="007A30AB" w:rsidP="007A30AB">
      <w:pPr>
        <w:pStyle w:val="3-BodyText"/>
      </w:pPr>
      <w:r w:rsidRPr="003B2F77">
        <w:rPr>
          <w:snapToGrid/>
          <w:lang w:val="en-US"/>
        </w:rPr>
        <w:t xml:space="preserve">The </w:t>
      </w:r>
      <w:r w:rsidR="003B2F77" w:rsidRPr="003B2F77">
        <w:rPr>
          <w:snapToGrid/>
          <w:lang w:val="en-US"/>
        </w:rPr>
        <w:t xml:space="preserve">sponsor requested a hearing for this item. The clinician </w:t>
      </w:r>
      <w:r w:rsidR="003564CD">
        <w:rPr>
          <w:snapToGrid/>
          <w:lang w:val="en-US"/>
        </w:rPr>
        <w:t>discussed the poor prognosis for pati</w:t>
      </w:r>
      <w:r w:rsidR="0029287A">
        <w:rPr>
          <w:snapToGrid/>
          <w:lang w:val="en-US"/>
        </w:rPr>
        <w:t>e</w:t>
      </w:r>
      <w:r w:rsidR="003564CD">
        <w:rPr>
          <w:snapToGrid/>
          <w:lang w:val="en-US"/>
        </w:rPr>
        <w:t>nts with metastatic CRC and outlined their positive experience with pembrolizumab which improves survival and qualify of life</w:t>
      </w:r>
      <w:r w:rsidR="0029287A">
        <w:rPr>
          <w:snapToGrid/>
          <w:lang w:val="en-US"/>
        </w:rPr>
        <w:t xml:space="preserve">. </w:t>
      </w:r>
    </w:p>
    <w:p w:rsidR="007A30AB" w:rsidRPr="003B2F77" w:rsidRDefault="007A30AB" w:rsidP="007A30AB">
      <w:pPr>
        <w:pStyle w:val="4-SubsectionHeading"/>
      </w:pPr>
      <w:r w:rsidRPr="003B2F77">
        <w:t>Consumer comments</w:t>
      </w:r>
    </w:p>
    <w:p w:rsidR="007A30AB" w:rsidRPr="003B2F77" w:rsidRDefault="003B2F77" w:rsidP="004A41EE">
      <w:pPr>
        <w:pStyle w:val="3-BodyText"/>
      </w:pPr>
      <w:r w:rsidRPr="003B2F77">
        <w:t>The PBAC noted and welcomed the input from h</w:t>
      </w:r>
      <w:r w:rsidR="007811BA">
        <w:t>ealth care professionals (2), individuals (9) and organisations (4</w:t>
      </w:r>
      <w:r w:rsidRPr="003B2F77">
        <w:t xml:space="preserve">) via the Consumer Comments facility on the PBS website. The comments </w:t>
      </w:r>
      <w:r w:rsidR="007811BA">
        <w:t xml:space="preserve">described a range of benefits of treatment with pembrolizumab compared to chemotherapy, including improved survival, less toxicity and </w:t>
      </w:r>
      <w:r w:rsidR="001759D4">
        <w:t>better qualify of life. A number of comments raise concerns regarding the affordability of</w:t>
      </w:r>
      <w:r w:rsidR="0029287A">
        <w:t xml:space="preserve"> </w:t>
      </w:r>
      <w:r w:rsidR="001759D4">
        <w:t>pembrolizumab if it is not included on the PBS.</w:t>
      </w:r>
      <w:r w:rsidR="003564CD" w:rsidRPr="003564CD">
        <w:t xml:space="preserve"> </w:t>
      </w:r>
      <w:r w:rsidR="003564CD">
        <w:t>Many of the co</w:t>
      </w:r>
      <w:r w:rsidR="003564CD" w:rsidRPr="003564CD">
        <w:t xml:space="preserve">nsumer comments </w:t>
      </w:r>
      <w:r w:rsidR="003564CD">
        <w:t xml:space="preserve">highlight </w:t>
      </w:r>
      <w:r w:rsidR="003564CD" w:rsidRPr="003564CD">
        <w:t>the high clinical need for additional treatments for mCRC.</w:t>
      </w:r>
      <w:r w:rsidR="004A41EE" w:rsidRPr="004A41EE">
        <w:t xml:space="preserve"> One health care professional was also in support of a tumour agnostic listing for rare and less common cancers.</w:t>
      </w:r>
    </w:p>
    <w:p w:rsidR="003B2F77" w:rsidRPr="003B2F77" w:rsidRDefault="003B2F77" w:rsidP="003B2F77">
      <w:pPr>
        <w:pStyle w:val="ExecSumBodyText"/>
        <w:numPr>
          <w:ilvl w:val="1"/>
          <w:numId w:val="1"/>
        </w:numPr>
      </w:pPr>
      <w:r w:rsidRPr="003B2F77">
        <w:t xml:space="preserve">The Medical Oncology Group of Australia (MOGA) also expressed its strong support for the </w:t>
      </w:r>
      <w:r w:rsidR="007811BA">
        <w:t xml:space="preserve">pembrolizumab </w:t>
      </w:r>
      <w:r w:rsidRPr="003B2F77">
        <w:t>submission, categorising it as one of the therapies of “highest</w:t>
      </w:r>
      <w:r w:rsidRPr="00E209B2">
        <w:t xml:space="preserve"> priority for PBS listing” on the basis of the </w:t>
      </w:r>
      <w:r w:rsidR="007811BA">
        <w:t xml:space="preserve">Keynote 177 </w:t>
      </w:r>
      <w:r w:rsidRPr="00E209B2">
        <w:t>trial. The PBAC noted that the MOGA presented a European Society for Medical Oncology Magnitude of Clinical Benefit Scale (ESMO-MCBS) for</w:t>
      </w:r>
      <w:r w:rsidR="001759D4">
        <w:t xml:space="preserve"> pembrolizumab</w:t>
      </w:r>
      <w:r w:rsidRPr="00E209B2">
        <w:t>, which was limited to 4 (out of a maximum of 5, where 5 and 4 represent the grades with substantial improvement)</w:t>
      </w:r>
      <w:r w:rsidRPr="00E209B2">
        <w:rPr>
          <w:rStyle w:val="FootnoteReference"/>
          <w:rFonts w:eastAsiaTheme="majorEastAsia"/>
        </w:rPr>
        <w:footnoteReference w:id="5"/>
      </w:r>
      <w:r w:rsidRPr="00E209B2">
        <w:t>, based on a comparison with</w:t>
      </w:r>
      <w:r w:rsidR="007811BA">
        <w:t xml:space="preserve"> chemotherapy plus targeted therapy</w:t>
      </w:r>
      <w:r>
        <w:t xml:space="preserve">. </w:t>
      </w:r>
    </w:p>
    <w:p w:rsidR="00B60939" w:rsidRPr="00C9624D" w:rsidRDefault="00B60939" w:rsidP="002E4F02">
      <w:pPr>
        <w:pStyle w:val="4-SubsectionHeading"/>
      </w:pPr>
      <w:r w:rsidRPr="00C9624D">
        <w:t>Clinical trials</w:t>
      </w:r>
      <w:bookmarkEnd w:id="11"/>
      <w:bookmarkEnd w:id="12"/>
    </w:p>
    <w:p w:rsidR="0022632F" w:rsidRPr="00537DF3" w:rsidRDefault="00A72511" w:rsidP="0022632F">
      <w:pPr>
        <w:pStyle w:val="3-BodyText"/>
      </w:pPr>
      <w:r w:rsidRPr="007478CA">
        <w:rPr>
          <w:snapToGrid/>
          <w:lang w:val="en-US"/>
        </w:rPr>
        <w:t xml:space="preserve">The submission was based on one open-label, randomised (1:1), active-controlled trial comparing pembrolizumab </w:t>
      </w:r>
      <w:r w:rsidR="007478CA">
        <w:rPr>
          <w:snapToGrid/>
          <w:lang w:val="en-US"/>
        </w:rPr>
        <w:t xml:space="preserve">200mg Q3W </w:t>
      </w:r>
      <w:r w:rsidRPr="007478CA">
        <w:rPr>
          <w:snapToGrid/>
          <w:lang w:val="en-US"/>
        </w:rPr>
        <w:t xml:space="preserve">to first-line SoC (fluorouracil-based chemotherapy + oxaliplatin or irinotecan with or without bevacizumab or cetuximab) </w:t>
      </w:r>
      <w:r w:rsidR="007478CA" w:rsidRPr="007478CA">
        <w:rPr>
          <w:snapToGrid/>
          <w:lang w:val="en-US"/>
        </w:rPr>
        <w:t xml:space="preserve">in </w:t>
      </w:r>
      <w:r w:rsidR="007478CA">
        <w:rPr>
          <w:snapToGrid/>
          <w:lang w:val="en-US"/>
        </w:rPr>
        <w:t xml:space="preserve">treatment naïve </w:t>
      </w:r>
      <w:r w:rsidR="007478CA" w:rsidRPr="007478CA">
        <w:rPr>
          <w:snapToGrid/>
          <w:lang w:val="en-US"/>
        </w:rPr>
        <w:t xml:space="preserve">patients </w:t>
      </w:r>
      <w:r w:rsidRPr="007478CA">
        <w:rPr>
          <w:snapToGrid/>
          <w:lang w:val="en-US"/>
        </w:rPr>
        <w:t xml:space="preserve">with MSI-H/dMMR mCRC (Trial KN177). An MSI or MMR tumour status was determined in local </w:t>
      </w:r>
      <w:r w:rsidR="00537DF3">
        <w:rPr>
          <w:snapToGrid/>
          <w:lang w:val="en-US"/>
        </w:rPr>
        <w:t>laboratory sites using PCR/IHC.</w:t>
      </w:r>
      <w:r w:rsidR="0022632F">
        <w:rPr>
          <w:snapToGrid/>
          <w:lang w:val="en-US"/>
        </w:rPr>
        <w:t xml:space="preserve"> </w:t>
      </w:r>
      <w:r w:rsidR="0022632F" w:rsidRPr="007478CA">
        <w:rPr>
          <w:snapToGrid/>
          <w:lang w:val="en-US"/>
        </w:rPr>
        <w:t xml:space="preserve">The </w:t>
      </w:r>
      <w:r w:rsidR="0022632F">
        <w:rPr>
          <w:snapToGrid/>
          <w:lang w:val="en-US"/>
        </w:rPr>
        <w:t>co-</w:t>
      </w:r>
      <w:r w:rsidR="0022632F" w:rsidRPr="007478CA">
        <w:rPr>
          <w:snapToGrid/>
          <w:lang w:val="en-US"/>
        </w:rPr>
        <w:t>primary endpoint of the trial w</w:t>
      </w:r>
      <w:r w:rsidR="0022632F">
        <w:rPr>
          <w:snapToGrid/>
          <w:lang w:val="en-US"/>
        </w:rPr>
        <w:t>as</w:t>
      </w:r>
      <w:r w:rsidR="0022632F" w:rsidRPr="007478CA">
        <w:rPr>
          <w:snapToGrid/>
          <w:lang w:val="en-US"/>
        </w:rPr>
        <w:t xml:space="preserve"> progression-free survival (PFS) </w:t>
      </w:r>
      <w:r w:rsidR="0022632F">
        <w:rPr>
          <w:snapToGrid/>
          <w:lang w:val="en-US"/>
        </w:rPr>
        <w:t>by</w:t>
      </w:r>
      <w:r w:rsidR="0022632F" w:rsidRPr="007478CA">
        <w:rPr>
          <w:snapToGrid/>
          <w:lang w:val="en-US"/>
        </w:rPr>
        <w:t xml:space="preserve"> RECIST v1.1 as assessed by a blinded independent review committee (BIRC) and overall survival (OS).</w:t>
      </w:r>
    </w:p>
    <w:p w:rsidR="00537DF3" w:rsidRPr="0022632F" w:rsidRDefault="00A72511" w:rsidP="00D505E0">
      <w:pPr>
        <w:pStyle w:val="3-BodyText"/>
      </w:pPr>
      <w:r w:rsidRPr="00C1253A">
        <w:rPr>
          <w:snapToGrid/>
          <w:lang w:val="en-US"/>
        </w:rPr>
        <w:t>A total of 307 patients were randomised and 296 received treatment</w:t>
      </w:r>
      <w:r w:rsidR="007478CA" w:rsidRPr="00C1253A">
        <w:rPr>
          <w:snapToGrid/>
          <w:lang w:val="en-US"/>
        </w:rPr>
        <w:t xml:space="preserve"> (</w:t>
      </w:r>
      <w:r w:rsidRPr="00C1253A">
        <w:rPr>
          <w:snapToGrid/>
          <w:lang w:val="en-US"/>
        </w:rPr>
        <w:t>153 patients received pembrolizumab and 143 patients received S</w:t>
      </w:r>
      <w:r w:rsidR="007478CA" w:rsidRPr="00C1253A">
        <w:rPr>
          <w:snapToGrid/>
          <w:lang w:val="en-US"/>
        </w:rPr>
        <w:t>o</w:t>
      </w:r>
      <w:r w:rsidRPr="00C1253A">
        <w:rPr>
          <w:snapToGrid/>
          <w:lang w:val="en-US"/>
        </w:rPr>
        <w:t>C</w:t>
      </w:r>
      <w:r w:rsidR="007478CA" w:rsidRPr="00C1253A">
        <w:rPr>
          <w:snapToGrid/>
          <w:lang w:val="en-US"/>
        </w:rPr>
        <w:t>)</w:t>
      </w:r>
      <w:r w:rsidR="00537DF3" w:rsidRPr="00C1253A">
        <w:rPr>
          <w:snapToGrid/>
          <w:lang w:val="en-US"/>
        </w:rPr>
        <w:t xml:space="preserve">. </w:t>
      </w:r>
      <w:r w:rsidR="00537DF3" w:rsidRPr="005B72A6">
        <w:t>Of 154 allocated subjects in the SoC arm, 143 received per-protocol chemotherapy. As a</w:t>
      </w:r>
      <w:r w:rsidR="00537DF3">
        <w:t>n approximate</w:t>
      </w:r>
      <w:r w:rsidR="00537DF3" w:rsidRPr="005B72A6">
        <w:t xml:space="preserve"> proportion of allocated SoC subjects: 11 (7%) received mFOLFOX, 64 (42%) received mFOLFOX + bevacizumab, 5 (3%) received mFOLFOX + cetuximab, 16 (10%) received FOLFIRI, 36 (23%) received FOLFIRI + bevacizumab, and 11 (7%) received FOLFIRI + cetuximab.</w:t>
      </w:r>
      <w:r w:rsidR="00537DF3" w:rsidRPr="00F71C5B">
        <w:t xml:space="preserve"> </w:t>
      </w:r>
      <w:r w:rsidR="00054AD9">
        <w:t>T</w:t>
      </w:r>
      <w:r w:rsidR="00537DF3" w:rsidRPr="00F71C5B">
        <w:t>he majority of SoC subjects received a bevacizumab-based chemotherapy regimen (70%: bevacizumab plus either mFOLFOX or FOLFIRI), and 1</w:t>
      </w:r>
      <w:r w:rsidR="006954C1" w:rsidRPr="00F71C5B">
        <w:t>0</w:t>
      </w:r>
      <w:r w:rsidR="00537DF3" w:rsidRPr="00F71C5B">
        <w:t>% received a cetuximab-based regimen (cetuximab plus either mFOLFOX or FOLFIRI)</w:t>
      </w:r>
      <w:r w:rsidR="00537DF3" w:rsidRPr="003E5581">
        <w:t>.</w:t>
      </w:r>
      <w:r w:rsidR="00537DF3" w:rsidRPr="00F71C5B">
        <w:t xml:space="preserve"> </w:t>
      </w:r>
    </w:p>
    <w:p w:rsidR="00537DF3" w:rsidRPr="007478CA" w:rsidRDefault="00537DF3" w:rsidP="00537DF3">
      <w:pPr>
        <w:pStyle w:val="3-BodyText"/>
      </w:pPr>
      <w:r w:rsidRPr="00537DF3">
        <w:t xml:space="preserve">Details of the </w:t>
      </w:r>
      <w:r>
        <w:t>KN177 trial</w:t>
      </w:r>
      <w:r w:rsidRPr="00537DF3">
        <w:t xml:space="preserve"> are provided in the table below</w:t>
      </w:r>
      <w:r w:rsidR="00EF32E8">
        <w:t>.</w:t>
      </w:r>
    </w:p>
    <w:p w:rsidR="007478CA" w:rsidRPr="00282549" w:rsidRDefault="007478CA" w:rsidP="007478CA">
      <w:pPr>
        <w:pStyle w:val="TableFigureHeading"/>
      </w:pPr>
      <w:r>
        <w:t>Table</w:t>
      </w:r>
      <w:r w:rsidR="00157284">
        <w:t xml:space="preserve"> </w:t>
      </w:r>
      <w:r w:rsidR="009A4847">
        <w:rPr>
          <w:noProof/>
        </w:rPr>
        <w:t>2</w:t>
      </w:r>
      <w:r>
        <w:t xml:space="preserve">: </w:t>
      </w:r>
      <w:r w:rsidRPr="00282549">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7478CA" w:rsidRPr="00282549" w:rsidTr="00A9746B">
        <w:trPr>
          <w:tblHeader/>
        </w:trPr>
        <w:tc>
          <w:tcPr>
            <w:tcW w:w="796" w:type="pct"/>
            <w:tcBorders>
              <w:bottom w:val="single" w:sz="4" w:space="0" w:color="auto"/>
            </w:tcBorders>
            <w:vAlign w:val="center"/>
          </w:tcPr>
          <w:p w:rsidR="007478CA" w:rsidRPr="00282549" w:rsidRDefault="007478CA" w:rsidP="00A9746B">
            <w:pPr>
              <w:pStyle w:val="In-tableHeading"/>
            </w:pPr>
            <w:r w:rsidRPr="00282549">
              <w:t>Trial ID</w:t>
            </w:r>
          </w:p>
        </w:tc>
        <w:tc>
          <w:tcPr>
            <w:tcW w:w="3027" w:type="pct"/>
            <w:tcBorders>
              <w:bottom w:val="single" w:sz="4" w:space="0" w:color="auto"/>
            </w:tcBorders>
            <w:vAlign w:val="center"/>
          </w:tcPr>
          <w:p w:rsidR="007478CA" w:rsidRPr="00282549" w:rsidRDefault="007478CA" w:rsidP="00A9746B">
            <w:pPr>
              <w:pStyle w:val="In-tableHeading"/>
            </w:pPr>
            <w:r w:rsidRPr="00282549">
              <w:t>Protocol title/ Publication title</w:t>
            </w:r>
          </w:p>
        </w:tc>
        <w:tc>
          <w:tcPr>
            <w:tcW w:w="1177" w:type="pct"/>
            <w:tcBorders>
              <w:bottom w:val="single" w:sz="4" w:space="0" w:color="auto"/>
            </w:tcBorders>
            <w:vAlign w:val="center"/>
          </w:tcPr>
          <w:p w:rsidR="007478CA" w:rsidRPr="00282549" w:rsidRDefault="007478CA" w:rsidP="00A9746B">
            <w:pPr>
              <w:pStyle w:val="In-tableHeading"/>
            </w:pPr>
            <w:r w:rsidRPr="00282549">
              <w:t>Publication citation</w:t>
            </w:r>
          </w:p>
        </w:tc>
      </w:tr>
      <w:tr w:rsidR="007478CA" w:rsidRPr="00282549" w:rsidTr="004E3B30">
        <w:tc>
          <w:tcPr>
            <w:tcW w:w="796" w:type="pct"/>
            <w:vMerge w:val="restart"/>
          </w:tcPr>
          <w:p w:rsidR="007478CA" w:rsidRPr="00282549" w:rsidRDefault="007478CA" w:rsidP="00A9746B">
            <w:pPr>
              <w:pStyle w:val="TableText0"/>
            </w:pPr>
            <w:r w:rsidRPr="00282549">
              <w:t xml:space="preserve">KEYNOTE-177 </w:t>
            </w:r>
          </w:p>
          <w:p w:rsidR="007478CA" w:rsidRPr="00282549" w:rsidRDefault="007478CA" w:rsidP="00A9746B">
            <w:pPr>
              <w:pStyle w:val="TableText0"/>
            </w:pPr>
            <w:r w:rsidRPr="00282549">
              <w:t>(KN177)</w:t>
            </w:r>
          </w:p>
        </w:tc>
        <w:tc>
          <w:tcPr>
            <w:tcW w:w="3027" w:type="pct"/>
            <w:vMerge w:val="restart"/>
          </w:tcPr>
          <w:p w:rsidR="007478CA" w:rsidRPr="00282549" w:rsidRDefault="007478CA" w:rsidP="004E3B30">
            <w:pPr>
              <w:pStyle w:val="TableText0"/>
              <w:rPr>
                <w:szCs w:val="18"/>
              </w:rPr>
            </w:pPr>
            <w:r w:rsidRPr="00282549">
              <w:rPr>
                <w:szCs w:val="18"/>
              </w:rPr>
              <w:t>Clinical Study Report</w:t>
            </w:r>
          </w:p>
          <w:p w:rsidR="007478CA" w:rsidRPr="00282549" w:rsidRDefault="007478CA" w:rsidP="004E3B30">
            <w:pPr>
              <w:pStyle w:val="TableText0"/>
              <w:rPr>
                <w:szCs w:val="18"/>
              </w:rPr>
            </w:pPr>
            <w:r w:rsidRPr="00282549">
              <w:rPr>
                <w:szCs w:val="18"/>
              </w:rPr>
              <w:t>A Phase III Study of Pembrolizumab (MK-3475) vs. Chemotherapy in Microsatellite Instability-High (MSI-H) or Mismatch Repair Deficient (dMMR) Stage IV Colorectal Carcinoma (KEYNOTE-177).</w:t>
            </w:r>
          </w:p>
          <w:p w:rsidR="007478CA" w:rsidRPr="00282549" w:rsidRDefault="007478CA" w:rsidP="004E3B30">
            <w:pPr>
              <w:pStyle w:val="TableText0"/>
              <w:rPr>
                <w:szCs w:val="18"/>
              </w:rPr>
            </w:pPr>
            <w:r w:rsidRPr="00282549">
              <w:rPr>
                <w:szCs w:val="18"/>
              </w:rPr>
              <w:t>ClinicalTrials.gov Identifier: NCT02563002</w:t>
            </w:r>
          </w:p>
          <w:p w:rsidR="007478CA" w:rsidRPr="00282549" w:rsidRDefault="007478CA" w:rsidP="004E3B30">
            <w:pPr>
              <w:pStyle w:val="TableText0"/>
              <w:rPr>
                <w:szCs w:val="18"/>
                <w:u w:val="single"/>
              </w:rPr>
            </w:pPr>
          </w:p>
          <w:p w:rsidR="007444B0" w:rsidRPr="007444B0" w:rsidRDefault="007444B0" w:rsidP="004E3B30">
            <w:pPr>
              <w:pStyle w:val="TableText0"/>
              <w:rPr>
                <w:szCs w:val="18"/>
              </w:rPr>
            </w:pPr>
            <w:r w:rsidRPr="007444B0">
              <w:rPr>
                <w:szCs w:val="18"/>
              </w:rPr>
              <w:t>André T, Shiu KK, Kim TW, Jensen BV, Jensen LH, Punt C, Smith D, Garcia-Carbonero R, Benavides M, Gibbs P, de la Fouchardiere C, Rivera F, Elez E, Bendell J, Le DT, Yoshino T, Van Cutsem E, Yang P, Farooqui MZH, Marinello P, Diaz LA Jr; KEYNOTE-177 Investigators. Pembrolizumab in Microsatellite-Instability-High Advanced Colorectal Cancer.</w:t>
            </w:r>
          </w:p>
          <w:p w:rsidR="007444B0" w:rsidRDefault="007444B0" w:rsidP="004E3B30">
            <w:pPr>
              <w:pStyle w:val="TableText0"/>
              <w:rPr>
                <w:szCs w:val="18"/>
                <w:u w:val="single"/>
              </w:rPr>
            </w:pPr>
          </w:p>
          <w:p w:rsidR="007478CA" w:rsidRPr="00282549" w:rsidRDefault="007478CA" w:rsidP="004E3B30">
            <w:pPr>
              <w:pStyle w:val="TableText0"/>
              <w:rPr>
                <w:szCs w:val="18"/>
              </w:rPr>
            </w:pPr>
            <w:r w:rsidRPr="00282549">
              <w:rPr>
                <w:szCs w:val="18"/>
              </w:rPr>
              <w:t>Andre, T et al. Pembrolizumab versus chemotherapy for microsatellite instability-high/mismatch repair deficient metastatic colorectal cancer: The phase 3 KEYNOTE-177 Study.</w:t>
            </w:r>
            <w:r w:rsidR="004E3B30">
              <w:rPr>
                <w:szCs w:val="18"/>
              </w:rPr>
              <w:t xml:space="preserve"> </w:t>
            </w:r>
            <w:r w:rsidR="004E3B30" w:rsidRPr="004E3B30">
              <w:rPr>
                <w:szCs w:val="18"/>
              </w:rPr>
              <w:t>American Society of Clinical Oncology (ASCO)</w:t>
            </w:r>
            <w:r w:rsidR="004E3B30">
              <w:rPr>
                <w:szCs w:val="18"/>
              </w:rPr>
              <w:t xml:space="preserve">. </w:t>
            </w:r>
            <w:r w:rsidRPr="00282549">
              <w:rPr>
                <w:szCs w:val="18"/>
              </w:rPr>
              <w:t>DOI: 10.1200/JCO.2020.38.18_suppl.LBA4</w:t>
            </w:r>
          </w:p>
        </w:tc>
        <w:tc>
          <w:tcPr>
            <w:tcW w:w="1177" w:type="pct"/>
            <w:tcBorders>
              <w:bottom w:val="nil"/>
            </w:tcBorders>
            <w:vAlign w:val="center"/>
          </w:tcPr>
          <w:p w:rsidR="007478CA" w:rsidRPr="00282549" w:rsidRDefault="007478CA" w:rsidP="00A9746B">
            <w:pPr>
              <w:pStyle w:val="TableText0"/>
            </w:pPr>
            <w:r w:rsidRPr="00282549">
              <w:t>19-MAY-2020</w:t>
            </w:r>
          </w:p>
        </w:tc>
      </w:tr>
      <w:tr w:rsidR="007478CA" w:rsidRPr="00282549" w:rsidTr="00A9746B">
        <w:tc>
          <w:tcPr>
            <w:tcW w:w="796" w:type="pct"/>
            <w:vMerge/>
          </w:tcPr>
          <w:p w:rsidR="007478CA" w:rsidRPr="00282549" w:rsidRDefault="007478CA" w:rsidP="00A9746B">
            <w:pPr>
              <w:pStyle w:val="TableText0"/>
            </w:pPr>
          </w:p>
        </w:tc>
        <w:tc>
          <w:tcPr>
            <w:tcW w:w="3027" w:type="pct"/>
            <w:vMerge/>
            <w:vAlign w:val="center"/>
          </w:tcPr>
          <w:p w:rsidR="007478CA" w:rsidRPr="00282549" w:rsidRDefault="007478CA" w:rsidP="00A9746B">
            <w:pPr>
              <w:pStyle w:val="TableText0"/>
              <w:rPr>
                <w:szCs w:val="18"/>
              </w:rPr>
            </w:pPr>
          </w:p>
        </w:tc>
        <w:tc>
          <w:tcPr>
            <w:tcW w:w="1177" w:type="pct"/>
            <w:tcBorders>
              <w:top w:val="nil"/>
              <w:bottom w:val="nil"/>
            </w:tcBorders>
            <w:vAlign w:val="center"/>
          </w:tcPr>
          <w:p w:rsidR="007478CA" w:rsidRPr="00282549" w:rsidRDefault="007478CA" w:rsidP="00A9746B">
            <w:pPr>
              <w:pStyle w:val="TableText0"/>
              <w:rPr>
                <w:szCs w:val="18"/>
              </w:rPr>
            </w:pPr>
          </w:p>
        </w:tc>
      </w:tr>
      <w:tr w:rsidR="007478CA" w:rsidRPr="00282549" w:rsidTr="00A9746B">
        <w:tc>
          <w:tcPr>
            <w:tcW w:w="796" w:type="pct"/>
            <w:vMerge/>
            <w:tcBorders>
              <w:bottom w:val="single" w:sz="4" w:space="0" w:color="auto"/>
            </w:tcBorders>
          </w:tcPr>
          <w:p w:rsidR="007478CA" w:rsidRPr="00282549" w:rsidRDefault="007478CA" w:rsidP="00A9746B">
            <w:pPr>
              <w:pStyle w:val="TableText0"/>
            </w:pPr>
          </w:p>
        </w:tc>
        <w:tc>
          <w:tcPr>
            <w:tcW w:w="3027" w:type="pct"/>
            <w:vMerge/>
            <w:tcBorders>
              <w:bottom w:val="single" w:sz="4" w:space="0" w:color="auto"/>
            </w:tcBorders>
            <w:vAlign w:val="center"/>
          </w:tcPr>
          <w:p w:rsidR="007478CA" w:rsidRPr="00282549" w:rsidRDefault="007478CA" w:rsidP="00A9746B">
            <w:pPr>
              <w:pStyle w:val="TableText0"/>
              <w:rPr>
                <w:szCs w:val="18"/>
                <w:lang w:val="en-US"/>
              </w:rPr>
            </w:pPr>
          </w:p>
        </w:tc>
        <w:tc>
          <w:tcPr>
            <w:tcW w:w="1177" w:type="pct"/>
            <w:tcBorders>
              <w:top w:val="nil"/>
              <w:bottom w:val="single" w:sz="4" w:space="0" w:color="auto"/>
            </w:tcBorders>
            <w:vAlign w:val="center"/>
          </w:tcPr>
          <w:p w:rsidR="004E3B30" w:rsidRDefault="004E3B30" w:rsidP="00A9746B">
            <w:pPr>
              <w:pStyle w:val="TableText0"/>
              <w:rPr>
                <w:i/>
                <w:szCs w:val="18"/>
                <w:lang w:val="en-US"/>
              </w:rPr>
            </w:pPr>
          </w:p>
          <w:p w:rsidR="004E3B30" w:rsidRDefault="004E3B30" w:rsidP="00A9746B">
            <w:pPr>
              <w:pStyle w:val="TableText0"/>
              <w:rPr>
                <w:i/>
                <w:szCs w:val="18"/>
                <w:lang w:val="en-US"/>
              </w:rPr>
            </w:pPr>
          </w:p>
          <w:p w:rsidR="004E3B30" w:rsidRDefault="004E3B30" w:rsidP="00A9746B">
            <w:pPr>
              <w:pStyle w:val="TableText0"/>
              <w:rPr>
                <w:i/>
                <w:szCs w:val="18"/>
                <w:lang w:val="en-US"/>
              </w:rPr>
            </w:pPr>
          </w:p>
          <w:p w:rsidR="004E3B30" w:rsidRDefault="004E3B30" w:rsidP="00A9746B">
            <w:pPr>
              <w:pStyle w:val="TableText0"/>
              <w:rPr>
                <w:i/>
                <w:szCs w:val="18"/>
                <w:lang w:val="en-US"/>
              </w:rPr>
            </w:pPr>
          </w:p>
          <w:p w:rsidR="007478CA" w:rsidRPr="00282549" w:rsidRDefault="004E3B30" w:rsidP="00A9746B">
            <w:pPr>
              <w:pStyle w:val="TableText0"/>
              <w:rPr>
                <w:szCs w:val="18"/>
                <w:lang w:val="en-US"/>
              </w:rPr>
            </w:pPr>
            <w:r>
              <w:rPr>
                <w:i/>
                <w:szCs w:val="18"/>
                <w:lang w:val="en-US"/>
              </w:rPr>
              <w:t>New England Journal of Medicine</w:t>
            </w:r>
            <w:r w:rsidR="007444B0" w:rsidRPr="007444B0">
              <w:rPr>
                <w:szCs w:val="18"/>
                <w:lang w:val="en-US"/>
              </w:rPr>
              <w:t xml:space="preserve"> 2020 Dec 3;</w:t>
            </w:r>
            <w:r w:rsidR="007444B0">
              <w:rPr>
                <w:szCs w:val="18"/>
                <w:lang w:val="en-US"/>
              </w:rPr>
              <w:t xml:space="preserve"> 383(23):2207-2218.</w:t>
            </w:r>
          </w:p>
          <w:p w:rsidR="007478CA" w:rsidRPr="00282549" w:rsidRDefault="007478CA" w:rsidP="00A9746B">
            <w:pPr>
              <w:pStyle w:val="TableText0"/>
              <w:rPr>
                <w:szCs w:val="18"/>
                <w:lang w:val="en-US"/>
              </w:rPr>
            </w:pPr>
          </w:p>
          <w:p w:rsidR="007478CA" w:rsidRPr="00282549" w:rsidRDefault="007478CA" w:rsidP="00A9746B">
            <w:pPr>
              <w:pStyle w:val="TableText0"/>
              <w:rPr>
                <w:szCs w:val="18"/>
                <w:lang w:val="en-US"/>
              </w:rPr>
            </w:pPr>
          </w:p>
          <w:p w:rsidR="004E3B30" w:rsidRDefault="004E3B30" w:rsidP="00A9746B">
            <w:pPr>
              <w:pStyle w:val="TableText0"/>
              <w:rPr>
                <w:i/>
                <w:szCs w:val="18"/>
                <w:lang w:val="en-US"/>
              </w:rPr>
            </w:pPr>
          </w:p>
          <w:p w:rsidR="004E3B30" w:rsidRDefault="004E3B30" w:rsidP="00A9746B">
            <w:pPr>
              <w:pStyle w:val="TableText0"/>
              <w:rPr>
                <w:i/>
                <w:szCs w:val="18"/>
                <w:lang w:val="en-US"/>
              </w:rPr>
            </w:pPr>
          </w:p>
          <w:p w:rsidR="004E3B30" w:rsidRDefault="004E3B30" w:rsidP="00A9746B">
            <w:pPr>
              <w:pStyle w:val="TableText0"/>
              <w:rPr>
                <w:i/>
                <w:szCs w:val="18"/>
                <w:lang w:val="en-US"/>
              </w:rPr>
            </w:pPr>
            <w:r w:rsidRPr="00282549">
              <w:rPr>
                <w:i/>
                <w:szCs w:val="18"/>
                <w:lang w:val="en-US"/>
              </w:rPr>
              <w:t>Journal of Clinical Oncology</w:t>
            </w:r>
            <w:r w:rsidRPr="00282549">
              <w:rPr>
                <w:szCs w:val="18"/>
                <w:lang w:val="en-US"/>
              </w:rPr>
              <w:t xml:space="preserve"> 2016; 38 (18)</w:t>
            </w:r>
          </w:p>
          <w:p w:rsidR="004E3B30" w:rsidRDefault="004E3B30" w:rsidP="00A9746B">
            <w:pPr>
              <w:pStyle w:val="TableText0"/>
              <w:rPr>
                <w:i/>
                <w:szCs w:val="18"/>
                <w:lang w:val="en-US"/>
              </w:rPr>
            </w:pPr>
          </w:p>
          <w:p w:rsidR="007478CA" w:rsidRPr="00282549" w:rsidRDefault="007478CA" w:rsidP="00A9746B">
            <w:pPr>
              <w:pStyle w:val="TableText0"/>
              <w:rPr>
                <w:i/>
                <w:szCs w:val="18"/>
                <w:lang w:val="en-US"/>
              </w:rPr>
            </w:pPr>
          </w:p>
        </w:tc>
      </w:tr>
    </w:tbl>
    <w:p w:rsidR="00862502" w:rsidRPr="000E0F67" w:rsidRDefault="007478CA" w:rsidP="007478CA">
      <w:pPr>
        <w:pStyle w:val="3-BodyText"/>
        <w:numPr>
          <w:ilvl w:val="0"/>
          <w:numId w:val="0"/>
        </w:numPr>
        <w:ind w:left="720" w:hanging="720"/>
      </w:pPr>
      <w:r w:rsidRPr="007478CA">
        <w:rPr>
          <w:rStyle w:val="TableFooterChar"/>
        </w:rPr>
        <w:t>Source: Table 2.2.1, p25 of the submission</w:t>
      </w:r>
      <w:r w:rsidR="00CF097E">
        <w:rPr>
          <w:rStyle w:val="TableFooterChar"/>
        </w:rPr>
        <w:t xml:space="preserve">. </w:t>
      </w:r>
      <w:r w:rsidR="00CF097E" w:rsidRPr="00CF097E">
        <w:rPr>
          <w:rStyle w:val="TableFooterChar"/>
        </w:rPr>
        <w:t>Full trial results were published post-submission date</w:t>
      </w:r>
      <w:r w:rsidRPr="002E4F02">
        <w:rPr>
          <w:snapToGrid/>
          <w:color w:val="0066FF"/>
          <w:lang w:val="en-US"/>
        </w:rPr>
        <w:t xml:space="preserve"> </w:t>
      </w:r>
    </w:p>
    <w:p w:rsidR="007F1017" w:rsidRPr="000E0F67" w:rsidRDefault="008F120A" w:rsidP="00EC5836">
      <w:pPr>
        <w:pStyle w:val="3-BodyText"/>
      </w:pPr>
      <w:r w:rsidRPr="000E0F67">
        <w:t>The key features of the direct randomised trial are summarised in the table below.</w:t>
      </w:r>
      <w:r w:rsidR="00BC591F" w:rsidRPr="000E0F67">
        <w:t xml:space="preserve"> </w:t>
      </w:r>
    </w:p>
    <w:p w:rsidR="007F1017" w:rsidRPr="00EC5836" w:rsidRDefault="000E0F67" w:rsidP="000E0F67">
      <w:pPr>
        <w:pStyle w:val="TableFigureHeading"/>
        <w:rPr>
          <w:rStyle w:val="CommentReference"/>
          <w:b/>
          <w:szCs w:val="24"/>
        </w:rPr>
      </w:pPr>
      <w:r>
        <w:t xml:space="preserve">Table </w:t>
      </w:r>
      <w:r w:rsidR="009A4847">
        <w:rPr>
          <w:noProof/>
        </w:rPr>
        <w:t>3</w:t>
      </w:r>
      <w:r>
        <w:t>:</w:t>
      </w:r>
      <w:r w:rsidR="007F1017" w:rsidRPr="00EC5836">
        <w:rPr>
          <w:rStyle w:val="CommentReference"/>
          <w:b/>
          <w:szCs w:val="24"/>
        </w:rPr>
        <w:t xml:space="preserve"> Key features of the </w:t>
      </w:r>
      <w:r>
        <w:rPr>
          <w:rStyle w:val="CommentReference"/>
          <w:b/>
          <w:szCs w:val="24"/>
        </w:rPr>
        <w:t>evidence (KN177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9"/>
        <w:gridCol w:w="1645"/>
        <w:gridCol w:w="1306"/>
        <w:gridCol w:w="1803"/>
        <w:gridCol w:w="1309"/>
        <w:gridCol w:w="1975"/>
      </w:tblGrid>
      <w:tr w:rsidR="000E0F67" w:rsidRPr="00B41614" w:rsidTr="00537DF3">
        <w:trPr>
          <w:cantSplit/>
          <w:tblHeader/>
        </w:trPr>
        <w:tc>
          <w:tcPr>
            <w:tcW w:w="543" w:type="pct"/>
            <w:shd w:val="clear" w:color="auto" w:fill="auto"/>
            <w:vAlign w:val="center"/>
          </w:tcPr>
          <w:p w:rsidR="000E0F67" w:rsidRPr="00B41614" w:rsidRDefault="000E0F67" w:rsidP="00EC5836">
            <w:pPr>
              <w:pStyle w:val="In-tableHeading"/>
              <w:jc w:val="center"/>
            </w:pPr>
            <w:r w:rsidRPr="00B41614">
              <w:t>N</w:t>
            </w:r>
          </w:p>
        </w:tc>
        <w:tc>
          <w:tcPr>
            <w:tcW w:w="912" w:type="pct"/>
            <w:shd w:val="clear" w:color="auto" w:fill="auto"/>
            <w:vAlign w:val="center"/>
          </w:tcPr>
          <w:p w:rsidR="000E0F67" w:rsidRPr="00B41614" w:rsidRDefault="00A9746B" w:rsidP="00EC5836">
            <w:pPr>
              <w:pStyle w:val="In-tableHeading"/>
              <w:jc w:val="center"/>
            </w:pPr>
            <w:r>
              <w:t>Design/</w:t>
            </w:r>
            <w:r w:rsidR="000E0F67" w:rsidRPr="00B41614">
              <w:t>duration</w:t>
            </w:r>
          </w:p>
        </w:tc>
        <w:tc>
          <w:tcPr>
            <w:tcW w:w="724" w:type="pct"/>
            <w:shd w:val="clear" w:color="auto" w:fill="auto"/>
            <w:vAlign w:val="center"/>
          </w:tcPr>
          <w:p w:rsidR="000E0F67" w:rsidRPr="00B41614" w:rsidRDefault="000E0F67" w:rsidP="00EC5836">
            <w:pPr>
              <w:pStyle w:val="In-tableHeading"/>
              <w:jc w:val="center"/>
            </w:pPr>
            <w:r w:rsidRPr="00B41614">
              <w:t>Risk of bias</w:t>
            </w:r>
          </w:p>
        </w:tc>
        <w:tc>
          <w:tcPr>
            <w:tcW w:w="1000" w:type="pct"/>
            <w:shd w:val="clear" w:color="auto" w:fill="auto"/>
            <w:vAlign w:val="center"/>
          </w:tcPr>
          <w:p w:rsidR="000E0F67" w:rsidRPr="00B41614" w:rsidRDefault="000E0F67" w:rsidP="00EC5836">
            <w:pPr>
              <w:pStyle w:val="In-tableHeading"/>
              <w:jc w:val="center"/>
            </w:pPr>
            <w:r w:rsidRPr="00B41614">
              <w:t>Patient population</w:t>
            </w:r>
          </w:p>
        </w:tc>
        <w:tc>
          <w:tcPr>
            <w:tcW w:w="726" w:type="pct"/>
            <w:shd w:val="clear" w:color="auto" w:fill="auto"/>
            <w:vAlign w:val="center"/>
          </w:tcPr>
          <w:p w:rsidR="000E0F67" w:rsidRPr="00B41614" w:rsidRDefault="00A9746B" w:rsidP="00A9746B">
            <w:pPr>
              <w:pStyle w:val="In-tableHeading"/>
              <w:jc w:val="center"/>
            </w:pPr>
            <w:r>
              <w:t xml:space="preserve">Primary </w:t>
            </w:r>
            <w:r w:rsidR="000E0F67" w:rsidRPr="00B41614">
              <w:t>Outcome(s)</w:t>
            </w:r>
          </w:p>
        </w:tc>
        <w:tc>
          <w:tcPr>
            <w:tcW w:w="1095" w:type="pct"/>
            <w:shd w:val="clear" w:color="auto" w:fill="auto"/>
            <w:vAlign w:val="center"/>
          </w:tcPr>
          <w:p w:rsidR="000E0F67" w:rsidRPr="00B41614" w:rsidRDefault="000E0F67" w:rsidP="00EC5836">
            <w:pPr>
              <w:pStyle w:val="In-tableHeading"/>
              <w:jc w:val="center"/>
            </w:pPr>
            <w:r w:rsidRPr="00B41614">
              <w:t>Use in modelled evaluation</w:t>
            </w:r>
          </w:p>
        </w:tc>
      </w:tr>
      <w:tr w:rsidR="000E0F67" w:rsidRPr="00E2771E" w:rsidTr="00537DF3">
        <w:trPr>
          <w:cantSplit/>
        </w:trPr>
        <w:tc>
          <w:tcPr>
            <w:tcW w:w="543" w:type="pct"/>
            <w:shd w:val="clear" w:color="auto" w:fill="auto"/>
            <w:vAlign w:val="center"/>
          </w:tcPr>
          <w:p w:rsidR="000E0F67" w:rsidRPr="00E2771E" w:rsidRDefault="000E0F67" w:rsidP="00EC5836">
            <w:pPr>
              <w:pStyle w:val="TableText0"/>
              <w:jc w:val="center"/>
              <w:rPr>
                <w:lang w:val="en-US"/>
              </w:rPr>
            </w:pPr>
            <w:r>
              <w:rPr>
                <w:lang w:val="en-US"/>
              </w:rPr>
              <w:t>307</w:t>
            </w:r>
          </w:p>
        </w:tc>
        <w:tc>
          <w:tcPr>
            <w:tcW w:w="912" w:type="pct"/>
            <w:shd w:val="clear" w:color="auto" w:fill="auto"/>
            <w:vAlign w:val="center"/>
          </w:tcPr>
          <w:p w:rsidR="000E0F67" w:rsidRPr="00E2771E" w:rsidRDefault="000E0F67" w:rsidP="00EC5836">
            <w:pPr>
              <w:pStyle w:val="TableText0"/>
              <w:jc w:val="center"/>
              <w:rPr>
                <w:lang w:val="en-US"/>
              </w:rPr>
            </w:pPr>
            <w:r w:rsidRPr="00E2771E">
              <w:rPr>
                <w:lang w:val="en-US"/>
              </w:rPr>
              <w:t xml:space="preserve">R, </w:t>
            </w:r>
            <w:r>
              <w:rPr>
                <w:lang w:val="en-US"/>
              </w:rPr>
              <w:t>OL</w:t>
            </w:r>
          </w:p>
          <w:p w:rsidR="000E0F67" w:rsidRDefault="00A9746B" w:rsidP="00A9746B">
            <w:pPr>
              <w:pStyle w:val="TableText0"/>
              <w:jc w:val="center"/>
              <w:rPr>
                <w:lang w:val="en-US"/>
              </w:rPr>
            </w:pPr>
            <w:r>
              <w:rPr>
                <w:lang w:val="en-US"/>
              </w:rPr>
              <w:t>Median follow-up: ~28 months</w:t>
            </w:r>
          </w:p>
          <w:p w:rsidR="00A9746B" w:rsidRDefault="00A9746B" w:rsidP="00A9746B">
            <w:pPr>
              <w:pStyle w:val="TableText0"/>
              <w:jc w:val="center"/>
              <w:rPr>
                <w:lang w:val="en-US"/>
              </w:rPr>
            </w:pPr>
            <w:r>
              <w:rPr>
                <w:lang w:val="en-US"/>
              </w:rPr>
              <w:t>Median duration of exposure:</w:t>
            </w:r>
          </w:p>
          <w:p w:rsidR="00A9746B" w:rsidRPr="00E2771E" w:rsidRDefault="00A9746B" w:rsidP="00A9746B">
            <w:pPr>
              <w:pStyle w:val="TableText0"/>
              <w:jc w:val="center"/>
              <w:rPr>
                <w:lang w:val="en-US"/>
              </w:rPr>
            </w:pPr>
            <w:r>
              <w:rPr>
                <w:lang w:val="en-US"/>
              </w:rPr>
              <w:t>Pembro 11.1 months; SoC 5.7 months</w:t>
            </w:r>
          </w:p>
        </w:tc>
        <w:tc>
          <w:tcPr>
            <w:tcW w:w="724" w:type="pct"/>
            <w:shd w:val="clear" w:color="auto" w:fill="auto"/>
            <w:vAlign w:val="center"/>
          </w:tcPr>
          <w:p w:rsidR="000E0F67" w:rsidRPr="00A9746B" w:rsidRDefault="000E0F67" w:rsidP="00EC5836">
            <w:pPr>
              <w:pStyle w:val="TableText0"/>
              <w:jc w:val="center"/>
              <w:rPr>
                <w:lang w:val="en-US"/>
              </w:rPr>
            </w:pPr>
            <w:r w:rsidRPr="00A9746B">
              <w:rPr>
                <w:lang w:val="en-US"/>
              </w:rPr>
              <w:t>Low</w:t>
            </w:r>
            <w:r w:rsidR="00A9746B" w:rsidRPr="00A9746B">
              <w:rPr>
                <w:lang w:val="en-US"/>
              </w:rPr>
              <w:t xml:space="preserve"> for PFS</w:t>
            </w:r>
          </w:p>
          <w:p w:rsidR="00A9746B" w:rsidRPr="00123902" w:rsidRDefault="00A9746B" w:rsidP="008D2786">
            <w:pPr>
              <w:pStyle w:val="TableText0"/>
              <w:jc w:val="center"/>
              <w:rPr>
                <w:i/>
                <w:lang w:val="en-US"/>
              </w:rPr>
            </w:pPr>
            <w:r w:rsidRPr="00A9746B">
              <w:rPr>
                <w:lang w:val="en-US"/>
              </w:rPr>
              <w:t>High for OS due to treatment switching</w:t>
            </w:r>
            <w:r w:rsidR="008D2786">
              <w:rPr>
                <w:lang w:val="en-US"/>
              </w:rPr>
              <w:t xml:space="preserve"> which is likely to favour SoC if OS was unadjusted for switching. </w:t>
            </w:r>
          </w:p>
        </w:tc>
        <w:tc>
          <w:tcPr>
            <w:tcW w:w="1000" w:type="pct"/>
            <w:shd w:val="clear" w:color="auto" w:fill="auto"/>
            <w:vAlign w:val="center"/>
          </w:tcPr>
          <w:p w:rsidR="000E0F67" w:rsidRPr="00E2771E" w:rsidRDefault="000E0F67" w:rsidP="00EC5836">
            <w:pPr>
              <w:pStyle w:val="TableText0"/>
              <w:jc w:val="center"/>
              <w:rPr>
                <w:lang w:val="en-US"/>
              </w:rPr>
            </w:pPr>
            <w:r w:rsidRPr="00E2771E">
              <w:rPr>
                <w:lang w:val="en-US"/>
              </w:rPr>
              <w:t>Treatment naïve</w:t>
            </w:r>
            <w:r w:rsidR="00537DF3">
              <w:rPr>
                <w:lang w:val="en-US"/>
              </w:rPr>
              <w:t xml:space="preserve"> dMMR mCRC  </w:t>
            </w:r>
          </w:p>
        </w:tc>
        <w:tc>
          <w:tcPr>
            <w:tcW w:w="726" w:type="pct"/>
            <w:shd w:val="clear" w:color="auto" w:fill="auto"/>
            <w:vAlign w:val="center"/>
          </w:tcPr>
          <w:p w:rsidR="000E0F67" w:rsidRPr="00E2771E" w:rsidRDefault="00A9746B" w:rsidP="00EC5836">
            <w:pPr>
              <w:pStyle w:val="TableText0"/>
              <w:jc w:val="center"/>
              <w:rPr>
                <w:lang w:val="en-US"/>
              </w:rPr>
            </w:pPr>
            <w:r>
              <w:rPr>
                <w:lang w:val="en-US"/>
              </w:rPr>
              <w:t xml:space="preserve">PFS and </w:t>
            </w:r>
            <w:r w:rsidR="000E0F67" w:rsidRPr="00E2771E">
              <w:rPr>
                <w:lang w:val="en-US"/>
              </w:rPr>
              <w:t>OS</w:t>
            </w:r>
          </w:p>
        </w:tc>
        <w:tc>
          <w:tcPr>
            <w:tcW w:w="1095" w:type="pct"/>
            <w:shd w:val="clear" w:color="auto" w:fill="auto"/>
            <w:vAlign w:val="center"/>
          </w:tcPr>
          <w:p w:rsidR="000E0F67" w:rsidRPr="00E2771E" w:rsidRDefault="00A9746B" w:rsidP="00EC5836">
            <w:pPr>
              <w:pStyle w:val="TableText0"/>
              <w:jc w:val="center"/>
              <w:rPr>
                <w:lang w:val="en-US"/>
              </w:rPr>
            </w:pPr>
            <w:r>
              <w:rPr>
                <w:lang w:val="en-US"/>
              </w:rPr>
              <w:t>Used (adjusted for treatment switching)</w:t>
            </w:r>
          </w:p>
        </w:tc>
      </w:tr>
    </w:tbl>
    <w:p w:rsidR="00045017" w:rsidRDefault="00045017" w:rsidP="00EC5836">
      <w:pPr>
        <w:pStyle w:val="TableFigureFooter"/>
      </w:pPr>
      <w:r>
        <w:t xml:space="preserve">Source: </w:t>
      </w:r>
      <w:r w:rsidR="00A9746B">
        <w:t xml:space="preserve">Section 2.3 </w:t>
      </w:r>
      <w:r w:rsidRPr="00D13A3E">
        <w:t xml:space="preserve">of the </w:t>
      </w:r>
      <w:r>
        <w:t>submission.</w:t>
      </w:r>
    </w:p>
    <w:p w:rsidR="00620C25" w:rsidRPr="00B1011F" w:rsidRDefault="00537DF3" w:rsidP="00EC5836">
      <w:pPr>
        <w:pStyle w:val="TableFigureFooter"/>
        <w:rPr>
          <w:sz w:val="20"/>
        </w:rPr>
      </w:pPr>
      <w:r>
        <w:t xml:space="preserve">dMMR = mismatch repair deficient; mCRC = metastatic colorectal cancer; </w:t>
      </w:r>
      <w:r w:rsidR="00620C25" w:rsidRPr="0072416F">
        <w:t>OL</w:t>
      </w:r>
      <w:r w:rsidR="00620C25">
        <w:t xml:space="preserve"> </w:t>
      </w:r>
      <w:r w:rsidR="00620C25" w:rsidRPr="0072416F">
        <w:t>=</w:t>
      </w:r>
      <w:r w:rsidR="00620C25">
        <w:t xml:space="preserve"> </w:t>
      </w:r>
      <w:r w:rsidR="00620C25" w:rsidRPr="0072416F">
        <w:t>open label; OS</w:t>
      </w:r>
      <w:r w:rsidR="00620C25">
        <w:t xml:space="preserve"> </w:t>
      </w:r>
      <w:r w:rsidR="00620C25" w:rsidRPr="0072416F">
        <w:t>=</w:t>
      </w:r>
      <w:r w:rsidR="00620C25">
        <w:t xml:space="preserve"> </w:t>
      </w:r>
      <w:r w:rsidR="00620C25" w:rsidRPr="0072416F">
        <w:t>overall survival; PFS</w:t>
      </w:r>
      <w:r w:rsidR="00620C25">
        <w:t xml:space="preserve"> </w:t>
      </w:r>
      <w:r w:rsidR="00620C25" w:rsidRPr="0072416F">
        <w:t>=</w:t>
      </w:r>
      <w:r w:rsidR="00620C25">
        <w:t xml:space="preserve"> </w:t>
      </w:r>
      <w:r w:rsidR="00620C25" w:rsidRPr="0072416F">
        <w:t>progression-free survival; R</w:t>
      </w:r>
      <w:r w:rsidR="00620C25">
        <w:t xml:space="preserve"> </w:t>
      </w:r>
      <w:r w:rsidR="00620C25" w:rsidRPr="0072416F">
        <w:t>=</w:t>
      </w:r>
      <w:r w:rsidR="00620C25">
        <w:t xml:space="preserve"> </w:t>
      </w:r>
      <w:r w:rsidR="00620C25" w:rsidRPr="0072416F">
        <w:t>randomised</w:t>
      </w:r>
      <w:r w:rsidR="00990180">
        <w:t xml:space="preserve">; Pembro = </w:t>
      </w:r>
      <w:r w:rsidR="005E3472">
        <w:t>pembrolizumab</w:t>
      </w:r>
      <w:r w:rsidR="00990180">
        <w:t xml:space="preserve">; SoC = </w:t>
      </w:r>
      <w:r w:rsidR="005E3472">
        <w:t>standard of care</w:t>
      </w:r>
      <w:r w:rsidR="00620C25" w:rsidRPr="0072416F">
        <w:t>.</w:t>
      </w:r>
    </w:p>
    <w:p w:rsidR="00620C25" w:rsidRPr="00ED14E9" w:rsidRDefault="00A9746B" w:rsidP="00EC5836">
      <w:pPr>
        <w:pStyle w:val="3-BodyText"/>
      </w:pPr>
      <w:r w:rsidRPr="00A9746B">
        <w:t>There was treatment switching from the SoC arm to the pembrolizumab arm and to other PD-1/PD-L1 inhibitor therapies post progression (approximately 60% of the 154 patients in the SoC arm)</w:t>
      </w:r>
      <w:r>
        <w:t>. Given that these immune check</w:t>
      </w:r>
      <w:r w:rsidRPr="00A9746B">
        <w:t xml:space="preserve">point inhibitors are not currently reimbursed on the PBS for </w:t>
      </w:r>
      <w:r w:rsidR="006401D2">
        <w:t>use in this population</w:t>
      </w:r>
      <w:r w:rsidRPr="00A9746B">
        <w:t xml:space="preserve">, there is the potential for confounding of OS that may </w:t>
      </w:r>
      <w:r w:rsidR="00537DF3">
        <w:t xml:space="preserve">have </w:t>
      </w:r>
      <w:r w:rsidRPr="00A9746B">
        <w:t>favour</w:t>
      </w:r>
      <w:r w:rsidR="00537DF3">
        <w:t>ed</w:t>
      </w:r>
      <w:r w:rsidRPr="00A9746B">
        <w:t xml:space="preserve"> the SoC treatment arm.</w:t>
      </w:r>
      <w:r w:rsidR="0022632F">
        <w:t xml:space="preserve"> Analyses to adjust OS for treatment switching were presented in the submission. </w:t>
      </w:r>
    </w:p>
    <w:p w:rsidR="00B60939" w:rsidRPr="00E911AA" w:rsidRDefault="00B60939" w:rsidP="00EC5836">
      <w:pPr>
        <w:pStyle w:val="4-SubsectionHeading"/>
      </w:pPr>
      <w:bookmarkStart w:id="13" w:name="_Toc22897641"/>
      <w:bookmarkStart w:id="14" w:name="_Toc62027404"/>
      <w:r w:rsidRPr="00C9624D">
        <w:t xml:space="preserve">Comparative </w:t>
      </w:r>
      <w:r w:rsidRPr="00E911AA">
        <w:t>effectiveness</w:t>
      </w:r>
      <w:bookmarkEnd w:id="13"/>
      <w:bookmarkEnd w:id="14"/>
    </w:p>
    <w:p w:rsidR="00E911AA" w:rsidRPr="00E911AA" w:rsidRDefault="00E911AA" w:rsidP="00E911AA">
      <w:pPr>
        <w:pStyle w:val="3-BodyText"/>
      </w:pPr>
      <w:r w:rsidRPr="00E911AA">
        <w:rPr>
          <w:snapToGrid/>
          <w:lang w:val="en-US"/>
        </w:rPr>
        <w:t>The median duration of exposure was 11.1 months and 5.7 months in the pembrolizumab and SoC arms, respectively. The median duration of follow up was approximately 28 months.</w:t>
      </w:r>
    </w:p>
    <w:p w:rsidR="00AF2DB7" w:rsidRDefault="00E911AA" w:rsidP="00132A12">
      <w:pPr>
        <w:pStyle w:val="3-BodyText"/>
      </w:pPr>
      <w:r w:rsidRPr="0062510E">
        <w:t>The results for the final PFS analysis and planned interim OS analysis at IA2 are summarised in</w:t>
      </w:r>
      <w:r>
        <w:t xml:space="preserve"> the table </w:t>
      </w:r>
      <w:r w:rsidR="00132A12">
        <w:t>and Kaplan-Meier figures below.</w:t>
      </w:r>
    </w:p>
    <w:p w:rsidR="00E911AA" w:rsidRPr="002D1A13" w:rsidRDefault="00E911AA" w:rsidP="00054AD9">
      <w:pPr>
        <w:pStyle w:val="TableFigureHeading"/>
        <w:keepLines/>
      </w:pPr>
      <w:r>
        <w:t xml:space="preserve">Table </w:t>
      </w:r>
      <w:r w:rsidR="009A4847">
        <w:rPr>
          <w:noProof/>
        </w:rPr>
        <w:t>4</w:t>
      </w:r>
      <w:r>
        <w:t xml:space="preserve">: KN177 - PFS and OS efficacy results </w:t>
      </w:r>
    </w:p>
    <w:tbl>
      <w:tblPr>
        <w:tblStyle w:val="TableGrid"/>
        <w:tblW w:w="0" w:type="auto"/>
        <w:tblLayout w:type="fixed"/>
        <w:tblLook w:val="01E0" w:firstRow="1" w:lastRow="1" w:firstColumn="1" w:lastColumn="1" w:noHBand="0" w:noVBand="0"/>
        <w:tblCaption w:val="Table 4: KN177 - PFS and OS efficacy results "/>
      </w:tblPr>
      <w:tblGrid>
        <w:gridCol w:w="2828"/>
        <w:gridCol w:w="2830"/>
        <w:gridCol w:w="2829"/>
      </w:tblGrid>
      <w:tr w:rsidR="00E911AA" w:rsidTr="00BF2FBB">
        <w:trPr>
          <w:trHeight w:hRule="exact" w:val="484"/>
          <w:tblHeader/>
        </w:trPr>
        <w:tc>
          <w:tcPr>
            <w:tcW w:w="2828" w:type="dxa"/>
          </w:tcPr>
          <w:p w:rsidR="00E911AA" w:rsidRDefault="00E911AA" w:rsidP="00054AD9">
            <w:pPr>
              <w:pStyle w:val="Tabletext"/>
              <w:keepNext/>
              <w:keepLines/>
              <w:rPr>
                <w:rFonts w:eastAsia="Calibri" w:hAnsi="Calibri" w:cs="Calibri"/>
                <w:szCs w:val="19"/>
              </w:rPr>
            </w:pPr>
          </w:p>
        </w:tc>
        <w:tc>
          <w:tcPr>
            <w:tcW w:w="2830" w:type="dxa"/>
          </w:tcPr>
          <w:p w:rsidR="00E911AA" w:rsidRPr="002D1A13" w:rsidRDefault="00E911AA" w:rsidP="00054AD9">
            <w:pPr>
              <w:pStyle w:val="Tabletext"/>
              <w:keepNext/>
              <w:keepLines/>
              <w:jc w:val="center"/>
              <w:rPr>
                <w:rFonts w:eastAsia="Calibri" w:hAnsi="Calibri" w:cs="Calibri"/>
                <w:b/>
                <w:szCs w:val="19"/>
              </w:rPr>
            </w:pPr>
            <w:r w:rsidRPr="002D1A13">
              <w:rPr>
                <w:b/>
                <w:w w:val="95"/>
              </w:rPr>
              <w:t>Pembrolizumab</w:t>
            </w:r>
          </w:p>
          <w:p w:rsidR="00E911AA" w:rsidRPr="002D1A13" w:rsidRDefault="00E911AA" w:rsidP="00054AD9">
            <w:pPr>
              <w:pStyle w:val="Tabletext"/>
              <w:keepNext/>
              <w:keepLines/>
              <w:jc w:val="center"/>
              <w:rPr>
                <w:rFonts w:eastAsia="Calibri" w:hAnsi="Calibri" w:cs="Calibri"/>
                <w:b/>
                <w:szCs w:val="19"/>
              </w:rPr>
            </w:pPr>
            <w:r w:rsidRPr="002D1A13">
              <w:rPr>
                <w:b/>
              </w:rPr>
              <w:t>(n=</w:t>
            </w:r>
            <w:r w:rsidRPr="002D1A13">
              <w:rPr>
                <w:b/>
                <w:spacing w:val="-8"/>
              </w:rPr>
              <w:t xml:space="preserve"> </w:t>
            </w:r>
            <w:r w:rsidRPr="002D1A13">
              <w:rPr>
                <w:b/>
              </w:rPr>
              <w:t>153)</w:t>
            </w:r>
          </w:p>
        </w:tc>
        <w:tc>
          <w:tcPr>
            <w:tcW w:w="2829" w:type="dxa"/>
          </w:tcPr>
          <w:p w:rsidR="00E911AA" w:rsidRDefault="00E911AA" w:rsidP="00054AD9">
            <w:pPr>
              <w:pStyle w:val="Tabletext"/>
              <w:keepNext/>
              <w:keepLines/>
              <w:jc w:val="center"/>
              <w:rPr>
                <w:b/>
              </w:rPr>
            </w:pPr>
            <w:r w:rsidRPr="002D1A13">
              <w:rPr>
                <w:b/>
              </w:rPr>
              <w:t>SOC</w:t>
            </w:r>
          </w:p>
          <w:p w:rsidR="00E911AA" w:rsidRPr="002D1A13" w:rsidRDefault="00E911AA" w:rsidP="00054AD9">
            <w:pPr>
              <w:pStyle w:val="Tabletext"/>
              <w:keepNext/>
              <w:keepLines/>
              <w:jc w:val="center"/>
              <w:rPr>
                <w:rFonts w:eastAsia="Calibri" w:hAnsi="Calibri" w:cs="Calibri"/>
                <w:b/>
                <w:szCs w:val="19"/>
              </w:rPr>
            </w:pPr>
            <w:r w:rsidRPr="002D1A13">
              <w:rPr>
                <w:b/>
              </w:rPr>
              <w:t>(n=154)</w:t>
            </w:r>
          </w:p>
        </w:tc>
      </w:tr>
      <w:tr w:rsidR="00E911AA" w:rsidTr="00D505E0">
        <w:trPr>
          <w:trHeight w:hRule="exact" w:val="252"/>
        </w:trPr>
        <w:tc>
          <w:tcPr>
            <w:tcW w:w="8487" w:type="dxa"/>
            <w:gridSpan w:val="3"/>
          </w:tcPr>
          <w:p w:rsidR="00E911AA" w:rsidRPr="002D1A13" w:rsidRDefault="00E911AA" w:rsidP="00054AD9">
            <w:pPr>
              <w:pStyle w:val="Tabletext"/>
              <w:keepNext/>
              <w:keepLines/>
              <w:rPr>
                <w:rFonts w:eastAsia="Calibri" w:hAnsi="Calibri" w:cs="Calibri"/>
                <w:b/>
                <w:szCs w:val="19"/>
              </w:rPr>
            </w:pPr>
            <w:r w:rsidRPr="002D1A13">
              <w:rPr>
                <w:b/>
              </w:rPr>
              <w:t>PFS</w:t>
            </w:r>
            <w:r w:rsidRPr="002D1A13">
              <w:rPr>
                <w:b/>
                <w:spacing w:val="-6"/>
              </w:rPr>
              <w:t xml:space="preserve"> </w:t>
            </w:r>
            <w:r w:rsidRPr="002D1A13">
              <w:rPr>
                <w:b/>
              </w:rPr>
              <w:t>per</w:t>
            </w:r>
            <w:r w:rsidRPr="002D1A13">
              <w:rPr>
                <w:b/>
                <w:spacing w:val="-3"/>
              </w:rPr>
              <w:t xml:space="preserve"> </w:t>
            </w:r>
            <w:r w:rsidRPr="002D1A13">
              <w:rPr>
                <w:b/>
              </w:rPr>
              <w:t>BICR</w:t>
            </w:r>
          </w:p>
        </w:tc>
      </w:tr>
      <w:tr w:rsidR="00E911AA" w:rsidTr="00D505E0">
        <w:trPr>
          <w:trHeight w:hRule="exact" w:val="252"/>
        </w:trPr>
        <w:tc>
          <w:tcPr>
            <w:tcW w:w="2828" w:type="dxa"/>
          </w:tcPr>
          <w:p w:rsidR="00E911AA" w:rsidRDefault="00E911AA" w:rsidP="00054AD9">
            <w:pPr>
              <w:pStyle w:val="Tabletext"/>
              <w:keepNext/>
              <w:keepLines/>
              <w:rPr>
                <w:rFonts w:eastAsia="Calibri" w:hAnsi="Calibri" w:cs="Calibri"/>
                <w:szCs w:val="19"/>
              </w:rPr>
            </w:pPr>
            <w:r>
              <w:t>Events,</w:t>
            </w:r>
            <w:r>
              <w:rPr>
                <w:spacing w:val="-5"/>
              </w:rPr>
              <w:t xml:space="preserve"> </w:t>
            </w:r>
            <w:r>
              <w:t>n</w:t>
            </w:r>
            <w:r>
              <w:rPr>
                <w:spacing w:val="-4"/>
              </w:rPr>
              <w:t xml:space="preserve"> </w:t>
            </w:r>
            <w:r>
              <w:t>(%)</w:t>
            </w:r>
          </w:p>
        </w:tc>
        <w:tc>
          <w:tcPr>
            <w:tcW w:w="2830" w:type="dxa"/>
          </w:tcPr>
          <w:p w:rsidR="00E911AA" w:rsidRDefault="00E911AA" w:rsidP="00054AD9">
            <w:pPr>
              <w:pStyle w:val="Tabletext"/>
              <w:keepNext/>
              <w:keepLines/>
              <w:jc w:val="center"/>
              <w:rPr>
                <w:rFonts w:eastAsia="Calibri" w:hAnsi="Calibri" w:cs="Calibri"/>
                <w:szCs w:val="19"/>
              </w:rPr>
            </w:pPr>
            <w:r>
              <w:t>82</w:t>
            </w:r>
            <w:r>
              <w:rPr>
                <w:spacing w:val="-8"/>
              </w:rPr>
              <w:t xml:space="preserve"> </w:t>
            </w:r>
            <w:r>
              <w:t>(53.6)</w:t>
            </w:r>
          </w:p>
        </w:tc>
        <w:tc>
          <w:tcPr>
            <w:tcW w:w="2829" w:type="dxa"/>
          </w:tcPr>
          <w:p w:rsidR="00E911AA" w:rsidRDefault="00E911AA" w:rsidP="00054AD9">
            <w:pPr>
              <w:pStyle w:val="Tabletext"/>
              <w:keepNext/>
              <w:keepLines/>
              <w:jc w:val="center"/>
              <w:rPr>
                <w:rFonts w:eastAsia="Calibri" w:hAnsi="Calibri" w:cs="Calibri"/>
                <w:szCs w:val="19"/>
              </w:rPr>
            </w:pPr>
            <w:r>
              <w:t>113</w:t>
            </w:r>
            <w:r>
              <w:rPr>
                <w:spacing w:val="-9"/>
              </w:rPr>
              <w:t xml:space="preserve"> </w:t>
            </w:r>
            <w:r>
              <w:t>(73.4)</w:t>
            </w:r>
          </w:p>
        </w:tc>
      </w:tr>
      <w:tr w:rsidR="00E911AA" w:rsidTr="00D505E0">
        <w:trPr>
          <w:trHeight w:hRule="exact" w:val="252"/>
        </w:trPr>
        <w:tc>
          <w:tcPr>
            <w:tcW w:w="2828" w:type="dxa"/>
          </w:tcPr>
          <w:p w:rsidR="00E911AA" w:rsidRDefault="00E911AA" w:rsidP="00054AD9">
            <w:pPr>
              <w:pStyle w:val="Tabletext"/>
              <w:keepNext/>
              <w:keepLines/>
              <w:rPr>
                <w:rFonts w:eastAsia="Calibri" w:hAnsi="Calibri" w:cs="Calibri"/>
                <w:szCs w:val="19"/>
              </w:rPr>
            </w:pPr>
            <w:r>
              <w:t>Median</w:t>
            </w:r>
            <w:r>
              <w:rPr>
                <w:spacing w:val="-6"/>
              </w:rPr>
              <w:t xml:space="preserve"> </w:t>
            </w:r>
            <w:r>
              <w:t>PFS,</w:t>
            </w:r>
            <w:r>
              <w:rPr>
                <w:spacing w:val="-5"/>
              </w:rPr>
              <w:t xml:space="preserve"> </w:t>
            </w:r>
            <w:r>
              <w:t>months</w:t>
            </w:r>
            <w:r>
              <w:rPr>
                <w:spacing w:val="-5"/>
              </w:rPr>
              <w:t xml:space="preserve"> </w:t>
            </w:r>
            <w:r>
              <w:t>(95%</w:t>
            </w:r>
            <w:r>
              <w:rPr>
                <w:spacing w:val="-7"/>
              </w:rPr>
              <w:t xml:space="preserve"> </w:t>
            </w:r>
            <w:r>
              <w:t>CI)</w:t>
            </w:r>
          </w:p>
        </w:tc>
        <w:tc>
          <w:tcPr>
            <w:tcW w:w="2830" w:type="dxa"/>
          </w:tcPr>
          <w:p w:rsidR="00E911AA" w:rsidRDefault="00E911AA" w:rsidP="00054AD9">
            <w:pPr>
              <w:pStyle w:val="Tabletext"/>
              <w:keepNext/>
              <w:keepLines/>
              <w:jc w:val="center"/>
              <w:rPr>
                <w:rFonts w:eastAsia="Calibri" w:hAnsi="Calibri" w:cs="Calibri"/>
                <w:szCs w:val="19"/>
              </w:rPr>
            </w:pPr>
            <w:r>
              <w:t>16.5</w:t>
            </w:r>
            <w:r>
              <w:rPr>
                <w:spacing w:val="-7"/>
              </w:rPr>
              <w:t xml:space="preserve"> </w:t>
            </w:r>
            <w:r>
              <w:t>(5.4,</w:t>
            </w:r>
            <w:r>
              <w:rPr>
                <w:spacing w:val="-5"/>
              </w:rPr>
              <w:t xml:space="preserve"> </w:t>
            </w:r>
            <w:r>
              <w:t>32.4)</w:t>
            </w:r>
          </w:p>
        </w:tc>
        <w:tc>
          <w:tcPr>
            <w:tcW w:w="2829" w:type="dxa"/>
          </w:tcPr>
          <w:p w:rsidR="00E911AA" w:rsidRDefault="00E911AA" w:rsidP="00054AD9">
            <w:pPr>
              <w:pStyle w:val="Tabletext"/>
              <w:keepNext/>
              <w:keepLines/>
              <w:jc w:val="center"/>
              <w:rPr>
                <w:rFonts w:eastAsia="Calibri" w:hAnsi="Calibri" w:cs="Calibri"/>
                <w:szCs w:val="19"/>
              </w:rPr>
            </w:pPr>
            <w:r>
              <w:t>8.2</w:t>
            </w:r>
            <w:r>
              <w:rPr>
                <w:spacing w:val="-6"/>
              </w:rPr>
              <w:t xml:space="preserve"> </w:t>
            </w:r>
            <w:r>
              <w:t>(6.1,</w:t>
            </w:r>
            <w:r>
              <w:rPr>
                <w:spacing w:val="-5"/>
              </w:rPr>
              <w:t xml:space="preserve"> </w:t>
            </w:r>
            <w:r>
              <w:t>10.2)</w:t>
            </w:r>
          </w:p>
        </w:tc>
      </w:tr>
      <w:tr w:rsidR="00E911AA" w:rsidTr="00D505E0">
        <w:trPr>
          <w:trHeight w:hRule="exact" w:val="252"/>
        </w:trPr>
        <w:tc>
          <w:tcPr>
            <w:tcW w:w="2828" w:type="dxa"/>
          </w:tcPr>
          <w:p w:rsidR="00E911AA" w:rsidRPr="00397E4C" w:rsidRDefault="00E911AA" w:rsidP="00054AD9">
            <w:pPr>
              <w:pStyle w:val="Tabletext"/>
              <w:keepNext/>
              <w:keepLines/>
              <w:rPr>
                <w:rFonts w:eastAsia="Calibri" w:hAnsi="Calibri" w:cs="Calibri"/>
                <w:b/>
                <w:sz w:val="12"/>
                <w:szCs w:val="12"/>
              </w:rPr>
            </w:pPr>
            <w:r w:rsidRPr="00397E4C">
              <w:rPr>
                <w:b/>
              </w:rPr>
              <w:t>Stratified</w:t>
            </w:r>
            <w:r w:rsidRPr="00397E4C">
              <w:rPr>
                <w:b/>
                <w:spacing w:val="-9"/>
              </w:rPr>
              <w:t xml:space="preserve"> </w:t>
            </w:r>
            <w:r w:rsidR="00D27561">
              <w:rPr>
                <w:b/>
              </w:rPr>
              <w:t>HR</w:t>
            </w:r>
            <w:r w:rsidR="00D27561" w:rsidRPr="00D27561">
              <w:rPr>
                <w:b/>
                <w:vertAlign w:val="superscript"/>
              </w:rPr>
              <w:t>a</w:t>
            </w:r>
          </w:p>
        </w:tc>
        <w:tc>
          <w:tcPr>
            <w:tcW w:w="5659" w:type="dxa"/>
            <w:gridSpan w:val="2"/>
          </w:tcPr>
          <w:p w:rsidR="00E911AA" w:rsidRPr="00397E4C" w:rsidRDefault="00E911AA" w:rsidP="00054AD9">
            <w:pPr>
              <w:pStyle w:val="Tabletext"/>
              <w:keepNext/>
              <w:keepLines/>
              <w:jc w:val="center"/>
              <w:rPr>
                <w:rFonts w:eastAsia="Calibri" w:hAnsi="Calibri" w:cs="Calibri"/>
                <w:b/>
                <w:szCs w:val="19"/>
              </w:rPr>
            </w:pPr>
            <w:r w:rsidRPr="00397E4C">
              <w:rPr>
                <w:b/>
              </w:rPr>
              <w:t>0.60</w:t>
            </w:r>
            <w:r w:rsidRPr="00397E4C">
              <w:rPr>
                <w:b/>
                <w:spacing w:val="-7"/>
              </w:rPr>
              <w:t xml:space="preserve"> </w:t>
            </w:r>
            <w:r w:rsidRPr="00397E4C">
              <w:rPr>
                <w:b/>
              </w:rPr>
              <w:t>(0.45,</w:t>
            </w:r>
            <w:r w:rsidRPr="00397E4C">
              <w:rPr>
                <w:b/>
                <w:spacing w:val="-6"/>
              </w:rPr>
              <w:t xml:space="preserve"> </w:t>
            </w:r>
            <w:r w:rsidRPr="00397E4C">
              <w:rPr>
                <w:b/>
              </w:rPr>
              <w:t>0.80)</w:t>
            </w:r>
          </w:p>
        </w:tc>
      </w:tr>
      <w:tr w:rsidR="00E911AA" w:rsidTr="00D505E0">
        <w:trPr>
          <w:trHeight w:hRule="exact" w:val="252"/>
        </w:trPr>
        <w:tc>
          <w:tcPr>
            <w:tcW w:w="2828" w:type="dxa"/>
          </w:tcPr>
          <w:p w:rsidR="00E911AA" w:rsidRPr="00397E4C" w:rsidRDefault="00E911AA" w:rsidP="00054AD9">
            <w:pPr>
              <w:pStyle w:val="Tabletext"/>
              <w:keepNext/>
              <w:keepLines/>
              <w:rPr>
                <w:rFonts w:eastAsia="Calibri" w:hAnsi="Calibri" w:cs="Calibri"/>
                <w:b/>
                <w:sz w:val="12"/>
                <w:szCs w:val="12"/>
              </w:rPr>
            </w:pPr>
            <w:r w:rsidRPr="00397E4C">
              <w:rPr>
                <w:b/>
              </w:rPr>
              <w:t>p-value</w:t>
            </w:r>
            <w:r w:rsidR="00D27561">
              <w:rPr>
                <w:b/>
                <w:vertAlign w:val="superscript"/>
              </w:rPr>
              <w:t>b</w:t>
            </w:r>
          </w:p>
        </w:tc>
        <w:tc>
          <w:tcPr>
            <w:tcW w:w="5659" w:type="dxa"/>
            <w:gridSpan w:val="2"/>
          </w:tcPr>
          <w:p w:rsidR="00E911AA" w:rsidRPr="00397E4C" w:rsidRDefault="00E911AA" w:rsidP="00054AD9">
            <w:pPr>
              <w:pStyle w:val="Tabletext"/>
              <w:keepNext/>
              <w:keepLines/>
              <w:jc w:val="center"/>
              <w:rPr>
                <w:rFonts w:eastAsia="Calibri" w:hAnsi="Calibri" w:cs="Calibri"/>
                <w:b/>
                <w:szCs w:val="19"/>
              </w:rPr>
            </w:pPr>
            <w:r w:rsidRPr="00397E4C">
              <w:rPr>
                <w:b/>
              </w:rPr>
              <w:t>0.0002</w:t>
            </w:r>
          </w:p>
        </w:tc>
      </w:tr>
      <w:tr w:rsidR="00E911AA" w:rsidTr="00D505E0">
        <w:trPr>
          <w:trHeight w:hRule="exact" w:val="252"/>
        </w:trPr>
        <w:tc>
          <w:tcPr>
            <w:tcW w:w="2828" w:type="dxa"/>
          </w:tcPr>
          <w:p w:rsidR="00E911AA" w:rsidRDefault="00E911AA" w:rsidP="00054AD9">
            <w:pPr>
              <w:pStyle w:val="Tabletext"/>
              <w:keepNext/>
              <w:keepLines/>
              <w:rPr>
                <w:rFonts w:eastAsia="Calibri" w:hAnsi="Calibri" w:cs="Calibri"/>
                <w:szCs w:val="19"/>
              </w:rPr>
            </w:pPr>
            <w:r>
              <w:t>PFS</w:t>
            </w:r>
            <w:r>
              <w:rPr>
                <w:spacing w:val="-6"/>
              </w:rPr>
              <w:t xml:space="preserve"> </w:t>
            </w:r>
            <w:r>
              <w:t>rate</w:t>
            </w:r>
            <w:r>
              <w:rPr>
                <w:spacing w:val="-4"/>
              </w:rPr>
              <w:t xml:space="preserve"> </w:t>
            </w:r>
            <w:r>
              <w:t>at</w:t>
            </w:r>
            <w:r>
              <w:rPr>
                <w:spacing w:val="-6"/>
              </w:rPr>
              <w:t xml:space="preserve"> </w:t>
            </w:r>
            <w:r>
              <w:t>12</w:t>
            </w:r>
            <w:r>
              <w:rPr>
                <w:spacing w:val="-2"/>
              </w:rPr>
              <w:t xml:space="preserve"> </w:t>
            </w:r>
            <w:r>
              <w:t>months</w:t>
            </w:r>
            <w:r>
              <w:rPr>
                <w:spacing w:val="-3"/>
              </w:rPr>
              <w:t xml:space="preserve"> </w:t>
            </w:r>
            <w:r>
              <w:t>(95%</w:t>
            </w:r>
            <w:r>
              <w:rPr>
                <w:spacing w:val="-6"/>
              </w:rPr>
              <w:t xml:space="preserve"> </w:t>
            </w:r>
            <w:r>
              <w:t>CI)</w:t>
            </w:r>
          </w:p>
        </w:tc>
        <w:tc>
          <w:tcPr>
            <w:tcW w:w="2830" w:type="dxa"/>
          </w:tcPr>
          <w:p w:rsidR="00E911AA" w:rsidRDefault="00E911AA" w:rsidP="00054AD9">
            <w:pPr>
              <w:pStyle w:val="Tabletext"/>
              <w:keepNext/>
              <w:keepLines/>
              <w:jc w:val="center"/>
              <w:rPr>
                <w:rFonts w:eastAsia="Calibri" w:hAnsi="Calibri" w:cs="Calibri"/>
                <w:szCs w:val="19"/>
              </w:rPr>
            </w:pPr>
            <w:r>
              <w:t>55.3</w:t>
            </w:r>
            <w:r>
              <w:rPr>
                <w:spacing w:val="-7"/>
              </w:rPr>
              <w:t xml:space="preserve"> </w:t>
            </w:r>
            <w:r>
              <w:t>(47.0,</w:t>
            </w:r>
            <w:r>
              <w:rPr>
                <w:spacing w:val="-6"/>
              </w:rPr>
              <w:t xml:space="preserve"> </w:t>
            </w:r>
            <w:r>
              <w:t>62.9)</w:t>
            </w:r>
          </w:p>
        </w:tc>
        <w:tc>
          <w:tcPr>
            <w:tcW w:w="2829" w:type="dxa"/>
          </w:tcPr>
          <w:p w:rsidR="00E911AA" w:rsidRDefault="00E911AA" w:rsidP="00054AD9">
            <w:pPr>
              <w:pStyle w:val="Tabletext"/>
              <w:keepNext/>
              <w:keepLines/>
              <w:jc w:val="center"/>
              <w:rPr>
                <w:rFonts w:eastAsia="Calibri" w:hAnsi="Calibri" w:cs="Calibri"/>
                <w:szCs w:val="19"/>
              </w:rPr>
            </w:pPr>
            <w:r>
              <w:t>37.3</w:t>
            </w:r>
            <w:r>
              <w:rPr>
                <w:spacing w:val="-7"/>
              </w:rPr>
              <w:t xml:space="preserve"> </w:t>
            </w:r>
            <w:r>
              <w:t>(29.0,</w:t>
            </w:r>
            <w:r>
              <w:rPr>
                <w:spacing w:val="-6"/>
              </w:rPr>
              <w:t xml:space="preserve"> </w:t>
            </w:r>
            <w:r>
              <w:t>45.5)</w:t>
            </w:r>
          </w:p>
        </w:tc>
      </w:tr>
      <w:tr w:rsidR="00E911AA" w:rsidTr="00D505E0">
        <w:trPr>
          <w:trHeight w:hRule="exact" w:val="252"/>
        </w:trPr>
        <w:tc>
          <w:tcPr>
            <w:tcW w:w="2828" w:type="dxa"/>
          </w:tcPr>
          <w:p w:rsidR="00E911AA" w:rsidRDefault="00E911AA" w:rsidP="00054AD9">
            <w:pPr>
              <w:pStyle w:val="Tabletext"/>
              <w:keepNext/>
              <w:keepLines/>
              <w:rPr>
                <w:rFonts w:eastAsia="Calibri" w:hAnsi="Calibri" w:cs="Calibri"/>
                <w:szCs w:val="19"/>
              </w:rPr>
            </w:pPr>
            <w:r>
              <w:t>PFS</w:t>
            </w:r>
            <w:r>
              <w:rPr>
                <w:spacing w:val="-6"/>
              </w:rPr>
              <w:t xml:space="preserve"> </w:t>
            </w:r>
            <w:r>
              <w:t>rate</w:t>
            </w:r>
            <w:r>
              <w:rPr>
                <w:spacing w:val="-4"/>
              </w:rPr>
              <w:t xml:space="preserve"> </w:t>
            </w:r>
            <w:r>
              <w:t>at</w:t>
            </w:r>
            <w:r>
              <w:rPr>
                <w:spacing w:val="-6"/>
              </w:rPr>
              <w:t xml:space="preserve"> </w:t>
            </w:r>
            <w:r>
              <w:t>18</w:t>
            </w:r>
            <w:r>
              <w:rPr>
                <w:spacing w:val="-2"/>
              </w:rPr>
              <w:t xml:space="preserve"> </w:t>
            </w:r>
            <w:r>
              <w:t>months</w:t>
            </w:r>
            <w:r>
              <w:rPr>
                <w:spacing w:val="-3"/>
              </w:rPr>
              <w:t xml:space="preserve"> </w:t>
            </w:r>
            <w:r>
              <w:t>(95%</w:t>
            </w:r>
            <w:r>
              <w:rPr>
                <w:spacing w:val="-6"/>
              </w:rPr>
              <w:t xml:space="preserve"> </w:t>
            </w:r>
            <w:r>
              <w:t>CI)</w:t>
            </w:r>
          </w:p>
        </w:tc>
        <w:tc>
          <w:tcPr>
            <w:tcW w:w="2830" w:type="dxa"/>
          </w:tcPr>
          <w:p w:rsidR="00E911AA" w:rsidRDefault="00E911AA" w:rsidP="00054AD9">
            <w:pPr>
              <w:pStyle w:val="Tabletext"/>
              <w:keepNext/>
              <w:keepLines/>
              <w:jc w:val="center"/>
              <w:rPr>
                <w:rFonts w:eastAsia="Calibri" w:hAnsi="Calibri" w:cs="Calibri"/>
                <w:szCs w:val="19"/>
              </w:rPr>
            </w:pPr>
            <w:r>
              <w:t>49.1</w:t>
            </w:r>
            <w:r>
              <w:rPr>
                <w:spacing w:val="-7"/>
              </w:rPr>
              <w:t xml:space="preserve"> </w:t>
            </w:r>
            <w:r>
              <w:t>(40.7,</w:t>
            </w:r>
            <w:r>
              <w:rPr>
                <w:spacing w:val="-6"/>
              </w:rPr>
              <w:t xml:space="preserve"> </w:t>
            </w:r>
            <w:r>
              <w:t>57.0)</w:t>
            </w:r>
          </w:p>
        </w:tc>
        <w:tc>
          <w:tcPr>
            <w:tcW w:w="2829" w:type="dxa"/>
          </w:tcPr>
          <w:p w:rsidR="00E911AA" w:rsidRDefault="00E911AA" w:rsidP="00054AD9">
            <w:pPr>
              <w:pStyle w:val="Tabletext"/>
              <w:keepNext/>
              <w:keepLines/>
              <w:jc w:val="center"/>
              <w:rPr>
                <w:rFonts w:eastAsia="Calibri" w:hAnsi="Calibri" w:cs="Calibri"/>
                <w:szCs w:val="19"/>
              </w:rPr>
            </w:pPr>
            <w:r>
              <w:t>26.7</w:t>
            </w:r>
            <w:r>
              <w:rPr>
                <w:spacing w:val="-7"/>
              </w:rPr>
              <w:t xml:space="preserve"> </w:t>
            </w:r>
            <w:r>
              <w:t>(19.2,</w:t>
            </w:r>
            <w:r>
              <w:rPr>
                <w:spacing w:val="-6"/>
              </w:rPr>
              <w:t xml:space="preserve"> </w:t>
            </w:r>
            <w:r>
              <w:t>34.7)</w:t>
            </w:r>
          </w:p>
        </w:tc>
      </w:tr>
      <w:tr w:rsidR="00E911AA" w:rsidTr="00D505E0">
        <w:trPr>
          <w:trHeight w:hRule="exact" w:val="252"/>
        </w:trPr>
        <w:tc>
          <w:tcPr>
            <w:tcW w:w="2828" w:type="dxa"/>
          </w:tcPr>
          <w:p w:rsidR="00E911AA" w:rsidRDefault="00E911AA" w:rsidP="00054AD9">
            <w:pPr>
              <w:pStyle w:val="Tabletext"/>
              <w:keepNext/>
              <w:keepLines/>
              <w:rPr>
                <w:rFonts w:eastAsia="Calibri" w:hAnsi="Calibri" w:cs="Calibri"/>
                <w:szCs w:val="19"/>
              </w:rPr>
            </w:pPr>
            <w:r>
              <w:t>PFS</w:t>
            </w:r>
            <w:r>
              <w:rPr>
                <w:spacing w:val="-6"/>
              </w:rPr>
              <w:t xml:space="preserve"> </w:t>
            </w:r>
            <w:r>
              <w:t>rate</w:t>
            </w:r>
            <w:r>
              <w:rPr>
                <w:spacing w:val="-4"/>
              </w:rPr>
              <w:t xml:space="preserve"> </w:t>
            </w:r>
            <w:r>
              <w:t>at</w:t>
            </w:r>
            <w:r>
              <w:rPr>
                <w:spacing w:val="-6"/>
              </w:rPr>
              <w:t xml:space="preserve"> </w:t>
            </w:r>
            <w:r>
              <w:t>24</w:t>
            </w:r>
            <w:r>
              <w:rPr>
                <w:spacing w:val="-2"/>
              </w:rPr>
              <w:t xml:space="preserve"> </w:t>
            </w:r>
            <w:r>
              <w:t>months</w:t>
            </w:r>
            <w:r>
              <w:rPr>
                <w:spacing w:val="-3"/>
              </w:rPr>
              <w:t xml:space="preserve"> </w:t>
            </w:r>
            <w:r>
              <w:t>(95%</w:t>
            </w:r>
            <w:r>
              <w:rPr>
                <w:spacing w:val="-6"/>
              </w:rPr>
              <w:t xml:space="preserve"> </w:t>
            </w:r>
            <w:r>
              <w:t>CI)</w:t>
            </w:r>
          </w:p>
        </w:tc>
        <w:tc>
          <w:tcPr>
            <w:tcW w:w="2830" w:type="dxa"/>
          </w:tcPr>
          <w:p w:rsidR="00E911AA" w:rsidRDefault="00E911AA" w:rsidP="00054AD9">
            <w:pPr>
              <w:pStyle w:val="Tabletext"/>
              <w:keepNext/>
              <w:keepLines/>
              <w:jc w:val="center"/>
              <w:rPr>
                <w:rFonts w:eastAsia="Calibri" w:hAnsi="Calibri" w:cs="Calibri"/>
                <w:szCs w:val="19"/>
              </w:rPr>
            </w:pPr>
            <w:r>
              <w:t>48.3</w:t>
            </w:r>
            <w:r>
              <w:rPr>
                <w:spacing w:val="-7"/>
              </w:rPr>
              <w:t xml:space="preserve"> </w:t>
            </w:r>
            <w:r>
              <w:t>(39.9,</w:t>
            </w:r>
            <w:r>
              <w:rPr>
                <w:spacing w:val="-6"/>
              </w:rPr>
              <w:t xml:space="preserve"> </w:t>
            </w:r>
            <w:r>
              <w:t>56.2)</w:t>
            </w:r>
          </w:p>
        </w:tc>
        <w:tc>
          <w:tcPr>
            <w:tcW w:w="2829" w:type="dxa"/>
          </w:tcPr>
          <w:p w:rsidR="00E911AA" w:rsidRDefault="00E911AA" w:rsidP="00054AD9">
            <w:pPr>
              <w:pStyle w:val="Tabletext"/>
              <w:keepNext/>
              <w:keepLines/>
              <w:jc w:val="center"/>
              <w:rPr>
                <w:rFonts w:eastAsia="Calibri" w:hAnsi="Calibri" w:cs="Calibri"/>
                <w:szCs w:val="19"/>
              </w:rPr>
            </w:pPr>
            <w:r>
              <w:t>18.6</w:t>
            </w:r>
            <w:r>
              <w:rPr>
                <w:spacing w:val="-7"/>
              </w:rPr>
              <w:t xml:space="preserve"> </w:t>
            </w:r>
            <w:r>
              <w:t>(12.1,</w:t>
            </w:r>
            <w:r>
              <w:rPr>
                <w:spacing w:val="-6"/>
              </w:rPr>
              <w:t xml:space="preserve"> </w:t>
            </w:r>
            <w:r>
              <w:t>26.3)</w:t>
            </w:r>
          </w:p>
        </w:tc>
      </w:tr>
      <w:tr w:rsidR="00E911AA" w:rsidTr="00D505E0">
        <w:trPr>
          <w:trHeight w:hRule="exact" w:val="252"/>
        </w:trPr>
        <w:tc>
          <w:tcPr>
            <w:tcW w:w="8487" w:type="dxa"/>
            <w:gridSpan w:val="3"/>
          </w:tcPr>
          <w:p w:rsidR="00E911AA" w:rsidRPr="002D1A13" w:rsidRDefault="00E911AA" w:rsidP="00054AD9">
            <w:pPr>
              <w:pStyle w:val="Tabletext"/>
              <w:keepNext/>
              <w:keepLines/>
              <w:rPr>
                <w:rFonts w:eastAsia="Calibri" w:hAnsi="Calibri" w:cs="Calibri"/>
                <w:b/>
                <w:szCs w:val="19"/>
              </w:rPr>
            </w:pPr>
            <w:r w:rsidRPr="002D1A13">
              <w:rPr>
                <w:b/>
                <w:spacing w:val="-2"/>
              </w:rPr>
              <w:t>OS</w:t>
            </w:r>
          </w:p>
        </w:tc>
      </w:tr>
      <w:tr w:rsidR="00E911AA" w:rsidTr="00D505E0">
        <w:trPr>
          <w:trHeight w:hRule="exact" w:val="252"/>
        </w:trPr>
        <w:tc>
          <w:tcPr>
            <w:tcW w:w="2828" w:type="dxa"/>
          </w:tcPr>
          <w:p w:rsidR="00E911AA" w:rsidRDefault="00E911AA" w:rsidP="00054AD9">
            <w:pPr>
              <w:pStyle w:val="Tabletext"/>
              <w:keepNext/>
              <w:keepLines/>
              <w:rPr>
                <w:rFonts w:eastAsia="Calibri" w:hAnsi="Calibri" w:cs="Calibri"/>
                <w:szCs w:val="19"/>
              </w:rPr>
            </w:pPr>
            <w:r>
              <w:t>Events,</w:t>
            </w:r>
            <w:r>
              <w:rPr>
                <w:spacing w:val="-4"/>
              </w:rPr>
              <w:t xml:space="preserve"> </w:t>
            </w:r>
            <w:r>
              <w:t>n</w:t>
            </w:r>
            <w:r>
              <w:rPr>
                <w:spacing w:val="-5"/>
              </w:rPr>
              <w:t xml:space="preserve"> </w:t>
            </w:r>
            <w:r>
              <w:t>(%)</w:t>
            </w:r>
          </w:p>
        </w:tc>
        <w:tc>
          <w:tcPr>
            <w:tcW w:w="2830" w:type="dxa"/>
          </w:tcPr>
          <w:p w:rsidR="00E911AA" w:rsidRDefault="00E911AA" w:rsidP="00054AD9">
            <w:pPr>
              <w:pStyle w:val="Tabletext"/>
              <w:keepNext/>
              <w:keepLines/>
              <w:jc w:val="center"/>
              <w:rPr>
                <w:rFonts w:eastAsia="Calibri" w:hAnsi="Calibri" w:cs="Calibri"/>
                <w:szCs w:val="19"/>
              </w:rPr>
            </w:pPr>
            <w:r>
              <w:t>56</w:t>
            </w:r>
            <w:r>
              <w:rPr>
                <w:spacing w:val="-8"/>
              </w:rPr>
              <w:t xml:space="preserve"> </w:t>
            </w:r>
            <w:r>
              <w:t>(36.6)</w:t>
            </w:r>
          </w:p>
        </w:tc>
        <w:tc>
          <w:tcPr>
            <w:tcW w:w="2829" w:type="dxa"/>
          </w:tcPr>
          <w:p w:rsidR="00E911AA" w:rsidRDefault="00E911AA" w:rsidP="00054AD9">
            <w:pPr>
              <w:pStyle w:val="Tabletext"/>
              <w:keepNext/>
              <w:keepLines/>
              <w:jc w:val="center"/>
              <w:rPr>
                <w:rFonts w:eastAsia="Calibri" w:hAnsi="Calibri" w:cs="Calibri"/>
                <w:szCs w:val="19"/>
              </w:rPr>
            </w:pPr>
            <w:r>
              <w:t>69</w:t>
            </w:r>
            <w:r>
              <w:rPr>
                <w:spacing w:val="-8"/>
              </w:rPr>
              <w:t xml:space="preserve"> </w:t>
            </w:r>
            <w:r>
              <w:t>(44.8)</w:t>
            </w:r>
          </w:p>
        </w:tc>
      </w:tr>
      <w:tr w:rsidR="00E911AA" w:rsidTr="00D505E0">
        <w:trPr>
          <w:trHeight w:hRule="exact" w:val="252"/>
        </w:trPr>
        <w:tc>
          <w:tcPr>
            <w:tcW w:w="2828" w:type="dxa"/>
          </w:tcPr>
          <w:p w:rsidR="00E911AA" w:rsidRDefault="00E911AA" w:rsidP="00054AD9">
            <w:pPr>
              <w:pStyle w:val="Tabletext"/>
              <w:keepNext/>
              <w:keepLines/>
              <w:rPr>
                <w:rFonts w:eastAsia="Calibri" w:hAnsi="Calibri" w:cs="Calibri"/>
                <w:szCs w:val="19"/>
              </w:rPr>
            </w:pPr>
            <w:r>
              <w:t>Median</w:t>
            </w:r>
            <w:r>
              <w:rPr>
                <w:spacing w:val="-5"/>
              </w:rPr>
              <w:t xml:space="preserve"> </w:t>
            </w:r>
            <w:r>
              <w:t>OS,</w:t>
            </w:r>
            <w:r>
              <w:rPr>
                <w:spacing w:val="-5"/>
              </w:rPr>
              <w:t xml:space="preserve"> </w:t>
            </w:r>
            <w:r>
              <w:t>months</w:t>
            </w:r>
            <w:r>
              <w:rPr>
                <w:spacing w:val="-5"/>
              </w:rPr>
              <w:t xml:space="preserve"> </w:t>
            </w:r>
            <w:r>
              <w:t>(95%</w:t>
            </w:r>
            <w:r>
              <w:rPr>
                <w:spacing w:val="-7"/>
              </w:rPr>
              <w:t xml:space="preserve"> </w:t>
            </w:r>
            <w:r>
              <w:t>CI)</w:t>
            </w:r>
          </w:p>
        </w:tc>
        <w:tc>
          <w:tcPr>
            <w:tcW w:w="2830" w:type="dxa"/>
          </w:tcPr>
          <w:p w:rsidR="00E911AA" w:rsidRDefault="00E911AA" w:rsidP="00054AD9">
            <w:pPr>
              <w:pStyle w:val="Tabletext"/>
              <w:keepNext/>
              <w:keepLines/>
              <w:jc w:val="center"/>
              <w:rPr>
                <w:rFonts w:eastAsia="Calibri" w:hAnsi="Calibri" w:cs="Calibri"/>
                <w:szCs w:val="19"/>
              </w:rPr>
            </w:pPr>
            <w:r>
              <w:t>NR</w:t>
            </w:r>
            <w:r>
              <w:rPr>
                <w:spacing w:val="-6"/>
              </w:rPr>
              <w:t xml:space="preserve"> </w:t>
            </w:r>
            <w:r>
              <w:t>(NR,</w:t>
            </w:r>
            <w:r>
              <w:rPr>
                <w:spacing w:val="-4"/>
              </w:rPr>
              <w:t xml:space="preserve"> </w:t>
            </w:r>
            <w:r>
              <w:t>NR)</w:t>
            </w:r>
          </w:p>
        </w:tc>
        <w:tc>
          <w:tcPr>
            <w:tcW w:w="2829" w:type="dxa"/>
          </w:tcPr>
          <w:p w:rsidR="00E911AA" w:rsidRDefault="00E911AA" w:rsidP="00054AD9">
            <w:pPr>
              <w:pStyle w:val="Tabletext"/>
              <w:keepNext/>
              <w:keepLines/>
              <w:jc w:val="center"/>
              <w:rPr>
                <w:rFonts w:eastAsia="Calibri" w:hAnsi="Calibri" w:cs="Calibri"/>
                <w:szCs w:val="19"/>
              </w:rPr>
            </w:pPr>
            <w:r>
              <w:t>34.8</w:t>
            </w:r>
            <w:r>
              <w:rPr>
                <w:spacing w:val="-7"/>
              </w:rPr>
              <w:t xml:space="preserve"> </w:t>
            </w:r>
            <w:r>
              <w:t>(26.3,</w:t>
            </w:r>
            <w:r>
              <w:rPr>
                <w:spacing w:val="-5"/>
              </w:rPr>
              <w:t xml:space="preserve"> </w:t>
            </w:r>
            <w:r>
              <w:t>NR)</w:t>
            </w:r>
          </w:p>
        </w:tc>
      </w:tr>
      <w:tr w:rsidR="00E911AA" w:rsidTr="00D505E0">
        <w:trPr>
          <w:trHeight w:hRule="exact" w:val="252"/>
        </w:trPr>
        <w:tc>
          <w:tcPr>
            <w:tcW w:w="2828" w:type="dxa"/>
          </w:tcPr>
          <w:p w:rsidR="00E911AA" w:rsidRPr="00B75328" w:rsidRDefault="00E911AA" w:rsidP="00054AD9">
            <w:pPr>
              <w:pStyle w:val="Tabletext"/>
              <w:keepNext/>
              <w:keepLines/>
              <w:rPr>
                <w:rFonts w:eastAsia="Calibri" w:hAnsi="Calibri" w:cs="Calibri"/>
                <w:sz w:val="12"/>
                <w:szCs w:val="12"/>
              </w:rPr>
            </w:pPr>
            <w:r w:rsidRPr="00B75328">
              <w:t>Stratified</w:t>
            </w:r>
            <w:r w:rsidRPr="00B75328">
              <w:rPr>
                <w:spacing w:val="-10"/>
              </w:rPr>
              <w:t xml:space="preserve"> </w:t>
            </w:r>
            <w:r w:rsidRPr="00B75328">
              <w:t>HR</w:t>
            </w:r>
            <w:r w:rsidR="00D27561" w:rsidRPr="00D27561">
              <w:rPr>
                <w:b/>
                <w:vertAlign w:val="superscript"/>
              </w:rPr>
              <w:t>a</w:t>
            </w:r>
          </w:p>
        </w:tc>
        <w:tc>
          <w:tcPr>
            <w:tcW w:w="5659" w:type="dxa"/>
            <w:gridSpan w:val="2"/>
          </w:tcPr>
          <w:p w:rsidR="00E911AA" w:rsidRPr="00B75328" w:rsidRDefault="00E911AA" w:rsidP="00054AD9">
            <w:pPr>
              <w:pStyle w:val="Tabletext"/>
              <w:keepNext/>
              <w:keepLines/>
              <w:jc w:val="center"/>
              <w:rPr>
                <w:rFonts w:eastAsia="Calibri" w:hAnsi="Calibri" w:cs="Calibri"/>
                <w:szCs w:val="19"/>
              </w:rPr>
            </w:pPr>
            <w:r w:rsidRPr="00B75328">
              <w:t>0.77</w:t>
            </w:r>
            <w:r w:rsidRPr="00B75328">
              <w:rPr>
                <w:spacing w:val="-7"/>
              </w:rPr>
              <w:t xml:space="preserve"> </w:t>
            </w:r>
            <w:r w:rsidRPr="00B75328">
              <w:t>(0.54,</w:t>
            </w:r>
            <w:r w:rsidRPr="00B75328">
              <w:rPr>
                <w:spacing w:val="-6"/>
              </w:rPr>
              <w:t xml:space="preserve"> </w:t>
            </w:r>
            <w:r w:rsidRPr="00B75328">
              <w:t>1.09)</w:t>
            </w:r>
          </w:p>
        </w:tc>
      </w:tr>
      <w:tr w:rsidR="00E911AA" w:rsidTr="00D505E0">
        <w:trPr>
          <w:trHeight w:hRule="exact" w:val="252"/>
        </w:trPr>
        <w:tc>
          <w:tcPr>
            <w:tcW w:w="2828" w:type="dxa"/>
          </w:tcPr>
          <w:p w:rsidR="00E911AA" w:rsidRPr="00B75328" w:rsidRDefault="00E911AA" w:rsidP="00054AD9">
            <w:pPr>
              <w:pStyle w:val="Tabletext"/>
              <w:keepNext/>
              <w:keepLines/>
              <w:rPr>
                <w:rFonts w:eastAsia="Calibri" w:hAnsi="Calibri" w:cs="Calibri"/>
                <w:sz w:val="12"/>
                <w:szCs w:val="12"/>
              </w:rPr>
            </w:pPr>
            <w:r w:rsidRPr="00B75328">
              <w:t>p-value</w:t>
            </w:r>
            <w:r w:rsidR="00D27561" w:rsidRPr="00D27561">
              <w:rPr>
                <w:vertAlign w:val="superscript"/>
              </w:rPr>
              <w:t>c</w:t>
            </w:r>
          </w:p>
        </w:tc>
        <w:tc>
          <w:tcPr>
            <w:tcW w:w="5659" w:type="dxa"/>
            <w:gridSpan w:val="2"/>
          </w:tcPr>
          <w:p w:rsidR="00E911AA" w:rsidRPr="00B75328" w:rsidRDefault="00E911AA" w:rsidP="00054AD9">
            <w:pPr>
              <w:pStyle w:val="Tabletext"/>
              <w:keepNext/>
              <w:keepLines/>
              <w:jc w:val="center"/>
              <w:rPr>
                <w:rFonts w:eastAsia="Calibri" w:hAnsi="Calibri" w:cs="Calibri"/>
                <w:szCs w:val="19"/>
              </w:rPr>
            </w:pPr>
            <w:r w:rsidRPr="00B75328">
              <w:t>0.0694</w:t>
            </w:r>
          </w:p>
        </w:tc>
      </w:tr>
      <w:tr w:rsidR="00E911AA" w:rsidTr="00D505E0">
        <w:trPr>
          <w:trHeight w:hRule="exact" w:val="252"/>
        </w:trPr>
        <w:tc>
          <w:tcPr>
            <w:tcW w:w="2828" w:type="dxa"/>
          </w:tcPr>
          <w:p w:rsidR="00E911AA" w:rsidRDefault="00E911AA" w:rsidP="00054AD9">
            <w:pPr>
              <w:pStyle w:val="Tabletext"/>
              <w:keepNext/>
              <w:keepLines/>
              <w:rPr>
                <w:rFonts w:eastAsia="Calibri" w:hAnsi="Calibri" w:cs="Calibri"/>
                <w:szCs w:val="19"/>
              </w:rPr>
            </w:pPr>
            <w:r>
              <w:t>OS</w:t>
            </w:r>
            <w:r>
              <w:rPr>
                <w:spacing w:val="-5"/>
              </w:rPr>
              <w:t xml:space="preserve"> </w:t>
            </w:r>
            <w:r>
              <w:t>rate</w:t>
            </w:r>
            <w:r>
              <w:rPr>
                <w:spacing w:val="-4"/>
              </w:rPr>
              <w:t xml:space="preserve"> </w:t>
            </w:r>
            <w:r>
              <w:t>at</w:t>
            </w:r>
            <w:r>
              <w:rPr>
                <w:spacing w:val="-3"/>
              </w:rPr>
              <w:t xml:space="preserve"> </w:t>
            </w:r>
            <w:r>
              <w:t>12</w:t>
            </w:r>
            <w:r>
              <w:rPr>
                <w:spacing w:val="-4"/>
              </w:rPr>
              <w:t xml:space="preserve"> </w:t>
            </w:r>
            <w:r>
              <w:t>months</w:t>
            </w:r>
            <w:r>
              <w:rPr>
                <w:spacing w:val="-4"/>
              </w:rPr>
              <w:t xml:space="preserve"> </w:t>
            </w:r>
            <w:r>
              <w:t>(95%</w:t>
            </w:r>
            <w:r>
              <w:rPr>
                <w:spacing w:val="-5"/>
              </w:rPr>
              <w:t xml:space="preserve"> </w:t>
            </w:r>
            <w:r>
              <w:t>CI)</w:t>
            </w:r>
          </w:p>
        </w:tc>
        <w:tc>
          <w:tcPr>
            <w:tcW w:w="2830" w:type="dxa"/>
          </w:tcPr>
          <w:p w:rsidR="00E911AA" w:rsidRDefault="00E911AA" w:rsidP="00054AD9">
            <w:pPr>
              <w:pStyle w:val="Tabletext"/>
              <w:keepNext/>
              <w:keepLines/>
              <w:jc w:val="center"/>
              <w:rPr>
                <w:rFonts w:eastAsia="Calibri" w:hAnsi="Calibri" w:cs="Calibri"/>
                <w:szCs w:val="19"/>
              </w:rPr>
            </w:pPr>
            <w:r>
              <w:t>77.8</w:t>
            </w:r>
            <w:r>
              <w:rPr>
                <w:spacing w:val="-7"/>
              </w:rPr>
              <w:t xml:space="preserve"> </w:t>
            </w:r>
            <w:r>
              <w:t>(70.3,</w:t>
            </w:r>
            <w:r>
              <w:rPr>
                <w:spacing w:val="-6"/>
              </w:rPr>
              <w:t xml:space="preserve"> </w:t>
            </w:r>
            <w:r>
              <w:t>83.6)</w:t>
            </w:r>
          </w:p>
        </w:tc>
        <w:tc>
          <w:tcPr>
            <w:tcW w:w="2829" w:type="dxa"/>
          </w:tcPr>
          <w:p w:rsidR="00E911AA" w:rsidRDefault="00E911AA" w:rsidP="00054AD9">
            <w:pPr>
              <w:pStyle w:val="Tabletext"/>
              <w:keepNext/>
              <w:keepLines/>
              <w:jc w:val="center"/>
              <w:rPr>
                <w:rFonts w:eastAsia="Calibri" w:hAnsi="Calibri" w:cs="Calibri"/>
                <w:szCs w:val="19"/>
              </w:rPr>
            </w:pPr>
            <w:r>
              <w:t>74.0</w:t>
            </w:r>
            <w:r>
              <w:rPr>
                <w:spacing w:val="-7"/>
              </w:rPr>
              <w:t xml:space="preserve"> </w:t>
            </w:r>
            <w:r>
              <w:t>(66.2,</w:t>
            </w:r>
            <w:r>
              <w:rPr>
                <w:spacing w:val="-6"/>
              </w:rPr>
              <w:t xml:space="preserve"> </w:t>
            </w:r>
            <w:r>
              <w:t>80.3)</w:t>
            </w:r>
          </w:p>
        </w:tc>
      </w:tr>
      <w:tr w:rsidR="00E911AA" w:rsidTr="00D505E0">
        <w:trPr>
          <w:trHeight w:hRule="exact" w:val="252"/>
        </w:trPr>
        <w:tc>
          <w:tcPr>
            <w:tcW w:w="2828" w:type="dxa"/>
          </w:tcPr>
          <w:p w:rsidR="00E911AA" w:rsidRDefault="00E911AA" w:rsidP="00054AD9">
            <w:pPr>
              <w:pStyle w:val="Tabletext"/>
              <w:keepNext/>
              <w:keepLines/>
              <w:rPr>
                <w:rFonts w:eastAsia="Calibri" w:hAnsi="Calibri" w:cs="Calibri"/>
                <w:szCs w:val="19"/>
              </w:rPr>
            </w:pPr>
            <w:r>
              <w:t>OS</w:t>
            </w:r>
            <w:r>
              <w:rPr>
                <w:spacing w:val="-5"/>
              </w:rPr>
              <w:t xml:space="preserve"> </w:t>
            </w:r>
            <w:r>
              <w:t>rate</w:t>
            </w:r>
            <w:r>
              <w:rPr>
                <w:spacing w:val="-4"/>
              </w:rPr>
              <w:t xml:space="preserve"> </w:t>
            </w:r>
            <w:r>
              <w:t>at</w:t>
            </w:r>
            <w:r>
              <w:rPr>
                <w:spacing w:val="-3"/>
              </w:rPr>
              <w:t xml:space="preserve"> </w:t>
            </w:r>
            <w:r>
              <w:t>18</w:t>
            </w:r>
            <w:r>
              <w:rPr>
                <w:spacing w:val="-4"/>
              </w:rPr>
              <w:t xml:space="preserve"> </w:t>
            </w:r>
            <w:r>
              <w:t>months</w:t>
            </w:r>
            <w:r>
              <w:rPr>
                <w:spacing w:val="-4"/>
              </w:rPr>
              <w:t xml:space="preserve"> </w:t>
            </w:r>
            <w:r>
              <w:t>(95%</w:t>
            </w:r>
            <w:r>
              <w:rPr>
                <w:spacing w:val="-5"/>
              </w:rPr>
              <w:t xml:space="preserve"> </w:t>
            </w:r>
            <w:r>
              <w:t>CI)</w:t>
            </w:r>
          </w:p>
        </w:tc>
        <w:tc>
          <w:tcPr>
            <w:tcW w:w="2830" w:type="dxa"/>
          </w:tcPr>
          <w:p w:rsidR="00E911AA" w:rsidRDefault="00E911AA" w:rsidP="00054AD9">
            <w:pPr>
              <w:pStyle w:val="Tabletext"/>
              <w:keepNext/>
              <w:keepLines/>
              <w:jc w:val="center"/>
              <w:rPr>
                <w:rFonts w:eastAsia="Calibri" w:hAnsi="Calibri" w:cs="Calibri"/>
                <w:szCs w:val="19"/>
              </w:rPr>
            </w:pPr>
            <w:r>
              <w:t>71.2</w:t>
            </w:r>
            <w:r>
              <w:rPr>
                <w:spacing w:val="-7"/>
              </w:rPr>
              <w:t xml:space="preserve"> </w:t>
            </w:r>
            <w:r>
              <w:t>(63.4,</w:t>
            </w:r>
            <w:r>
              <w:rPr>
                <w:spacing w:val="-6"/>
              </w:rPr>
              <w:t xml:space="preserve"> </w:t>
            </w:r>
            <w:r>
              <w:t>77.7)</w:t>
            </w:r>
          </w:p>
        </w:tc>
        <w:tc>
          <w:tcPr>
            <w:tcW w:w="2829" w:type="dxa"/>
          </w:tcPr>
          <w:p w:rsidR="00E911AA" w:rsidRDefault="00E911AA" w:rsidP="00054AD9">
            <w:pPr>
              <w:pStyle w:val="Tabletext"/>
              <w:keepNext/>
              <w:keepLines/>
              <w:jc w:val="center"/>
              <w:rPr>
                <w:rFonts w:eastAsia="Calibri" w:hAnsi="Calibri" w:cs="Calibri"/>
                <w:szCs w:val="19"/>
              </w:rPr>
            </w:pPr>
            <w:r>
              <w:t>65.9</w:t>
            </w:r>
            <w:r>
              <w:rPr>
                <w:spacing w:val="-7"/>
              </w:rPr>
              <w:t xml:space="preserve"> </w:t>
            </w:r>
            <w:r>
              <w:t>(57.7,</w:t>
            </w:r>
            <w:r>
              <w:rPr>
                <w:spacing w:val="-6"/>
              </w:rPr>
              <w:t xml:space="preserve"> </w:t>
            </w:r>
            <w:r>
              <w:t>72.9)</w:t>
            </w:r>
          </w:p>
        </w:tc>
      </w:tr>
      <w:tr w:rsidR="00E911AA" w:rsidTr="00D505E0">
        <w:trPr>
          <w:trHeight w:hRule="exact" w:val="252"/>
        </w:trPr>
        <w:tc>
          <w:tcPr>
            <w:tcW w:w="2828" w:type="dxa"/>
          </w:tcPr>
          <w:p w:rsidR="00E911AA" w:rsidRDefault="00E911AA" w:rsidP="00054AD9">
            <w:pPr>
              <w:pStyle w:val="Tabletext"/>
              <w:keepNext/>
              <w:keepLines/>
              <w:rPr>
                <w:rFonts w:eastAsia="Calibri" w:hAnsi="Calibri" w:cs="Calibri"/>
                <w:szCs w:val="19"/>
              </w:rPr>
            </w:pPr>
            <w:r>
              <w:t>OS</w:t>
            </w:r>
            <w:r>
              <w:rPr>
                <w:spacing w:val="-5"/>
              </w:rPr>
              <w:t xml:space="preserve"> </w:t>
            </w:r>
            <w:r>
              <w:t>rate</w:t>
            </w:r>
            <w:r>
              <w:rPr>
                <w:spacing w:val="-4"/>
              </w:rPr>
              <w:t xml:space="preserve"> </w:t>
            </w:r>
            <w:r>
              <w:t>at</w:t>
            </w:r>
            <w:r>
              <w:rPr>
                <w:spacing w:val="-3"/>
              </w:rPr>
              <w:t xml:space="preserve"> </w:t>
            </w:r>
            <w:r>
              <w:t>24</w:t>
            </w:r>
            <w:r>
              <w:rPr>
                <w:spacing w:val="-4"/>
              </w:rPr>
              <w:t xml:space="preserve"> </w:t>
            </w:r>
            <w:r>
              <w:t>months</w:t>
            </w:r>
            <w:r>
              <w:rPr>
                <w:spacing w:val="-4"/>
              </w:rPr>
              <w:t xml:space="preserve"> </w:t>
            </w:r>
            <w:r>
              <w:t>(95%</w:t>
            </w:r>
            <w:r>
              <w:rPr>
                <w:spacing w:val="-5"/>
              </w:rPr>
              <w:t xml:space="preserve"> </w:t>
            </w:r>
            <w:r>
              <w:t>CI)</w:t>
            </w:r>
          </w:p>
        </w:tc>
        <w:tc>
          <w:tcPr>
            <w:tcW w:w="2830" w:type="dxa"/>
          </w:tcPr>
          <w:p w:rsidR="00E911AA" w:rsidRDefault="00E911AA" w:rsidP="00054AD9">
            <w:pPr>
              <w:pStyle w:val="Tabletext"/>
              <w:keepNext/>
              <w:keepLines/>
              <w:jc w:val="center"/>
              <w:rPr>
                <w:rFonts w:eastAsia="Calibri" w:hAnsi="Calibri" w:cs="Calibri"/>
                <w:szCs w:val="19"/>
              </w:rPr>
            </w:pPr>
            <w:r>
              <w:t>68.0</w:t>
            </w:r>
            <w:r>
              <w:rPr>
                <w:spacing w:val="-7"/>
              </w:rPr>
              <w:t xml:space="preserve"> </w:t>
            </w:r>
            <w:r>
              <w:t>(59.9,</w:t>
            </w:r>
            <w:r>
              <w:rPr>
                <w:spacing w:val="-6"/>
              </w:rPr>
              <w:t xml:space="preserve"> </w:t>
            </w:r>
            <w:r>
              <w:t>74.7)</w:t>
            </w:r>
          </w:p>
        </w:tc>
        <w:tc>
          <w:tcPr>
            <w:tcW w:w="2829" w:type="dxa"/>
          </w:tcPr>
          <w:p w:rsidR="00E911AA" w:rsidRDefault="00E911AA" w:rsidP="00054AD9">
            <w:pPr>
              <w:pStyle w:val="Tabletext"/>
              <w:keepNext/>
              <w:keepLines/>
              <w:jc w:val="center"/>
              <w:rPr>
                <w:rFonts w:eastAsia="Calibri" w:hAnsi="Calibri" w:cs="Calibri"/>
                <w:szCs w:val="19"/>
              </w:rPr>
            </w:pPr>
            <w:r>
              <w:t>59.8</w:t>
            </w:r>
            <w:r>
              <w:rPr>
                <w:spacing w:val="-7"/>
              </w:rPr>
              <w:t xml:space="preserve"> </w:t>
            </w:r>
            <w:r>
              <w:t>(51.5,</w:t>
            </w:r>
            <w:r>
              <w:rPr>
                <w:spacing w:val="-6"/>
              </w:rPr>
              <w:t xml:space="preserve"> </w:t>
            </w:r>
            <w:r>
              <w:t>67.2)</w:t>
            </w:r>
          </w:p>
        </w:tc>
      </w:tr>
    </w:tbl>
    <w:p w:rsidR="00E911AA" w:rsidRDefault="00E911AA" w:rsidP="00054AD9">
      <w:pPr>
        <w:pStyle w:val="TableFooter"/>
        <w:keepNext/>
        <w:keepLines/>
      </w:pPr>
      <w:r>
        <w:t xml:space="preserve">Source: Table 4, p12 of </w:t>
      </w:r>
      <w:r w:rsidRPr="003D1FE5">
        <w:t xml:space="preserve">Delegate’s overview </w:t>
      </w:r>
      <w:r>
        <w:t>for p</w:t>
      </w:r>
      <w:r w:rsidRPr="003D1FE5">
        <w:t>embrolizumab</w:t>
      </w:r>
      <w:r w:rsidRPr="00BD3340">
        <w:t xml:space="preserve"> </w:t>
      </w:r>
      <w:r>
        <w:t>(</w:t>
      </w:r>
      <w:r w:rsidRPr="00493E96">
        <w:t>MSD PM-2020-03165-1-4</w:t>
      </w:r>
      <w:r>
        <w:t>).</w:t>
      </w:r>
    </w:p>
    <w:p w:rsidR="00E911AA" w:rsidRDefault="00E911AA" w:rsidP="00054AD9">
      <w:pPr>
        <w:pStyle w:val="TableFooter"/>
        <w:keepNext/>
        <w:keepLines/>
      </w:pPr>
      <w:r>
        <w:t>Database Cutoff Date: 19FEB2020. M</w:t>
      </w:r>
      <w:r w:rsidRPr="00AE170B">
        <w:t>edian duration of follow up across both treatment groups was 27.6 months.</w:t>
      </w:r>
    </w:p>
    <w:p w:rsidR="00E911AA" w:rsidRPr="00B75328" w:rsidRDefault="00E911AA" w:rsidP="00054AD9">
      <w:pPr>
        <w:pStyle w:val="TableFooter"/>
        <w:keepNext/>
        <w:keepLines/>
        <w:rPr>
          <w:b/>
        </w:rPr>
      </w:pPr>
      <w:r w:rsidRPr="00B75328">
        <w:rPr>
          <w:b/>
        </w:rPr>
        <w:t>Bolded results are statistically significant.</w:t>
      </w:r>
    </w:p>
    <w:p w:rsidR="00E911AA" w:rsidRDefault="00E911AA" w:rsidP="00054AD9">
      <w:pPr>
        <w:pStyle w:val="TableFooter"/>
        <w:keepNext/>
        <w:keepLines/>
      </w:pPr>
      <w:r>
        <w:t>BICR=blinded independent central review; CI=confidence interval; HR=hazard ratio; ITT=intent-to-treat; n=number; NR=not reached; OS=overall survival; PFS=progression-free survival; RECIST 1.1=Response Evaluation Criteria in Solid Tumours Version 1.1; SOC=standard of care.</w:t>
      </w:r>
    </w:p>
    <w:p w:rsidR="00E911AA" w:rsidRDefault="00E911AA" w:rsidP="00054AD9">
      <w:pPr>
        <w:pStyle w:val="TableFooter"/>
        <w:keepNext/>
        <w:keepLines/>
      </w:pPr>
      <w:r>
        <w:rPr>
          <w:vertAlign w:val="superscript"/>
        </w:rPr>
        <w:t>a</w:t>
      </w:r>
      <w:r w:rsidRPr="002D1A13">
        <w:rPr>
          <w:vertAlign w:val="superscript"/>
        </w:rPr>
        <w:t xml:space="preserve"> </w:t>
      </w:r>
      <w:r>
        <w:t>Based on Cox regression model with Efron’s method of tie handling with treatment as a covariate.</w:t>
      </w:r>
    </w:p>
    <w:p w:rsidR="00E911AA" w:rsidRDefault="00E911AA" w:rsidP="00054AD9">
      <w:pPr>
        <w:pStyle w:val="TableFooter"/>
        <w:keepNext/>
        <w:keepLines/>
      </w:pPr>
      <w:r>
        <w:rPr>
          <w:vertAlign w:val="superscript"/>
        </w:rPr>
        <w:t>b</w:t>
      </w:r>
      <w:r w:rsidRPr="002D1A13">
        <w:rPr>
          <w:vertAlign w:val="superscript"/>
        </w:rPr>
        <w:t xml:space="preserve"> </w:t>
      </w:r>
      <w:r>
        <w:t>One-sided p-value based on log-rank test; pre-specified significance boundary = 0.0117</w:t>
      </w:r>
    </w:p>
    <w:p w:rsidR="00E911AA" w:rsidRPr="002D1A13" w:rsidRDefault="00E911AA" w:rsidP="00054AD9">
      <w:pPr>
        <w:pStyle w:val="TableFooter"/>
        <w:keepNext/>
        <w:keepLines/>
      </w:pPr>
      <w:r>
        <w:rPr>
          <w:vertAlign w:val="superscript"/>
        </w:rPr>
        <w:t>c</w:t>
      </w:r>
      <w:r w:rsidR="00D27561">
        <w:rPr>
          <w:vertAlign w:val="superscript"/>
        </w:rPr>
        <w:t xml:space="preserve"> </w:t>
      </w:r>
      <w:r>
        <w:t>One-sided p-value based on log-rank test; pre-specified significance boundary = 0.0053</w:t>
      </w:r>
    </w:p>
    <w:p w:rsidR="00E911AA" w:rsidRDefault="00E911AA" w:rsidP="00E911AA">
      <w:pPr>
        <w:pStyle w:val="TableFooter"/>
      </w:pPr>
    </w:p>
    <w:p w:rsidR="00E911AA" w:rsidRDefault="00826462" w:rsidP="00A63FBC">
      <w:pPr>
        <w:pStyle w:val="TableFigureHeading"/>
        <w:keepLines/>
      </w:pPr>
      <w:r>
        <w:t xml:space="preserve">Figure </w:t>
      </w:r>
      <w:r w:rsidR="009A4847">
        <w:rPr>
          <w:noProof/>
        </w:rPr>
        <w:t>2</w:t>
      </w:r>
      <w:r>
        <w:t xml:space="preserve">: </w:t>
      </w:r>
      <w:r w:rsidR="00E911AA">
        <w:t>Kaplan-Meier estimates of PFS by Central Imaging per RECIST 1.1 (ITT population)</w:t>
      </w:r>
    </w:p>
    <w:p w:rsidR="00E911AA" w:rsidRDefault="00E911AA" w:rsidP="00A63FBC">
      <w:pPr>
        <w:keepNext/>
        <w:keepLines/>
      </w:pPr>
      <w:r>
        <w:rPr>
          <w:noProof/>
        </w:rPr>
        <w:drawing>
          <wp:inline distT="0" distB="0" distL="0" distR="0" wp14:anchorId="6557F188" wp14:editId="54D5BB5C">
            <wp:extent cx="5394524" cy="2724150"/>
            <wp:effectExtent l="19050" t="19050" r="15875" b="19050"/>
            <wp:docPr id="5" name="Picture 5" title="Figure 2: Kaplan-Meier estimates of PFS by Central Imaging per RECIST 1.1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5417852" cy="2735930"/>
                    </a:xfrm>
                    <a:prstGeom prst="rect">
                      <a:avLst/>
                    </a:prstGeom>
                    <a:noFill/>
                    <a:ln w="12700">
                      <a:solidFill>
                        <a:schemeClr val="tx1"/>
                      </a:solidFill>
                    </a:ln>
                    <a:extLst>
                      <a:ext uri="{53640926-AAD7-44D8-BBD7-CCE9431645EC}">
                        <a14:shadowObscured xmlns:a14="http://schemas.microsoft.com/office/drawing/2010/main"/>
                      </a:ext>
                    </a:extLst>
                  </pic:spPr>
                </pic:pic>
              </a:graphicData>
            </a:graphic>
          </wp:inline>
        </w:drawing>
      </w:r>
    </w:p>
    <w:p w:rsidR="00E911AA" w:rsidRDefault="00E911AA" w:rsidP="00A63FBC">
      <w:pPr>
        <w:pStyle w:val="TableFooter"/>
        <w:keepNext/>
        <w:keepLines/>
      </w:pPr>
      <w:r>
        <w:t>Source: Figure 2.5.1, p50 of the submission.</w:t>
      </w:r>
    </w:p>
    <w:p w:rsidR="00E911AA" w:rsidRPr="00437467" w:rsidRDefault="008D2786" w:rsidP="00A63FBC">
      <w:pPr>
        <w:pStyle w:val="TableFooter"/>
        <w:keepNext/>
        <w:keepLines/>
      </w:pPr>
      <w:r w:rsidRPr="00F71C5B">
        <w:t xml:space="preserve">Note: the median duration of follow-up of 32.4 months is inconsistent with that provided in the CSR for the February 2020 </w:t>
      </w:r>
      <w:r w:rsidR="00400F01" w:rsidRPr="00F71C5B">
        <w:t>cut-off</w:t>
      </w:r>
      <w:r w:rsidRPr="00F71C5B">
        <w:t xml:space="preserve"> date</w:t>
      </w:r>
      <w:r>
        <w:t xml:space="preserve">. </w:t>
      </w:r>
      <w:r w:rsidR="00E911AA">
        <w:t>PFS=progression-free survival; ITT=Intention to treat; HR=hazard ratio; PEMBRO=pembrolizumab; Chemo=chemotherapy; mo=months; RECIST 1.1=Response Evaluation Criteria in Solid Tumours Version 1.1</w:t>
      </w:r>
    </w:p>
    <w:p w:rsidR="00E911AA" w:rsidRDefault="00E911AA" w:rsidP="00D834CD">
      <w:pPr>
        <w:pStyle w:val="TableFooter"/>
      </w:pPr>
    </w:p>
    <w:p w:rsidR="00E911AA" w:rsidRDefault="00826462" w:rsidP="00A63FBC">
      <w:pPr>
        <w:pStyle w:val="TableFigureHeading"/>
        <w:keepLines/>
      </w:pPr>
      <w:r>
        <w:t xml:space="preserve">Figure </w:t>
      </w:r>
      <w:r w:rsidR="009A4847">
        <w:rPr>
          <w:noProof/>
        </w:rPr>
        <w:t>3</w:t>
      </w:r>
      <w:r>
        <w:t xml:space="preserve">: </w:t>
      </w:r>
      <w:r w:rsidR="00E911AA">
        <w:t>Kaplan-Meier estimate of overall survival (ITT population)</w:t>
      </w:r>
    </w:p>
    <w:p w:rsidR="00E911AA" w:rsidRDefault="00E911AA" w:rsidP="00A63FBC">
      <w:pPr>
        <w:keepNext/>
        <w:keepLines/>
      </w:pPr>
      <w:r>
        <w:rPr>
          <w:noProof/>
        </w:rPr>
        <w:drawing>
          <wp:inline distT="0" distB="0" distL="0" distR="0" wp14:anchorId="34343B6E" wp14:editId="52D8AE9F">
            <wp:extent cx="5397500" cy="3229232"/>
            <wp:effectExtent l="19050" t="19050" r="12700" b="28575"/>
            <wp:docPr id="6" name="Picture 6" title="Figure 3: Kaplan-Meier estimate of overall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5537" cy="3246006"/>
                    </a:xfrm>
                    <a:prstGeom prst="rect">
                      <a:avLst/>
                    </a:prstGeom>
                    <a:noFill/>
                    <a:ln w="12700">
                      <a:solidFill>
                        <a:schemeClr val="tx1"/>
                      </a:solidFill>
                    </a:ln>
                  </pic:spPr>
                </pic:pic>
              </a:graphicData>
            </a:graphic>
          </wp:inline>
        </w:drawing>
      </w:r>
    </w:p>
    <w:p w:rsidR="00E911AA" w:rsidRDefault="00E911AA" w:rsidP="00A63FBC">
      <w:pPr>
        <w:pStyle w:val="TableFooter"/>
        <w:keepNext/>
        <w:keepLines/>
      </w:pPr>
      <w:r>
        <w:t>Source: Figure 2.5.3, p53 of the submission.</w:t>
      </w:r>
    </w:p>
    <w:p w:rsidR="00E911AA" w:rsidRDefault="00E911AA" w:rsidP="00A63FBC">
      <w:pPr>
        <w:pStyle w:val="TableFooter"/>
        <w:keepNext/>
        <w:keepLines/>
      </w:pPr>
      <w:r>
        <w:t>ITT=Intention to treat; SoC=standard of care; mo=months.</w:t>
      </w:r>
      <w:r w:rsidR="00826462">
        <w:t xml:space="preserve"> </w:t>
      </w:r>
      <w:r>
        <w:t xml:space="preserve">Data </w:t>
      </w:r>
      <w:r w:rsidR="00400F01">
        <w:t>cut-off</w:t>
      </w:r>
      <w:r>
        <w:t>=19 February 2020</w:t>
      </w:r>
    </w:p>
    <w:p w:rsidR="00AF2DB7" w:rsidRPr="00E911AA" w:rsidRDefault="00AF2DB7" w:rsidP="00826462">
      <w:pPr>
        <w:pStyle w:val="TableFooter"/>
        <w:rPr>
          <w:snapToGrid w:val="0"/>
        </w:rPr>
      </w:pPr>
    </w:p>
    <w:p w:rsidR="002C2775" w:rsidRPr="00826462" w:rsidRDefault="005E3472" w:rsidP="00E911AA">
      <w:pPr>
        <w:pStyle w:val="3-BodyText"/>
      </w:pPr>
      <w:r w:rsidRPr="00F71C5B">
        <w:t>The HR is</w:t>
      </w:r>
      <w:r w:rsidR="00D87C7F" w:rsidRPr="00F71C5B">
        <w:t xml:space="preserve"> difficult to interpret</w:t>
      </w:r>
      <w:r w:rsidRPr="00F71C5B">
        <w:t xml:space="preserve"> as the Kaplan-Meier curves indicated the constant proportional hazards (PH) assumption did not apply. Notwithstanding this issue, t</w:t>
      </w:r>
      <w:r w:rsidR="00826462" w:rsidRPr="00F71C5B">
        <w:t>he</w:t>
      </w:r>
      <w:r w:rsidRPr="00F71C5B">
        <w:t xml:space="preserve"> HR suggested there </w:t>
      </w:r>
      <w:r w:rsidR="00826462" w:rsidRPr="00F71C5B">
        <w:t xml:space="preserve">was a 40% reduction of the hazard of progression or death associated with pembrolizumab over SoC which was statistically significant (HR= 0.60, 95% CI: 0.45, 0.80; p=0.0002). </w:t>
      </w:r>
      <w:r w:rsidR="009136AE">
        <w:t>The</w:t>
      </w:r>
      <w:r w:rsidR="00826462" w:rsidRPr="00F71C5B">
        <w:t xml:space="preserve"> median duration of PFS for pembrolizumab </w:t>
      </w:r>
      <w:r w:rsidR="009136AE">
        <w:t xml:space="preserve">was </w:t>
      </w:r>
      <w:r w:rsidR="00826462" w:rsidRPr="00F71C5B">
        <w:t xml:space="preserve">approximately two fold that observed for SoC (16.5 months versus 8.2 month). </w:t>
      </w:r>
      <w:r w:rsidR="00B41E01" w:rsidRPr="00F71C5B">
        <w:t xml:space="preserve">The PFS rates were higher for the pembrolizumab arm versus the SoC arm at the 18 - month (49.1% versus 26.7%) and 24 - month (48.3% versus 18.6%) time points. </w:t>
      </w:r>
    </w:p>
    <w:p w:rsidR="00826462" w:rsidRDefault="00826462" w:rsidP="00826462">
      <w:pPr>
        <w:pStyle w:val="3-BodyText"/>
      </w:pPr>
      <w:r w:rsidRPr="00826462">
        <w:t xml:space="preserve">The Delegate’s Overview presented an exploratory restricted mean “survival” time (RMST) analysis for </w:t>
      </w:r>
      <w:r w:rsidR="00400F01" w:rsidRPr="00826462">
        <w:t>PFS that</w:t>
      </w:r>
      <w:r w:rsidRPr="00826462">
        <w:t xml:space="preserve"> was performed by the FDA, as supportive information to account for the non-</w:t>
      </w:r>
      <w:r>
        <w:t>PH</w:t>
      </w:r>
      <w:r w:rsidRPr="00826462">
        <w:t xml:space="preserve"> effect associated with immunotherapies. The PFS RMST estimates are summarised </w:t>
      </w:r>
      <w:r w:rsidR="00071A18">
        <w:t>in the</w:t>
      </w:r>
      <w:r>
        <w:t xml:space="preserve"> table below.</w:t>
      </w:r>
    </w:p>
    <w:p w:rsidR="00826462" w:rsidRPr="00826462" w:rsidRDefault="00826462" w:rsidP="00054AD9">
      <w:pPr>
        <w:pStyle w:val="TableFigureHeading"/>
        <w:keepLines/>
        <w:rPr>
          <w:rStyle w:val="TableFigureHeadingChar"/>
          <w:b/>
          <w:bCs/>
        </w:rPr>
      </w:pPr>
      <w:r w:rsidRPr="00826462">
        <w:t xml:space="preserve">Table </w:t>
      </w:r>
      <w:r w:rsidR="009A4847">
        <w:rPr>
          <w:noProof/>
        </w:rPr>
        <w:t>5</w:t>
      </w:r>
      <w:r w:rsidRPr="00826462">
        <w:t xml:space="preserve">: </w:t>
      </w:r>
      <w:r w:rsidRPr="00826462">
        <w:rPr>
          <w:rStyle w:val="TableFigureHeadingChar"/>
          <w:b/>
          <w:bCs/>
        </w:rPr>
        <w:t>Exploratory RMST estimates of progression free survival (KN177)</w:t>
      </w:r>
    </w:p>
    <w:tbl>
      <w:tblPr>
        <w:tblW w:w="907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4"/>
        <w:gridCol w:w="698"/>
        <w:gridCol w:w="443"/>
        <w:gridCol w:w="1560"/>
        <w:gridCol w:w="908"/>
        <w:gridCol w:w="1805"/>
        <w:gridCol w:w="2329"/>
      </w:tblGrid>
      <w:tr w:rsidR="00826462" w:rsidTr="00132A12">
        <w:trPr>
          <w:trHeight w:hRule="exact" w:val="718"/>
        </w:trPr>
        <w:tc>
          <w:tcPr>
            <w:tcW w:w="1334" w:type="dxa"/>
          </w:tcPr>
          <w:p w:rsidR="00826462" w:rsidRDefault="00826462" w:rsidP="00054AD9">
            <w:pPr>
              <w:pStyle w:val="TableText0"/>
              <w:keepLines/>
            </w:pPr>
          </w:p>
        </w:tc>
        <w:tc>
          <w:tcPr>
            <w:tcW w:w="2701" w:type="dxa"/>
            <w:gridSpan w:val="3"/>
          </w:tcPr>
          <w:p w:rsidR="00826462" w:rsidRPr="005C15EB" w:rsidRDefault="00826462" w:rsidP="00054AD9">
            <w:pPr>
              <w:pStyle w:val="TableText0"/>
              <w:keepLines/>
              <w:rPr>
                <w:b/>
              </w:rPr>
            </w:pPr>
            <w:r w:rsidRPr="005C15EB">
              <w:rPr>
                <w:b/>
              </w:rPr>
              <w:t>Pembrolizumab (n=153)</w:t>
            </w:r>
          </w:p>
        </w:tc>
        <w:tc>
          <w:tcPr>
            <w:tcW w:w="2713" w:type="dxa"/>
            <w:gridSpan w:val="2"/>
          </w:tcPr>
          <w:p w:rsidR="00826462" w:rsidRPr="005C15EB" w:rsidRDefault="00826462" w:rsidP="00054AD9">
            <w:pPr>
              <w:pStyle w:val="TableText0"/>
              <w:keepLines/>
              <w:rPr>
                <w:b/>
              </w:rPr>
            </w:pPr>
            <w:r w:rsidRPr="005C15EB">
              <w:rPr>
                <w:b/>
              </w:rPr>
              <w:t>SoC (n=154)</w:t>
            </w:r>
          </w:p>
        </w:tc>
        <w:tc>
          <w:tcPr>
            <w:tcW w:w="2329" w:type="dxa"/>
          </w:tcPr>
          <w:p w:rsidR="00826462" w:rsidRPr="005C15EB" w:rsidRDefault="00826462" w:rsidP="00054AD9">
            <w:pPr>
              <w:pStyle w:val="TableText0"/>
              <w:keepLines/>
              <w:rPr>
                <w:b/>
              </w:rPr>
            </w:pPr>
            <w:r w:rsidRPr="005C15EB">
              <w:rPr>
                <w:b/>
              </w:rPr>
              <w:t>Difference (95% CI) pembrolizumab vs SoC</w:t>
            </w:r>
          </w:p>
        </w:tc>
      </w:tr>
      <w:tr w:rsidR="00826462" w:rsidRPr="005C15EB" w:rsidTr="00132A12">
        <w:trPr>
          <w:trHeight w:hRule="exact" w:val="252"/>
        </w:trPr>
        <w:tc>
          <w:tcPr>
            <w:tcW w:w="1334" w:type="dxa"/>
          </w:tcPr>
          <w:p w:rsidR="00826462" w:rsidRPr="005C15EB" w:rsidRDefault="00826462" w:rsidP="00054AD9">
            <w:pPr>
              <w:pStyle w:val="TableText0"/>
              <w:keepLines/>
            </w:pPr>
          </w:p>
        </w:tc>
        <w:tc>
          <w:tcPr>
            <w:tcW w:w="1141" w:type="dxa"/>
            <w:gridSpan w:val="2"/>
          </w:tcPr>
          <w:p w:rsidR="00826462" w:rsidRPr="005C15EB" w:rsidRDefault="00826462" w:rsidP="00054AD9">
            <w:pPr>
              <w:pStyle w:val="TableText0"/>
              <w:keepLines/>
              <w:rPr>
                <w:rFonts w:eastAsia="Calibri"/>
              </w:rPr>
            </w:pPr>
            <w:r w:rsidRPr="005C15EB">
              <w:t>#of events</w:t>
            </w:r>
          </w:p>
        </w:tc>
        <w:tc>
          <w:tcPr>
            <w:tcW w:w="1560" w:type="dxa"/>
          </w:tcPr>
          <w:p w:rsidR="00826462" w:rsidRPr="005C15EB" w:rsidRDefault="00826462" w:rsidP="00054AD9">
            <w:pPr>
              <w:pStyle w:val="TableText0"/>
              <w:keepLines/>
              <w:rPr>
                <w:rFonts w:eastAsia="Calibri"/>
              </w:rPr>
            </w:pPr>
            <w:r w:rsidRPr="005C15EB">
              <w:t>RMST (95% CI)</w:t>
            </w:r>
          </w:p>
        </w:tc>
        <w:tc>
          <w:tcPr>
            <w:tcW w:w="908" w:type="dxa"/>
          </w:tcPr>
          <w:p w:rsidR="00826462" w:rsidRPr="005C15EB" w:rsidRDefault="00826462" w:rsidP="00054AD9">
            <w:pPr>
              <w:pStyle w:val="TableText0"/>
              <w:keepLines/>
              <w:rPr>
                <w:rFonts w:eastAsia="Calibri"/>
              </w:rPr>
            </w:pPr>
            <w:r w:rsidRPr="005C15EB">
              <w:t>#of events</w:t>
            </w:r>
          </w:p>
        </w:tc>
        <w:tc>
          <w:tcPr>
            <w:tcW w:w="1805" w:type="dxa"/>
          </w:tcPr>
          <w:p w:rsidR="00826462" w:rsidRPr="005C15EB" w:rsidRDefault="00826462" w:rsidP="00054AD9">
            <w:pPr>
              <w:pStyle w:val="TableText0"/>
              <w:keepLines/>
              <w:rPr>
                <w:rFonts w:eastAsia="Calibri"/>
              </w:rPr>
            </w:pPr>
            <w:r w:rsidRPr="005C15EB">
              <w:t>RMST (95% CI)</w:t>
            </w:r>
          </w:p>
        </w:tc>
        <w:tc>
          <w:tcPr>
            <w:tcW w:w="2329" w:type="dxa"/>
          </w:tcPr>
          <w:p w:rsidR="00826462" w:rsidRPr="005C15EB" w:rsidRDefault="00826462" w:rsidP="00054AD9">
            <w:pPr>
              <w:pStyle w:val="TableText0"/>
              <w:keepLines/>
            </w:pPr>
          </w:p>
        </w:tc>
      </w:tr>
      <w:tr w:rsidR="00826462" w:rsidRPr="005C15EB" w:rsidTr="00132A12">
        <w:trPr>
          <w:trHeight w:hRule="exact" w:val="252"/>
        </w:trPr>
        <w:tc>
          <w:tcPr>
            <w:tcW w:w="1334" w:type="dxa"/>
          </w:tcPr>
          <w:p w:rsidR="00826462" w:rsidRPr="005C15EB" w:rsidRDefault="00826462" w:rsidP="00054AD9">
            <w:pPr>
              <w:pStyle w:val="TableText0"/>
              <w:keepLines/>
              <w:rPr>
                <w:rFonts w:eastAsia="Calibri"/>
              </w:rPr>
            </w:pPr>
            <w:r w:rsidRPr="005C15EB">
              <w:t>6 months</w:t>
            </w:r>
          </w:p>
        </w:tc>
        <w:tc>
          <w:tcPr>
            <w:tcW w:w="698" w:type="dxa"/>
          </w:tcPr>
          <w:p w:rsidR="00826462" w:rsidRPr="005C15EB" w:rsidRDefault="00826462" w:rsidP="00054AD9">
            <w:pPr>
              <w:pStyle w:val="TableText0"/>
              <w:keepLines/>
              <w:rPr>
                <w:rFonts w:eastAsia="Calibri"/>
              </w:rPr>
            </w:pPr>
            <w:r w:rsidRPr="005C15EB">
              <w:t>64</w:t>
            </w:r>
          </w:p>
        </w:tc>
        <w:tc>
          <w:tcPr>
            <w:tcW w:w="443" w:type="dxa"/>
          </w:tcPr>
          <w:p w:rsidR="00826462" w:rsidRPr="005C15EB" w:rsidRDefault="00826462" w:rsidP="00054AD9">
            <w:pPr>
              <w:pStyle w:val="TableText0"/>
              <w:keepLines/>
            </w:pPr>
          </w:p>
        </w:tc>
        <w:tc>
          <w:tcPr>
            <w:tcW w:w="1560" w:type="dxa"/>
          </w:tcPr>
          <w:p w:rsidR="00826462" w:rsidRPr="005C15EB" w:rsidRDefault="00826462" w:rsidP="00054AD9">
            <w:pPr>
              <w:pStyle w:val="TableText0"/>
              <w:keepLines/>
              <w:rPr>
                <w:rFonts w:eastAsia="Calibri"/>
              </w:rPr>
            </w:pPr>
            <w:r w:rsidRPr="005C15EB">
              <w:t>4.4 (4.1, 4.7)</w:t>
            </w:r>
          </w:p>
        </w:tc>
        <w:tc>
          <w:tcPr>
            <w:tcW w:w="908" w:type="dxa"/>
          </w:tcPr>
          <w:p w:rsidR="00826462" w:rsidRPr="005C15EB" w:rsidRDefault="00826462" w:rsidP="00054AD9">
            <w:pPr>
              <w:pStyle w:val="TableText0"/>
              <w:keepLines/>
              <w:rPr>
                <w:rFonts w:eastAsia="Calibri"/>
              </w:rPr>
            </w:pPr>
            <w:r w:rsidRPr="005C15EB">
              <w:t>57</w:t>
            </w:r>
          </w:p>
        </w:tc>
        <w:tc>
          <w:tcPr>
            <w:tcW w:w="1805" w:type="dxa"/>
          </w:tcPr>
          <w:p w:rsidR="00826462" w:rsidRPr="005C15EB" w:rsidRDefault="00826462" w:rsidP="00054AD9">
            <w:pPr>
              <w:pStyle w:val="TableText0"/>
              <w:keepLines/>
              <w:rPr>
                <w:rFonts w:eastAsia="Calibri"/>
              </w:rPr>
            </w:pPr>
            <w:r w:rsidRPr="005C15EB">
              <w:t>4.8 (4.6, 5.1)</w:t>
            </w:r>
          </w:p>
        </w:tc>
        <w:tc>
          <w:tcPr>
            <w:tcW w:w="2329" w:type="dxa"/>
          </w:tcPr>
          <w:p w:rsidR="00826462" w:rsidRPr="005C15EB" w:rsidRDefault="00826462" w:rsidP="00054AD9">
            <w:pPr>
              <w:pStyle w:val="TableText0"/>
              <w:keepLines/>
              <w:rPr>
                <w:rFonts w:eastAsia="Calibri"/>
              </w:rPr>
            </w:pPr>
            <w:r w:rsidRPr="005C15EB">
              <w:t>-0.5 (00.9, 0.0)</w:t>
            </w:r>
          </w:p>
        </w:tc>
      </w:tr>
      <w:tr w:rsidR="00826462" w:rsidRPr="005C15EB" w:rsidTr="00132A12">
        <w:trPr>
          <w:trHeight w:hRule="exact" w:val="252"/>
        </w:trPr>
        <w:tc>
          <w:tcPr>
            <w:tcW w:w="1334" w:type="dxa"/>
          </w:tcPr>
          <w:p w:rsidR="00826462" w:rsidRPr="005C15EB" w:rsidRDefault="00826462" w:rsidP="00054AD9">
            <w:pPr>
              <w:pStyle w:val="TableText0"/>
              <w:keepLines/>
              <w:rPr>
                <w:rFonts w:eastAsia="Calibri"/>
              </w:rPr>
            </w:pPr>
            <w:r w:rsidRPr="005C15EB">
              <w:t>9 months</w:t>
            </w:r>
          </w:p>
        </w:tc>
        <w:tc>
          <w:tcPr>
            <w:tcW w:w="698" w:type="dxa"/>
          </w:tcPr>
          <w:p w:rsidR="00826462" w:rsidRPr="005C15EB" w:rsidRDefault="00826462" w:rsidP="00054AD9">
            <w:pPr>
              <w:pStyle w:val="TableText0"/>
              <w:keepLines/>
              <w:rPr>
                <w:rFonts w:eastAsia="Calibri"/>
              </w:rPr>
            </w:pPr>
            <w:r w:rsidRPr="005C15EB">
              <w:t>65</w:t>
            </w:r>
          </w:p>
        </w:tc>
        <w:tc>
          <w:tcPr>
            <w:tcW w:w="443" w:type="dxa"/>
          </w:tcPr>
          <w:p w:rsidR="00826462" w:rsidRPr="005C15EB" w:rsidRDefault="00826462" w:rsidP="00054AD9">
            <w:pPr>
              <w:pStyle w:val="TableText0"/>
              <w:keepLines/>
            </w:pPr>
          </w:p>
        </w:tc>
        <w:tc>
          <w:tcPr>
            <w:tcW w:w="1560" w:type="dxa"/>
          </w:tcPr>
          <w:p w:rsidR="00826462" w:rsidRPr="005C15EB" w:rsidRDefault="00826462" w:rsidP="00054AD9">
            <w:pPr>
              <w:pStyle w:val="TableText0"/>
              <w:keepLines/>
              <w:rPr>
                <w:rFonts w:eastAsia="Calibri"/>
              </w:rPr>
            </w:pPr>
            <w:r w:rsidRPr="005C15EB">
              <w:t>6.1 (5.5, 6.6)</w:t>
            </w:r>
          </w:p>
        </w:tc>
        <w:tc>
          <w:tcPr>
            <w:tcW w:w="908" w:type="dxa"/>
          </w:tcPr>
          <w:p w:rsidR="00826462" w:rsidRPr="005C15EB" w:rsidRDefault="00826462" w:rsidP="00054AD9">
            <w:pPr>
              <w:pStyle w:val="TableText0"/>
              <w:keepLines/>
              <w:rPr>
                <w:rFonts w:eastAsia="Calibri"/>
              </w:rPr>
            </w:pPr>
            <w:r w:rsidRPr="005C15EB">
              <w:t>75</w:t>
            </w:r>
          </w:p>
        </w:tc>
        <w:tc>
          <w:tcPr>
            <w:tcW w:w="1805" w:type="dxa"/>
          </w:tcPr>
          <w:p w:rsidR="00826462" w:rsidRPr="005C15EB" w:rsidRDefault="00826462" w:rsidP="00054AD9">
            <w:pPr>
              <w:pStyle w:val="TableText0"/>
              <w:keepLines/>
              <w:rPr>
                <w:rFonts w:eastAsia="Calibri"/>
              </w:rPr>
            </w:pPr>
            <w:r w:rsidRPr="005C15EB">
              <w:t>6.4 (5.9, 6.9)</w:t>
            </w:r>
          </w:p>
        </w:tc>
        <w:tc>
          <w:tcPr>
            <w:tcW w:w="2329" w:type="dxa"/>
          </w:tcPr>
          <w:p w:rsidR="00826462" w:rsidRPr="005C15EB" w:rsidRDefault="00826462" w:rsidP="00054AD9">
            <w:pPr>
              <w:pStyle w:val="TableText0"/>
              <w:keepLines/>
              <w:rPr>
                <w:rFonts w:eastAsia="Calibri"/>
              </w:rPr>
            </w:pPr>
            <w:r w:rsidRPr="005C15EB">
              <w:t>-0.3 (-1.1, 0.4)</w:t>
            </w:r>
          </w:p>
        </w:tc>
      </w:tr>
      <w:tr w:rsidR="00826462" w:rsidRPr="005C15EB" w:rsidTr="00132A12">
        <w:trPr>
          <w:trHeight w:hRule="exact" w:val="252"/>
        </w:trPr>
        <w:tc>
          <w:tcPr>
            <w:tcW w:w="1334" w:type="dxa"/>
          </w:tcPr>
          <w:p w:rsidR="00826462" w:rsidRPr="005C15EB" w:rsidRDefault="00826462" w:rsidP="00054AD9">
            <w:pPr>
              <w:pStyle w:val="TableText0"/>
              <w:keepLines/>
              <w:rPr>
                <w:rFonts w:eastAsia="Calibri"/>
              </w:rPr>
            </w:pPr>
            <w:r w:rsidRPr="005C15EB">
              <w:t>12 months</w:t>
            </w:r>
          </w:p>
        </w:tc>
        <w:tc>
          <w:tcPr>
            <w:tcW w:w="698" w:type="dxa"/>
          </w:tcPr>
          <w:p w:rsidR="00826462" w:rsidRPr="005C15EB" w:rsidRDefault="00826462" w:rsidP="00054AD9">
            <w:pPr>
              <w:pStyle w:val="TableText0"/>
              <w:keepLines/>
              <w:rPr>
                <w:rFonts w:eastAsia="Calibri"/>
              </w:rPr>
            </w:pPr>
            <w:r w:rsidRPr="005C15EB">
              <w:t>67</w:t>
            </w:r>
          </w:p>
        </w:tc>
        <w:tc>
          <w:tcPr>
            <w:tcW w:w="443" w:type="dxa"/>
          </w:tcPr>
          <w:p w:rsidR="00826462" w:rsidRPr="005C15EB" w:rsidRDefault="00826462" w:rsidP="00054AD9">
            <w:pPr>
              <w:pStyle w:val="TableText0"/>
              <w:keepLines/>
            </w:pPr>
          </w:p>
        </w:tc>
        <w:tc>
          <w:tcPr>
            <w:tcW w:w="1560" w:type="dxa"/>
          </w:tcPr>
          <w:p w:rsidR="00826462" w:rsidRPr="005C15EB" w:rsidRDefault="00826462" w:rsidP="00054AD9">
            <w:pPr>
              <w:pStyle w:val="TableText0"/>
              <w:keepLines/>
              <w:rPr>
                <w:rFonts w:eastAsia="Calibri"/>
              </w:rPr>
            </w:pPr>
            <w:r w:rsidRPr="005C15EB">
              <w:t>7.8 (7.0, 8.5)</w:t>
            </w:r>
          </w:p>
        </w:tc>
        <w:tc>
          <w:tcPr>
            <w:tcW w:w="908" w:type="dxa"/>
          </w:tcPr>
          <w:p w:rsidR="00826462" w:rsidRPr="005C15EB" w:rsidRDefault="00826462" w:rsidP="00054AD9">
            <w:pPr>
              <w:pStyle w:val="TableText0"/>
              <w:keepLines/>
              <w:rPr>
                <w:rFonts w:eastAsia="Calibri"/>
              </w:rPr>
            </w:pPr>
            <w:r w:rsidRPr="005C15EB">
              <w:t>85</w:t>
            </w:r>
          </w:p>
        </w:tc>
        <w:tc>
          <w:tcPr>
            <w:tcW w:w="1805" w:type="dxa"/>
          </w:tcPr>
          <w:p w:rsidR="00826462" w:rsidRPr="005C15EB" w:rsidRDefault="00826462" w:rsidP="00054AD9">
            <w:pPr>
              <w:pStyle w:val="TableText0"/>
              <w:keepLines/>
              <w:rPr>
                <w:rFonts w:eastAsia="Calibri"/>
              </w:rPr>
            </w:pPr>
            <w:r w:rsidRPr="005C15EB">
              <w:t>7.6 (6.9, 8.3)</w:t>
            </w:r>
          </w:p>
        </w:tc>
        <w:tc>
          <w:tcPr>
            <w:tcW w:w="2329" w:type="dxa"/>
          </w:tcPr>
          <w:p w:rsidR="00826462" w:rsidRPr="005C15EB" w:rsidRDefault="00826462" w:rsidP="00054AD9">
            <w:pPr>
              <w:pStyle w:val="TableText0"/>
              <w:keepLines/>
              <w:rPr>
                <w:rFonts w:eastAsia="Calibri"/>
              </w:rPr>
            </w:pPr>
            <w:r w:rsidRPr="005C15EB">
              <w:t>0.1 (-0.9, 1.2)</w:t>
            </w:r>
          </w:p>
        </w:tc>
      </w:tr>
      <w:tr w:rsidR="00826462" w:rsidRPr="005C15EB" w:rsidTr="00132A12">
        <w:trPr>
          <w:trHeight w:hRule="exact" w:val="252"/>
        </w:trPr>
        <w:tc>
          <w:tcPr>
            <w:tcW w:w="1334" w:type="dxa"/>
          </w:tcPr>
          <w:p w:rsidR="00826462" w:rsidRPr="005C15EB" w:rsidRDefault="00826462" w:rsidP="00054AD9">
            <w:pPr>
              <w:pStyle w:val="TableText0"/>
              <w:keepLines/>
              <w:rPr>
                <w:rFonts w:eastAsia="Calibri"/>
              </w:rPr>
            </w:pPr>
            <w:r w:rsidRPr="005C15EB">
              <w:t>18 months</w:t>
            </w:r>
          </w:p>
        </w:tc>
        <w:tc>
          <w:tcPr>
            <w:tcW w:w="698" w:type="dxa"/>
          </w:tcPr>
          <w:p w:rsidR="00826462" w:rsidRPr="005C15EB" w:rsidRDefault="00826462" w:rsidP="00054AD9">
            <w:pPr>
              <w:pStyle w:val="TableText0"/>
              <w:keepLines/>
              <w:rPr>
                <w:rFonts w:eastAsia="Calibri"/>
              </w:rPr>
            </w:pPr>
            <w:r w:rsidRPr="005C15EB">
              <w:t>75</w:t>
            </w:r>
          </w:p>
        </w:tc>
        <w:tc>
          <w:tcPr>
            <w:tcW w:w="443" w:type="dxa"/>
          </w:tcPr>
          <w:p w:rsidR="00826462" w:rsidRPr="005C15EB" w:rsidRDefault="00826462" w:rsidP="00054AD9">
            <w:pPr>
              <w:pStyle w:val="TableText0"/>
              <w:keepLines/>
            </w:pPr>
          </w:p>
        </w:tc>
        <w:tc>
          <w:tcPr>
            <w:tcW w:w="1560" w:type="dxa"/>
          </w:tcPr>
          <w:p w:rsidR="00826462" w:rsidRPr="005C15EB" w:rsidRDefault="00826462" w:rsidP="00054AD9">
            <w:pPr>
              <w:pStyle w:val="TableText0"/>
              <w:keepLines/>
              <w:rPr>
                <w:rFonts w:eastAsia="Calibri"/>
              </w:rPr>
            </w:pPr>
            <w:r w:rsidRPr="005C15EB">
              <w:t>10.8 (9.6, 12.0)</w:t>
            </w:r>
          </w:p>
        </w:tc>
        <w:tc>
          <w:tcPr>
            <w:tcW w:w="908" w:type="dxa"/>
          </w:tcPr>
          <w:p w:rsidR="00826462" w:rsidRPr="005C15EB" w:rsidRDefault="00826462" w:rsidP="00054AD9">
            <w:pPr>
              <w:pStyle w:val="TableText0"/>
              <w:keepLines/>
              <w:rPr>
                <w:rFonts w:eastAsia="Calibri"/>
              </w:rPr>
            </w:pPr>
            <w:r w:rsidRPr="005C15EB">
              <w:t>97</w:t>
            </w:r>
          </w:p>
        </w:tc>
        <w:tc>
          <w:tcPr>
            <w:tcW w:w="1805" w:type="dxa"/>
          </w:tcPr>
          <w:p w:rsidR="00826462" w:rsidRPr="005C15EB" w:rsidRDefault="00826462" w:rsidP="00054AD9">
            <w:pPr>
              <w:pStyle w:val="TableText0"/>
              <w:keepLines/>
              <w:rPr>
                <w:rFonts w:eastAsia="Calibri"/>
              </w:rPr>
            </w:pPr>
            <w:r w:rsidRPr="005C15EB">
              <w:t>9.5 (8.4, 10.6)</w:t>
            </w:r>
          </w:p>
        </w:tc>
        <w:tc>
          <w:tcPr>
            <w:tcW w:w="2329" w:type="dxa"/>
          </w:tcPr>
          <w:p w:rsidR="00826462" w:rsidRPr="005C15EB" w:rsidRDefault="00826462" w:rsidP="00054AD9">
            <w:pPr>
              <w:pStyle w:val="TableText0"/>
              <w:keepLines/>
              <w:rPr>
                <w:rFonts w:eastAsia="Calibri"/>
              </w:rPr>
            </w:pPr>
            <w:r w:rsidRPr="005C15EB">
              <w:t>1.3 (-0.3, 2.9)</w:t>
            </w:r>
          </w:p>
        </w:tc>
      </w:tr>
      <w:tr w:rsidR="00826462" w:rsidRPr="005C15EB" w:rsidTr="00132A12">
        <w:trPr>
          <w:trHeight w:hRule="exact" w:val="252"/>
        </w:trPr>
        <w:tc>
          <w:tcPr>
            <w:tcW w:w="1334" w:type="dxa"/>
          </w:tcPr>
          <w:p w:rsidR="00826462" w:rsidRPr="005C15EB" w:rsidRDefault="00826462" w:rsidP="00054AD9">
            <w:pPr>
              <w:pStyle w:val="TableText0"/>
              <w:keepLines/>
              <w:rPr>
                <w:rFonts w:eastAsia="Calibri"/>
              </w:rPr>
            </w:pPr>
            <w:r w:rsidRPr="005C15EB">
              <w:t>24 months</w:t>
            </w:r>
          </w:p>
        </w:tc>
        <w:tc>
          <w:tcPr>
            <w:tcW w:w="698" w:type="dxa"/>
          </w:tcPr>
          <w:p w:rsidR="00826462" w:rsidRPr="005C15EB" w:rsidRDefault="00826462" w:rsidP="00054AD9">
            <w:pPr>
              <w:pStyle w:val="TableText0"/>
              <w:keepLines/>
              <w:rPr>
                <w:rFonts w:eastAsia="Calibri"/>
              </w:rPr>
            </w:pPr>
            <w:r w:rsidRPr="005C15EB">
              <w:t>76</w:t>
            </w:r>
          </w:p>
        </w:tc>
        <w:tc>
          <w:tcPr>
            <w:tcW w:w="443" w:type="dxa"/>
          </w:tcPr>
          <w:p w:rsidR="00826462" w:rsidRPr="005C15EB" w:rsidRDefault="00826462" w:rsidP="00054AD9">
            <w:pPr>
              <w:pStyle w:val="TableText0"/>
              <w:keepLines/>
            </w:pPr>
          </w:p>
        </w:tc>
        <w:tc>
          <w:tcPr>
            <w:tcW w:w="1560" w:type="dxa"/>
          </w:tcPr>
          <w:p w:rsidR="00826462" w:rsidRPr="005C15EB" w:rsidRDefault="00826462" w:rsidP="00054AD9">
            <w:pPr>
              <w:pStyle w:val="TableText0"/>
              <w:keepLines/>
              <w:rPr>
                <w:rFonts w:eastAsia="Calibri"/>
              </w:rPr>
            </w:pPr>
            <w:r w:rsidRPr="005C15EB">
              <w:t>13.7 (12.0, 15.4)</w:t>
            </w:r>
          </w:p>
        </w:tc>
        <w:tc>
          <w:tcPr>
            <w:tcW w:w="908" w:type="dxa"/>
          </w:tcPr>
          <w:p w:rsidR="00826462" w:rsidRPr="005C15EB" w:rsidRDefault="00826462" w:rsidP="00054AD9">
            <w:pPr>
              <w:pStyle w:val="TableText0"/>
              <w:keepLines/>
              <w:rPr>
                <w:rFonts w:eastAsia="Calibri"/>
              </w:rPr>
            </w:pPr>
            <w:r w:rsidRPr="005C15EB">
              <w:t>105</w:t>
            </w:r>
          </w:p>
        </w:tc>
        <w:tc>
          <w:tcPr>
            <w:tcW w:w="1805" w:type="dxa"/>
          </w:tcPr>
          <w:p w:rsidR="00826462" w:rsidRPr="005C15EB" w:rsidRDefault="00826462" w:rsidP="00054AD9">
            <w:pPr>
              <w:pStyle w:val="TableText0"/>
              <w:keepLines/>
              <w:rPr>
                <w:rFonts w:eastAsia="Calibri"/>
              </w:rPr>
            </w:pPr>
            <w:r w:rsidRPr="005C15EB">
              <w:t>10.8 (9.4, 12.2)</w:t>
            </w:r>
          </w:p>
        </w:tc>
        <w:tc>
          <w:tcPr>
            <w:tcW w:w="2329" w:type="dxa"/>
          </w:tcPr>
          <w:p w:rsidR="00826462" w:rsidRPr="005C15EB" w:rsidRDefault="00826462" w:rsidP="00054AD9">
            <w:pPr>
              <w:pStyle w:val="TableText0"/>
              <w:keepLines/>
              <w:rPr>
                <w:rFonts w:eastAsia="Calibri"/>
              </w:rPr>
            </w:pPr>
            <w:r w:rsidRPr="005C15EB">
              <w:t>2.9 (0.7, 5.1)</w:t>
            </w:r>
          </w:p>
        </w:tc>
      </w:tr>
    </w:tbl>
    <w:p w:rsidR="00826462" w:rsidRDefault="00826462" w:rsidP="00054AD9">
      <w:pPr>
        <w:pStyle w:val="TableFooter"/>
        <w:keepNext/>
        <w:keepLines/>
      </w:pPr>
      <w:r>
        <w:t xml:space="preserve">Source: Table 5 of the Delegate’s overview for pembrolizumab </w:t>
      </w:r>
      <w:r w:rsidRPr="005C15EB">
        <w:t>MSD PM-2020-03165-1-4</w:t>
      </w:r>
      <w:r>
        <w:t>.</w:t>
      </w:r>
    </w:p>
    <w:p w:rsidR="00826462" w:rsidRDefault="00826462" w:rsidP="00054AD9">
      <w:pPr>
        <w:pStyle w:val="TableFooter"/>
        <w:keepNext/>
        <w:keepLines/>
      </w:pPr>
      <w:r w:rsidRPr="005C15EB">
        <w:t xml:space="preserve">CI=confidence interval; RMST= restricted mean survival time; SOC=standard of care. Database </w:t>
      </w:r>
      <w:r w:rsidR="00400F01" w:rsidRPr="005C15EB">
        <w:t>cut-off</w:t>
      </w:r>
      <w:r w:rsidRPr="005C15EB">
        <w:t xml:space="preserve"> date: 19FEB2020</w:t>
      </w:r>
    </w:p>
    <w:p w:rsidR="00826462" w:rsidRDefault="00826462" w:rsidP="00826462">
      <w:pPr>
        <w:pStyle w:val="TableFooter"/>
      </w:pPr>
    </w:p>
    <w:p w:rsidR="00826462" w:rsidRPr="00826462" w:rsidRDefault="00826462" w:rsidP="00826462">
      <w:pPr>
        <w:pStyle w:val="TableFooter"/>
      </w:pPr>
    </w:p>
    <w:p w:rsidR="00826462" w:rsidRPr="00826462" w:rsidRDefault="00826462" w:rsidP="00EC5836">
      <w:pPr>
        <w:pStyle w:val="3-BodyText"/>
      </w:pPr>
      <w:r w:rsidRPr="00F71C5B">
        <w:t>At the 24 month truncated time point, the additional average PFS time associated with pembrolizumab over SoC was approximately 3 months.</w:t>
      </w:r>
    </w:p>
    <w:p w:rsidR="00826462" w:rsidRDefault="00826462" w:rsidP="009F2C65">
      <w:pPr>
        <w:pStyle w:val="3-BodyText"/>
      </w:pPr>
      <w:r>
        <w:t xml:space="preserve">The OS data remain immature at 66% of the planned events. </w:t>
      </w:r>
      <w:r w:rsidR="009F2C65">
        <w:t xml:space="preserve">Only </w:t>
      </w:r>
      <w:r w:rsidR="009F2C65" w:rsidRPr="009F2C65">
        <w:t>41% of patients across both arms of the key KN177 trial had died at the time of the interim analysis and the median OS had not been reached in the pembrolizumab arm.</w:t>
      </w:r>
      <w:r w:rsidR="009F2C65">
        <w:t xml:space="preserve"> </w:t>
      </w:r>
      <w:r>
        <w:t>A final analysis of OS is planned at 190 events or 12 months after IA2 (</w:t>
      </w:r>
      <w:r w:rsidR="009F2C65">
        <w:t xml:space="preserve">final analysis </w:t>
      </w:r>
      <w:r w:rsidR="00B66767">
        <w:t xml:space="preserve">according to the submission </w:t>
      </w:r>
      <w:r w:rsidR="009F2C65">
        <w:t xml:space="preserve">expected </w:t>
      </w:r>
      <w:r w:rsidR="00B66767">
        <w:t>early in</w:t>
      </w:r>
      <w:r>
        <w:t xml:space="preserve"> 2021). </w:t>
      </w:r>
    </w:p>
    <w:p w:rsidR="00826462" w:rsidRDefault="00B41E01" w:rsidP="00826462">
      <w:pPr>
        <w:pStyle w:val="3-BodyText"/>
      </w:pPr>
      <w:r w:rsidRPr="00F71C5B">
        <w:t>Recognising the limitations of the HR as the PH assumption was violated, th</w:t>
      </w:r>
      <w:r w:rsidR="00826462" w:rsidRPr="00F71C5B">
        <w:t>e immature OS data indicated a 23% reduction in the hazard of death associated with pembrolizumab which was not statistically significant (HR= 0.77, 95% CI: 0.54, 1.09; p=0.0694). The p-value boundary criterion (0.0053) was not met.</w:t>
      </w:r>
      <w:r>
        <w:t xml:space="preserve"> </w:t>
      </w:r>
      <w:r w:rsidRPr="00F71C5B">
        <w:t>The OS rates were higher for the pembrolizumab arm versus the SoC arm at the 18 - month (71.2% versus 65.9%) and 24 - month (68.0% versus 59.8%) time points.</w:t>
      </w:r>
    </w:p>
    <w:p w:rsidR="00EC3D76" w:rsidRPr="00F71C5B" w:rsidRDefault="000E4ED7" w:rsidP="00AF2DB7">
      <w:pPr>
        <w:pStyle w:val="3-BodyText"/>
      </w:pPr>
      <w:r w:rsidRPr="00F4150F">
        <w:t xml:space="preserve">The </w:t>
      </w:r>
      <w:r w:rsidR="00DF330E" w:rsidRPr="00F4150F">
        <w:t>ESC noted the p</w:t>
      </w:r>
      <w:r w:rsidRPr="00F4150F">
        <w:t>embrolizumab and SoC KM curves crossed around the 8 month time point before which there was an apparent increased hazard of death associated with pembrolizumab</w:t>
      </w:r>
      <w:r w:rsidR="00DF330E" w:rsidRPr="00F4150F">
        <w:t>, but noted the absolute patient numbers were small</w:t>
      </w:r>
      <w:r w:rsidRPr="00F71C5B">
        <w:t>.</w:t>
      </w:r>
      <w:r w:rsidR="00940CF4">
        <w:t xml:space="preserve"> </w:t>
      </w:r>
    </w:p>
    <w:p w:rsidR="000E4ED7" w:rsidRPr="00F71C5B" w:rsidRDefault="00B41E01" w:rsidP="00AF2DB7">
      <w:pPr>
        <w:pStyle w:val="3-BodyText"/>
      </w:pPr>
      <w:r w:rsidRPr="00F71C5B">
        <w:t xml:space="preserve">The </w:t>
      </w:r>
      <w:r w:rsidR="00940CF4">
        <w:t xml:space="preserve">TGA </w:t>
      </w:r>
      <w:r w:rsidRPr="00F71C5B">
        <w:t>Delegate noted the following</w:t>
      </w:r>
      <w:r w:rsidR="00AF2DB7" w:rsidRPr="00F71C5B">
        <w:t>:</w:t>
      </w:r>
    </w:p>
    <w:p w:rsidR="00AF2DB7" w:rsidRPr="00F71C5B" w:rsidRDefault="00AF2DB7" w:rsidP="008849AA">
      <w:pPr>
        <w:pStyle w:val="ListParagraph"/>
      </w:pPr>
      <w:r w:rsidRPr="00F71C5B">
        <w:t>Immunotherapies are associated with excess early mortality when compared to chemotherapy in a number of settings, including KEYNOTE-177;</w:t>
      </w:r>
    </w:p>
    <w:p w:rsidR="00AF2DB7" w:rsidRPr="00F71C5B" w:rsidRDefault="00AF2DB7" w:rsidP="008849AA">
      <w:pPr>
        <w:pStyle w:val="ListParagraph"/>
      </w:pPr>
      <w:r w:rsidRPr="00F71C5B">
        <w:t>The Delegate intends to make a condition of registration the submission of the mature OS analysis from KEYNOTE-177 when available, including consideration of whether th</w:t>
      </w:r>
      <w:r w:rsidR="008849AA" w:rsidRPr="00F71C5B">
        <w:t>ere is early crossover of the K-</w:t>
      </w:r>
      <w:r w:rsidRPr="00F71C5B">
        <w:t>M curves for the two arms, and any possible associations for who may be at higher risk of early mortality with immunotherapy compared to chemotherapy.</w:t>
      </w:r>
    </w:p>
    <w:p w:rsidR="000E4ED7" w:rsidRDefault="000E4ED7" w:rsidP="000E4ED7">
      <w:pPr>
        <w:pStyle w:val="3-BodyText"/>
      </w:pPr>
      <w:r w:rsidRPr="000E4ED7">
        <w:t xml:space="preserve">The OS results from the adjustment methods </w:t>
      </w:r>
      <w:r>
        <w:t>presented in the submission a</w:t>
      </w:r>
      <w:r w:rsidRPr="000E4ED7">
        <w:t>re summarised in</w:t>
      </w:r>
      <w:r>
        <w:t xml:space="preserve"> the table below. </w:t>
      </w:r>
    </w:p>
    <w:p w:rsidR="000E4ED7" w:rsidRDefault="000E4ED7" w:rsidP="000E4ED7"/>
    <w:p w:rsidR="00C764D6" w:rsidRDefault="00C764D6" w:rsidP="00054AD9">
      <w:pPr>
        <w:pStyle w:val="TableFigureHeading"/>
        <w:keepLines/>
      </w:pPr>
      <w:r>
        <w:t xml:space="preserve">Table </w:t>
      </w:r>
      <w:r w:rsidR="009A4847">
        <w:rPr>
          <w:noProof/>
        </w:rPr>
        <w:t>6</w:t>
      </w:r>
      <w:r>
        <w:t>: KN177 - Adjustment of OS for treatment switching from SoC to pembrolizumab or other PD-1/PD-L1 inhibitors.</w:t>
      </w:r>
    </w:p>
    <w:tbl>
      <w:tblPr>
        <w:tblStyle w:val="TableGrid"/>
        <w:tblW w:w="5000" w:type="pct"/>
        <w:tblLook w:val="04A0" w:firstRow="1" w:lastRow="0" w:firstColumn="1" w:lastColumn="0" w:noHBand="0" w:noVBand="1"/>
        <w:tblCaption w:val="Table 6: KN177 - Adjustment of OS for treatment switching from SoC to pembrolizumab or other PD-1/PD-L1 inhibitors."/>
      </w:tblPr>
      <w:tblGrid>
        <w:gridCol w:w="3278"/>
        <w:gridCol w:w="1913"/>
        <w:gridCol w:w="1913"/>
        <w:gridCol w:w="1913"/>
      </w:tblGrid>
      <w:tr w:rsidR="00C764D6" w:rsidRPr="0037484A" w:rsidTr="00BF2FBB">
        <w:trPr>
          <w:trHeight w:val="58"/>
          <w:tblHeader/>
        </w:trPr>
        <w:tc>
          <w:tcPr>
            <w:tcW w:w="1817" w:type="pct"/>
            <w:vMerge w:val="restart"/>
          </w:tcPr>
          <w:p w:rsidR="00C764D6" w:rsidRPr="0037484A" w:rsidRDefault="00C764D6" w:rsidP="00054AD9">
            <w:pPr>
              <w:pStyle w:val="Tabletext"/>
              <w:keepNext/>
              <w:keepLines/>
              <w:rPr>
                <w:b/>
              </w:rPr>
            </w:pPr>
            <w:r w:rsidRPr="0037484A">
              <w:rPr>
                <w:b/>
              </w:rPr>
              <w:t>Analysis method (KN177)</w:t>
            </w:r>
            <w:r>
              <w:rPr>
                <w:b/>
              </w:rPr>
              <w:t>: Switching to pembrolizumab or o</w:t>
            </w:r>
            <w:r w:rsidRPr="0027498C">
              <w:rPr>
                <w:b/>
              </w:rPr>
              <w:t>ther Anti-PD1/PD-L1</w:t>
            </w:r>
            <w:r>
              <w:rPr>
                <w:b/>
              </w:rPr>
              <w:t xml:space="preserve"> </w:t>
            </w:r>
          </w:p>
        </w:tc>
        <w:tc>
          <w:tcPr>
            <w:tcW w:w="1061" w:type="pct"/>
            <w:vMerge w:val="restart"/>
          </w:tcPr>
          <w:p w:rsidR="00C764D6" w:rsidRPr="0037484A" w:rsidRDefault="00C764D6" w:rsidP="00054AD9">
            <w:pPr>
              <w:pStyle w:val="Tabletext"/>
              <w:keepNext/>
              <w:keepLines/>
              <w:rPr>
                <w:b/>
              </w:rPr>
            </w:pPr>
            <w:r w:rsidRPr="0037484A">
              <w:rPr>
                <w:b/>
              </w:rPr>
              <w:t>Hazard ratio [95% CI]</w:t>
            </w:r>
          </w:p>
        </w:tc>
        <w:tc>
          <w:tcPr>
            <w:tcW w:w="2122" w:type="pct"/>
            <w:gridSpan w:val="2"/>
          </w:tcPr>
          <w:p w:rsidR="00C764D6" w:rsidRDefault="00C764D6" w:rsidP="00054AD9">
            <w:pPr>
              <w:pStyle w:val="Tabletext"/>
              <w:keepNext/>
              <w:keepLines/>
              <w:jc w:val="center"/>
              <w:rPr>
                <w:b/>
              </w:rPr>
            </w:pPr>
            <w:r>
              <w:rPr>
                <w:b/>
              </w:rPr>
              <w:t>Median OS</w:t>
            </w:r>
            <w:r>
              <w:rPr>
                <w:b/>
                <w:vertAlign w:val="superscript"/>
              </w:rPr>
              <w:t>a</w:t>
            </w:r>
            <w:r>
              <w:rPr>
                <w:b/>
              </w:rPr>
              <w:t xml:space="preserve"> , months</w:t>
            </w:r>
          </w:p>
          <w:p w:rsidR="00C764D6" w:rsidRPr="0037484A" w:rsidRDefault="00C764D6" w:rsidP="00054AD9">
            <w:pPr>
              <w:pStyle w:val="Tabletext"/>
              <w:keepNext/>
              <w:keepLines/>
              <w:jc w:val="center"/>
              <w:rPr>
                <w:b/>
              </w:rPr>
            </w:pPr>
            <w:r>
              <w:rPr>
                <w:b/>
              </w:rPr>
              <w:t>(95% CI)</w:t>
            </w:r>
          </w:p>
        </w:tc>
      </w:tr>
      <w:tr w:rsidR="00C764D6" w:rsidRPr="0037484A" w:rsidTr="00BF2FBB">
        <w:trPr>
          <w:trHeight w:val="58"/>
          <w:tblHeader/>
        </w:trPr>
        <w:tc>
          <w:tcPr>
            <w:tcW w:w="1817" w:type="pct"/>
            <w:vMerge/>
          </w:tcPr>
          <w:p w:rsidR="00C764D6" w:rsidRPr="0037484A" w:rsidRDefault="00C764D6" w:rsidP="00054AD9">
            <w:pPr>
              <w:pStyle w:val="Tabletext"/>
              <w:keepNext/>
              <w:keepLines/>
              <w:rPr>
                <w:b/>
              </w:rPr>
            </w:pPr>
          </w:p>
        </w:tc>
        <w:tc>
          <w:tcPr>
            <w:tcW w:w="1061" w:type="pct"/>
            <w:vMerge/>
          </w:tcPr>
          <w:p w:rsidR="00C764D6" w:rsidRPr="0037484A" w:rsidRDefault="00C764D6" w:rsidP="00054AD9">
            <w:pPr>
              <w:pStyle w:val="Tabletext"/>
              <w:keepNext/>
              <w:keepLines/>
              <w:rPr>
                <w:b/>
              </w:rPr>
            </w:pPr>
          </w:p>
        </w:tc>
        <w:tc>
          <w:tcPr>
            <w:tcW w:w="1061" w:type="pct"/>
          </w:tcPr>
          <w:p w:rsidR="00C764D6" w:rsidRDefault="00C764D6" w:rsidP="00054AD9">
            <w:pPr>
              <w:pStyle w:val="Tabletext"/>
              <w:keepNext/>
              <w:keepLines/>
              <w:jc w:val="center"/>
              <w:rPr>
                <w:b/>
              </w:rPr>
            </w:pPr>
            <w:r>
              <w:rPr>
                <w:b/>
              </w:rPr>
              <w:t>Pembrolizumab</w:t>
            </w:r>
          </w:p>
        </w:tc>
        <w:tc>
          <w:tcPr>
            <w:tcW w:w="1061" w:type="pct"/>
          </w:tcPr>
          <w:p w:rsidR="00C764D6" w:rsidRPr="0037484A" w:rsidRDefault="00C764D6" w:rsidP="00054AD9">
            <w:pPr>
              <w:pStyle w:val="Tabletext"/>
              <w:keepNext/>
              <w:keepLines/>
              <w:jc w:val="center"/>
              <w:rPr>
                <w:b/>
              </w:rPr>
            </w:pPr>
            <w:r>
              <w:rPr>
                <w:b/>
              </w:rPr>
              <w:t>SoC</w:t>
            </w:r>
          </w:p>
        </w:tc>
      </w:tr>
      <w:tr w:rsidR="00C764D6" w:rsidTr="00D505E0">
        <w:trPr>
          <w:trHeight w:val="84"/>
        </w:trPr>
        <w:tc>
          <w:tcPr>
            <w:tcW w:w="1817" w:type="pct"/>
          </w:tcPr>
          <w:p w:rsidR="00C764D6" w:rsidRPr="001654E5" w:rsidRDefault="00C764D6" w:rsidP="00054AD9">
            <w:pPr>
              <w:pStyle w:val="Tabletext"/>
              <w:keepNext/>
              <w:keepLines/>
              <w:rPr>
                <w:b/>
              </w:rPr>
            </w:pPr>
            <w:r w:rsidRPr="001654E5">
              <w:t>ITT</w:t>
            </w:r>
            <w:r>
              <w:t xml:space="preserve"> (Unadjusted)</w:t>
            </w:r>
          </w:p>
        </w:tc>
        <w:tc>
          <w:tcPr>
            <w:tcW w:w="1061" w:type="pct"/>
          </w:tcPr>
          <w:p w:rsidR="00C764D6" w:rsidRPr="001654E5" w:rsidRDefault="00C764D6" w:rsidP="00054AD9">
            <w:pPr>
              <w:pStyle w:val="Tabletext"/>
              <w:keepNext/>
              <w:keepLines/>
            </w:pPr>
            <w:r w:rsidRPr="001654E5">
              <w:t>0.77 [0.54, 1.09]</w:t>
            </w:r>
          </w:p>
        </w:tc>
        <w:tc>
          <w:tcPr>
            <w:tcW w:w="1061" w:type="pct"/>
          </w:tcPr>
          <w:p w:rsidR="00C764D6" w:rsidRPr="001654E5" w:rsidRDefault="00C764D6" w:rsidP="00054AD9">
            <w:pPr>
              <w:pStyle w:val="Tabletext"/>
              <w:keepNext/>
              <w:keepLines/>
            </w:pPr>
            <w:r w:rsidRPr="004D793C">
              <w:t>NR (NR, NR)</w:t>
            </w:r>
          </w:p>
        </w:tc>
        <w:tc>
          <w:tcPr>
            <w:tcW w:w="1061" w:type="pct"/>
          </w:tcPr>
          <w:p w:rsidR="00C764D6" w:rsidRPr="001654E5" w:rsidRDefault="00C764D6" w:rsidP="00054AD9">
            <w:pPr>
              <w:pStyle w:val="Tabletext"/>
              <w:keepNext/>
              <w:keepLines/>
            </w:pPr>
            <w:r w:rsidRPr="001654E5">
              <w:t>34.8 (26.3, NR)</w:t>
            </w:r>
          </w:p>
        </w:tc>
      </w:tr>
      <w:tr w:rsidR="00C764D6" w:rsidTr="00D505E0">
        <w:tc>
          <w:tcPr>
            <w:tcW w:w="1817" w:type="pct"/>
          </w:tcPr>
          <w:p w:rsidR="00C764D6" w:rsidRPr="00894B43" w:rsidRDefault="00C764D6" w:rsidP="00054AD9">
            <w:pPr>
              <w:pStyle w:val="Tabletext"/>
              <w:keepNext/>
              <w:keepLines/>
              <w:rPr>
                <w:b/>
                <w:vertAlign w:val="superscript"/>
              </w:rPr>
            </w:pPr>
            <w:r>
              <w:t>RPSFT (</w:t>
            </w:r>
            <w:r w:rsidR="00071A18">
              <w:t>without</w:t>
            </w:r>
            <w:r>
              <w:t xml:space="preserve"> </w:t>
            </w:r>
            <w:r w:rsidR="00E72E84">
              <w:t>recensoring</w:t>
            </w:r>
            <w:r w:rsidRPr="002262BE">
              <w:t>)</w:t>
            </w:r>
            <w:r>
              <w:rPr>
                <w:vertAlign w:val="superscript"/>
              </w:rPr>
              <w:t>b</w:t>
            </w:r>
          </w:p>
        </w:tc>
        <w:tc>
          <w:tcPr>
            <w:tcW w:w="1061" w:type="pct"/>
          </w:tcPr>
          <w:p w:rsidR="00C764D6" w:rsidRDefault="00C764D6" w:rsidP="00054AD9">
            <w:pPr>
              <w:pStyle w:val="Tabletext"/>
              <w:keepNext/>
              <w:keepLines/>
            </w:pPr>
            <w:r>
              <w:t>0.68 [0.40, 1.14]</w:t>
            </w:r>
          </w:p>
        </w:tc>
        <w:tc>
          <w:tcPr>
            <w:tcW w:w="1061" w:type="pct"/>
          </w:tcPr>
          <w:p w:rsidR="00C764D6" w:rsidRDefault="00C764D6" w:rsidP="00054AD9">
            <w:pPr>
              <w:pStyle w:val="Tabletext"/>
              <w:keepNext/>
              <w:keepLines/>
            </w:pPr>
            <w:r w:rsidRPr="004D793C">
              <w:t>NR (NR, NR)</w:t>
            </w:r>
          </w:p>
        </w:tc>
        <w:tc>
          <w:tcPr>
            <w:tcW w:w="1061" w:type="pct"/>
          </w:tcPr>
          <w:p w:rsidR="00C764D6" w:rsidRDefault="00C764D6" w:rsidP="00054AD9">
            <w:pPr>
              <w:pStyle w:val="Tabletext"/>
              <w:keepNext/>
              <w:keepLines/>
            </w:pPr>
            <w:r>
              <w:t>28.0 (23.2, NR)</w:t>
            </w:r>
          </w:p>
        </w:tc>
      </w:tr>
      <w:tr w:rsidR="00C764D6" w:rsidTr="00D505E0">
        <w:tc>
          <w:tcPr>
            <w:tcW w:w="1817" w:type="pct"/>
          </w:tcPr>
          <w:p w:rsidR="00C764D6" w:rsidRDefault="00C764D6" w:rsidP="00054AD9">
            <w:pPr>
              <w:pStyle w:val="Tabletext"/>
              <w:keepNext/>
              <w:keepLines/>
            </w:pPr>
            <w:r>
              <w:t xml:space="preserve">RPSFT (with </w:t>
            </w:r>
            <w:r w:rsidR="00E72E84">
              <w:t>recensoring</w:t>
            </w:r>
            <w:r>
              <w:t>)</w:t>
            </w:r>
          </w:p>
        </w:tc>
        <w:tc>
          <w:tcPr>
            <w:tcW w:w="1061" w:type="pct"/>
          </w:tcPr>
          <w:p w:rsidR="00C764D6" w:rsidRDefault="00C764D6" w:rsidP="00054AD9">
            <w:pPr>
              <w:pStyle w:val="Tabletext"/>
              <w:keepNext/>
              <w:keepLines/>
            </w:pPr>
            <w:r>
              <w:t>0.72 [0.47, 1.11]</w:t>
            </w:r>
          </w:p>
        </w:tc>
        <w:tc>
          <w:tcPr>
            <w:tcW w:w="1061" w:type="pct"/>
          </w:tcPr>
          <w:p w:rsidR="00C764D6" w:rsidRDefault="00C764D6" w:rsidP="00054AD9">
            <w:pPr>
              <w:pStyle w:val="Tabletext"/>
              <w:keepNext/>
              <w:keepLines/>
            </w:pPr>
            <w:r w:rsidRPr="004D793C">
              <w:t>NR (NR, NR)</w:t>
            </w:r>
          </w:p>
        </w:tc>
        <w:tc>
          <w:tcPr>
            <w:tcW w:w="1061" w:type="pct"/>
          </w:tcPr>
          <w:p w:rsidR="00C764D6" w:rsidRDefault="00C764D6" w:rsidP="00054AD9">
            <w:pPr>
              <w:pStyle w:val="Tabletext"/>
              <w:keepNext/>
              <w:keepLines/>
            </w:pPr>
            <w:r>
              <w:t>NR (20.2, NR)</w:t>
            </w:r>
          </w:p>
        </w:tc>
      </w:tr>
      <w:tr w:rsidR="00C764D6" w:rsidTr="00D505E0">
        <w:tc>
          <w:tcPr>
            <w:tcW w:w="1817" w:type="pct"/>
          </w:tcPr>
          <w:p w:rsidR="00C764D6" w:rsidRPr="002262BE" w:rsidRDefault="00C764D6" w:rsidP="00054AD9">
            <w:pPr>
              <w:pStyle w:val="Tabletext"/>
              <w:keepNext/>
              <w:keepLines/>
              <w:rPr>
                <w:b/>
              </w:rPr>
            </w:pPr>
            <w:r>
              <w:t>Simplified two-stage (</w:t>
            </w:r>
            <w:r w:rsidR="00071A18">
              <w:t xml:space="preserve">without </w:t>
            </w:r>
            <w:r>
              <w:t xml:space="preserve"> </w:t>
            </w:r>
            <w:r w:rsidR="00E72E84">
              <w:t>recensoring</w:t>
            </w:r>
            <w:r w:rsidRPr="002262BE">
              <w:t>)</w:t>
            </w:r>
          </w:p>
        </w:tc>
        <w:tc>
          <w:tcPr>
            <w:tcW w:w="1061" w:type="pct"/>
          </w:tcPr>
          <w:p w:rsidR="00C764D6" w:rsidRDefault="00C764D6" w:rsidP="00054AD9">
            <w:pPr>
              <w:pStyle w:val="Tabletext"/>
              <w:keepNext/>
              <w:keepLines/>
            </w:pPr>
            <w:r>
              <w:t>0.59 [0.30, 1.19]</w:t>
            </w:r>
          </w:p>
        </w:tc>
        <w:tc>
          <w:tcPr>
            <w:tcW w:w="1061" w:type="pct"/>
          </w:tcPr>
          <w:p w:rsidR="00C764D6" w:rsidRDefault="00C764D6" w:rsidP="00054AD9">
            <w:pPr>
              <w:pStyle w:val="Tabletext"/>
              <w:keepNext/>
              <w:keepLines/>
            </w:pPr>
            <w:r w:rsidRPr="004D793C">
              <w:t>NR (NR, NR)</w:t>
            </w:r>
          </w:p>
        </w:tc>
        <w:tc>
          <w:tcPr>
            <w:tcW w:w="1061" w:type="pct"/>
          </w:tcPr>
          <w:p w:rsidR="00C764D6" w:rsidRDefault="00C764D6" w:rsidP="00054AD9">
            <w:pPr>
              <w:pStyle w:val="Tabletext"/>
              <w:keepNext/>
              <w:keepLines/>
            </w:pPr>
            <w:r>
              <w:t>23.5 (16.6, NR)</w:t>
            </w:r>
          </w:p>
        </w:tc>
      </w:tr>
      <w:tr w:rsidR="00C764D6" w:rsidTr="00D505E0">
        <w:tc>
          <w:tcPr>
            <w:tcW w:w="1817" w:type="pct"/>
          </w:tcPr>
          <w:p w:rsidR="00C764D6" w:rsidRPr="002262BE" w:rsidRDefault="00C764D6" w:rsidP="00054AD9">
            <w:pPr>
              <w:pStyle w:val="Tabletext"/>
              <w:keepNext/>
              <w:keepLines/>
              <w:rPr>
                <w:b/>
              </w:rPr>
            </w:pPr>
            <w:r>
              <w:t xml:space="preserve">Simplified two-stage (with </w:t>
            </w:r>
            <w:r w:rsidR="00E72E84">
              <w:t>recensoring</w:t>
            </w:r>
            <w:r w:rsidRPr="002262BE">
              <w:t>)</w:t>
            </w:r>
          </w:p>
        </w:tc>
        <w:tc>
          <w:tcPr>
            <w:tcW w:w="1061" w:type="pct"/>
          </w:tcPr>
          <w:p w:rsidR="00C764D6" w:rsidRDefault="00C764D6" w:rsidP="00054AD9">
            <w:pPr>
              <w:pStyle w:val="Tabletext"/>
              <w:keepNext/>
              <w:keepLines/>
            </w:pPr>
            <w:r>
              <w:t>0.89 [0.76, 1.04]</w:t>
            </w:r>
          </w:p>
        </w:tc>
        <w:tc>
          <w:tcPr>
            <w:tcW w:w="1061" w:type="pct"/>
          </w:tcPr>
          <w:p w:rsidR="00C764D6" w:rsidRDefault="00C764D6" w:rsidP="00054AD9">
            <w:pPr>
              <w:pStyle w:val="Tabletext"/>
              <w:keepNext/>
              <w:keepLines/>
            </w:pPr>
            <w:r w:rsidRPr="004D793C">
              <w:t>NR (NR, NR)</w:t>
            </w:r>
          </w:p>
        </w:tc>
        <w:tc>
          <w:tcPr>
            <w:tcW w:w="1061" w:type="pct"/>
          </w:tcPr>
          <w:p w:rsidR="00C764D6" w:rsidRDefault="00C764D6" w:rsidP="00054AD9">
            <w:pPr>
              <w:pStyle w:val="Tabletext"/>
              <w:keepNext/>
              <w:keepLines/>
            </w:pPr>
            <w:r>
              <w:t>NR (NR, NR)</w:t>
            </w:r>
          </w:p>
        </w:tc>
      </w:tr>
      <w:tr w:rsidR="00C764D6" w:rsidTr="00D505E0">
        <w:tc>
          <w:tcPr>
            <w:tcW w:w="1817" w:type="pct"/>
          </w:tcPr>
          <w:p w:rsidR="00C764D6" w:rsidRPr="007657E6" w:rsidRDefault="00C764D6" w:rsidP="00054AD9">
            <w:pPr>
              <w:pStyle w:val="Tabletext"/>
              <w:keepNext/>
              <w:keepLines/>
              <w:rPr>
                <w:vertAlign w:val="superscript"/>
              </w:rPr>
            </w:pPr>
            <w:r w:rsidRPr="002262BE">
              <w:t>IPCW</w:t>
            </w:r>
            <w:r>
              <w:rPr>
                <w:vertAlign w:val="superscript"/>
              </w:rPr>
              <w:t>c</w:t>
            </w:r>
          </w:p>
        </w:tc>
        <w:tc>
          <w:tcPr>
            <w:tcW w:w="1061" w:type="pct"/>
          </w:tcPr>
          <w:p w:rsidR="00C764D6" w:rsidRDefault="00C764D6" w:rsidP="00054AD9">
            <w:pPr>
              <w:pStyle w:val="Tabletext"/>
              <w:keepNext/>
              <w:keepLines/>
            </w:pPr>
            <w:r>
              <w:t>0.59 [0.32, 1.24]</w:t>
            </w:r>
          </w:p>
        </w:tc>
        <w:tc>
          <w:tcPr>
            <w:tcW w:w="1061" w:type="pct"/>
          </w:tcPr>
          <w:p w:rsidR="00C764D6" w:rsidRDefault="00C764D6" w:rsidP="00054AD9">
            <w:pPr>
              <w:pStyle w:val="Tabletext"/>
              <w:keepNext/>
              <w:keepLines/>
            </w:pPr>
            <w:r w:rsidRPr="004D793C">
              <w:t>NR (NR, NR)</w:t>
            </w:r>
          </w:p>
        </w:tc>
        <w:tc>
          <w:tcPr>
            <w:tcW w:w="1061" w:type="pct"/>
          </w:tcPr>
          <w:p w:rsidR="00C764D6" w:rsidRDefault="00C764D6" w:rsidP="00054AD9">
            <w:pPr>
              <w:pStyle w:val="Tabletext"/>
              <w:keepNext/>
              <w:keepLines/>
            </w:pPr>
            <w:r>
              <w:t>15.2 (15.2, 34.2)</w:t>
            </w:r>
          </w:p>
        </w:tc>
      </w:tr>
    </w:tbl>
    <w:p w:rsidR="00C764D6" w:rsidRDefault="00C764D6" w:rsidP="00054AD9">
      <w:pPr>
        <w:pStyle w:val="TableFooter"/>
        <w:keepNext/>
        <w:keepLines/>
      </w:pPr>
      <w:r>
        <w:t xml:space="preserve">Source: </w:t>
      </w:r>
      <w:r w:rsidRPr="001654E5">
        <w:t>Attachments 10, 11, 12 and 13 accompanying the submission.</w:t>
      </w:r>
    </w:p>
    <w:p w:rsidR="00C764D6" w:rsidRDefault="00C764D6" w:rsidP="00054AD9">
      <w:pPr>
        <w:pStyle w:val="TableFooter"/>
        <w:keepNext/>
        <w:keepLines/>
      </w:pPr>
      <w:r>
        <w:t xml:space="preserve">NR = not reached; CI = confidence interval; IPCW = </w:t>
      </w:r>
      <w:r w:rsidRPr="00BF2424">
        <w:t>inverse probabilit</w:t>
      </w:r>
      <w:r>
        <w:t>y of censoring weighting method; ITT = intention-to-treat; OS = overall survival; RPSFT = rank-</w:t>
      </w:r>
      <w:r w:rsidRPr="00BF2424">
        <w:t xml:space="preserve">preserving </w:t>
      </w:r>
      <w:r>
        <w:t>structural failure time method; SoC = standard of care</w:t>
      </w:r>
    </w:p>
    <w:p w:rsidR="00C764D6" w:rsidRDefault="00C764D6" w:rsidP="00054AD9">
      <w:pPr>
        <w:pStyle w:val="TableFooter"/>
        <w:keepNext/>
        <w:keepLines/>
      </w:pPr>
      <w:r>
        <w:rPr>
          <w:vertAlign w:val="superscript"/>
        </w:rPr>
        <w:t>a</w:t>
      </w:r>
      <w:r w:rsidR="00D27561">
        <w:rPr>
          <w:vertAlign w:val="superscript"/>
        </w:rPr>
        <w:t xml:space="preserve"> </w:t>
      </w:r>
      <w:r w:rsidRPr="00217D4B">
        <w:t>From product-limit (Kaplan-Meier) method</w:t>
      </w:r>
    </w:p>
    <w:p w:rsidR="00C764D6" w:rsidRPr="00894B43" w:rsidRDefault="00C764D6" w:rsidP="00054AD9">
      <w:pPr>
        <w:pStyle w:val="TableFooter"/>
        <w:keepNext/>
        <w:keepLines/>
      </w:pPr>
      <w:r>
        <w:rPr>
          <w:vertAlign w:val="superscript"/>
        </w:rPr>
        <w:t>b</w:t>
      </w:r>
      <w:r w:rsidR="00D27561">
        <w:rPr>
          <w:vertAlign w:val="superscript"/>
        </w:rPr>
        <w:t xml:space="preserve"> </w:t>
      </w:r>
      <w:r>
        <w:t>Considered as the primary analysis in the submission.</w:t>
      </w:r>
    </w:p>
    <w:p w:rsidR="00C764D6" w:rsidRPr="00C764D6" w:rsidRDefault="00C764D6" w:rsidP="00054AD9">
      <w:pPr>
        <w:keepNext/>
        <w:keepLines/>
        <w:rPr>
          <w:rStyle w:val="TableFooterChar"/>
        </w:rPr>
      </w:pPr>
      <w:r>
        <w:rPr>
          <w:vertAlign w:val="superscript"/>
        </w:rPr>
        <w:t>c</w:t>
      </w:r>
      <w:r w:rsidR="00D27561">
        <w:rPr>
          <w:vertAlign w:val="superscript"/>
        </w:rPr>
        <w:t xml:space="preserve"> </w:t>
      </w:r>
      <w:r w:rsidRPr="00C764D6">
        <w:rPr>
          <w:rStyle w:val="TableFooterChar"/>
        </w:rPr>
        <w:t>Second phase of the IPCW approach (i.e. logistic model to e</w:t>
      </w:r>
      <w:bookmarkStart w:id="15" w:name="_GoBack"/>
      <w:bookmarkEnd w:id="15"/>
      <w:r w:rsidRPr="00C764D6">
        <w:rPr>
          <w:rStyle w:val="TableFooterChar"/>
        </w:rPr>
        <w:t>stimate the stabilized weights), as pre-specified in the SAP are slightly different from those used in the analyses presented in the CSR. Specifically, the following additional covariates; site of primary tumour (right, left, other), metastases location (hepatic, other) and tumour size (continuous), were, after the CSR was finalised, identified as possible confounders and were added in the second stage of the IPCW approach presented in this report</w:t>
      </w:r>
    </w:p>
    <w:p w:rsidR="00C764D6" w:rsidRPr="000E4ED7" w:rsidRDefault="00C764D6" w:rsidP="000E4ED7"/>
    <w:p w:rsidR="00C764D6" w:rsidRDefault="00C764D6" w:rsidP="00C764D6">
      <w:pPr>
        <w:pStyle w:val="3-BodyText"/>
      </w:pPr>
      <w:r>
        <w:t xml:space="preserve">The submission selected the </w:t>
      </w:r>
      <w:r w:rsidR="004975B0" w:rsidRPr="00C764D6">
        <w:t xml:space="preserve">rank-preserving structural failure time method </w:t>
      </w:r>
      <w:r w:rsidR="004975B0">
        <w:t>(</w:t>
      </w:r>
      <w:r>
        <w:t>RPSFT</w:t>
      </w:r>
      <w:r w:rsidR="004975B0">
        <w:t>M)</w:t>
      </w:r>
      <w:r>
        <w:t xml:space="preserve"> adjusted result, without </w:t>
      </w:r>
      <w:r w:rsidR="00E72E84">
        <w:t>recensoring</w:t>
      </w:r>
      <w:r>
        <w:t xml:space="preserve">, as the base case in the economic evaluation. </w:t>
      </w:r>
    </w:p>
    <w:p w:rsidR="00C764D6" w:rsidRDefault="00C764D6" w:rsidP="00C764D6">
      <w:pPr>
        <w:pStyle w:val="3-BodyText"/>
      </w:pPr>
      <w:r>
        <w:t xml:space="preserve">In the RPSFTM, a key assumption is the common treatment effect. That is, the effect of pembrolizumab or anti PD1/PD-L1 therapy after chemotherapy is equivalent to that of pembrolizumab at randomisation. </w:t>
      </w:r>
      <w:r w:rsidRPr="00F71C5B">
        <w:t>This may not represent a valid assumption when patients who switch only receive the experimental treatment when their disease has progressed. The key issue is if patients who switch on to pembrolizumab part way through the KN177 trial receive a different treatment effect, compared to patients originally randomised to pembrolizumab, the RPSFTM estimate received by patients in the pembrolizumab group will be biased. As the primary reason for treatment switching to pembro</w:t>
      </w:r>
      <w:r w:rsidR="001267F5" w:rsidRPr="00F71C5B">
        <w:t>lizumab was disease progression</w:t>
      </w:r>
      <w:r w:rsidRPr="00F71C5B">
        <w:t xml:space="preserve">, at which time the capacity for a patient to benefit may be substantially reduced compared to preprogression, </w:t>
      </w:r>
      <w:r w:rsidRPr="00F4150F">
        <w:t xml:space="preserve">the </w:t>
      </w:r>
      <w:r w:rsidR="005E56BB" w:rsidRPr="00F4150F">
        <w:t xml:space="preserve">evaluation </w:t>
      </w:r>
      <w:r w:rsidR="005E56BB" w:rsidRPr="00991453">
        <w:t xml:space="preserve">considered the </w:t>
      </w:r>
      <w:r w:rsidRPr="00991453">
        <w:t>clinical</w:t>
      </w:r>
      <w:r w:rsidRPr="00F71C5B">
        <w:t xml:space="preserve"> plausibility of this assumption </w:t>
      </w:r>
      <w:r w:rsidR="00A63FBC">
        <w:t>had not been established</w:t>
      </w:r>
      <w:r w:rsidRPr="00F71C5B">
        <w:t>.</w:t>
      </w:r>
    </w:p>
    <w:p w:rsidR="00C764D6" w:rsidRDefault="00C764D6" w:rsidP="00FF277F">
      <w:pPr>
        <w:pStyle w:val="3-BodyText"/>
      </w:pPr>
      <w:r>
        <w:t>T</w:t>
      </w:r>
      <w:r w:rsidRPr="00C764D6">
        <w:t xml:space="preserve">he HR (95% CI) results </w:t>
      </w:r>
      <w:r w:rsidR="00FF277F">
        <w:t>varied slightly</w:t>
      </w:r>
      <w:r w:rsidRPr="00C764D6">
        <w:t xml:space="preserve"> depending on whether recensoring was</w:t>
      </w:r>
      <w:r>
        <w:t xml:space="preserve"> </w:t>
      </w:r>
      <w:r w:rsidRPr="00C764D6">
        <w:t xml:space="preserve">(0.72 (0.47, 1.11)) or </w:t>
      </w:r>
      <w:r w:rsidR="00FF277F">
        <w:t xml:space="preserve">was </w:t>
      </w:r>
      <w:r w:rsidRPr="00C764D6">
        <w:t>not (0.68 (0.40, 1.14)</w:t>
      </w:r>
      <w:r w:rsidR="00FF277F">
        <w:t>) applied</w:t>
      </w:r>
      <w:r w:rsidRPr="00C764D6">
        <w:t xml:space="preserve">. </w:t>
      </w:r>
      <w:r w:rsidR="00FF277F" w:rsidRPr="00FF277F">
        <w:t>In the economic evaluation, the submission selected the RPSFT approach (without recensoring) for the base case.</w:t>
      </w:r>
      <w:r w:rsidR="00FF277F" w:rsidRPr="00F71C5B">
        <w:t xml:space="preserve"> </w:t>
      </w:r>
      <w:r w:rsidRPr="00C764D6">
        <w:t xml:space="preserve">Recensoring </w:t>
      </w:r>
      <w:r>
        <w:t>mitigates informative censoring</w:t>
      </w:r>
      <w:r w:rsidR="00FF277F">
        <w:t xml:space="preserve"> but</w:t>
      </w:r>
      <w:r>
        <w:t xml:space="preserve"> </w:t>
      </w:r>
      <w:r w:rsidRPr="00C764D6">
        <w:t xml:space="preserve">however may lead to loss of information. </w:t>
      </w:r>
    </w:p>
    <w:p w:rsidR="00C764D6" w:rsidRDefault="00C764D6" w:rsidP="00C764D6">
      <w:pPr>
        <w:pStyle w:val="3-BodyText"/>
      </w:pPr>
      <w:r>
        <w:t xml:space="preserve">For the </w:t>
      </w:r>
      <w:r w:rsidRPr="00C764D6">
        <w:t xml:space="preserve">inverse probability of censoring weighting </w:t>
      </w:r>
      <w:r>
        <w:t>(IPCW)</w:t>
      </w:r>
      <w:r w:rsidRPr="00C764D6">
        <w:t xml:space="preserve"> method</w:t>
      </w:r>
      <w:r>
        <w:t>, a fundamental assumption is that there are no unmeasured confounders that determined switching</w:t>
      </w:r>
      <w:r w:rsidR="00DF330E">
        <w:t xml:space="preserve"> and </w:t>
      </w:r>
      <w:r w:rsidR="00DF330E" w:rsidRPr="00F4150F">
        <w:t xml:space="preserve">the ESC considered </w:t>
      </w:r>
      <w:r w:rsidRPr="00F4150F">
        <w:t>the</w:t>
      </w:r>
      <w:r>
        <w:t xml:space="preserve"> plausibility of this assumption </w:t>
      </w:r>
      <w:r w:rsidR="00DF330E">
        <w:t xml:space="preserve">was </w:t>
      </w:r>
      <w:r>
        <w:t xml:space="preserve">uncertain. </w:t>
      </w:r>
      <w:r w:rsidR="005E56BB">
        <w:t>T</w:t>
      </w:r>
      <w:r>
        <w:t>he IPCW method 1) involves censoring when patients switch to other treatments and may thus be prone to bias if this proportion is very high, and 2) the presence of any time-dependent confounding, could have occurred between the time of treatment discontinuation and the time of treatment switching. Approximately two thirds of the patients switched over within 83 days after disease progression, with a median time from disease progression until switching of 37 days.</w:t>
      </w:r>
    </w:p>
    <w:p w:rsidR="00C764D6" w:rsidRDefault="00C764D6" w:rsidP="00C764D6">
      <w:pPr>
        <w:pStyle w:val="3-BodyText"/>
      </w:pPr>
      <w:r>
        <w:t xml:space="preserve">The two-stage model relies on the assumption of no time-dependent confounding between disease progression and switch-over. The submission argued that although it took a </w:t>
      </w:r>
      <w:r w:rsidR="00757C53">
        <w:t xml:space="preserve">slightly </w:t>
      </w:r>
      <w:r>
        <w:t xml:space="preserve">longer time for some patients to switch-over (refer to </w:t>
      </w:r>
      <w:r w:rsidR="005E56BB" w:rsidRPr="009A4847">
        <w:t>paragraph 6.21</w:t>
      </w:r>
      <w:r w:rsidRPr="009A4847">
        <w:t>),</w:t>
      </w:r>
      <w:r>
        <w:t xml:space="preserve"> the bias was likely to be small. </w:t>
      </w:r>
      <w:r w:rsidRPr="00F71C5B">
        <w:t>This is highly uncertain as the time between progression and switching is a crucial factor that may affect the validity of the results.</w:t>
      </w:r>
      <w:r>
        <w:t xml:space="preserve"> An acceleration factor was used to adjust the survival time of the 91 patients who switched from the SoC arm to pembrolizumab monotherapy or other anti-PD1/PD-L1 therapies. </w:t>
      </w:r>
      <w:r w:rsidRPr="00F71C5B">
        <w:t xml:space="preserve">The </w:t>
      </w:r>
      <w:r w:rsidR="00DF330E" w:rsidRPr="00F4150F">
        <w:t>ESC considered the</w:t>
      </w:r>
      <w:r w:rsidR="00DF330E">
        <w:t xml:space="preserve"> </w:t>
      </w:r>
      <w:r w:rsidRPr="00F71C5B">
        <w:t>point estimate of the resulting estimated acceleration factor 4.047 (1.967, 8.327) appears very high and imprecise with a wide confidence interval. The survival period after treatment switch was reduced by approximately 75.3% as compared to the unadjusted observed data.</w:t>
      </w:r>
      <w:r>
        <w:t xml:space="preserve"> </w:t>
      </w:r>
    </w:p>
    <w:p w:rsidR="00C764D6" w:rsidRDefault="00C764D6" w:rsidP="00C764D6">
      <w:pPr>
        <w:pStyle w:val="3-BodyText"/>
      </w:pPr>
      <w:r w:rsidRPr="00F71C5B">
        <w:t xml:space="preserve">The </w:t>
      </w:r>
      <w:r w:rsidR="00DF330E" w:rsidRPr="00F4150F">
        <w:t>ESC considered the</w:t>
      </w:r>
      <w:r w:rsidR="00DF330E">
        <w:t xml:space="preserve"> </w:t>
      </w:r>
      <w:r w:rsidRPr="00F71C5B">
        <w:t>point estimate of the HR from the 2 stage model with recensoring (0.89 (0.76, 1.04)) also does not appear plausible given that the reduction in hazard of death (11%) is much less than that estimated from the unadjusted ITT analysis (23%).</w:t>
      </w:r>
    </w:p>
    <w:p w:rsidR="000E4ED7" w:rsidRPr="000E4ED7" w:rsidRDefault="000E4ED7" w:rsidP="00EC5836">
      <w:pPr>
        <w:pStyle w:val="3-BodyText"/>
      </w:pPr>
      <w:r w:rsidRPr="00F71C5B">
        <w:t>Overall response rate (ORR) at IA2 was not formally tested for significance, per the pre-specified testing strategy</w:t>
      </w:r>
      <w:r w:rsidRPr="00F71C5B">
        <w:rPr>
          <w:rStyle w:val="FootnoteReference"/>
        </w:rPr>
        <w:footnoteReference w:id="6"/>
      </w:r>
      <w:r w:rsidRPr="00F71C5B">
        <w:t>.</w:t>
      </w:r>
      <w:r w:rsidR="00826462" w:rsidRPr="000E4ED7">
        <w:rPr>
          <w:snapToGrid/>
          <w:lang w:val="en-US"/>
        </w:rPr>
        <w:t xml:space="preserve"> </w:t>
      </w:r>
      <w:r w:rsidRPr="000E4ED7">
        <w:t xml:space="preserve">The ORR per RECIST 1.1 was higher 43.8% (95% CI: 35.8, 52.0) versus 33.1% (95% CI: 25.8, 41.1); </w:t>
      </w:r>
      <w:r w:rsidR="00E41503">
        <w:t>m</w:t>
      </w:r>
      <w:r w:rsidRPr="000E4ED7">
        <w:t>ore participants achieved a complete response (CR) in the pembrolizumab group than in the S</w:t>
      </w:r>
      <w:r w:rsidR="00BA3B6B">
        <w:t>o</w:t>
      </w:r>
      <w:r w:rsidRPr="000E4ED7">
        <w:t>C group (11.0% vs 4.0%).</w:t>
      </w:r>
    </w:p>
    <w:p w:rsidR="000E4ED7" w:rsidRPr="000E4ED7" w:rsidRDefault="00757C53" w:rsidP="00D505E0">
      <w:pPr>
        <w:pStyle w:val="3-BodyText"/>
      </w:pPr>
      <w:r>
        <w:rPr>
          <w:snapToGrid/>
          <w:lang w:val="en-US"/>
        </w:rPr>
        <w:t>For those who responded, m</w:t>
      </w:r>
      <w:r w:rsidR="000E4ED7" w:rsidRPr="000E4ED7">
        <w:rPr>
          <w:snapToGrid/>
          <w:lang w:val="en-US"/>
        </w:rPr>
        <w:t xml:space="preserve">edian time to response was similar (2.2 months vs 2.1 months); </w:t>
      </w:r>
      <w:r w:rsidR="00E41503">
        <w:rPr>
          <w:snapToGrid/>
          <w:lang w:val="en-US"/>
        </w:rPr>
        <w:t>m</w:t>
      </w:r>
      <w:r w:rsidR="000E4ED7" w:rsidRPr="000E4ED7">
        <w:rPr>
          <w:snapToGrid/>
          <w:lang w:val="en-US"/>
        </w:rPr>
        <w:t>edian response duration was not reached in the pembrolizumab group (range: 2.3+ to 41.4+ months) and was 10.6 months in the SOC group (range: 2.8 to 37.5+ months)</w:t>
      </w:r>
      <w:r w:rsidR="000E4ED7">
        <w:rPr>
          <w:snapToGrid/>
          <w:lang w:val="en-US"/>
        </w:rPr>
        <w:t>.</w:t>
      </w:r>
    </w:p>
    <w:p w:rsidR="000E4ED7" w:rsidRPr="00777278" w:rsidRDefault="000E4ED7" w:rsidP="00777278">
      <w:pPr>
        <w:pStyle w:val="3-BodyText"/>
      </w:pPr>
      <w:r>
        <w:rPr>
          <w:snapToGrid/>
          <w:lang w:val="en-US"/>
        </w:rPr>
        <w:t>For patient reported outcomes (PRO)</w:t>
      </w:r>
      <w:r w:rsidR="004A41EE">
        <w:rPr>
          <w:snapToGrid/>
          <w:lang w:val="en-US"/>
        </w:rPr>
        <w:t xml:space="preserve"> (exploratory endpoints)</w:t>
      </w:r>
      <w:r>
        <w:rPr>
          <w:snapToGrid/>
          <w:lang w:val="en-US"/>
        </w:rPr>
        <w:t xml:space="preserve">, </w:t>
      </w:r>
      <w:r w:rsidRPr="000E4ED7">
        <w:rPr>
          <w:snapToGrid/>
          <w:lang w:val="en-US"/>
        </w:rPr>
        <w:t>patients in the pembrolizumab treatment arm showed a least</w:t>
      </w:r>
      <w:r w:rsidR="00D80938">
        <w:rPr>
          <w:snapToGrid/>
          <w:lang w:val="en-US"/>
        </w:rPr>
        <w:t>-</w:t>
      </w:r>
      <w:r w:rsidRPr="000E4ED7">
        <w:rPr>
          <w:snapToGrid/>
          <w:lang w:val="en-US"/>
        </w:rPr>
        <w:t xml:space="preserve">squares (LS) mean improvement in the </w:t>
      </w:r>
      <w:r w:rsidR="00EB00BE">
        <w:rPr>
          <w:snapToGrid/>
          <w:lang w:val="en-US"/>
        </w:rPr>
        <w:t>EQ-5D</w:t>
      </w:r>
      <w:r w:rsidR="00777278">
        <w:rPr>
          <w:snapToGrid/>
          <w:lang w:val="en-US"/>
        </w:rPr>
        <w:t xml:space="preserve"> </w:t>
      </w:r>
      <w:r>
        <w:rPr>
          <w:snapToGrid/>
          <w:lang w:val="en-US"/>
        </w:rPr>
        <w:t>visual analogue scale (</w:t>
      </w:r>
      <w:r w:rsidRPr="000E4ED7">
        <w:rPr>
          <w:snapToGrid/>
          <w:lang w:val="en-US"/>
        </w:rPr>
        <w:t>VAS</w:t>
      </w:r>
      <w:r>
        <w:rPr>
          <w:snapToGrid/>
          <w:lang w:val="en-US"/>
        </w:rPr>
        <w:t>)</w:t>
      </w:r>
      <w:r w:rsidRPr="000E4ED7">
        <w:rPr>
          <w:snapToGrid/>
          <w:lang w:val="en-US"/>
        </w:rPr>
        <w:t xml:space="preserve"> score by 4.5 points (95% CI 1.16, 7.83), while those in the SoC arm showed a decline </w:t>
      </w:r>
      <w:r w:rsidRPr="00777278">
        <w:rPr>
          <w:snapToGrid/>
          <w:lang w:val="en-US"/>
        </w:rPr>
        <w:t>from baseline in their VAS score of -2.88 (95% CI -6.46, 0.69). The difference in LS means between the two treatment arms was 7.38 points (95% CI 2.82, 11. 93), which the submission noted was statistically significant (p=0.0016) and clinically meaningful.</w:t>
      </w:r>
    </w:p>
    <w:p w:rsidR="00B60939" w:rsidRPr="00200904" w:rsidRDefault="00B60939" w:rsidP="00D86231">
      <w:pPr>
        <w:pStyle w:val="4-SubsectionHeading"/>
      </w:pPr>
      <w:bookmarkStart w:id="16" w:name="_Toc22897642"/>
      <w:bookmarkStart w:id="17" w:name="_Toc62027405"/>
      <w:r w:rsidRPr="00200904">
        <w:t>Comparative harms</w:t>
      </w:r>
      <w:bookmarkEnd w:id="16"/>
      <w:bookmarkEnd w:id="17"/>
    </w:p>
    <w:p w:rsidR="00200904" w:rsidRPr="00200904" w:rsidRDefault="00200904" w:rsidP="00D86231">
      <w:pPr>
        <w:pStyle w:val="3-BodyText"/>
      </w:pPr>
      <w:r w:rsidRPr="00200904">
        <w:t>The safety results are summarised below.</w:t>
      </w:r>
    </w:p>
    <w:p w:rsidR="00200904" w:rsidRPr="009E444C" w:rsidRDefault="00200904" w:rsidP="005900AD">
      <w:pPr>
        <w:pStyle w:val="TableFigureHeading"/>
        <w:keepLines/>
      </w:pPr>
      <w:r>
        <w:t xml:space="preserve">Table </w:t>
      </w:r>
      <w:r w:rsidR="009A4847">
        <w:rPr>
          <w:noProof/>
        </w:rPr>
        <w:t>7</w:t>
      </w:r>
      <w:r>
        <w:t>: Overall adverse events in KN177 (safety population)</w:t>
      </w:r>
    </w:p>
    <w:tbl>
      <w:tblPr>
        <w:tblStyle w:val="TableGrid"/>
        <w:tblW w:w="5000" w:type="pct"/>
        <w:tblLayout w:type="fixed"/>
        <w:tblLook w:val="04A0" w:firstRow="1" w:lastRow="0" w:firstColumn="1" w:lastColumn="0" w:noHBand="0" w:noVBand="1"/>
        <w:tblCaption w:val="Table 7: Overall adverse events in KN177 (safety population)"/>
      </w:tblPr>
      <w:tblGrid>
        <w:gridCol w:w="4250"/>
        <w:gridCol w:w="1134"/>
        <w:gridCol w:w="1134"/>
        <w:gridCol w:w="1188"/>
        <w:gridCol w:w="1311"/>
      </w:tblGrid>
      <w:tr w:rsidR="00200904" w:rsidTr="00BF2FBB">
        <w:trPr>
          <w:tblHeader/>
        </w:trPr>
        <w:tc>
          <w:tcPr>
            <w:tcW w:w="2356" w:type="pct"/>
            <w:vMerge w:val="restart"/>
          </w:tcPr>
          <w:p w:rsidR="00200904" w:rsidRPr="002437A1" w:rsidRDefault="00200904" w:rsidP="005900AD">
            <w:pPr>
              <w:pStyle w:val="Tabletext"/>
              <w:keepNext/>
              <w:keepLines/>
              <w:rPr>
                <w:b/>
              </w:rPr>
            </w:pPr>
            <w:r w:rsidRPr="002437A1">
              <w:rPr>
                <w:b/>
              </w:rPr>
              <w:t>Subjects in population</w:t>
            </w:r>
          </w:p>
        </w:tc>
        <w:tc>
          <w:tcPr>
            <w:tcW w:w="1258" w:type="pct"/>
            <w:gridSpan w:val="2"/>
          </w:tcPr>
          <w:p w:rsidR="00200904" w:rsidRPr="002437A1" w:rsidRDefault="00200904" w:rsidP="005900AD">
            <w:pPr>
              <w:pStyle w:val="Tabletext"/>
              <w:keepNext/>
              <w:keepLines/>
              <w:jc w:val="center"/>
              <w:rPr>
                <w:b/>
              </w:rPr>
            </w:pPr>
            <w:r w:rsidRPr="002437A1">
              <w:rPr>
                <w:b/>
              </w:rPr>
              <w:t>Pembrolizumab</w:t>
            </w:r>
            <w:r>
              <w:rPr>
                <w:b/>
              </w:rPr>
              <w:t xml:space="preserve"> (n=153)</w:t>
            </w:r>
          </w:p>
        </w:tc>
        <w:tc>
          <w:tcPr>
            <w:tcW w:w="1386" w:type="pct"/>
            <w:gridSpan w:val="2"/>
          </w:tcPr>
          <w:p w:rsidR="00200904" w:rsidRPr="002437A1" w:rsidRDefault="00200904" w:rsidP="005900AD">
            <w:pPr>
              <w:pStyle w:val="Tabletext"/>
              <w:keepNext/>
              <w:keepLines/>
              <w:jc w:val="center"/>
              <w:rPr>
                <w:b/>
              </w:rPr>
            </w:pPr>
            <w:r w:rsidRPr="002437A1">
              <w:rPr>
                <w:b/>
              </w:rPr>
              <w:t>Standard of care</w:t>
            </w:r>
            <w:r>
              <w:rPr>
                <w:b/>
              </w:rPr>
              <w:t xml:space="preserve"> (n=143)</w:t>
            </w:r>
          </w:p>
        </w:tc>
      </w:tr>
      <w:tr w:rsidR="00200904" w:rsidTr="00BF2FBB">
        <w:trPr>
          <w:tblHeader/>
        </w:trPr>
        <w:tc>
          <w:tcPr>
            <w:tcW w:w="2356" w:type="pct"/>
            <w:vMerge/>
          </w:tcPr>
          <w:p w:rsidR="00200904" w:rsidRDefault="00200904" w:rsidP="005900AD">
            <w:pPr>
              <w:pStyle w:val="Tabletext"/>
              <w:keepNext/>
              <w:keepLines/>
            </w:pPr>
          </w:p>
        </w:tc>
        <w:tc>
          <w:tcPr>
            <w:tcW w:w="629" w:type="pct"/>
          </w:tcPr>
          <w:p w:rsidR="00200904" w:rsidRDefault="00200904" w:rsidP="005900AD">
            <w:pPr>
              <w:pStyle w:val="Tabletext"/>
              <w:keepNext/>
              <w:keepLines/>
              <w:jc w:val="center"/>
            </w:pPr>
            <w:r>
              <w:t>n</w:t>
            </w:r>
          </w:p>
        </w:tc>
        <w:tc>
          <w:tcPr>
            <w:tcW w:w="629" w:type="pct"/>
          </w:tcPr>
          <w:p w:rsidR="00200904" w:rsidRDefault="00200904" w:rsidP="005900AD">
            <w:pPr>
              <w:pStyle w:val="Tabletext"/>
              <w:keepNext/>
              <w:keepLines/>
              <w:jc w:val="center"/>
            </w:pPr>
            <w:r>
              <w:t>(%)</w:t>
            </w:r>
          </w:p>
        </w:tc>
        <w:tc>
          <w:tcPr>
            <w:tcW w:w="659" w:type="pct"/>
          </w:tcPr>
          <w:p w:rsidR="00200904" w:rsidRDefault="00200904" w:rsidP="005900AD">
            <w:pPr>
              <w:pStyle w:val="Tabletext"/>
              <w:keepNext/>
              <w:keepLines/>
              <w:jc w:val="center"/>
            </w:pPr>
            <w:r>
              <w:t>n</w:t>
            </w:r>
          </w:p>
        </w:tc>
        <w:tc>
          <w:tcPr>
            <w:tcW w:w="727" w:type="pct"/>
          </w:tcPr>
          <w:p w:rsidR="00200904" w:rsidRDefault="00200904" w:rsidP="005900AD">
            <w:pPr>
              <w:pStyle w:val="Tabletext"/>
              <w:keepNext/>
              <w:keepLines/>
              <w:jc w:val="center"/>
            </w:pPr>
            <w:r>
              <w:t>(%)</w:t>
            </w:r>
          </w:p>
        </w:tc>
      </w:tr>
      <w:tr w:rsidR="00200904" w:rsidTr="00D505E0">
        <w:tc>
          <w:tcPr>
            <w:tcW w:w="2356" w:type="pct"/>
          </w:tcPr>
          <w:p w:rsidR="00200904" w:rsidRDefault="00200904" w:rsidP="005900AD">
            <w:pPr>
              <w:pStyle w:val="Tabletext"/>
              <w:keepNext/>
              <w:keepLines/>
            </w:pPr>
            <w:r>
              <w:t>W</w:t>
            </w:r>
            <w:r w:rsidRPr="00E717B1">
              <w:t>ith one or more adverse events</w:t>
            </w:r>
          </w:p>
        </w:tc>
        <w:tc>
          <w:tcPr>
            <w:tcW w:w="629" w:type="pct"/>
          </w:tcPr>
          <w:p w:rsidR="00200904" w:rsidRDefault="00200904" w:rsidP="005900AD">
            <w:pPr>
              <w:pStyle w:val="Tabletext"/>
              <w:keepNext/>
              <w:keepLines/>
              <w:jc w:val="center"/>
            </w:pPr>
            <w:r>
              <w:t>149</w:t>
            </w:r>
          </w:p>
        </w:tc>
        <w:tc>
          <w:tcPr>
            <w:tcW w:w="629" w:type="pct"/>
          </w:tcPr>
          <w:p w:rsidR="00200904" w:rsidRDefault="00200904" w:rsidP="005900AD">
            <w:pPr>
              <w:pStyle w:val="Tabletext"/>
              <w:keepNext/>
              <w:keepLines/>
              <w:jc w:val="center"/>
            </w:pPr>
            <w:r>
              <w:t>(97.4)</w:t>
            </w:r>
          </w:p>
        </w:tc>
        <w:tc>
          <w:tcPr>
            <w:tcW w:w="659" w:type="pct"/>
          </w:tcPr>
          <w:p w:rsidR="00200904" w:rsidRDefault="00200904" w:rsidP="005900AD">
            <w:pPr>
              <w:pStyle w:val="Tabletext"/>
              <w:keepNext/>
              <w:keepLines/>
              <w:jc w:val="center"/>
            </w:pPr>
            <w:r>
              <w:t>142</w:t>
            </w:r>
          </w:p>
        </w:tc>
        <w:tc>
          <w:tcPr>
            <w:tcW w:w="727" w:type="pct"/>
          </w:tcPr>
          <w:p w:rsidR="00200904" w:rsidRDefault="00200904" w:rsidP="005900AD">
            <w:pPr>
              <w:pStyle w:val="Tabletext"/>
              <w:keepNext/>
              <w:keepLines/>
              <w:jc w:val="center"/>
            </w:pPr>
            <w:r>
              <w:t>(99.3)</w:t>
            </w:r>
          </w:p>
        </w:tc>
      </w:tr>
      <w:tr w:rsidR="00200904" w:rsidTr="00D505E0">
        <w:tc>
          <w:tcPr>
            <w:tcW w:w="2356" w:type="pct"/>
          </w:tcPr>
          <w:p w:rsidR="00200904" w:rsidRDefault="00200904" w:rsidP="005900AD">
            <w:pPr>
              <w:pStyle w:val="Tabletext"/>
              <w:keepNext/>
              <w:keepLines/>
            </w:pPr>
            <w:r>
              <w:t>W</w:t>
            </w:r>
            <w:r w:rsidRPr="00E717B1">
              <w:t>ith drug-related</w:t>
            </w:r>
            <w:r w:rsidRPr="00364098">
              <w:rPr>
                <w:vertAlign w:val="superscript"/>
              </w:rPr>
              <w:t>a</w:t>
            </w:r>
            <w:r>
              <w:t xml:space="preserve"> </w:t>
            </w:r>
            <w:r w:rsidRPr="00E717B1">
              <w:t>adverse events</w:t>
            </w:r>
          </w:p>
        </w:tc>
        <w:tc>
          <w:tcPr>
            <w:tcW w:w="629" w:type="pct"/>
          </w:tcPr>
          <w:p w:rsidR="00200904" w:rsidRDefault="00200904" w:rsidP="005900AD">
            <w:pPr>
              <w:pStyle w:val="Tabletext"/>
              <w:keepNext/>
              <w:keepLines/>
              <w:jc w:val="center"/>
            </w:pPr>
            <w:r>
              <w:t>122</w:t>
            </w:r>
          </w:p>
        </w:tc>
        <w:tc>
          <w:tcPr>
            <w:tcW w:w="629" w:type="pct"/>
          </w:tcPr>
          <w:p w:rsidR="00200904" w:rsidRDefault="00200904" w:rsidP="005900AD">
            <w:pPr>
              <w:pStyle w:val="Tabletext"/>
              <w:keepNext/>
              <w:keepLines/>
              <w:jc w:val="center"/>
            </w:pPr>
            <w:r>
              <w:t>(79.7)</w:t>
            </w:r>
          </w:p>
        </w:tc>
        <w:tc>
          <w:tcPr>
            <w:tcW w:w="659" w:type="pct"/>
          </w:tcPr>
          <w:p w:rsidR="00200904" w:rsidRDefault="00200904" w:rsidP="005900AD">
            <w:pPr>
              <w:pStyle w:val="Tabletext"/>
              <w:keepNext/>
              <w:keepLines/>
              <w:jc w:val="center"/>
            </w:pPr>
            <w:r>
              <w:t>141</w:t>
            </w:r>
          </w:p>
        </w:tc>
        <w:tc>
          <w:tcPr>
            <w:tcW w:w="727" w:type="pct"/>
          </w:tcPr>
          <w:p w:rsidR="00200904" w:rsidRDefault="00200904" w:rsidP="005900AD">
            <w:pPr>
              <w:pStyle w:val="Tabletext"/>
              <w:keepNext/>
              <w:keepLines/>
              <w:jc w:val="center"/>
            </w:pPr>
            <w:r>
              <w:t>(98.6)</w:t>
            </w:r>
          </w:p>
        </w:tc>
      </w:tr>
      <w:tr w:rsidR="00200904" w:rsidTr="00D505E0">
        <w:tc>
          <w:tcPr>
            <w:tcW w:w="2356" w:type="pct"/>
          </w:tcPr>
          <w:p w:rsidR="00200904" w:rsidRDefault="00200904" w:rsidP="005900AD">
            <w:pPr>
              <w:pStyle w:val="Tabletext"/>
              <w:keepNext/>
              <w:keepLines/>
            </w:pPr>
            <w:r>
              <w:t>W</w:t>
            </w:r>
            <w:r w:rsidRPr="00E717B1">
              <w:t>ith toxicity grade 3-5 adverse events</w:t>
            </w:r>
          </w:p>
        </w:tc>
        <w:tc>
          <w:tcPr>
            <w:tcW w:w="629" w:type="pct"/>
          </w:tcPr>
          <w:p w:rsidR="00200904" w:rsidRDefault="00200904" w:rsidP="005900AD">
            <w:pPr>
              <w:pStyle w:val="Tabletext"/>
              <w:keepNext/>
              <w:keepLines/>
              <w:jc w:val="center"/>
            </w:pPr>
            <w:r>
              <w:t>86</w:t>
            </w:r>
          </w:p>
        </w:tc>
        <w:tc>
          <w:tcPr>
            <w:tcW w:w="629" w:type="pct"/>
          </w:tcPr>
          <w:p w:rsidR="00200904" w:rsidRDefault="00200904" w:rsidP="005900AD">
            <w:pPr>
              <w:pStyle w:val="Tabletext"/>
              <w:keepNext/>
              <w:keepLines/>
              <w:jc w:val="center"/>
            </w:pPr>
            <w:r>
              <w:t>(56.2)</w:t>
            </w:r>
          </w:p>
        </w:tc>
        <w:tc>
          <w:tcPr>
            <w:tcW w:w="659" w:type="pct"/>
          </w:tcPr>
          <w:p w:rsidR="00200904" w:rsidRDefault="00200904" w:rsidP="005900AD">
            <w:pPr>
              <w:pStyle w:val="Tabletext"/>
              <w:keepNext/>
              <w:keepLines/>
              <w:jc w:val="center"/>
            </w:pPr>
            <w:r>
              <w:t>111</w:t>
            </w:r>
          </w:p>
        </w:tc>
        <w:tc>
          <w:tcPr>
            <w:tcW w:w="727" w:type="pct"/>
          </w:tcPr>
          <w:p w:rsidR="00200904" w:rsidRDefault="00200904" w:rsidP="005900AD">
            <w:pPr>
              <w:pStyle w:val="Tabletext"/>
              <w:keepNext/>
              <w:keepLines/>
              <w:jc w:val="center"/>
            </w:pPr>
            <w:r>
              <w:t>(77.6)</w:t>
            </w:r>
          </w:p>
        </w:tc>
      </w:tr>
      <w:tr w:rsidR="00200904" w:rsidTr="00D505E0">
        <w:tc>
          <w:tcPr>
            <w:tcW w:w="2356" w:type="pct"/>
          </w:tcPr>
          <w:p w:rsidR="00200904" w:rsidRDefault="00200904" w:rsidP="005900AD">
            <w:pPr>
              <w:pStyle w:val="Tabletext"/>
              <w:keepNext/>
              <w:keepLines/>
            </w:pPr>
            <w:r>
              <w:t>With toxicity grade 3-5 drug-related adverse events</w:t>
            </w:r>
          </w:p>
        </w:tc>
        <w:tc>
          <w:tcPr>
            <w:tcW w:w="629" w:type="pct"/>
          </w:tcPr>
          <w:p w:rsidR="00200904" w:rsidRDefault="00200904" w:rsidP="005900AD">
            <w:pPr>
              <w:pStyle w:val="Tabletext"/>
              <w:keepNext/>
              <w:keepLines/>
              <w:jc w:val="center"/>
            </w:pPr>
            <w:r>
              <w:t>33</w:t>
            </w:r>
          </w:p>
        </w:tc>
        <w:tc>
          <w:tcPr>
            <w:tcW w:w="629" w:type="pct"/>
          </w:tcPr>
          <w:p w:rsidR="00200904" w:rsidRDefault="00200904" w:rsidP="005900AD">
            <w:pPr>
              <w:pStyle w:val="Tabletext"/>
              <w:keepNext/>
              <w:keepLines/>
              <w:jc w:val="center"/>
            </w:pPr>
            <w:r>
              <w:t>(21.6)</w:t>
            </w:r>
          </w:p>
        </w:tc>
        <w:tc>
          <w:tcPr>
            <w:tcW w:w="659" w:type="pct"/>
          </w:tcPr>
          <w:p w:rsidR="00200904" w:rsidRDefault="00200904" w:rsidP="005900AD">
            <w:pPr>
              <w:pStyle w:val="Tabletext"/>
              <w:keepNext/>
              <w:keepLines/>
              <w:jc w:val="center"/>
            </w:pPr>
            <w:r>
              <w:t>94</w:t>
            </w:r>
          </w:p>
        </w:tc>
        <w:tc>
          <w:tcPr>
            <w:tcW w:w="727" w:type="pct"/>
          </w:tcPr>
          <w:p w:rsidR="00200904" w:rsidRDefault="00200904" w:rsidP="005900AD">
            <w:pPr>
              <w:pStyle w:val="Tabletext"/>
              <w:keepNext/>
              <w:keepLines/>
              <w:jc w:val="center"/>
            </w:pPr>
            <w:r>
              <w:t>(65.7)</w:t>
            </w:r>
          </w:p>
        </w:tc>
      </w:tr>
      <w:tr w:rsidR="00200904" w:rsidTr="00D505E0">
        <w:tc>
          <w:tcPr>
            <w:tcW w:w="2356" w:type="pct"/>
          </w:tcPr>
          <w:p w:rsidR="00200904" w:rsidRDefault="00200904" w:rsidP="005900AD">
            <w:pPr>
              <w:pStyle w:val="Tabletext"/>
              <w:keepNext/>
              <w:keepLines/>
            </w:pPr>
            <w:r>
              <w:t>W</w:t>
            </w:r>
            <w:r w:rsidRPr="00E717B1">
              <w:t>ith serious adverse events</w:t>
            </w:r>
          </w:p>
        </w:tc>
        <w:tc>
          <w:tcPr>
            <w:tcW w:w="629" w:type="pct"/>
          </w:tcPr>
          <w:p w:rsidR="00200904" w:rsidRDefault="00200904" w:rsidP="005900AD">
            <w:pPr>
              <w:pStyle w:val="Tabletext"/>
              <w:keepNext/>
              <w:keepLines/>
              <w:jc w:val="center"/>
            </w:pPr>
            <w:r>
              <w:t>62</w:t>
            </w:r>
          </w:p>
        </w:tc>
        <w:tc>
          <w:tcPr>
            <w:tcW w:w="629" w:type="pct"/>
          </w:tcPr>
          <w:p w:rsidR="00200904" w:rsidRDefault="00200904" w:rsidP="005900AD">
            <w:pPr>
              <w:pStyle w:val="Tabletext"/>
              <w:keepNext/>
              <w:keepLines/>
              <w:jc w:val="center"/>
            </w:pPr>
            <w:r>
              <w:t>(40.5)</w:t>
            </w:r>
          </w:p>
        </w:tc>
        <w:tc>
          <w:tcPr>
            <w:tcW w:w="659" w:type="pct"/>
          </w:tcPr>
          <w:p w:rsidR="00200904" w:rsidRDefault="00200904" w:rsidP="005900AD">
            <w:pPr>
              <w:pStyle w:val="Tabletext"/>
              <w:keepNext/>
              <w:keepLines/>
              <w:jc w:val="center"/>
            </w:pPr>
            <w:r>
              <w:t>75</w:t>
            </w:r>
          </w:p>
        </w:tc>
        <w:tc>
          <w:tcPr>
            <w:tcW w:w="727" w:type="pct"/>
          </w:tcPr>
          <w:p w:rsidR="00200904" w:rsidRDefault="00200904" w:rsidP="005900AD">
            <w:pPr>
              <w:pStyle w:val="Tabletext"/>
              <w:keepNext/>
              <w:keepLines/>
              <w:jc w:val="center"/>
            </w:pPr>
            <w:r>
              <w:t>(52.4)</w:t>
            </w:r>
          </w:p>
        </w:tc>
      </w:tr>
      <w:tr w:rsidR="00200904" w:rsidTr="00D505E0">
        <w:tc>
          <w:tcPr>
            <w:tcW w:w="2356" w:type="pct"/>
          </w:tcPr>
          <w:p w:rsidR="00200904" w:rsidRDefault="00200904" w:rsidP="005900AD">
            <w:pPr>
              <w:pStyle w:val="Tabletext"/>
              <w:keepNext/>
              <w:keepLines/>
            </w:pPr>
            <w:r>
              <w:t>W</w:t>
            </w:r>
            <w:r w:rsidRPr="00E717B1">
              <w:t>ith serious drug-related adverse events</w:t>
            </w:r>
          </w:p>
        </w:tc>
        <w:tc>
          <w:tcPr>
            <w:tcW w:w="629" w:type="pct"/>
          </w:tcPr>
          <w:p w:rsidR="00200904" w:rsidRDefault="00200904" w:rsidP="005900AD">
            <w:pPr>
              <w:pStyle w:val="Tabletext"/>
              <w:keepNext/>
              <w:keepLines/>
              <w:jc w:val="center"/>
            </w:pPr>
            <w:r>
              <w:t>25</w:t>
            </w:r>
          </w:p>
        </w:tc>
        <w:tc>
          <w:tcPr>
            <w:tcW w:w="629" w:type="pct"/>
          </w:tcPr>
          <w:p w:rsidR="00200904" w:rsidRDefault="00200904" w:rsidP="005900AD">
            <w:pPr>
              <w:pStyle w:val="Tabletext"/>
              <w:keepNext/>
              <w:keepLines/>
              <w:jc w:val="center"/>
            </w:pPr>
            <w:r>
              <w:t>(16.3)</w:t>
            </w:r>
          </w:p>
        </w:tc>
        <w:tc>
          <w:tcPr>
            <w:tcW w:w="659" w:type="pct"/>
          </w:tcPr>
          <w:p w:rsidR="00200904" w:rsidRDefault="00200904" w:rsidP="005900AD">
            <w:pPr>
              <w:pStyle w:val="Tabletext"/>
              <w:keepNext/>
              <w:keepLines/>
              <w:jc w:val="center"/>
            </w:pPr>
            <w:r>
              <w:t>41</w:t>
            </w:r>
          </w:p>
        </w:tc>
        <w:tc>
          <w:tcPr>
            <w:tcW w:w="727" w:type="pct"/>
          </w:tcPr>
          <w:p w:rsidR="00200904" w:rsidRDefault="00200904" w:rsidP="005900AD">
            <w:pPr>
              <w:pStyle w:val="Tabletext"/>
              <w:keepNext/>
              <w:keepLines/>
              <w:jc w:val="center"/>
            </w:pPr>
            <w:r>
              <w:t>(28.7)</w:t>
            </w:r>
          </w:p>
        </w:tc>
      </w:tr>
      <w:tr w:rsidR="00200904" w:rsidTr="00D505E0">
        <w:tc>
          <w:tcPr>
            <w:tcW w:w="2356" w:type="pct"/>
          </w:tcPr>
          <w:p w:rsidR="00200904" w:rsidRDefault="00200904" w:rsidP="005900AD">
            <w:pPr>
              <w:pStyle w:val="Tabletext"/>
              <w:keepNext/>
              <w:keepLines/>
            </w:pPr>
            <w:r>
              <w:t>Who died</w:t>
            </w:r>
            <w:r w:rsidR="007906E0" w:rsidRPr="007906E0">
              <w:rPr>
                <w:vertAlign w:val="superscript"/>
              </w:rPr>
              <w:t>b</w:t>
            </w:r>
          </w:p>
        </w:tc>
        <w:tc>
          <w:tcPr>
            <w:tcW w:w="629" w:type="pct"/>
          </w:tcPr>
          <w:p w:rsidR="00200904" w:rsidRDefault="00200904" w:rsidP="005900AD">
            <w:pPr>
              <w:pStyle w:val="Tabletext"/>
              <w:keepNext/>
              <w:keepLines/>
              <w:jc w:val="center"/>
            </w:pPr>
            <w:r>
              <w:t>6</w:t>
            </w:r>
          </w:p>
        </w:tc>
        <w:tc>
          <w:tcPr>
            <w:tcW w:w="629" w:type="pct"/>
          </w:tcPr>
          <w:p w:rsidR="00200904" w:rsidRDefault="00200904" w:rsidP="005900AD">
            <w:pPr>
              <w:pStyle w:val="Tabletext"/>
              <w:keepNext/>
              <w:keepLines/>
              <w:jc w:val="center"/>
            </w:pPr>
            <w:r>
              <w:t>(3.9)</w:t>
            </w:r>
          </w:p>
        </w:tc>
        <w:tc>
          <w:tcPr>
            <w:tcW w:w="659" w:type="pct"/>
          </w:tcPr>
          <w:p w:rsidR="00200904" w:rsidRDefault="00200904" w:rsidP="005900AD">
            <w:pPr>
              <w:pStyle w:val="Tabletext"/>
              <w:keepNext/>
              <w:keepLines/>
              <w:jc w:val="center"/>
            </w:pPr>
            <w:r>
              <w:t>7</w:t>
            </w:r>
          </w:p>
        </w:tc>
        <w:tc>
          <w:tcPr>
            <w:tcW w:w="727" w:type="pct"/>
          </w:tcPr>
          <w:p w:rsidR="00200904" w:rsidRDefault="00200904" w:rsidP="005900AD">
            <w:pPr>
              <w:pStyle w:val="Tabletext"/>
              <w:keepNext/>
              <w:keepLines/>
              <w:jc w:val="center"/>
            </w:pPr>
            <w:r>
              <w:t>(4.9)</w:t>
            </w:r>
          </w:p>
        </w:tc>
      </w:tr>
      <w:tr w:rsidR="00200904" w:rsidTr="00D505E0">
        <w:tc>
          <w:tcPr>
            <w:tcW w:w="2356" w:type="pct"/>
          </w:tcPr>
          <w:p w:rsidR="00200904" w:rsidRDefault="00200904" w:rsidP="005900AD">
            <w:pPr>
              <w:pStyle w:val="Tabletext"/>
              <w:keepNext/>
              <w:keepLines/>
            </w:pPr>
            <w:r>
              <w:t>W</w:t>
            </w:r>
            <w:r w:rsidRPr="00E717B1">
              <w:t>ho died due to a drug-related adverse event</w:t>
            </w:r>
          </w:p>
        </w:tc>
        <w:tc>
          <w:tcPr>
            <w:tcW w:w="629" w:type="pct"/>
          </w:tcPr>
          <w:p w:rsidR="00200904" w:rsidRDefault="00200904" w:rsidP="005900AD">
            <w:pPr>
              <w:pStyle w:val="Tabletext"/>
              <w:keepNext/>
              <w:keepLines/>
              <w:jc w:val="center"/>
            </w:pPr>
            <w:r>
              <w:t>0</w:t>
            </w:r>
          </w:p>
        </w:tc>
        <w:tc>
          <w:tcPr>
            <w:tcW w:w="629" w:type="pct"/>
          </w:tcPr>
          <w:p w:rsidR="00200904" w:rsidRDefault="00200904" w:rsidP="005900AD">
            <w:pPr>
              <w:pStyle w:val="Tabletext"/>
              <w:keepNext/>
              <w:keepLines/>
              <w:jc w:val="center"/>
            </w:pPr>
            <w:r>
              <w:t>(0.0)</w:t>
            </w:r>
          </w:p>
        </w:tc>
        <w:tc>
          <w:tcPr>
            <w:tcW w:w="659" w:type="pct"/>
          </w:tcPr>
          <w:p w:rsidR="00200904" w:rsidRDefault="00200904" w:rsidP="005900AD">
            <w:pPr>
              <w:pStyle w:val="Tabletext"/>
              <w:keepNext/>
              <w:keepLines/>
              <w:jc w:val="center"/>
            </w:pPr>
            <w:r>
              <w:t>1</w:t>
            </w:r>
          </w:p>
        </w:tc>
        <w:tc>
          <w:tcPr>
            <w:tcW w:w="727" w:type="pct"/>
          </w:tcPr>
          <w:p w:rsidR="00200904" w:rsidRDefault="00200904" w:rsidP="005900AD">
            <w:pPr>
              <w:pStyle w:val="Tabletext"/>
              <w:keepNext/>
              <w:keepLines/>
              <w:jc w:val="center"/>
            </w:pPr>
            <w:r>
              <w:t>(0.7)</w:t>
            </w:r>
          </w:p>
        </w:tc>
      </w:tr>
      <w:tr w:rsidR="00200904" w:rsidTr="00D505E0">
        <w:tc>
          <w:tcPr>
            <w:tcW w:w="2356" w:type="pct"/>
          </w:tcPr>
          <w:p w:rsidR="00200904" w:rsidRDefault="00200904" w:rsidP="005900AD">
            <w:pPr>
              <w:pStyle w:val="Tabletext"/>
              <w:keepNext/>
              <w:keepLines/>
            </w:pPr>
            <w:r>
              <w:t xml:space="preserve">Who </w:t>
            </w:r>
            <w:r w:rsidR="007906E0">
              <w:t>discontinued</w:t>
            </w:r>
            <w:r w:rsidR="007906E0">
              <w:rPr>
                <w:vertAlign w:val="superscript"/>
              </w:rPr>
              <w:t>c</w:t>
            </w:r>
            <w:r w:rsidR="007906E0">
              <w:t xml:space="preserve"> </w:t>
            </w:r>
            <w:r>
              <w:t xml:space="preserve">drug due to an adverse event </w:t>
            </w:r>
          </w:p>
        </w:tc>
        <w:tc>
          <w:tcPr>
            <w:tcW w:w="629" w:type="pct"/>
          </w:tcPr>
          <w:p w:rsidR="00200904" w:rsidRDefault="00200904" w:rsidP="005900AD">
            <w:pPr>
              <w:pStyle w:val="Tabletext"/>
              <w:keepNext/>
              <w:keepLines/>
              <w:jc w:val="center"/>
            </w:pPr>
            <w:r>
              <w:t>21</w:t>
            </w:r>
          </w:p>
        </w:tc>
        <w:tc>
          <w:tcPr>
            <w:tcW w:w="629" w:type="pct"/>
          </w:tcPr>
          <w:p w:rsidR="00200904" w:rsidRDefault="00200904" w:rsidP="005900AD">
            <w:pPr>
              <w:pStyle w:val="Tabletext"/>
              <w:keepNext/>
              <w:keepLines/>
              <w:jc w:val="center"/>
            </w:pPr>
            <w:r>
              <w:t>(13.7)</w:t>
            </w:r>
          </w:p>
        </w:tc>
        <w:tc>
          <w:tcPr>
            <w:tcW w:w="659" w:type="pct"/>
          </w:tcPr>
          <w:p w:rsidR="00200904" w:rsidRDefault="00200904" w:rsidP="005900AD">
            <w:pPr>
              <w:pStyle w:val="Tabletext"/>
              <w:keepNext/>
              <w:keepLines/>
              <w:jc w:val="center"/>
            </w:pPr>
            <w:r>
              <w:t>17</w:t>
            </w:r>
          </w:p>
        </w:tc>
        <w:tc>
          <w:tcPr>
            <w:tcW w:w="727" w:type="pct"/>
          </w:tcPr>
          <w:p w:rsidR="00200904" w:rsidRDefault="00200904" w:rsidP="005900AD">
            <w:pPr>
              <w:pStyle w:val="Tabletext"/>
              <w:keepNext/>
              <w:keepLines/>
              <w:jc w:val="center"/>
            </w:pPr>
            <w:r>
              <w:t>(11.9)</w:t>
            </w:r>
          </w:p>
        </w:tc>
      </w:tr>
      <w:tr w:rsidR="00200904" w:rsidTr="00D505E0">
        <w:tc>
          <w:tcPr>
            <w:tcW w:w="2356" w:type="pct"/>
          </w:tcPr>
          <w:p w:rsidR="00200904" w:rsidRDefault="00200904" w:rsidP="005900AD">
            <w:pPr>
              <w:pStyle w:val="Tabletext"/>
              <w:keepNext/>
              <w:keepLines/>
            </w:pPr>
            <w:r>
              <w:t xml:space="preserve">Who </w:t>
            </w:r>
            <w:r w:rsidR="007906E0">
              <w:t>discontinued</w:t>
            </w:r>
            <w:r w:rsidR="007906E0">
              <w:rPr>
                <w:vertAlign w:val="superscript"/>
              </w:rPr>
              <w:t>c</w:t>
            </w:r>
            <w:r w:rsidR="007906E0">
              <w:t xml:space="preserve"> </w:t>
            </w:r>
            <w:r>
              <w:t>drug due to a drug-related adverse event</w:t>
            </w:r>
          </w:p>
        </w:tc>
        <w:tc>
          <w:tcPr>
            <w:tcW w:w="629" w:type="pct"/>
          </w:tcPr>
          <w:p w:rsidR="00200904" w:rsidRDefault="00200904" w:rsidP="005900AD">
            <w:pPr>
              <w:pStyle w:val="Tabletext"/>
              <w:keepNext/>
              <w:keepLines/>
              <w:jc w:val="center"/>
            </w:pPr>
            <w:r>
              <w:t>15</w:t>
            </w:r>
          </w:p>
        </w:tc>
        <w:tc>
          <w:tcPr>
            <w:tcW w:w="629" w:type="pct"/>
          </w:tcPr>
          <w:p w:rsidR="00200904" w:rsidRDefault="00200904" w:rsidP="005900AD">
            <w:pPr>
              <w:pStyle w:val="Tabletext"/>
              <w:keepNext/>
              <w:keepLines/>
              <w:jc w:val="center"/>
            </w:pPr>
            <w:r>
              <w:t>(9.8)</w:t>
            </w:r>
          </w:p>
        </w:tc>
        <w:tc>
          <w:tcPr>
            <w:tcW w:w="659" w:type="pct"/>
          </w:tcPr>
          <w:p w:rsidR="00200904" w:rsidRDefault="00200904" w:rsidP="005900AD">
            <w:pPr>
              <w:pStyle w:val="Tabletext"/>
              <w:keepNext/>
              <w:keepLines/>
              <w:jc w:val="center"/>
            </w:pPr>
            <w:r>
              <w:t>8</w:t>
            </w:r>
          </w:p>
        </w:tc>
        <w:tc>
          <w:tcPr>
            <w:tcW w:w="727" w:type="pct"/>
          </w:tcPr>
          <w:p w:rsidR="00200904" w:rsidRDefault="00200904" w:rsidP="005900AD">
            <w:pPr>
              <w:pStyle w:val="Tabletext"/>
              <w:keepNext/>
              <w:keepLines/>
              <w:jc w:val="center"/>
            </w:pPr>
            <w:r>
              <w:t>(5.6)</w:t>
            </w:r>
          </w:p>
        </w:tc>
      </w:tr>
      <w:tr w:rsidR="00200904" w:rsidTr="00D505E0">
        <w:tc>
          <w:tcPr>
            <w:tcW w:w="2356" w:type="pct"/>
          </w:tcPr>
          <w:p w:rsidR="00200904" w:rsidRDefault="00200904" w:rsidP="005900AD">
            <w:pPr>
              <w:pStyle w:val="Tabletext"/>
              <w:keepNext/>
              <w:keepLines/>
            </w:pPr>
            <w:r>
              <w:t xml:space="preserve">Who </w:t>
            </w:r>
            <w:r w:rsidR="007906E0" w:rsidRPr="00E717B1">
              <w:t>discontinued</w:t>
            </w:r>
            <w:r w:rsidR="007906E0">
              <w:rPr>
                <w:vertAlign w:val="superscript"/>
              </w:rPr>
              <w:t>c</w:t>
            </w:r>
            <w:r w:rsidR="007906E0" w:rsidRPr="00E717B1">
              <w:rPr>
                <w:vertAlign w:val="superscript"/>
              </w:rPr>
              <w:t xml:space="preserve"> </w:t>
            </w:r>
            <w:r w:rsidRPr="00E717B1">
              <w:t>drug due to a serious adverse event</w:t>
            </w:r>
          </w:p>
        </w:tc>
        <w:tc>
          <w:tcPr>
            <w:tcW w:w="629" w:type="pct"/>
          </w:tcPr>
          <w:p w:rsidR="00200904" w:rsidRDefault="00200904" w:rsidP="005900AD">
            <w:pPr>
              <w:pStyle w:val="Tabletext"/>
              <w:keepNext/>
              <w:keepLines/>
              <w:jc w:val="center"/>
            </w:pPr>
            <w:r>
              <w:t>12</w:t>
            </w:r>
          </w:p>
        </w:tc>
        <w:tc>
          <w:tcPr>
            <w:tcW w:w="629" w:type="pct"/>
          </w:tcPr>
          <w:p w:rsidR="00200904" w:rsidRDefault="00200904" w:rsidP="005900AD">
            <w:pPr>
              <w:pStyle w:val="Tabletext"/>
              <w:keepNext/>
              <w:keepLines/>
              <w:jc w:val="center"/>
            </w:pPr>
            <w:r>
              <w:t>(7.8)</w:t>
            </w:r>
          </w:p>
        </w:tc>
        <w:tc>
          <w:tcPr>
            <w:tcW w:w="659" w:type="pct"/>
          </w:tcPr>
          <w:p w:rsidR="00200904" w:rsidRDefault="00200904" w:rsidP="005900AD">
            <w:pPr>
              <w:pStyle w:val="Tabletext"/>
              <w:keepNext/>
              <w:keepLines/>
              <w:jc w:val="center"/>
            </w:pPr>
            <w:r>
              <w:t>13</w:t>
            </w:r>
          </w:p>
        </w:tc>
        <w:tc>
          <w:tcPr>
            <w:tcW w:w="727" w:type="pct"/>
          </w:tcPr>
          <w:p w:rsidR="00200904" w:rsidRDefault="00200904" w:rsidP="005900AD">
            <w:pPr>
              <w:pStyle w:val="Tabletext"/>
              <w:keepNext/>
              <w:keepLines/>
              <w:jc w:val="center"/>
            </w:pPr>
            <w:r>
              <w:t>(9.1)</w:t>
            </w:r>
          </w:p>
        </w:tc>
      </w:tr>
      <w:tr w:rsidR="00200904" w:rsidTr="00D505E0">
        <w:tc>
          <w:tcPr>
            <w:tcW w:w="2356" w:type="pct"/>
          </w:tcPr>
          <w:p w:rsidR="00200904" w:rsidRDefault="00200904" w:rsidP="005900AD">
            <w:pPr>
              <w:pStyle w:val="Tabletext"/>
              <w:keepNext/>
              <w:keepLines/>
            </w:pPr>
            <w:r>
              <w:t xml:space="preserve">Who </w:t>
            </w:r>
            <w:r w:rsidR="007906E0">
              <w:t>discontinued</w:t>
            </w:r>
            <w:r w:rsidR="007906E0">
              <w:rPr>
                <w:vertAlign w:val="superscript"/>
              </w:rPr>
              <w:t>c</w:t>
            </w:r>
            <w:r w:rsidR="007906E0">
              <w:t xml:space="preserve"> </w:t>
            </w:r>
            <w:r>
              <w:t>drug due to a serious drug-related adverse event</w:t>
            </w:r>
          </w:p>
        </w:tc>
        <w:tc>
          <w:tcPr>
            <w:tcW w:w="629" w:type="pct"/>
          </w:tcPr>
          <w:p w:rsidR="00200904" w:rsidRDefault="00200904" w:rsidP="005900AD">
            <w:pPr>
              <w:pStyle w:val="Tabletext"/>
              <w:keepNext/>
              <w:keepLines/>
              <w:jc w:val="center"/>
            </w:pPr>
            <w:r>
              <w:t>7</w:t>
            </w:r>
          </w:p>
        </w:tc>
        <w:tc>
          <w:tcPr>
            <w:tcW w:w="629" w:type="pct"/>
          </w:tcPr>
          <w:p w:rsidR="00200904" w:rsidRDefault="00200904" w:rsidP="005900AD">
            <w:pPr>
              <w:pStyle w:val="Tabletext"/>
              <w:keepNext/>
              <w:keepLines/>
              <w:jc w:val="center"/>
            </w:pPr>
            <w:r>
              <w:t>(4.6)</w:t>
            </w:r>
          </w:p>
        </w:tc>
        <w:tc>
          <w:tcPr>
            <w:tcW w:w="659" w:type="pct"/>
          </w:tcPr>
          <w:p w:rsidR="00200904" w:rsidRDefault="00200904" w:rsidP="005900AD">
            <w:pPr>
              <w:pStyle w:val="Tabletext"/>
              <w:keepNext/>
              <w:keepLines/>
              <w:jc w:val="center"/>
            </w:pPr>
            <w:r>
              <w:t>5</w:t>
            </w:r>
          </w:p>
        </w:tc>
        <w:tc>
          <w:tcPr>
            <w:tcW w:w="727" w:type="pct"/>
          </w:tcPr>
          <w:p w:rsidR="00200904" w:rsidRDefault="00200904" w:rsidP="005900AD">
            <w:pPr>
              <w:pStyle w:val="Tabletext"/>
              <w:keepNext/>
              <w:keepLines/>
              <w:jc w:val="center"/>
            </w:pPr>
            <w:r>
              <w:t>(3.5)</w:t>
            </w:r>
          </w:p>
        </w:tc>
      </w:tr>
      <w:tr w:rsidR="00DD0991" w:rsidTr="00D505E0">
        <w:tc>
          <w:tcPr>
            <w:tcW w:w="2356" w:type="pct"/>
          </w:tcPr>
          <w:p w:rsidR="00DD0991" w:rsidRDefault="00DD0991" w:rsidP="005900AD">
            <w:pPr>
              <w:pStyle w:val="Tabletext"/>
              <w:keepNext/>
              <w:keepLines/>
            </w:pPr>
            <w:r>
              <w:t xml:space="preserve">Grade 3 or 4 adverse events of special interest </w:t>
            </w:r>
          </w:p>
        </w:tc>
        <w:tc>
          <w:tcPr>
            <w:tcW w:w="629" w:type="pct"/>
          </w:tcPr>
          <w:p w:rsidR="00DD0991" w:rsidRDefault="00DD0991" w:rsidP="005900AD">
            <w:pPr>
              <w:pStyle w:val="Tabletext"/>
              <w:keepNext/>
              <w:keepLines/>
              <w:jc w:val="center"/>
            </w:pPr>
            <w:r>
              <w:t>14</w:t>
            </w:r>
          </w:p>
        </w:tc>
        <w:tc>
          <w:tcPr>
            <w:tcW w:w="629" w:type="pct"/>
          </w:tcPr>
          <w:p w:rsidR="00DD0991" w:rsidRDefault="00DD0991" w:rsidP="005900AD">
            <w:pPr>
              <w:pStyle w:val="Tabletext"/>
              <w:keepNext/>
              <w:keepLines/>
              <w:jc w:val="center"/>
            </w:pPr>
            <w:r>
              <w:t>(9.1)</w:t>
            </w:r>
          </w:p>
        </w:tc>
        <w:tc>
          <w:tcPr>
            <w:tcW w:w="659" w:type="pct"/>
          </w:tcPr>
          <w:p w:rsidR="00DD0991" w:rsidRDefault="00DD0991" w:rsidP="005900AD">
            <w:pPr>
              <w:pStyle w:val="Tabletext"/>
              <w:keepNext/>
              <w:keepLines/>
              <w:jc w:val="center"/>
            </w:pPr>
            <w:r>
              <w:t>3</w:t>
            </w:r>
          </w:p>
        </w:tc>
        <w:tc>
          <w:tcPr>
            <w:tcW w:w="727" w:type="pct"/>
          </w:tcPr>
          <w:p w:rsidR="00DD0991" w:rsidRDefault="00DD0991" w:rsidP="005900AD">
            <w:pPr>
              <w:pStyle w:val="Tabletext"/>
              <w:keepNext/>
              <w:keepLines/>
              <w:jc w:val="center"/>
            </w:pPr>
            <w:r>
              <w:t>(2.1)</w:t>
            </w:r>
          </w:p>
        </w:tc>
      </w:tr>
    </w:tbl>
    <w:p w:rsidR="00200904" w:rsidRPr="00E717B1" w:rsidRDefault="00200904" w:rsidP="005900AD">
      <w:pPr>
        <w:pStyle w:val="TableFooter"/>
        <w:keepNext/>
        <w:keepLines/>
      </w:pPr>
      <w:r>
        <w:t>Source: Table 12.1, p91 of the CSR</w:t>
      </w:r>
    </w:p>
    <w:p w:rsidR="00200904" w:rsidRDefault="00200904" w:rsidP="005900AD">
      <w:pPr>
        <w:pStyle w:val="TableFooter"/>
        <w:keepNext/>
        <w:keepLines/>
      </w:pPr>
      <w:r>
        <w:t>Median durations of treatment in pembrolizumab and SoC arms were 11.1 months and 5.7 months, respectively.</w:t>
      </w:r>
    </w:p>
    <w:p w:rsidR="00200904" w:rsidRDefault="00200904" w:rsidP="005900AD">
      <w:pPr>
        <w:pStyle w:val="TableFooter"/>
        <w:keepNext/>
        <w:keepLines/>
      </w:pPr>
      <w:r>
        <w:t>Grades are based on NCI CTCAE version 4.03.</w:t>
      </w:r>
    </w:p>
    <w:p w:rsidR="00200904" w:rsidRDefault="00200904" w:rsidP="005900AD">
      <w:pPr>
        <w:pStyle w:val="TableFooter"/>
        <w:keepNext/>
        <w:keepLines/>
      </w:pPr>
      <w:r>
        <w:t>MedDRA preferred terms "Neoplasm progression", "Malignant neoplasm progression" and "Disease progression" not related to the drug are excluded.</w:t>
      </w:r>
    </w:p>
    <w:p w:rsidR="00200904" w:rsidRDefault="00200904" w:rsidP="005900AD">
      <w:pPr>
        <w:pStyle w:val="TableFooter"/>
        <w:keepNext/>
        <w:keepLines/>
      </w:pPr>
      <w:r>
        <w:t>Non-serious adverse events up to 30 days of last dose and serious adverse events up to 90 days of last dose are included.</w:t>
      </w:r>
    </w:p>
    <w:p w:rsidR="00200904" w:rsidRDefault="00200904" w:rsidP="005900AD">
      <w:pPr>
        <w:pStyle w:val="TableFooter"/>
        <w:keepNext/>
        <w:keepLines/>
      </w:pPr>
      <w:r>
        <w:t>Database Cutoff Date: 19FEB2020.</w:t>
      </w:r>
    </w:p>
    <w:p w:rsidR="00200904" w:rsidRDefault="00200904" w:rsidP="005900AD">
      <w:pPr>
        <w:pStyle w:val="TableFooter"/>
        <w:keepNext/>
        <w:keepLines/>
      </w:pPr>
      <w:r>
        <w:rPr>
          <w:vertAlign w:val="superscript"/>
        </w:rPr>
        <w:t>a</w:t>
      </w:r>
      <w:r w:rsidR="003209A8">
        <w:rPr>
          <w:vertAlign w:val="superscript"/>
        </w:rPr>
        <w:t xml:space="preserve"> </w:t>
      </w:r>
      <w:r>
        <w:t>Determined by the investigator to be related to the drug.</w:t>
      </w:r>
    </w:p>
    <w:p w:rsidR="007906E0" w:rsidRDefault="007906E0" w:rsidP="005900AD">
      <w:pPr>
        <w:pStyle w:val="TableFooter"/>
        <w:keepNext/>
        <w:keepLines/>
      </w:pPr>
      <w:r>
        <w:t xml:space="preserve">b Pembrolizumab arm: one event each of abdominal sepsis, death, diarrhoea, duodenal perforation, failure to thrive, pseudobulbar palsy. SoC arm: one event each of aortic dissection, aspiration, cardiac arrest, cholangitis, intestinal perforation, pulmonary embolism, upper gastrointestinal haemorrhage. </w:t>
      </w:r>
    </w:p>
    <w:p w:rsidR="00200904" w:rsidRDefault="007906E0" w:rsidP="005900AD">
      <w:pPr>
        <w:pStyle w:val="3-BodyText"/>
        <w:keepNext/>
        <w:keepLines/>
        <w:numPr>
          <w:ilvl w:val="0"/>
          <w:numId w:val="0"/>
        </w:numPr>
        <w:ind w:left="720" w:hanging="720"/>
        <w:rPr>
          <w:rStyle w:val="TableFooterChar"/>
        </w:rPr>
      </w:pPr>
      <w:r>
        <w:rPr>
          <w:rFonts w:ascii="Arial Narrow" w:hAnsi="Arial Narrow"/>
          <w:sz w:val="18"/>
          <w:szCs w:val="18"/>
          <w:vertAlign w:val="superscript"/>
        </w:rPr>
        <w:t>c</w:t>
      </w:r>
      <w:r w:rsidR="003209A8">
        <w:rPr>
          <w:rFonts w:ascii="Arial Narrow" w:hAnsi="Arial Narrow"/>
          <w:sz w:val="18"/>
          <w:szCs w:val="18"/>
          <w:vertAlign w:val="superscript"/>
        </w:rPr>
        <w:t xml:space="preserve"> </w:t>
      </w:r>
      <w:r w:rsidR="00200904" w:rsidRPr="00200904">
        <w:rPr>
          <w:rStyle w:val="TableFooterChar"/>
        </w:rPr>
        <w:t>All study medications withdrawn</w:t>
      </w:r>
    </w:p>
    <w:p w:rsidR="00DA0FFE" w:rsidRDefault="00DA0FFE" w:rsidP="00DA0FFE">
      <w:pPr>
        <w:rPr>
          <w:rStyle w:val="TableFooterChar"/>
        </w:rPr>
      </w:pPr>
    </w:p>
    <w:p w:rsidR="00DA6277" w:rsidRPr="00F71C5B" w:rsidRDefault="00200904" w:rsidP="00200904">
      <w:pPr>
        <w:pStyle w:val="3-BodyText"/>
      </w:pPr>
      <w:r w:rsidRPr="00F71C5B">
        <w:t>For drug related AEs &gt;10% in any treatment arm</w:t>
      </w:r>
      <w:r w:rsidR="00DA6277" w:rsidRPr="00F71C5B">
        <w:t>:</w:t>
      </w:r>
    </w:p>
    <w:p w:rsidR="00200904" w:rsidRPr="00F71C5B" w:rsidRDefault="00200904" w:rsidP="00253541">
      <w:pPr>
        <w:pStyle w:val="3-BodyText"/>
        <w:numPr>
          <w:ilvl w:val="0"/>
          <w:numId w:val="10"/>
        </w:numPr>
        <w:ind w:left="1077" w:hanging="357"/>
      </w:pPr>
      <w:r w:rsidRPr="00F71C5B">
        <w:t>events that were reported at least 5% more frequently in the pembrolizumab treated arm than in the SoC arm were upper abdominal pain, pruritus, aspartate aminotransferase increased, arthralgia, nasopharyngitis, and hypothyroidism.</w:t>
      </w:r>
    </w:p>
    <w:p w:rsidR="00200904" w:rsidRDefault="00200904" w:rsidP="00253541">
      <w:pPr>
        <w:pStyle w:val="3-BodyText"/>
        <w:numPr>
          <w:ilvl w:val="0"/>
          <w:numId w:val="10"/>
        </w:numPr>
        <w:ind w:left="1077" w:hanging="357"/>
      </w:pPr>
      <w:r w:rsidRPr="00F71C5B">
        <w:t xml:space="preserve">AEs that were reported at least 5% more frequently </w:t>
      </w:r>
      <w:r w:rsidR="00DA6277" w:rsidRPr="00F71C5B">
        <w:t>in the</w:t>
      </w:r>
      <w:r w:rsidRPr="00F71C5B">
        <w:t xml:space="preserve"> SoC</w:t>
      </w:r>
      <w:r w:rsidR="00D718F3" w:rsidRPr="00F71C5B">
        <w:t xml:space="preserve"> arm</w:t>
      </w:r>
      <w:r w:rsidRPr="00F71C5B">
        <w:t xml:space="preserve"> than </w:t>
      </w:r>
      <w:r w:rsidR="00DA6277" w:rsidRPr="00F71C5B">
        <w:t xml:space="preserve">in the </w:t>
      </w:r>
      <w:r w:rsidRPr="00F71C5B">
        <w:t xml:space="preserve">pembrolizumab </w:t>
      </w:r>
      <w:r w:rsidR="00D718F3" w:rsidRPr="00F71C5B">
        <w:t xml:space="preserve">arm </w:t>
      </w:r>
      <w:r w:rsidRPr="00F71C5B">
        <w:t>were diarrhoea, fatigue, nausea, decreased appetite, vomiting, anaemia, constipation, asthenia, hypokalaemia, alopecia, stomatitis, dyspepsia, weight decreased, mucosal inflammation, peripheral sensory neuropathy, neutropenia, epistaxis, peripheral neuropathy, palmar-plantar erythrodysaesthesia, and white blood cell (WBC) decreased</w:t>
      </w:r>
      <w:r>
        <w:t>.</w:t>
      </w:r>
    </w:p>
    <w:p w:rsidR="00200904" w:rsidRPr="00F71C5B" w:rsidRDefault="00200904" w:rsidP="00200904">
      <w:pPr>
        <w:pStyle w:val="3-BodyText"/>
      </w:pPr>
      <w:r w:rsidRPr="00F71C5B">
        <w:t xml:space="preserve">Greater than Grade 2 </w:t>
      </w:r>
      <w:r w:rsidR="00326755" w:rsidRPr="00F71C5B">
        <w:t>adverse events of special interest (</w:t>
      </w:r>
      <w:r w:rsidRPr="00F71C5B">
        <w:t>AEO</w:t>
      </w:r>
      <w:r w:rsidR="000A63F4" w:rsidRPr="00F71C5B">
        <w:t>S</w:t>
      </w:r>
      <w:r w:rsidR="00326755" w:rsidRPr="00F71C5B">
        <w:t>I)</w:t>
      </w:r>
      <w:r w:rsidRPr="00F71C5B">
        <w:t xml:space="preserve"> for the pembrolizumab arm versus the SoC arm included Grades 3 and 4 colitis (3.3% versus 0%), Grade 3 autoimmune/immune mediated hepatitis (2.6% versus 0%), and one Grade 3 event each, only in the pembrolizumab arm (0.7% versus 0%), for the following: adrenocortical insufficiency, pancreatitis, and Type 1 diabetes. (0.7% versus 0%).</w:t>
      </w:r>
    </w:p>
    <w:p w:rsidR="00200904" w:rsidRPr="00F71C5B" w:rsidRDefault="00200904" w:rsidP="00200904">
      <w:pPr>
        <w:pStyle w:val="3-BodyText"/>
      </w:pPr>
      <w:r w:rsidRPr="00F71C5B">
        <w:t>AEs resulted in the deaths of 6 patients in the pembrolizumab arm and 7 patients in the SoC arm</w:t>
      </w:r>
      <w:r w:rsidR="007906E0">
        <w:t>.</w:t>
      </w:r>
      <w:r w:rsidRPr="00F71C5B">
        <w:t xml:space="preserve"> In the SOC arm</w:t>
      </w:r>
      <w:r w:rsidR="00F15855">
        <w:t xml:space="preserve"> t</w:t>
      </w:r>
      <w:r w:rsidRPr="00F71C5B">
        <w:t>hree fatal events consistent with the known risks of VEGF inhibition (duodenal perforation, cardiac arrest, and aortic dissection) occurred in patients whose SOC regimen included bevacizumab.</w:t>
      </w:r>
    </w:p>
    <w:p w:rsidR="00200904" w:rsidRPr="00F71C5B" w:rsidRDefault="00200904" w:rsidP="00200904">
      <w:pPr>
        <w:pStyle w:val="3-BodyText"/>
      </w:pPr>
      <w:r w:rsidRPr="00F71C5B">
        <w:t>A lower proportion of participants in the pembrolizumab group experienced an AE resulting in treatment interruption than in the S</w:t>
      </w:r>
      <w:r w:rsidR="00126B2C" w:rsidRPr="00F71C5B">
        <w:t>o</w:t>
      </w:r>
      <w:r w:rsidRPr="00F71C5B">
        <w:t>C group (37.9% vs 69.2%). Similarly, a lower proportion of participants in the pembrolizumab group experienced a drug-related AE resulting in treatment interruption than in the SOC arm (22.9% vs 58.7%).</w:t>
      </w:r>
    </w:p>
    <w:p w:rsidR="00200904" w:rsidRPr="00F71C5B" w:rsidRDefault="00200904" w:rsidP="00200904">
      <w:pPr>
        <w:pStyle w:val="3-BodyText"/>
      </w:pPr>
      <w:r w:rsidRPr="00F71C5B">
        <w:t>Overall, the observed AEs are consistent with the different established toxicity profiles of pembrolizumab (and immune check point inhibitors in general) and of chemotherapy</w:t>
      </w:r>
      <w:r w:rsidR="00EB51A0" w:rsidRPr="00F71C5B">
        <w:t>.</w:t>
      </w:r>
    </w:p>
    <w:p w:rsidR="00205961" w:rsidRDefault="00205961">
      <w:pPr>
        <w:jc w:val="left"/>
        <w:rPr>
          <w:rFonts w:ascii="Arial Narrow" w:hAnsi="Arial Narrow"/>
          <w:snapToGrid w:val="0"/>
          <w:sz w:val="18"/>
          <w:szCs w:val="22"/>
        </w:rPr>
      </w:pPr>
      <w:r>
        <w:br w:type="page"/>
      </w:r>
    </w:p>
    <w:p w:rsidR="007F1017" w:rsidRPr="00C9624D" w:rsidRDefault="007F1017" w:rsidP="00D86231">
      <w:pPr>
        <w:pStyle w:val="4-SubsectionHeading"/>
      </w:pPr>
      <w:bookmarkStart w:id="18" w:name="_Toc22897643"/>
      <w:bookmarkStart w:id="19" w:name="_Toc62027406"/>
      <w:r w:rsidRPr="00C9624D">
        <w:t>Benefits/harms</w:t>
      </w:r>
      <w:bookmarkEnd w:id="18"/>
      <w:bookmarkEnd w:id="19"/>
    </w:p>
    <w:p w:rsidR="005F3503" w:rsidRPr="002A36B6" w:rsidRDefault="007A2049" w:rsidP="002A36B6">
      <w:pPr>
        <w:pStyle w:val="3-BodyText"/>
      </w:pPr>
      <w:r w:rsidRPr="004E6CFF">
        <w:t>A summary of the comparative benefits and harms for</w:t>
      </w:r>
      <w:r>
        <w:t xml:space="preserve"> pembrolizumab compared with SoC is presented in the table below.</w:t>
      </w:r>
    </w:p>
    <w:p w:rsidR="00BF3FE5" w:rsidRPr="002D1A13" w:rsidRDefault="007A2049" w:rsidP="005900AD">
      <w:pPr>
        <w:pStyle w:val="Caption"/>
        <w:keepLines/>
      </w:pPr>
      <w:r>
        <w:t xml:space="preserve">Table </w:t>
      </w:r>
      <w:r w:rsidR="009A4847">
        <w:rPr>
          <w:noProof/>
        </w:rPr>
        <w:t>8</w:t>
      </w:r>
      <w:r>
        <w:t xml:space="preserve">: </w:t>
      </w:r>
      <w:r w:rsidR="00BF3FE5">
        <w:t>Summary of comparative benefits and harms</w:t>
      </w:r>
    </w:p>
    <w:tbl>
      <w:tblPr>
        <w:tblStyle w:val="TableGrid"/>
        <w:tblW w:w="0" w:type="auto"/>
        <w:tblLayout w:type="fixed"/>
        <w:tblLook w:val="01E0" w:firstRow="1" w:lastRow="1" w:firstColumn="1" w:lastColumn="1" w:noHBand="0" w:noVBand="0"/>
        <w:tblCaption w:val="Table 8: Summary of comparative benefits and harms"/>
      </w:tblPr>
      <w:tblGrid>
        <w:gridCol w:w="3823"/>
        <w:gridCol w:w="2332"/>
        <w:gridCol w:w="2333"/>
      </w:tblGrid>
      <w:tr w:rsidR="00BF3FE5" w:rsidTr="00BF2FBB">
        <w:trPr>
          <w:tblHeader/>
        </w:trPr>
        <w:tc>
          <w:tcPr>
            <w:tcW w:w="3823" w:type="dxa"/>
          </w:tcPr>
          <w:p w:rsidR="00BF3FE5" w:rsidRDefault="00BF3FE5" w:rsidP="005900AD">
            <w:pPr>
              <w:pStyle w:val="Tabletext"/>
              <w:keepNext/>
              <w:keepLines/>
              <w:rPr>
                <w:rFonts w:eastAsia="Calibri" w:hAnsi="Calibri" w:cs="Calibri"/>
                <w:szCs w:val="19"/>
              </w:rPr>
            </w:pPr>
          </w:p>
        </w:tc>
        <w:tc>
          <w:tcPr>
            <w:tcW w:w="2332" w:type="dxa"/>
          </w:tcPr>
          <w:p w:rsidR="00BF3FE5" w:rsidRPr="002D1A13" w:rsidRDefault="00BF3FE5" w:rsidP="005900AD">
            <w:pPr>
              <w:pStyle w:val="Tabletext"/>
              <w:keepNext/>
              <w:keepLines/>
              <w:jc w:val="center"/>
              <w:rPr>
                <w:rFonts w:eastAsia="Calibri" w:hAnsi="Calibri" w:cs="Calibri"/>
                <w:b/>
                <w:szCs w:val="19"/>
              </w:rPr>
            </w:pPr>
            <w:r w:rsidRPr="002D1A13">
              <w:rPr>
                <w:b/>
                <w:w w:val="95"/>
              </w:rPr>
              <w:t>Pembrolizumab</w:t>
            </w:r>
          </w:p>
          <w:p w:rsidR="00BF3FE5" w:rsidRPr="00951688" w:rsidRDefault="00BF3FE5" w:rsidP="005900AD">
            <w:pPr>
              <w:pStyle w:val="Tabletext"/>
              <w:keepNext/>
              <w:keepLines/>
              <w:jc w:val="center"/>
              <w:rPr>
                <w:b/>
              </w:rPr>
            </w:pPr>
            <w:r w:rsidRPr="002D1A13">
              <w:rPr>
                <w:b/>
              </w:rPr>
              <w:t>(n=</w:t>
            </w:r>
            <w:r w:rsidRPr="002D1A13">
              <w:rPr>
                <w:b/>
                <w:spacing w:val="-8"/>
              </w:rPr>
              <w:t xml:space="preserve"> </w:t>
            </w:r>
            <w:r w:rsidRPr="002D1A13">
              <w:rPr>
                <w:b/>
              </w:rPr>
              <w:t>153)</w:t>
            </w:r>
          </w:p>
        </w:tc>
        <w:tc>
          <w:tcPr>
            <w:tcW w:w="2333" w:type="dxa"/>
          </w:tcPr>
          <w:p w:rsidR="00BF3FE5" w:rsidRDefault="00BF3FE5" w:rsidP="005900AD">
            <w:pPr>
              <w:pStyle w:val="Tabletext"/>
              <w:keepNext/>
              <w:keepLines/>
              <w:jc w:val="center"/>
              <w:rPr>
                <w:b/>
              </w:rPr>
            </w:pPr>
            <w:r w:rsidRPr="002D1A13">
              <w:rPr>
                <w:b/>
              </w:rPr>
              <w:t>S</w:t>
            </w:r>
            <w:r w:rsidR="007A2049">
              <w:rPr>
                <w:b/>
              </w:rPr>
              <w:t>o</w:t>
            </w:r>
            <w:r w:rsidRPr="002D1A13">
              <w:rPr>
                <w:b/>
              </w:rPr>
              <w:t>C</w:t>
            </w:r>
          </w:p>
          <w:p w:rsidR="00BF3FE5" w:rsidRPr="002D1A13" w:rsidRDefault="00BF3FE5" w:rsidP="005900AD">
            <w:pPr>
              <w:pStyle w:val="Tabletext"/>
              <w:keepNext/>
              <w:keepLines/>
              <w:jc w:val="center"/>
              <w:rPr>
                <w:rFonts w:eastAsia="Calibri" w:hAnsi="Calibri" w:cs="Calibri"/>
                <w:b/>
                <w:szCs w:val="19"/>
              </w:rPr>
            </w:pPr>
            <w:r w:rsidRPr="002D1A13">
              <w:rPr>
                <w:b/>
              </w:rPr>
              <w:t>(n=154)</w:t>
            </w:r>
          </w:p>
        </w:tc>
      </w:tr>
      <w:tr w:rsidR="00951688" w:rsidTr="008874DC">
        <w:tc>
          <w:tcPr>
            <w:tcW w:w="8488" w:type="dxa"/>
            <w:gridSpan w:val="3"/>
          </w:tcPr>
          <w:p w:rsidR="00951688" w:rsidRPr="002D1A13" w:rsidRDefault="00951688" w:rsidP="005900AD">
            <w:pPr>
              <w:pStyle w:val="Tabletext"/>
              <w:keepNext/>
              <w:keepLines/>
              <w:rPr>
                <w:b/>
              </w:rPr>
            </w:pPr>
            <w:r>
              <w:rPr>
                <w:rFonts w:eastAsia="Calibri" w:hAnsi="Calibri" w:cs="Calibri"/>
                <w:b/>
                <w:szCs w:val="19"/>
              </w:rPr>
              <w:t>M</w:t>
            </w:r>
            <w:r w:rsidRPr="00951688">
              <w:rPr>
                <w:rFonts w:eastAsia="Calibri" w:hAnsi="Calibri" w:cs="Calibri"/>
                <w:b/>
                <w:szCs w:val="19"/>
              </w:rPr>
              <w:t xml:space="preserve">edian duration of follow up </w:t>
            </w:r>
            <w:r>
              <w:rPr>
                <w:rFonts w:eastAsia="Calibri" w:hAnsi="Calibri" w:cs="Calibri"/>
                <w:b/>
                <w:szCs w:val="19"/>
              </w:rPr>
              <w:t>across both arms: 2</w:t>
            </w:r>
            <w:r w:rsidRPr="00951688">
              <w:rPr>
                <w:rFonts w:eastAsia="Calibri" w:hAnsi="Calibri" w:cs="Calibri"/>
                <w:b/>
                <w:szCs w:val="19"/>
              </w:rPr>
              <w:t>8 months.</w:t>
            </w:r>
          </w:p>
        </w:tc>
      </w:tr>
      <w:tr w:rsidR="00951688" w:rsidTr="008874DC">
        <w:tc>
          <w:tcPr>
            <w:tcW w:w="3823" w:type="dxa"/>
          </w:tcPr>
          <w:p w:rsidR="00951688" w:rsidRPr="00951688" w:rsidRDefault="00951688" w:rsidP="005900AD">
            <w:pPr>
              <w:pStyle w:val="Tabletext"/>
              <w:keepNext/>
              <w:keepLines/>
            </w:pPr>
            <w:r w:rsidRPr="00951688">
              <w:t>Median duration of exposure.</w:t>
            </w:r>
          </w:p>
        </w:tc>
        <w:tc>
          <w:tcPr>
            <w:tcW w:w="2332" w:type="dxa"/>
          </w:tcPr>
          <w:p w:rsidR="00951688" w:rsidRPr="00951688" w:rsidRDefault="00951688" w:rsidP="005900AD">
            <w:pPr>
              <w:pStyle w:val="Tabletext"/>
              <w:keepNext/>
              <w:keepLines/>
              <w:jc w:val="center"/>
            </w:pPr>
            <w:r w:rsidRPr="00951688">
              <w:t>11.1 months</w:t>
            </w:r>
          </w:p>
        </w:tc>
        <w:tc>
          <w:tcPr>
            <w:tcW w:w="2333" w:type="dxa"/>
          </w:tcPr>
          <w:p w:rsidR="00951688" w:rsidRPr="00951688" w:rsidRDefault="00951688" w:rsidP="005900AD">
            <w:pPr>
              <w:pStyle w:val="Tabletext"/>
              <w:keepNext/>
              <w:keepLines/>
              <w:jc w:val="center"/>
            </w:pPr>
            <w:r w:rsidRPr="00951688">
              <w:t>5.7 months</w:t>
            </w:r>
          </w:p>
        </w:tc>
      </w:tr>
      <w:tr w:rsidR="001448AB" w:rsidTr="008874DC">
        <w:tc>
          <w:tcPr>
            <w:tcW w:w="8488" w:type="dxa"/>
            <w:gridSpan w:val="3"/>
          </w:tcPr>
          <w:p w:rsidR="001448AB" w:rsidRPr="001448AB" w:rsidRDefault="001448AB" w:rsidP="005900AD">
            <w:pPr>
              <w:pStyle w:val="Tabletext"/>
              <w:keepNext/>
              <w:keepLines/>
              <w:rPr>
                <w:b/>
              </w:rPr>
            </w:pPr>
            <w:r w:rsidRPr="001448AB">
              <w:rPr>
                <w:b/>
              </w:rPr>
              <w:t>BENEFITS</w:t>
            </w:r>
          </w:p>
        </w:tc>
      </w:tr>
      <w:tr w:rsidR="00BF3FE5" w:rsidTr="008874DC">
        <w:tc>
          <w:tcPr>
            <w:tcW w:w="8488" w:type="dxa"/>
            <w:gridSpan w:val="3"/>
          </w:tcPr>
          <w:p w:rsidR="00BF3FE5" w:rsidRPr="002D1A13" w:rsidRDefault="00BF3FE5" w:rsidP="005900AD">
            <w:pPr>
              <w:pStyle w:val="Tabletext"/>
              <w:keepNext/>
              <w:keepLines/>
              <w:rPr>
                <w:rFonts w:eastAsia="Calibri" w:hAnsi="Calibri" w:cs="Calibri"/>
                <w:b/>
                <w:szCs w:val="19"/>
              </w:rPr>
            </w:pPr>
            <w:r w:rsidRPr="002D1A13">
              <w:rPr>
                <w:b/>
              </w:rPr>
              <w:t>PFS</w:t>
            </w:r>
            <w:r w:rsidRPr="002D1A13">
              <w:rPr>
                <w:b/>
                <w:spacing w:val="-6"/>
              </w:rPr>
              <w:t xml:space="preserve"> </w:t>
            </w:r>
            <w:r w:rsidR="00951688">
              <w:rPr>
                <w:b/>
              </w:rPr>
              <w:t>by blinded independent review</w:t>
            </w:r>
          </w:p>
        </w:tc>
      </w:tr>
      <w:tr w:rsidR="00BF3FE5" w:rsidTr="008874DC">
        <w:tc>
          <w:tcPr>
            <w:tcW w:w="3823" w:type="dxa"/>
          </w:tcPr>
          <w:p w:rsidR="00BF3FE5" w:rsidRDefault="00BF3FE5" w:rsidP="005900AD">
            <w:pPr>
              <w:pStyle w:val="Tabletext"/>
              <w:keepNext/>
              <w:keepLines/>
              <w:rPr>
                <w:rFonts w:eastAsia="Calibri" w:hAnsi="Calibri" w:cs="Calibri"/>
                <w:szCs w:val="19"/>
              </w:rPr>
            </w:pPr>
            <w:r>
              <w:t>Events,</w:t>
            </w:r>
            <w:r>
              <w:rPr>
                <w:spacing w:val="-5"/>
              </w:rPr>
              <w:t xml:space="preserve"> </w:t>
            </w:r>
            <w:r>
              <w:t>n</w:t>
            </w:r>
            <w:r>
              <w:rPr>
                <w:spacing w:val="-4"/>
              </w:rPr>
              <w:t xml:space="preserve"> </w:t>
            </w:r>
            <w:r>
              <w:t>(</w:t>
            </w:r>
            <w:r w:rsidR="007A2049">
              <w:t>event rate per 100 patients, %</w:t>
            </w:r>
            <w:r>
              <w:t>)</w:t>
            </w:r>
          </w:p>
        </w:tc>
        <w:tc>
          <w:tcPr>
            <w:tcW w:w="2332" w:type="dxa"/>
          </w:tcPr>
          <w:p w:rsidR="00BF3FE5" w:rsidRDefault="00BF3FE5" w:rsidP="005900AD">
            <w:pPr>
              <w:pStyle w:val="Tabletext"/>
              <w:keepNext/>
              <w:keepLines/>
              <w:jc w:val="center"/>
              <w:rPr>
                <w:rFonts w:eastAsia="Calibri" w:hAnsi="Calibri" w:cs="Calibri"/>
                <w:szCs w:val="19"/>
              </w:rPr>
            </w:pPr>
            <w:r>
              <w:t>82</w:t>
            </w:r>
            <w:r>
              <w:rPr>
                <w:spacing w:val="-8"/>
              </w:rPr>
              <w:t xml:space="preserve"> </w:t>
            </w:r>
            <w:r>
              <w:t>(53.6)</w:t>
            </w:r>
          </w:p>
        </w:tc>
        <w:tc>
          <w:tcPr>
            <w:tcW w:w="2333" w:type="dxa"/>
          </w:tcPr>
          <w:p w:rsidR="00BF3FE5" w:rsidRDefault="00BF3FE5" w:rsidP="005900AD">
            <w:pPr>
              <w:pStyle w:val="Tabletext"/>
              <w:keepNext/>
              <w:keepLines/>
              <w:jc w:val="center"/>
              <w:rPr>
                <w:rFonts w:eastAsia="Calibri" w:hAnsi="Calibri" w:cs="Calibri"/>
                <w:szCs w:val="19"/>
              </w:rPr>
            </w:pPr>
            <w:r>
              <w:t>113</w:t>
            </w:r>
            <w:r>
              <w:rPr>
                <w:spacing w:val="-9"/>
              </w:rPr>
              <w:t xml:space="preserve"> </w:t>
            </w:r>
            <w:r>
              <w:t>(73.4)</w:t>
            </w:r>
          </w:p>
        </w:tc>
      </w:tr>
      <w:tr w:rsidR="00BF3FE5" w:rsidTr="008874DC">
        <w:tc>
          <w:tcPr>
            <w:tcW w:w="3823" w:type="dxa"/>
          </w:tcPr>
          <w:p w:rsidR="00BF3FE5" w:rsidRDefault="00BF3FE5" w:rsidP="005900AD">
            <w:pPr>
              <w:pStyle w:val="Tabletext"/>
              <w:keepNext/>
              <w:keepLines/>
              <w:rPr>
                <w:rFonts w:eastAsia="Calibri" w:hAnsi="Calibri" w:cs="Calibri"/>
                <w:szCs w:val="19"/>
              </w:rPr>
            </w:pPr>
            <w:r>
              <w:t>Median</w:t>
            </w:r>
            <w:r>
              <w:rPr>
                <w:spacing w:val="-6"/>
              </w:rPr>
              <w:t xml:space="preserve"> </w:t>
            </w:r>
            <w:r>
              <w:t>PFS</w:t>
            </w:r>
            <w:r w:rsidR="007A2049">
              <w:t xml:space="preserve"> duration</w:t>
            </w:r>
            <w:r>
              <w:t>,</w:t>
            </w:r>
            <w:r>
              <w:rPr>
                <w:spacing w:val="-5"/>
              </w:rPr>
              <w:t xml:space="preserve"> </w:t>
            </w:r>
            <w:r>
              <w:t>months</w:t>
            </w:r>
            <w:r>
              <w:rPr>
                <w:spacing w:val="-5"/>
              </w:rPr>
              <w:t xml:space="preserve"> </w:t>
            </w:r>
            <w:r>
              <w:t>(95%</w:t>
            </w:r>
            <w:r>
              <w:rPr>
                <w:spacing w:val="-7"/>
              </w:rPr>
              <w:t xml:space="preserve"> </w:t>
            </w:r>
            <w:r>
              <w:t>CI)</w:t>
            </w:r>
          </w:p>
        </w:tc>
        <w:tc>
          <w:tcPr>
            <w:tcW w:w="2332" w:type="dxa"/>
          </w:tcPr>
          <w:p w:rsidR="00BF3FE5" w:rsidRDefault="00BF3FE5" w:rsidP="005900AD">
            <w:pPr>
              <w:pStyle w:val="Tabletext"/>
              <w:keepNext/>
              <w:keepLines/>
              <w:jc w:val="center"/>
              <w:rPr>
                <w:rFonts w:eastAsia="Calibri" w:hAnsi="Calibri" w:cs="Calibri"/>
                <w:szCs w:val="19"/>
              </w:rPr>
            </w:pPr>
            <w:r>
              <w:t>16.5</w:t>
            </w:r>
            <w:r>
              <w:rPr>
                <w:spacing w:val="-7"/>
              </w:rPr>
              <w:t xml:space="preserve"> </w:t>
            </w:r>
            <w:r>
              <w:t>(5.4,</w:t>
            </w:r>
            <w:r>
              <w:rPr>
                <w:spacing w:val="-5"/>
              </w:rPr>
              <w:t xml:space="preserve"> </w:t>
            </w:r>
            <w:r>
              <w:t>32.4)</w:t>
            </w:r>
          </w:p>
        </w:tc>
        <w:tc>
          <w:tcPr>
            <w:tcW w:w="2333" w:type="dxa"/>
          </w:tcPr>
          <w:p w:rsidR="00BF3FE5" w:rsidRDefault="00BF3FE5" w:rsidP="005900AD">
            <w:pPr>
              <w:pStyle w:val="Tabletext"/>
              <w:keepNext/>
              <w:keepLines/>
              <w:jc w:val="center"/>
              <w:rPr>
                <w:rFonts w:eastAsia="Calibri" w:hAnsi="Calibri" w:cs="Calibri"/>
                <w:szCs w:val="19"/>
              </w:rPr>
            </w:pPr>
            <w:r>
              <w:t>8.2</w:t>
            </w:r>
            <w:r>
              <w:rPr>
                <w:spacing w:val="-6"/>
              </w:rPr>
              <w:t xml:space="preserve"> </w:t>
            </w:r>
            <w:r>
              <w:t>(6.1,</w:t>
            </w:r>
            <w:r>
              <w:rPr>
                <w:spacing w:val="-5"/>
              </w:rPr>
              <w:t xml:space="preserve"> </w:t>
            </w:r>
            <w:r>
              <w:t>10.2)</w:t>
            </w:r>
          </w:p>
        </w:tc>
      </w:tr>
      <w:tr w:rsidR="00BF3FE5" w:rsidTr="008874DC">
        <w:tc>
          <w:tcPr>
            <w:tcW w:w="3823" w:type="dxa"/>
          </w:tcPr>
          <w:p w:rsidR="00BF3FE5" w:rsidRDefault="00BF3FE5" w:rsidP="005900AD">
            <w:pPr>
              <w:pStyle w:val="Tabletext"/>
              <w:keepNext/>
              <w:keepLines/>
            </w:pPr>
            <w:r>
              <w:t xml:space="preserve">Difference between pembrolizumab </w:t>
            </w:r>
            <w:r w:rsidR="00951688">
              <w:t xml:space="preserve">and </w:t>
            </w:r>
            <w:r>
              <w:t>SoC</w:t>
            </w:r>
          </w:p>
        </w:tc>
        <w:tc>
          <w:tcPr>
            <w:tcW w:w="4665" w:type="dxa"/>
            <w:gridSpan w:val="2"/>
          </w:tcPr>
          <w:p w:rsidR="00BF3FE5" w:rsidRDefault="00BF3FE5" w:rsidP="005900AD">
            <w:pPr>
              <w:pStyle w:val="Tabletext"/>
              <w:keepNext/>
              <w:keepLines/>
              <w:jc w:val="center"/>
            </w:pPr>
            <w:r>
              <w:t>8.3 months</w:t>
            </w:r>
          </w:p>
        </w:tc>
      </w:tr>
      <w:tr w:rsidR="00BF3FE5" w:rsidTr="008874DC">
        <w:tc>
          <w:tcPr>
            <w:tcW w:w="3823" w:type="dxa"/>
          </w:tcPr>
          <w:p w:rsidR="00BF3FE5" w:rsidRPr="00BF3FE5" w:rsidRDefault="00BF3FE5" w:rsidP="005900AD">
            <w:pPr>
              <w:pStyle w:val="Tabletext"/>
              <w:keepNext/>
              <w:keepLines/>
              <w:rPr>
                <w:rFonts w:eastAsia="Calibri" w:hAnsi="Calibri" w:cs="Calibri"/>
                <w:b/>
                <w:sz w:val="12"/>
                <w:szCs w:val="12"/>
                <w:vertAlign w:val="superscript"/>
              </w:rPr>
            </w:pPr>
            <w:r w:rsidRPr="00397E4C">
              <w:rPr>
                <w:b/>
              </w:rPr>
              <w:t>Stratified</w:t>
            </w:r>
            <w:r w:rsidRPr="00397E4C">
              <w:rPr>
                <w:b/>
                <w:spacing w:val="-9"/>
              </w:rPr>
              <w:t xml:space="preserve"> </w:t>
            </w:r>
            <w:r w:rsidRPr="00397E4C">
              <w:rPr>
                <w:b/>
              </w:rPr>
              <w:t>HR</w:t>
            </w:r>
            <w:r>
              <w:rPr>
                <w:b/>
                <w:vertAlign w:val="superscript"/>
              </w:rPr>
              <w:t>a</w:t>
            </w:r>
            <w:r>
              <w:rPr>
                <w:b/>
                <w:position w:val="6"/>
                <w:sz w:val="12"/>
                <w:vertAlign w:val="superscript"/>
              </w:rPr>
              <w:t xml:space="preserve"> </w:t>
            </w:r>
            <w:r>
              <w:rPr>
                <w:b/>
              </w:rPr>
              <w:t xml:space="preserve">(95% CI); </w:t>
            </w:r>
            <w:r w:rsidRPr="00397E4C">
              <w:rPr>
                <w:b/>
              </w:rPr>
              <w:t>p-value</w:t>
            </w:r>
            <w:r>
              <w:rPr>
                <w:b/>
                <w:position w:val="6"/>
                <w:sz w:val="12"/>
                <w:vertAlign w:val="superscript"/>
              </w:rPr>
              <w:t>b</w:t>
            </w:r>
          </w:p>
        </w:tc>
        <w:tc>
          <w:tcPr>
            <w:tcW w:w="4665" w:type="dxa"/>
            <w:gridSpan w:val="2"/>
          </w:tcPr>
          <w:p w:rsidR="00BF3FE5" w:rsidRPr="00397E4C" w:rsidRDefault="00BF3FE5" w:rsidP="005900AD">
            <w:pPr>
              <w:pStyle w:val="Tabletext"/>
              <w:keepNext/>
              <w:keepLines/>
              <w:jc w:val="center"/>
              <w:rPr>
                <w:rFonts w:eastAsia="Calibri" w:hAnsi="Calibri" w:cs="Calibri"/>
                <w:b/>
                <w:szCs w:val="19"/>
              </w:rPr>
            </w:pPr>
            <w:r w:rsidRPr="00397E4C">
              <w:rPr>
                <w:b/>
              </w:rPr>
              <w:t>0.60</w:t>
            </w:r>
            <w:r w:rsidRPr="00397E4C">
              <w:rPr>
                <w:b/>
                <w:spacing w:val="-7"/>
              </w:rPr>
              <w:t xml:space="preserve"> </w:t>
            </w:r>
            <w:r w:rsidRPr="00397E4C">
              <w:rPr>
                <w:b/>
              </w:rPr>
              <w:t>(0.45,</w:t>
            </w:r>
            <w:r w:rsidRPr="00397E4C">
              <w:rPr>
                <w:b/>
                <w:spacing w:val="-6"/>
              </w:rPr>
              <w:t xml:space="preserve"> </w:t>
            </w:r>
            <w:r w:rsidRPr="00397E4C">
              <w:rPr>
                <w:b/>
              </w:rPr>
              <w:t>0.80)</w:t>
            </w:r>
            <w:r>
              <w:rPr>
                <w:b/>
              </w:rPr>
              <w:t>;</w:t>
            </w:r>
            <w:r w:rsidRPr="00397E4C">
              <w:rPr>
                <w:b/>
              </w:rPr>
              <w:t xml:space="preserve"> 0.0002</w:t>
            </w:r>
          </w:p>
        </w:tc>
      </w:tr>
      <w:tr w:rsidR="00BF3FE5" w:rsidTr="008874DC">
        <w:tc>
          <w:tcPr>
            <w:tcW w:w="3823" w:type="dxa"/>
          </w:tcPr>
          <w:p w:rsidR="00BF3FE5" w:rsidRDefault="00BF3FE5" w:rsidP="005900AD">
            <w:pPr>
              <w:pStyle w:val="Tabletext"/>
              <w:keepNext/>
              <w:keepLines/>
              <w:rPr>
                <w:rFonts w:eastAsia="Calibri" w:hAnsi="Calibri" w:cs="Calibri"/>
                <w:szCs w:val="19"/>
              </w:rPr>
            </w:pPr>
            <w:r>
              <w:t>PFS</w:t>
            </w:r>
            <w:r>
              <w:rPr>
                <w:spacing w:val="-6"/>
              </w:rPr>
              <w:t xml:space="preserve"> </w:t>
            </w:r>
            <w:r>
              <w:t>rate</w:t>
            </w:r>
            <w:r>
              <w:rPr>
                <w:spacing w:val="-4"/>
              </w:rPr>
              <w:t xml:space="preserve"> </w:t>
            </w:r>
            <w:r>
              <w:t>at</w:t>
            </w:r>
            <w:r>
              <w:rPr>
                <w:spacing w:val="-6"/>
              </w:rPr>
              <w:t xml:space="preserve"> </w:t>
            </w:r>
            <w:r>
              <w:t>18</w:t>
            </w:r>
            <w:r>
              <w:rPr>
                <w:spacing w:val="-2"/>
              </w:rPr>
              <w:t xml:space="preserve"> </w:t>
            </w:r>
            <w:r>
              <w:t>months</w:t>
            </w:r>
            <w:r>
              <w:rPr>
                <w:spacing w:val="-3"/>
              </w:rPr>
              <w:t xml:space="preserve"> </w:t>
            </w:r>
            <w:r>
              <w:t>(95%</w:t>
            </w:r>
            <w:r>
              <w:rPr>
                <w:spacing w:val="-6"/>
              </w:rPr>
              <w:t xml:space="preserve"> </w:t>
            </w:r>
            <w:r>
              <w:t>CI)</w:t>
            </w:r>
          </w:p>
        </w:tc>
        <w:tc>
          <w:tcPr>
            <w:tcW w:w="2332" w:type="dxa"/>
          </w:tcPr>
          <w:p w:rsidR="00BF3FE5" w:rsidRDefault="00BF3FE5" w:rsidP="005900AD">
            <w:pPr>
              <w:pStyle w:val="Tabletext"/>
              <w:keepNext/>
              <w:keepLines/>
              <w:jc w:val="center"/>
              <w:rPr>
                <w:rFonts w:eastAsia="Calibri" w:hAnsi="Calibri" w:cs="Calibri"/>
                <w:szCs w:val="19"/>
              </w:rPr>
            </w:pPr>
            <w:r>
              <w:t>49.1</w:t>
            </w:r>
            <w:r>
              <w:rPr>
                <w:spacing w:val="-7"/>
              </w:rPr>
              <w:t xml:space="preserve"> </w:t>
            </w:r>
            <w:r>
              <w:t>(40.7,</w:t>
            </w:r>
            <w:r>
              <w:rPr>
                <w:spacing w:val="-6"/>
              </w:rPr>
              <w:t xml:space="preserve"> </w:t>
            </w:r>
            <w:r>
              <w:t>57.0)</w:t>
            </w:r>
          </w:p>
        </w:tc>
        <w:tc>
          <w:tcPr>
            <w:tcW w:w="2333" w:type="dxa"/>
          </w:tcPr>
          <w:p w:rsidR="00BF3FE5" w:rsidRDefault="00BF3FE5" w:rsidP="005900AD">
            <w:pPr>
              <w:pStyle w:val="Tabletext"/>
              <w:keepNext/>
              <w:keepLines/>
              <w:jc w:val="center"/>
              <w:rPr>
                <w:rFonts w:eastAsia="Calibri" w:hAnsi="Calibri" w:cs="Calibri"/>
                <w:szCs w:val="19"/>
              </w:rPr>
            </w:pPr>
            <w:r>
              <w:t>26.7</w:t>
            </w:r>
            <w:r>
              <w:rPr>
                <w:spacing w:val="-7"/>
              </w:rPr>
              <w:t xml:space="preserve"> </w:t>
            </w:r>
            <w:r>
              <w:t>(19.2,</w:t>
            </w:r>
            <w:r>
              <w:rPr>
                <w:spacing w:val="-6"/>
              </w:rPr>
              <w:t xml:space="preserve"> </w:t>
            </w:r>
            <w:r>
              <w:t>34.7)</w:t>
            </w:r>
          </w:p>
        </w:tc>
      </w:tr>
      <w:tr w:rsidR="00951688" w:rsidTr="008874DC">
        <w:tc>
          <w:tcPr>
            <w:tcW w:w="3823" w:type="dxa"/>
          </w:tcPr>
          <w:p w:rsidR="00951688" w:rsidRDefault="00951688" w:rsidP="005900AD">
            <w:pPr>
              <w:pStyle w:val="Tabletext"/>
              <w:keepNext/>
              <w:keepLines/>
            </w:pPr>
            <w:r>
              <w:t>Difference between pembrolizumab and SoC</w:t>
            </w:r>
          </w:p>
        </w:tc>
        <w:tc>
          <w:tcPr>
            <w:tcW w:w="4665" w:type="dxa"/>
            <w:gridSpan w:val="2"/>
          </w:tcPr>
          <w:p w:rsidR="00951688" w:rsidRDefault="00E17444" w:rsidP="005900AD">
            <w:pPr>
              <w:pStyle w:val="Tabletext"/>
              <w:keepNext/>
              <w:keepLines/>
              <w:jc w:val="center"/>
            </w:pPr>
            <w:r>
              <w:t>22.4%</w:t>
            </w:r>
          </w:p>
        </w:tc>
      </w:tr>
      <w:tr w:rsidR="00BF3FE5" w:rsidTr="008874DC">
        <w:tc>
          <w:tcPr>
            <w:tcW w:w="3823" w:type="dxa"/>
          </w:tcPr>
          <w:p w:rsidR="00BF3FE5" w:rsidRDefault="00BF3FE5" w:rsidP="005900AD">
            <w:pPr>
              <w:pStyle w:val="Tabletext"/>
              <w:keepNext/>
              <w:keepLines/>
              <w:rPr>
                <w:rFonts w:eastAsia="Calibri" w:hAnsi="Calibri" w:cs="Calibri"/>
                <w:szCs w:val="19"/>
              </w:rPr>
            </w:pPr>
            <w:r>
              <w:t>PFS</w:t>
            </w:r>
            <w:r>
              <w:rPr>
                <w:spacing w:val="-6"/>
              </w:rPr>
              <w:t xml:space="preserve"> </w:t>
            </w:r>
            <w:r>
              <w:t>rate</w:t>
            </w:r>
            <w:r>
              <w:rPr>
                <w:spacing w:val="-4"/>
              </w:rPr>
              <w:t xml:space="preserve"> </w:t>
            </w:r>
            <w:r>
              <w:t>at</w:t>
            </w:r>
            <w:r>
              <w:rPr>
                <w:spacing w:val="-6"/>
              </w:rPr>
              <w:t xml:space="preserve"> </w:t>
            </w:r>
            <w:r>
              <w:t>24</w:t>
            </w:r>
            <w:r>
              <w:rPr>
                <w:spacing w:val="-2"/>
              </w:rPr>
              <w:t xml:space="preserve"> </w:t>
            </w:r>
            <w:r>
              <w:t>months</w:t>
            </w:r>
            <w:r>
              <w:rPr>
                <w:spacing w:val="-3"/>
              </w:rPr>
              <w:t xml:space="preserve"> </w:t>
            </w:r>
            <w:r>
              <w:t>(95%</w:t>
            </w:r>
            <w:r>
              <w:rPr>
                <w:spacing w:val="-6"/>
              </w:rPr>
              <w:t xml:space="preserve"> </w:t>
            </w:r>
            <w:r>
              <w:t>CI)</w:t>
            </w:r>
          </w:p>
        </w:tc>
        <w:tc>
          <w:tcPr>
            <w:tcW w:w="2332" w:type="dxa"/>
          </w:tcPr>
          <w:p w:rsidR="00BF3FE5" w:rsidRDefault="00BF3FE5" w:rsidP="005900AD">
            <w:pPr>
              <w:pStyle w:val="Tabletext"/>
              <w:keepNext/>
              <w:keepLines/>
              <w:jc w:val="center"/>
              <w:rPr>
                <w:rFonts w:eastAsia="Calibri" w:hAnsi="Calibri" w:cs="Calibri"/>
                <w:szCs w:val="19"/>
              </w:rPr>
            </w:pPr>
            <w:r>
              <w:t>48.3</w:t>
            </w:r>
            <w:r>
              <w:rPr>
                <w:spacing w:val="-7"/>
              </w:rPr>
              <w:t xml:space="preserve"> </w:t>
            </w:r>
            <w:r>
              <w:t>(39.9,</w:t>
            </w:r>
            <w:r>
              <w:rPr>
                <w:spacing w:val="-6"/>
              </w:rPr>
              <w:t xml:space="preserve"> </w:t>
            </w:r>
            <w:r>
              <w:t>56.2)</w:t>
            </w:r>
          </w:p>
        </w:tc>
        <w:tc>
          <w:tcPr>
            <w:tcW w:w="2333" w:type="dxa"/>
          </w:tcPr>
          <w:p w:rsidR="00BF3FE5" w:rsidRDefault="00BF3FE5" w:rsidP="005900AD">
            <w:pPr>
              <w:pStyle w:val="Tabletext"/>
              <w:keepNext/>
              <w:keepLines/>
              <w:jc w:val="center"/>
              <w:rPr>
                <w:rFonts w:eastAsia="Calibri" w:hAnsi="Calibri" w:cs="Calibri"/>
                <w:szCs w:val="19"/>
              </w:rPr>
            </w:pPr>
            <w:r>
              <w:t>18.6</w:t>
            </w:r>
            <w:r>
              <w:rPr>
                <w:spacing w:val="-7"/>
              </w:rPr>
              <w:t xml:space="preserve"> </w:t>
            </w:r>
            <w:r>
              <w:t>(12.1,</w:t>
            </w:r>
            <w:r>
              <w:rPr>
                <w:spacing w:val="-6"/>
              </w:rPr>
              <w:t xml:space="preserve"> </w:t>
            </w:r>
            <w:r>
              <w:t>26.3)</w:t>
            </w:r>
          </w:p>
        </w:tc>
      </w:tr>
      <w:tr w:rsidR="00E17444" w:rsidTr="008874DC">
        <w:tc>
          <w:tcPr>
            <w:tcW w:w="3823" w:type="dxa"/>
          </w:tcPr>
          <w:p w:rsidR="00E17444" w:rsidRDefault="00E17444" w:rsidP="005900AD">
            <w:pPr>
              <w:pStyle w:val="Tabletext"/>
              <w:keepNext/>
              <w:keepLines/>
            </w:pPr>
            <w:r>
              <w:t>Difference between pembrolizumab and SoC</w:t>
            </w:r>
          </w:p>
        </w:tc>
        <w:tc>
          <w:tcPr>
            <w:tcW w:w="4665" w:type="dxa"/>
            <w:gridSpan w:val="2"/>
          </w:tcPr>
          <w:p w:rsidR="00E17444" w:rsidRDefault="00E17444" w:rsidP="005900AD">
            <w:pPr>
              <w:pStyle w:val="Tabletext"/>
              <w:keepNext/>
              <w:keepLines/>
              <w:jc w:val="center"/>
            </w:pPr>
            <w:r>
              <w:t>29.7%</w:t>
            </w:r>
          </w:p>
        </w:tc>
      </w:tr>
      <w:tr w:rsidR="00E17444" w:rsidTr="008874DC">
        <w:tc>
          <w:tcPr>
            <w:tcW w:w="8488" w:type="dxa"/>
            <w:gridSpan w:val="3"/>
          </w:tcPr>
          <w:p w:rsidR="00E17444" w:rsidRPr="002D1A13" w:rsidRDefault="00E17444" w:rsidP="005900AD">
            <w:pPr>
              <w:pStyle w:val="Tabletext"/>
              <w:keepNext/>
              <w:keepLines/>
              <w:rPr>
                <w:rFonts w:eastAsia="Calibri" w:hAnsi="Calibri" w:cs="Calibri"/>
                <w:b/>
                <w:szCs w:val="19"/>
              </w:rPr>
            </w:pPr>
            <w:r w:rsidRPr="002D1A13">
              <w:rPr>
                <w:b/>
                <w:spacing w:val="-2"/>
              </w:rPr>
              <w:t>OS</w:t>
            </w:r>
            <w:r>
              <w:rPr>
                <w:b/>
                <w:spacing w:val="-2"/>
              </w:rPr>
              <w:t xml:space="preserve"> not adjusted for treatment switching (immature data </w:t>
            </w:r>
            <w:r w:rsidRPr="00951688">
              <w:rPr>
                <w:b/>
                <w:spacing w:val="-2"/>
              </w:rPr>
              <w:t>at 66% of the planned events</w:t>
            </w:r>
            <w:r>
              <w:rPr>
                <w:b/>
                <w:spacing w:val="-2"/>
              </w:rPr>
              <w:t>)</w:t>
            </w:r>
          </w:p>
        </w:tc>
      </w:tr>
      <w:tr w:rsidR="00E17444" w:rsidTr="008874DC">
        <w:tc>
          <w:tcPr>
            <w:tcW w:w="3823" w:type="dxa"/>
          </w:tcPr>
          <w:p w:rsidR="00E17444" w:rsidRDefault="00E17444" w:rsidP="005900AD">
            <w:pPr>
              <w:pStyle w:val="Tabletext"/>
              <w:keepNext/>
              <w:keepLines/>
              <w:rPr>
                <w:rFonts w:eastAsia="Calibri" w:hAnsi="Calibri" w:cs="Calibri"/>
                <w:szCs w:val="19"/>
              </w:rPr>
            </w:pPr>
            <w:r>
              <w:t>Events,</w:t>
            </w:r>
            <w:r>
              <w:rPr>
                <w:spacing w:val="-4"/>
              </w:rPr>
              <w:t xml:space="preserve"> </w:t>
            </w:r>
            <w:r>
              <w:t>n</w:t>
            </w:r>
            <w:r>
              <w:rPr>
                <w:spacing w:val="-5"/>
              </w:rPr>
              <w:t xml:space="preserve"> </w:t>
            </w:r>
            <w:r>
              <w:t>(</w:t>
            </w:r>
            <w:r w:rsidR="007A2049">
              <w:t xml:space="preserve">event rate per 100 patients, </w:t>
            </w:r>
            <w:r>
              <w:t>%)</w:t>
            </w:r>
          </w:p>
        </w:tc>
        <w:tc>
          <w:tcPr>
            <w:tcW w:w="2332" w:type="dxa"/>
          </w:tcPr>
          <w:p w:rsidR="00E17444" w:rsidRDefault="00E17444" w:rsidP="005900AD">
            <w:pPr>
              <w:pStyle w:val="Tabletext"/>
              <w:keepNext/>
              <w:keepLines/>
              <w:jc w:val="center"/>
              <w:rPr>
                <w:rFonts w:eastAsia="Calibri" w:hAnsi="Calibri" w:cs="Calibri"/>
                <w:szCs w:val="19"/>
              </w:rPr>
            </w:pPr>
            <w:r>
              <w:t>56</w:t>
            </w:r>
            <w:r>
              <w:rPr>
                <w:spacing w:val="-8"/>
              </w:rPr>
              <w:t xml:space="preserve"> </w:t>
            </w:r>
            <w:r>
              <w:t>(36.6)</w:t>
            </w:r>
          </w:p>
        </w:tc>
        <w:tc>
          <w:tcPr>
            <w:tcW w:w="2333" w:type="dxa"/>
          </w:tcPr>
          <w:p w:rsidR="00E17444" w:rsidRDefault="00E17444" w:rsidP="005900AD">
            <w:pPr>
              <w:pStyle w:val="Tabletext"/>
              <w:keepNext/>
              <w:keepLines/>
              <w:jc w:val="center"/>
              <w:rPr>
                <w:rFonts w:eastAsia="Calibri" w:hAnsi="Calibri" w:cs="Calibri"/>
                <w:szCs w:val="19"/>
              </w:rPr>
            </w:pPr>
            <w:r>
              <w:t>69</w:t>
            </w:r>
            <w:r>
              <w:rPr>
                <w:spacing w:val="-8"/>
              </w:rPr>
              <w:t xml:space="preserve"> </w:t>
            </w:r>
            <w:r>
              <w:t>(44.8)</w:t>
            </w:r>
          </w:p>
        </w:tc>
      </w:tr>
      <w:tr w:rsidR="00E17444" w:rsidTr="008874DC">
        <w:tc>
          <w:tcPr>
            <w:tcW w:w="3823" w:type="dxa"/>
          </w:tcPr>
          <w:p w:rsidR="00E17444" w:rsidRDefault="00E17444" w:rsidP="005900AD">
            <w:pPr>
              <w:pStyle w:val="Tabletext"/>
              <w:keepNext/>
              <w:keepLines/>
              <w:rPr>
                <w:rFonts w:eastAsia="Calibri" w:hAnsi="Calibri" w:cs="Calibri"/>
                <w:szCs w:val="19"/>
              </w:rPr>
            </w:pPr>
            <w:r>
              <w:t>Median</w:t>
            </w:r>
            <w:r>
              <w:rPr>
                <w:spacing w:val="-5"/>
              </w:rPr>
              <w:t xml:space="preserve"> </w:t>
            </w:r>
            <w:r>
              <w:t>OS,</w:t>
            </w:r>
            <w:r>
              <w:rPr>
                <w:spacing w:val="-5"/>
              </w:rPr>
              <w:t xml:space="preserve"> </w:t>
            </w:r>
            <w:r>
              <w:t>months</w:t>
            </w:r>
            <w:r>
              <w:rPr>
                <w:spacing w:val="-5"/>
              </w:rPr>
              <w:t xml:space="preserve"> </w:t>
            </w:r>
            <w:r>
              <w:t>(95%</w:t>
            </w:r>
            <w:r>
              <w:rPr>
                <w:spacing w:val="-7"/>
              </w:rPr>
              <w:t xml:space="preserve"> </w:t>
            </w:r>
            <w:r>
              <w:t>CI)</w:t>
            </w:r>
          </w:p>
        </w:tc>
        <w:tc>
          <w:tcPr>
            <w:tcW w:w="2332" w:type="dxa"/>
          </w:tcPr>
          <w:p w:rsidR="00E17444" w:rsidRDefault="00E17444" w:rsidP="005900AD">
            <w:pPr>
              <w:pStyle w:val="Tabletext"/>
              <w:keepNext/>
              <w:keepLines/>
              <w:jc w:val="center"/>
              <w:rPr>
                <w:rFonts w:eastAsia="Calibri" w:hAnsi="Calibri" w:cs="Calibri"/>
                <w:szCs w:val="19"/>
              </w:rPr>
            </w:pPr>
            <w:r>
              <w:t>NR</w:t>
            </w:r>
            <w:r>
              <w:rPr>
                <w:spacing w:val="-6"/>
              </w:rPr>
              <w:t xml:space="preserve"> </w:t>
            </w:r>
            <w:r>
              <w:t>(NR,</w:t>
            </w:r>
            <w:r>
              <w:rPr>
                <w:spacing w:val="-4"/>
              </w:rPr>
              <w:t xml:space="preserve"> </w:t>
            </w:r>
            <w:r>
              <w:t>NR)</w:t>
            </w:r>
          </w:p>
        </w:tc>
        <w:tc>
          <w:tcPr>
            <w:tcW w:w="2333" w:type="dxa"/>
          </w:tcPr>
          <w:p w:rsidR="00E17444" w:rsidRDefault="00E17444" w:rsidP="005900AD">
            <w:pPr>
              <w:pStyle w:val="Tabletext"/>
              <w:keepNext/>
              <w:keepLines/>
              <w:jc w:val="center"/>
              <w:rPr>
                <w:rFonts w:eastAsia="Calibri" w:hAnsi="Calibri" w:cs="Calibri"/>
                <w:szCs w:val="19"/>
              </w:rPr>
            </w:pPr>
            <w:r>
              <w:t>34.8</w:t>
            </w:r>
            <w:r>
              <w:rPr>
                <w:spacing w:val="-7"/>
              </w:rPr>
              <w:t xml:space="preserve"> </w:t>
            </w:r>
            <w:r>
              <w:t>(26.3,</w:t>
            </w:r>
            <w:r>
              <w:rPr>
                <w:spacing w:val="-5"/>
              </w:rPr>
              <w:t xml:space="preserve"> </w:t>
            </w:r>
            <w:r>
              <w:t>NR)</w:t>
            </w:r>
          </w:p>
        </w:tc>
      </w:tr>
      <w:tr w:rsidR="00E17444" w:rsidTr="008874DC">
        <w:tc>
          <w:tcPr>
            <w:tcW w:w="3823" w:type="dxa"/>
          </w:tcPr>
          <w:p w:rsidR="00E17444" w:rsidRPr="00B75328" w:rsidRDefault="00E17444" w:rsidP="005900AD">
            <w:pPr>
              <w:pStyle w:val="Tabletext"/>
              <w:keepNext/>
              <w:keepLines/>
              <w:rPr>
                <w:rFonts w:eastAsia="Calibri" w:hAnsi="Calibri" w:cs="Calibri"/>
                <w:sz w:val="12"/>
                <w:szCs w:val="12"/>
              </w:rPr>
            </w:pPr>
            <w:r w:rsidRPr="00B75328">
              <w:t>Stratified</w:t>
            </w:r>
            <w:r w:rsidRPr="00B75328">
              <w:rPr>
                <w:spacing w:val="-10"/>
              </w:rPr>
              <w:t xml:space="preserve"> </w:t>
            </w:r>
            <w:r w:rsidRPr="00B75328">
              <w:t>HR</w:t>
            </w:r>
            <w:r>
              <w:rPr>
                <w:position w:val="6"/>
                <w:sz w:val="12"/>
                <w:vertAlign w:val="superscript"/>
              </w:rPr>
              <w:t>a</w:t>
            </w:r>
          </w:p>
        </w:tc>
        <w:tc>
          <w:tcPr>
            <w:tcW w:w="4665" w:type="dxa"/>
            <w:gridSpan w:val="2"/>
          </w:tcPr>
          <w:p w:rsidR="00E17444" w:rsidRPr="00B75328" w:rsidRDefault="00E17444" w:rsidP="005900AD">
            <w:pPr>
              <w:pStyle w:val="Tabletext"/>
              <w:keepNext/>
              <w:keepLines/>
              <w:jc w:val="center"/>
              <w:rPr>
                <w:rFonts w:eastAsia="Calibri" w:hAnsi="Calibri" w:cs="Calibri"/>
                <w:szCs w:val="19"/>
              </w:rPr>
            </w:pPr>
            <w:r w:rsidRPr="00B75328">
              <w:t>0.77</w:t>
            </w:r>
            <w:r w:rsidRPr="00B75328">
              <w:rPr>
                <w:spacing w:val="-7"/>
              </w:rPr>
              <w:t xml:space="preserve"> </w:t>
            </w:r>
            <w:r w:rsidRPr="00B75328">
              <w:t>(0.54,</w:t>
            </w:r>
            <w:r w:rsidRPr="00B75328">
              <w:rPr>
                <w:spacing w:val="-6"/>
              </w:rPr>
              <w:t xml:space="preserve"> </w:t>
            </w:r>
            <w:r w:rsidRPr="00B75328">
              <w:t>1.09)</w:t>
            </w:r>
          </w:p>
        </w:tc>
      </w:tr>
      <w:tr w:rsidR="00E17444" w:rsidTr="008874DC">
        <w:tc>
          <w:tcPr>
            <w:tcW w:w="3823" w:type="dxa"/>
          </w:tcPr>
          <w:p w:rsidR="00E17444" w:rsidRPr="00B75328" w:rsidRDefault="00E17444" w:rsidP="005900AD">
            <w:pPr>
              <w:pStyle w:val="Tabletext"/>
              <w:keepNext/>
              <w:keepLines/>
              <w:rPr>
                <w:rFonts w:eastAsia="Calibri" w:hAnsi="Calibri" w:cs="Calibri"/>
                <w:sz w:val="12"/>
                <w:szCs w:val="12"/>
              </w:rPr>
            </w:pPr>
            <w:r w:rsidRPr="00B75328">
              <w:t>p-value</w:t>
            </w:r>
            <w:r>
              <w:rPr>
                <w:position w:val="6"/>
                <w:sz w:val="12"/>
                <w:vertAlign w:val="superscript"/>
              </w:rPr>
              <w:t>c</w:t>
            </w:r>
          </w:p>
        </w:tc>
        <w:tc>
          <w:tcPr>
            <w:tcW w:w="4665" w:type="dxa"/>
            <w:gridSpan w:val="2"/>
          </w:tcPr>
          <w:p w:rsidR="00E17444" w:rsidRPr="00B75328" w:rsidRDefault="00E17444" w:rsidP="005900AD">
            <w:pPr>
              <w:pStyle w:val="Tabletext"/>
              <w:keepNext/>
              <w:keepLines/>
              <w:jc w:val="center"/>
              <w:rPr>
                <w:rFonts w:eastAsia="Calibri" w:hAnsi="Calibri" w:cs="Calibri"/>
                <w:szCs w:val="19"/>
              </w:rPr>
            </w:pPr>
            <w:r w:rsidRPr="00B75328">
              <w:t>0.0694</w:t>
            </w:r>
          </w:p>
        </w:tc>
      </w:tr>
      <w:tr w:rsidR="00E17444" w:rsidTr="008874DC">
        <w:tc>
          <w:tcPr>
            <w:tcW w:w="3823" w:type="dxa"/>
          </w:tcPr>
          <w:p w:rsidR="00E17444" w:rsidRDefault="00E17444" w:rsidP="005900AD">
            <w:pPr>
              <w:pStyle w:val="Tabletext"/>
              <w:keepNext/>
              <w:keepLines/>
              <w:rPr>
                <w:rFonts w:eastAsia="Calibri" w:hAnsi="Calibri" w:cs="Calibri"/>
                <w:szCs w:val="19"/>
              </w:rPr>
            </w:pPr>
            <w:r>
              <w:t>OS</w:t>
            </w:r>
            <w:r>
              <w:rPr>
                <w:spacing w:val="-5"/>
              </w:rPr>
              <w:t xml:space="preserve"> </w:t>
            </w:r>
            <w:r>
              <w:t>rate</w:t>
            </w:r>
            <w:r>
              <w:rPr>
                <w:spacing w:val="-4"/>
              </w:rPr>
              <w:t xml:space="preserve"> </w:t>
            </w:r>
            <w:r>
              <w:t>at</w:t>
            </w:r>
            <w:r>
              <w:rPr>
                <w:spacing w:val="-3"/>
              </w:rPr>
              <w:t xml:space="preserve"> </w:t>
            </w:r>
            <w:r>
              <w:t>24</w:t>
            </w:r>
            <w:r>
              <w:rPr>
                <w:spacing w:val="-4"/>
              </w:rPr>
              <w:t xml:space="preserve"> </w:t>
            </w:r>
            <w:r>
              <w:t>months</w:t>
            </w:r>
            <w:r>
              <w:rPr>
                <w:spacing w:val="-4"/>
              </w:rPr>
              <w:t xml:space="preserve"> </w:t>
            </w:r>
            <w:r>
              <w:t>(95%</w:t>
            </w:r>
            <w:r>
              <w:rPr>
                <w:spacing w:val="-5"/>
              </w:rPr>
              <w:t xml:space="preserve"> </w:t>
            </w:r>
            <w:r>
              <w:t>CI)</w:t>
            </w:r>
          </w:p>
        </w:tc>
        <w:tc>
          <w:tcPr>
            <w:tcW w:w="2332" w:type="dxa"/>
          </w:tcPr>
          <w:p w:rsidR="00E17444" w:rsidRDefault="00E17444" w:rsidP="005900AD">
            <w:pPr>
              <w:pStyle w:val="Tabletext"/>
              <w:keepNext/>
              <w:keepLines/>
              <w:jc w:val="center"/>
              <w:rPr>
                <w:rFonts w:eastAsia="Calibri" w:hAnsi="Calibri" w:cs="Calibri"/>
                <w:szCs w:val="19"/>
              </w:rPr>
            </w:pPr>
            <w:r>
              <w:t>68.0</w:t>
            </w:r>
            <w:r>
              <w:rPr>
                <w:spacing w:val="-7"/>
              </w:rPr>
              <w:t xml:space="preserve"> </w:t>
            </w:r>
            <w:r>
              <w:t>(59.9,</w:t>
            </w:r>
            <w:r>
              <w:rPr>
                <w:spacing w:val="-6"/>
              </w:rPr>
              <w:t xml:space="preserve"> </w:t>
            </w:r>
            <w:r>
              <w:t>74.7)</w:t>
            </w:r>
          </w:p>
        </w:tc>
        <w:tc>
          <w:tcPr>
            <w:tcW w:w="2333" w:type="dxa"/>
          </w:tcPr>
          <w:p w:rsidR="00E17444" w:rsidRDefault="00E17444" w:rsidP="005900AD">
            <w:pPr>
              <w:pStyle w:val="Tabletext"/>
              <w:keepNext/>
              <w:keepLines/>
              <w:jc w:val="center"/>
              <w:rPr>
                <w:rFonts w:eastAsia="Calibri" w:hAnsi="Calibri" w:cs="Calibri"/>
                <w:szCs w:val="19"/>
              </w:rPr>
            </w:pPr>
            <w:r>
              <w:t>59.8</w:t>
            </w:r>
            <w:r>
              <w:rPr>
                <w:spacing w:val="-7"/>
              </w:rPr>
              <w:t xml:space="preserve"> </w:t>
            </w:r>
            <w:r>
              <w:t>(51.5,</w:t>
            </w:r>
            <w:r>
              <w:rPr>
                <w:spacing w:val="-6"/>
              </w:rPr>
              <w:t xml:space="preserve"> </w:t>
            </w:r>
            <w:r>
              <w:t>67.2)</w:t>
            </w:r>
          </w:p>
        </w:tc>
      </w:tr>
      <w:tr w:rsidR="00E17444" w:rsidTr="008874DC">
        <w:tc>
          <w:tcPr>
            <w:tcW w:w="3823" w:type="dxa"/>
          </w:tcPr>
          <w:p w:rsidR="00E17444" w:rsidRDefault="00E17444" w:rsidP="005900AD">
            <w:pPr>
              <w:pStyle w:val="Tabletext"/>
              <w:keepNext/>
              <w:keepLines/>
            </w:pPr>
            <w:r>
              <w:t>Difference between pembrolizumab and SoC</w:t>
            </w:r>
          </w:p>
        </w:tc>
        <w:tc>
          <w:tcPr>
            <w:tcW w:w="4665" w:type="dxa"/>
            <w:gridSpan w:val="2"/>
          </w:tcPr>
          <w:p w:rsidR="00E17444" w:rsidRDefault="00E17444" w:rsidP="005900AD">
            <w:pPr>
              <w:pStyle w:val="Tabletext"/>
              <w:keepNext/>
              <w:keepLines/>
              <w:jc w:val="center"/>
            </w:pPr>
            <w:r>
              <w:t>8.2%</w:t>
            </w:r>
          </w:p>
        </w:tc>
      </w:tr>
      <w:tr w:rsidR="001448AB" w:rsidTr="008874DC">
        <w:tc>
          <w:tcPr>
            <w:tcW w:w="8488" w:type="dxa"/>
            <w:gridSpan w:val="3"/>
          </w:tcPr>
          <w:p w:rsidR="001448AB" w:rsidRPr="001448AB" w:rsidRDefault="001448AB" w:rsidP="005900AD">
            <w:pPr>
              <w:pStyle w:val="Tabletext"/>
              <w:keepNext/>
              <w:keepLines/>
              <w:rPr>
                <w:b/>
              </w:rPr>
            </w:pPr>
            <w:r w:rsidRPr="001448AB">
              <w:rPr>
                <w:b/>
              </w:rPr>
              <w:t>HARMS</w:t>
            </w:r>
            <w:r w:rsidR="007A2049">
              <w:rPr>
                <w:b/>
              </w:rPr>
              <w:t xml:space="preserve"> (event rate per 100 patients)</w:t>
            </w:r>
          </w:p>
        </w:tc>
      </w:tr>
      <w:tr w:rsidR="001448AB" w:rsidTr="008874DC">
        <w:tc>
          <w:tcPr>
            <w:tcW w:w="3823" w:type="dxa"/>
          </w:tcPr>
          <w:p w:rsidR="001448AB" w:rsidRDefault="00126B2C" w:rsidP="005900AD">
            <w:pPr>
              <w:pStyle w:val="Tabletext"/>
              <w:keepNext/>
              <w:keepLines/>
            </w:pPr>
            <w:r>
              <w:t>With toxicity Grade 3-5 drug-related AEs, n (%)</w:t>
            </w:r>
          </w:p>
        </w:tc>
        <w:tc>
          <w:tcPr>
            <w:tcW w:w="2332" w:type="dxa"/>
          </w:tcPr>
          <w:p w:rsidR="001448AB" w:rsidRDefault="00126B2C" w:rsidP="005900AD">
            <w:pPr>
              <w:pStyle w:val="Tabletext"/>
              <w:keepNext/>
              <w:keepLines/>
              <w:jc w:val="center"/>
            </w:pPr>
            <w:r>
              <w:t>33 (21.6)</w:t>
            </w:r>
          </w:p>
        </w:tc>
        <w:tc>
          <w:tcPr>
            <w:tcW w:w="2333" w:type="dxa"/>
          </w:tcPr>
          <w:p w:rsidR="001448AB" w:rsidRDefault="00126B2C" w:rsidP="005900AD">
            <w:pPr>
              <w:pStyle w:val="Tabletext"/>
              <w:keepNext/>
              <w:keepLines/>
              <w:jc w:val="center"/>
            </w:pPr>
            <w:r>
              <w:t>94 (65.7)</w:t>
            </w:r>
          </w:p>
        </w:tc>
      </w:tr>
      <w:tr w:rsidR="001448AB" w:rsidTr="008874DC">
        <w:tc>
          <w:tcPr>
            <w:tcW w:w="3823" w:type="dxa"/>
          </w:tcPr>
          <w:p w:rsidR="001448AB" w:rsidRPr="00126B2C" w:rsidRDefault="001448AB" w:rsidP="005900AD">
            <w:pPr>
              <w:pStyle w:val="Tabletext"/>
              <w:keepNext/>
              <w:keepLines/>
              <w:rPr>
                <w:vertAlign w:val="superscript"/>
              </w:rPr>
            </w:pPr>
            <w:r>
              <w:t>Difference between pembrolizumab and SoC</w:t>
            </w:r>
            <w:r w:rsidR="00126B2C">
              <w:rPr>
                <w:vertAlign w:val="superscript"/>
              </w:rPr>
              <w:t>d</w:t>
            </w:r>
          </w:p>
        </w:tc>
        <w:tc>
          <w:tcPr>
            <w:tcW w:w="4665" w:type="dxa"/>
            <w:gridSpan w:val="2"/>
          </w:tcPr>
          <w:p w:rsidR="001448AB" w:rsidRDefault="00024B54" w:rsidP="005900AD">
            <w:pPr>
              <w:pStyle w:val="Tabletext"/>
              <w:keepNext/>
              <w:keepLines/>
              <w:jc w:val="center"/>
            </w:pPr>
            <w:r>
              <w:t>-44.1%</w:t>
            </w:r>
          </w:p>
        </w:tc>
      </w:tr>
      <w:tr w:rsidR="001448AB" w:rsidTr="008874DC">
        <w:tc>
          <w:tcPr>
            <w:tcW w:w="3823" w:type="dxa"/>
          </w:tcPr>
          <w:p w:rsidR="001448AB" w:rsidRDefault="00126B2C" w:rsidP="005900AD">
            <w:pPr>
              <w:pStyle w:val="Tabletext"/>
              <w:keepNext/>
              <w:keepLines/>
            </w:pPr>
            <w:r>
              <w:t>With s</w:t>
            </w:r>
            <w:r w:rsidRPr="00126B2C">
              <w:t xml:space="preserve">erious drug-related </w:t>
            </w:r>
            <w:r>
              <w:t>AEs, n (%)</w:t>
            </w:r>
          </w:p>
        </w:tc>
        <w:tc>
          <w:tcPr>
            <w:tcW w:w="2332" w:type="dxa"/>
          </w:tcPr>
          <w:p w:rsidR="001448AB" w:rsidRDefault="00024B54" w:rsidP="005900AD">
            <w:pPr>
              <w:pStyle w:val="Tabletext"/>
              <w:keepNext/>
              <w:keepLines/>
              <w:jc w:val="center"/>
            </w:pPr>
            <w:r>
              <w:t>25 (16.3)</w:t>
            </w:r>
          </w:p>
        </w:tc>
        <w:tc>
          <w:tcPr>
            <w:tcW w:w="2333" w:type="dxa"/>
          </w:tcPr>
          <w:p w:rsidR="001448AB" w:rsidRDefault="00024B54" w:rsidP="005900AD">
            <w:pPr>
              <w:pStyle w:val="Tabletext"/>
              <w:keepNext/>
              <w:keepLines/>
              <w:jc w:val="center"/>
            </w:pPr>
            <w:r>
              <w:t>41 (28.7)</w:t>
            </w:r>
          </w:p>
        </w:tc>
      </w:tr>
      <w:tr w:rsidR="00024B54" w:rsidTr="008874DC">
        <w:tc>
          <w:tcPr>
            <w:tcW w:w="3823" w:type="dxa"/>
          </w:tcPr>
          <w:p w:rsidR="00024B54" w:rsidRDefault="00024B54" w:rsidP="005900AD">
            <w:pPr>
              <w:pStyle w:val="Tabletext"/>
              <w:keepNext/>
              <w:keepLines/>
            </w:pPr>
            <w:r>
              <w:t>Difference between pembrolizumab and SoC</w:t>
            </w:r>
          </w:p>
        </w:tc>
        <w:tc>
          <w:tcPr>
            <w:tcW w:w="4665" w:type="dxa"/>
            <w:gridSpan w:val="2"/>
          </w:tcPr>
          <w:p w:rsidR="00024B54" w:rsidRDefault="00024B54" w:rsidP="005900AD">
            <w:pPr>
              <w:pStyle w:val="Tabletext"/>
              <w:keepNext/>
              <w:keepLines/>
              <w:jc w:val="center"/>
            </w:pPr>
            <w:r>
              <w:t>-12.4%</w:t>
            </w:r>
          </w:p>
        </w:tc>
      </w:tr>
      <w:tr w:rsidR="001448AB" w:rsidTr="008874DC">
        <w:tc>
          <w:tcPr>
            <w:tcW w:w="3823" w:type="dxa"/>
          </w:tcPr>
          <w:p w:rsidR="001448AB" w:rsidRDefault="00126B2C" w:rsidP="005900AD">
            <w:pPr>
              <w:pStyle w:val="Tabletext"/>
              <w:keepNext/>
              <w:keepLines/>
            </w:pPr>
            <w:r>
              <w:t>With Grade 3-4 AEOSI, n (%)</w:t>
            </w:r>
          </w:p>
        </w:tc>
        <w:tc>
          <w:tcPr>
            <w:tcW w:w="2332" w:type="dxa"/>
          </w:tcPr>
          <w:p w:rsidR="001448AB" w:rsidRDefault="00024B54" w:rsidP="005900AD">
            <w:pPr>
              <w:pStyle w:val="Tabletext"/>
              <w:keepNext/>
              <w:keepLines/>
              <w:jc w:val="center"/>
            </w:pPr>
            <w:r>
              <w:t>14 (9.1%)</w:t>
            </w:r>
          </w:p>
        </w:tc>
        <w:tc>
          <w:tcPr>
            <w:tcW w:w="2333" w:type="dxa"/>
          </w:tcPr>
          <w:p w:rsidR="001448AB" w:rsidRDefault="00024B54" w:rsidP="005900AD">
            <w:pPr>
              <w:pStyle w:val="Tabletext"/>
              <w:keepNext/>
              <w:keepLines/>
              <w:jc w:val="center"/>
            </w:pPr>
            <w:r>
              <w:t>3 (2.1%)</w:t>
            </w:r>
          </w:p>
        </w:tc>
      </w:tr>
      <w:tr w:rsidR="00024B54" w:rsidTr="008874DC">
        <w:tc>
          <w:tcPr>
            <w:tcW w:w="3823" w:type="dxa"/>
          </w:tcPr>
          <w:p w:rsidR="00024B54" w:rsidRDefault="00024B54" w:rsidP="005900AD">
            <w:pPr>
              <w:pStyle w:val="Tabletext"/>
              <w:keepNext/>
              <w:keepLines/>
            </w:pPr>
            <w:r>
              <w:t>Difference between pembrolizumab and SoC</w:t>
            </w:r>
          </w:p>
        </w:tc>
        <w:tc>
          <w:tcPr>
            <w:tcW w:w="4665" w:type="dxa"/>
            <w:gridSpan w:val="2"/>
          </w:tcPr>
          <w:p w:rsidR="00024B54" w:rsidRDefault="00024B54" w:rsidP="005900AD">
            <w:pPr>
              <w:pStyle w:val="Tabletext"/>
              <w:keepNext/>
              <w:keepLines/>
              <w:jc w:val="center"/>
            </w:pPr>
            <w:r>
              <w:t>-7.0%</w:t>
            </w:r>
          </w:p>
        </w:tc>
      </w:tr>
    </w:tbl>
    <w:p w:rsidR="00BF3FE5" w:rsidRDefault="00BF3FE5" w:rsidP="005900AD">
      <w:pPr>
        <w:pStyle w:val="TableFooter"/>
        <w:keepNext/>
        <w:keepLines/>
      </w:pPr>
      <w:r>
        <w:t xml:space="preserve">Source: </w:t>
      </w:r>
      <w:r w:rsidR="00024B54">
        <w:t xml:space="preserve">For benefits, Table 4, p12 of </w:t>
      </w:r>
      <w:r w:rsidR="00024B54" w:rsidRPr="003D1FE5">
        <w:t xml:space="preserve">Delegate’s overview </w:t>
      </w:r>
      <w:r w:rsidR="00024B54">
        <w:t>for p</w:t>
      </w:r>
      <w:r w:rsidR="00024B54" w:rsidRPr="003D1FE5">
        <w:t>embrolizumab</w:t>
      </w:r>
      <w:r w:rsidR="00024B54" w:rsidRPr="00BD3340">
        <w:t xml:space="preserve"> </w:t>
      </w:r>
      <w:r w:rsidR="00024B54">
        <w:t>(</w:t>
      </w:r>
      <w:r w:rsidR="00024B54" w:rsidRPr="00493E96">
        <w:t>MSD PM-2020-03165-1-4</w:t>
      </w:r>
      <w:r w:rsidR="00024B54">
        <w:t xml:space="preserve">); For harms, </w:t>
      </w:r>
      <w:r w:rsidR="00024B54" w:rsidRPr="00024B54">
        <w:t>Table 12.1, p91 of the CSR</w:t>
      </w:r>
      <w:r w:rsidR="00024B54">
        <w:t xml:space="preserve">, and </w:t>
      </w:r>
      <w:r w:rsidR="00024B54" w:rsidRPr="00024B54">
        <w:t>Table 14.3-46, p319 of the KN177 CSR</w:t>
      </w:r>
      <w:r>
        <w:t>.</w:t>
      </w:r>
    </w:p>
    <w:p w:rsidR="00BF3FE5" w:rsidRDefault="00BF3FE5" w:rsidP="005900AD">
      <w:pPr>
        <w:pStyle w:val="TableFooter"/>
        <w:keepNext/>
        <w:keepLines/>
      </w:pPr>
      <w:r>
        <w:t>Database Cut</w:t>
      </w:r>
      <w:r w:rsidR="00400F01">
        <w:t>-</w:t>
      </w:r>
      <w:r>
        <w:t>off Date: 19FEB2020. M</w:t>
      </w:r>
      <w:r w:rsidRPr="00AE170B">
        <w:t>edian duration of follow up across both treatment groups was 27.6 months.</w:t>
      </w:r>
    </w:p>
    <w:p w:rsidR="00BF3FE5" w:rsidRPr="00B75328" w:rsidRDefault="00BF3FE5" w:rsidP="005900AD">
      <w:pPr>
        <w:pStyle w:val="TableFooter"/>
        <w:keepNext/>
        <w:keepLines/>
        <w:rPr>
          <w:b/>
        </w:rPr>
      </w:pPr>
      <w:r w:rsidRPr="00B75328">
        <w:rPr>
          <w:b/>
        </w:rPr>
        <w:t>Bolded results are statistically significant.</w:t>
      </w:r>
    </w:p>
    <w:p w:rsidR="00BF3FE5" w:rsidRDefault="00BF3FE5" w:rsidP="005900AD">
      <w:pPr>
        <w:pStyle w:val="TableFooter"/>
        <w:keepNext/>
        <w:keepLines/>
      </w:pPr>
      <w:r>
        <w:t>CI=confidence interval; HR=hazard ratio; n=number; NR=not reached; OS=overall survival; PFS=progression-free survival; S</w:t>
      </w:r>
      <w:r w:rsidR="001448AB">
        <w:t>o</w:t>
      </w:r>
      <w:r>
        <w:t>C</w:t>
      </w:r>
      <w:r w:rsidR="00126B2C">
        <w:t>=standard of care; AEs = adverse events; AEOSI = adverse events of special interest.</w:t>
      </w:r>
    </w:p>
    <w:p w:rsidR="00BF3FE5" w:rsidRDefault="00BF3FE5" w:rsidP="005900AD">
      <w:pPr>
        <w:pStyle w:val="TableFooter"/>
        <w:keepNext/>
        <w:keepLines/>
      </w:pPr>
      <w:r>
        <w:rPr>
          <w:vertAlign w:val="superscript"/>
        </w:rPr>
        <w:t>a</w:t>
      </w:r>
      <w:r w:rsidRPr="002D1A13">
        <w:rPr>
          <w:vertAlign w:val="superscript"/>
        </w:rPr>
        <w:t xml:space="preserve"> </w:t>
      </w:r>
      <w:r>
        <w:t>Based on Cox regression model with Efron’s method of tie handling with treatment as a covariate.</w:t>
      </w:r>
    </w:p>
    <w:p w:rsidR="00BF3FE5" w:rsidRDefault="00BF3FE5" w:rsidP="005900AD">
      <w:pPr>
        <w:pStyle w:val="TableFooter"/>
        <w:keepNext/>
        <w:keepLines/>
      </w:pPr>
      <w:r>
        <w:rPr>
          <w:vertAlign w:val="superscript"/>
        </w:rPr>
        <w:t>b</w:t>
      </w:r>
      <w:r w:rsidRPr="002D1A13">
        <w:rPr>
          <w:vertAlign w:val="superscript"/>
        </w:rPr>
        <w:t xml:space="preserve"> </w:t>
      </w:r>
      <w:r>
        <w:t>One-sided p-value based on log-rank test; pre-specified significance boundary = 0.0117</w:t>
      </w:r>
    </w:p>
    <w:p w:rsidR="00BF3FE5" w:rsidRDefault="00BF3FE5" w:rsidP="005900AD">
      <w:pPr>
        <w:pStyle w:val="TableFooter"/>
        <w:keepNext/>
        <w:keepLines/>
      </w:pPr>
      <w:r>
        <w:rPr>
          <w:vertAlign w:val="superscript"/>
        </w:rPr>
        <w:t>c</w:t>
      </w:r>
      <w:r w:rsidR="00B37929">
        <w:rPr>
          <w:vertAlign w:val="superscript"/>
        </w:rPr>
        <w:t xml:space="preserve"> </w:t>
      </w:r>
      <w:r>
        <w:t>One-sided p-value based on log-rank test; pre-specified significance boundary = 0.0053</w:t>
      </w:r>
    </w:p>
    <w:p w:rsidR="00126B2C" w:rsidRDefault="00126B2C" w:rsidP="005900AD">
      <w:pPr>
        <w:pStyle w:val="TableFooter"/>
        <w:keepNext/>
        <w:keepLines/>
      </w:pPr>
      <w:r>
        <w:rPr>
          <w:vertAlign w:val="superscript"/>
        </w:rPr>
        <w:t>d</w:t>
      </w:r>
      <w:r w:rsidR="00B37929">
        <w:rPr>
          <w:vertAlign w:val="superscript"/>
        </w:rPr>
        <w:t xml:space="preserve"> </w:t>
      </w:r>
      <w:r>
        <w:t>Number of patients in SoC arm who received treatment was 143.</w:t>
      </w:r>
    </w:p>
    <w:p w:rsidR="007A2049" w:rsidRDefault="007A2049" w:rsidP="00951688">
      <w:pPr>
        <w:pStyle w:val="TableFooter"/>
        <w:rPr>
          <w:lang w:val="en-US"/>
        </w:rPr>
      </w:pPr>
    </w:p>
    <w:p w:rsidR="002441D2" w:rsidRPr="00F71C5B" w:rsidRDefault="002441D2" w:rsidP="00E9094A">
      <w:pPr>
        <w:pStyle w:val="3-BodyText"/>
      </w:pPr>
      <w:r w:rsidRPr="00F71C5B">
        <w:t xml:space="preserve">On the basis of direct evidence </w:t>
      </w:r>
      <w:r w:rsidR="007A2049" w:rsidRPr="00F71C5B">
        <w:t xml:space="preserve">from KN177 </w:t>
      </w:r>
      <w:r w:rsidRPr="00F71C5B">
        <w:t xml:space="preserve">presented by the submission, for every 100 patients treated with </w:t>
      </w:r>
      <w:r w:rsidR="007A2049" w:rsidRPr="00F71C5B">
        <w:t>pembrolizumab</w:t>
      </w:r>
      <w:r w:rsidR="00C96811" w:rsidRPr="00F71C5B">
        <w:t xml:space="preserve"> (median duration of exposure 11.1 months)</w:t>
      </w:r>
      <w:r w:rsidR="007A2049" w:rsidRPr="00F71C5B">
        <w:t xml:space="preserve"> </w:t>
      </w:r>
      <w:r w:rsidRPr="00F71C5B">
        <w:t xml:space="preserve">in comparison </w:t>
      </w:r>
      <w:r w:rsidR="006D68FB" w:rsidRPr="00F71C5B">
        <w:t>with</w:t>
      </w:r>
      <w:r w:rsidR="007A2049" w:rsidRPr="00F71C5B">
        <w:t xml:space="preserve"> SoC</w:t>
      </w:r>
      <w:r w:rsidR="00C96811" w:rsidRPr="00F71C5B">
        <w:t xml:space="preserve"> (median duration of exposure 5.7 months)</w:t>
      </w:r>
      <w:r w:rsidR="007A2049" w:rsidRPr="00F71C5B">
        <w:t>, over a median duration of follow up of approximately 28 months</w:t>
      </w:r>
      <w:r w:rsidRPr="00F71C5B">
        <w:t>:</w:t>
      </w:r>
    </w:p>
    <w:p w:rsidR="00C96811" w:rsidRPr="00F71C5B" w:rsidRDefault="002441D2" w:rsidP="00E9094A">
      <w:pPr>
        <w:pStyle w:val="ListParagraph"/>
      </w:pPr>
      <w:r w:rsidRPr="00F71C5B">
        <w:t xml:space="preserve">Approximately </w:t>
      </w:r>
      <w:r w:rsidR="00257B6B" w:rsidRPr="00F71C5B">
        <w:t>30</w:t>
      </w:r>
      <w:r w:rsidRPr="00F71C5B">
        <w:t xml:space="preserve"> </w:t>
      </w:r>
      <w:r w:rsidR="00C41768" w:rsidRPr="00F71C5B">
        <w:t>additional</w:t>
      </w:r>
      <w:r w:rsidRPr="00F71C5B">
        <w:t xml:space="preserve"> patients </w:t>
      </w:r>
      <w:r w:rsidR="00C41768" w:rsidRPr="00F71C5B">
        <w:t xml:space="preserve">will </w:t>
      </w:r>
      <w:r w:rsidRPr="00F71C5B">
        <w:t>remain progression-free</w:t>
      </w:r>
      <w:r w:rsidR="000435EE" w:rsidRPr="00F71C5B">
        <w:t xml:space="preserve"> </w:t>
      </w:r>
      <w:r w:rsidRPr="00F71C5B">
        <w:t xml:space="preserve">after </w:t>
      </w:r>
      <w:r w:rsidR="00257B6B" w:rsidRPr="00F71C5B">
        <w:t>24</w:t>
      </w:r>
      <w:r w:rsidRPr="00F71C5B">
        <w:t xml:space="preserve"> months</w:t>
      </w:r>
      <w:r w:rsidR="00C96811" w:rsidRPr="00F71C5B">
        <w:t>.</w:t>
      </w:r>
      <w:r w:rsidRPr="00F71C5B">
        <w:t xml:space="preserve"> </w:t>
      </w:r>
      <w:r w:rsidR="00B66767" w:rsidRPr="00F71C5B">
        <w:t>OS</w:t>
      </w:r>
      <w:r w:rsidR="00C96811" w:rsidRPr="00F71C5B">
        <w:t xml:space="preserve"> benefit was not significant although the data remain immature and are potentially biased against pembrolizumab due to SoC patients switching over to pembrolizumab</w:t>
      </w:r>
      <w:r w:rsidR="00296F79" w:rsidRPr="00F71C5B">
        <w:t xml:space="preserve"> </w:t>
      </w:r>
      <w:r w:rsidR="004D68AD" w:rsidRPr="00F71C5B">
        <w:t xml:space="preserve">or </w:t>
      </w:r>
      <w:r w:rsidR="004D68AD" w:rsidRPr="00F71C5B">
        <w:rPr>
          <w:snapToGrid/>
        </w:rPr>
        <w:t>other anti-PD-1/PD-L1 therapies</w:t>
      </w:r>
      <w:r w:rsidR="00C96811" w:rsidRPr="00F71C5B">
        <w:t xml:space="preserve">. </w:t>
      </w:r>
    </w:p>
    <w:p w:rsidR="0000388C" w:rsidRPr="00F71C5B" w:rsidRDefault="00C96811" w:rsidP="00C96811">
      <w:pPr>
        <w:pStyle w:val="ListParagraph"/>
      </w:pPr>
      <w:r w:rsidRPr="00F71C5B">
        <w:t>44 less patients will experience a Grade 3-5 drug-related AE, 12 less patients will experience a serious drug-related AE. However, 7 additional patients will experience a</w:t>
      </w:r>
      <w:r w:rsidR="0000388C" w:rsidRPr="00F71C5B">
        <w:t xml:space="preserve"> Grade 3-4</w:t>
      </w:r>
      <w:r w:rsidRPr="00F71C5B">
        <w:t xml:space="preserve"> </w:t>
      </w:r>
      <w:r w:rsidR="00326755" w:rsidRPr="00F71C5B">
        <w:t>AEOSI</w:t>
      </w:r>
      <w:r w:rsidR="0000388C" w:rsidRPr="00F71C5B">
        <w:t>. These would primarily include colitis and immune mediated hepatitis.</w:t>
      </w:r>
    </w:p>
    <w:p w:rsidR="00B60939" w:rsidRPr="00C9624D" w:rsidRDefault="00B60939" w:rsidP="00E9094A">
      <w:pPr>
        <w:pStyle w:val="4-SubsectionHeading"/>
      </w:pPr>
      <w:bookmarkStart w:id="20" w:name="_Toc22897644"/>
      <w:bookmarkStart w:id="21" w:name="_Toc62027407"/>
      <w:r w:rsidRPr="00C9624D">
        <w:t>Clinical claim</w:t>
      </w:r>
      <w:bookmarkEnd w:id="20"/>
      <w:bookmarkEnd w:id="21"/>
    </w:p>
    <w:p w:rsidR="007C70FF" w:rsidRPr="006706ED" w:rsidRDefault="006706ED" w:rsidP="006706ED">
      <w:pPr>
        <w:pStyle w:val="3-BodyText"/>
      </w:pPr>
      <w:r w:rsidRPr="006706ED">
        <w:t>The submission described pembrolizumab monotherapy, administered until progression or for a maximum of 35 cycles</w:t>
      </w:r>
      <w:r w:rsidR="00F15855">
        <w:t xml:space="preserve"> (200 mg </w:t>
      </w:r>
      <w:r w:rsidR="007906E0">
        <w:t>Q3W)</w:t>
      </w:r>
      <w:r w:rsidRPr="006706ED">
        <w:t>, as superior compared with mFOLFOX6 or FOLFIRI chemotherapy regimens (with or without bevacizumab, cetuximab or panitumumab), in terms of both effectiveness and safety</w:t>
      </w:r>
      <w:r w:rsidR="00320FFA">
        <w:t>.</w:t>
      </w:r>
    </w:p>
    <w:p w:rsidR="00FD4FAE" w:rsidRPr="00F71C5B" w:rsidRDefault="006706ED" w:rsidP="00BB282B">
      <w:pPr>
        <w:pStyle w:val="3-BodyText"/>
        <w:rPr>
          <w:rFonts w:eastAsia="Calibri"/>
        </w:rPr>
      </w:pPr>
      <w:r w:rsidRPr="00F71C5B">
        <w:rPr>
          <w:rFonts w:eastAsia="Calibri"/>
        </w:rPr>
        <w:t xml:space="preserve">For PFS, the benefit associated with pembrolizumab appeared clinically meaningful. This provides patients with </w:t>
      </w:r>
      <w:r w:rsidR="00FD4FAE" w:rsidRPr="00F71C5B">
        <w:rPr>
          <w:rFonts w:eastAsia="Calibri"/>
        </w:rPr>
        <w:t xml:space="preserve">metastatic disease </w:t>
      </w:r>
      <w:r w:rsidRPr="00F71C5B">
        <w:rPr>
          <w:rFonts w:eastAsia="Calibri"/>
        </w:rPr>
        <w:t>a chemotherapy free regimen</w:t>
      </w:r>
      <w:r w:rsidR="00FD4FAE" w:rsidRPr="00F71C5B">
        <w:rPr>
          <w:rFonts w:eastAsia="Calibri"/>
        </w:rPr>
        <w:t xml:space="preserve"> in the first line setting.</w:t>
      </w:r>
      <w:r w:rsidRPr="00F71C5B">
        <w:rPr>
          <w:rFonts w:eastAsia="Calibri"/>
        </w:rPr>
        <w:t xml:space="preserve"> </w:t>
      </w:r>
      <w:r w:rsidR="00FD4FAE" w:rsidRPr="00F71C5B">
        <w:rPr>
          <w:rFonts w:eastAsia="Calibri"/>
        </w:rPr>
        <w:t>The magnitude of the OS benefit associated with pembrolizumab is uncertain</w:t>
      </w:r>
      <w:r w:rsidR="00EC3EDA" w:rsidRPr="00F71C5B">
        <w:rPr>
          <w:rFonts w:eastAsia="Calibri"/>
        </w:rPr>
        <w:t xml:space="preserve"> due to </w:t>
      </w:r>
      <w:r w:rsidR="00320FFA" w:rsidRPr="00F71C5B">
        <w:rPr>
          <w:rFonts w:eastAsia="Calibri"/>
        </w:rPr>
        <w:t>treatment switching</w:t>
      </w:r>
      <w:r w:rsidR="00EC3EDA" w:rsidRPr="00F71C5B">
        <w:rPr>
          <w:rFonts w:eastAsia="Calibri"/>
        </w:rPr>
        <w:t xml:space="preserve"> and because only about 40% of patients had died at the time of analysis</w:t>
      </w:r>
      <w:r w:rsidR="00FD4FAE" w:rsidRPr="00F71C5B">
        <w:rPr>
          <w:rFonts w:eastAsia="Calibri"/>
        </w:rPr>
        <w:t xml:space="preserve">. </w:t>
      </w:r>
      <w:r w:rsidRPr="00F71C5B">
        <w:rPr>
          <w:rFonts w:eastAsia="Calibri"/>
        </w:rPr>
        <w:t xml:space="preserve">OS </w:t>
      </w:r>
      <w:r w:rsidR="00FD4FAE" w:rsidRPr="00F71C5B">
        <w:rPr>
          <w:rFonts w:eastAsia="Calibri"/>
        </w:rPr>
        <w:t>results</w:t>
      </w:r>
      <w:r w:rsidR="00320FFA" w:rsidRPr="00F71C5B">
        <w:rPr>
          <w:rFonts w:eastAsia="Calibri"/>
        </w:rPr>
        <w:t xml:space="preserve"> adjusted for treatment switching</w:t>
      </w:r>
      <w:r w:rsidR="00FD4FAE" w:rsidRPr="00F71C5B">
        <w:rPr>
          <w:rFonts w:eastAsia="Calibri"/>
        </w:rPr>
        <w:t xml:space="preserve"> varied according to the methods of adjustment used</w:t>
      </w:r>
      <w:r w:rsidR="00320FFA" w:rsidRPr="00F71C5B">
        <w:rPr>
          <w:rFonts w:eastAsia="Calibri"/>
        </w:rPr>
        <w:t>.</w:t>
      </w:r>
      <w:r w:rsidR="00FD4FAE" w:rsidRPr="00F71C5B">
        <w:rPr>
          <w:rFonts w:eastAsia="Calibri"/>
        </w:rPr>
        <w:t xml:space="preserve"> </w:t>
      </w:r>
      <w:r w:rsidR="00BB282B" w:rsidRPr="00590140">
        <w:rPr>
          <w:rFonts w:eastAsia="Calibri"/>
        </w:rPr>
        <w:t>The ESC noted that dMMR mCRC is associated with an upregulated immune microenvironment and considered the PFS benefit observed with pembrolizumab was likely to correlate with an OS survival benefit.</w:t>
      </w:r>
    </w:p>
    <w:p w:rsidR="005F7588" w:rsidRDefault="00FD4FAE" w:rsidP="002A36B6">
      <w:pPr>
        <w:pStyle w:val="3-BodyText"/>
        <w:rPr>
          <w:rFonts w:eastAsia="Calibri"/>
        </w:rPr>
      </w:pPr>
      <w:r w:rsidRPr="00F71C5B">
        <w:rPr>
          <w:rFonts w:eastAsia="Calibri"/>
        </w:rPr>
        <w:t xml:space="preserve">There were some early excess progressive disease and deaths which is not an observation </w:t>
      </w:r>
      <w:r w:rsidR="008B5D67" w:rsidRPr="00F71C5B">
        <w:rPr>
          <w:rFonts w:eastAsia="Calibri"/>
        </w:rPr>
        <w:t xml:space="preserve">unique </w:t>
      </w:r>
      <w:r w:rsidRPr="00F71C5B">
        <w:rPr>
          <w:rFonts w:eastAsia="Calibri"/>
        </w:rPr>
        <w:t xml:space="preserve">to pembrolizumab or to the KN177 trial. This observation is common to PD-1/PD-L1 inhibitor monotherapy across several different indications. </w:t>
      </w:r>
      <w:r w:rsidR="00501166" w:rsidRPr="00590140">
        <w:rPr>
          <w:rFonts w:eastAsia="Calibri"/>
        </w:rPr>
        <w:t>The ESC considered that d</w:t>
      </w:r>
      <w:r w:rsidRPr="00590140">
        <w:rPr>
          <w:rFonts w:eastAsia="Calibri"/>
        </w:rPr>
        <w:t>etermining which</w:t>
      </w:r>
      <w:r w:rsidRPr="00F71C5B">
        <w:rPr>
          <w:rFonts w:eastAsia="Calibri"/>
        </w:rPr>
        <w:t xml:space="preserve"> patients would respond to SoC better than to pembrolizumab in the first line setting cannot be established from the available KN177 data.</w:t>
      </w:r>
      <w:r w:rsidR="00501166">
        <w:rPr>
          <w:rFonts w:eastAsia="Calibri"/>
        </w:rPr>
        <w:t xml:space="preserve"> </w:t>
      </w:r>
    </w:p>
    <w:p w:rsidR="00FF272A" w:rsidRPr="00805D47" w:rsidRDefault="00AB7FA3" w:rsidP="00805D47">
      <w:pPr>
        <w:pStyle w:val="3-BodyText"/>
        <w:rPr>
          <w:rFonts w:eastAsia="Calibri"/>
        </w:rPr>
      </w:pPr>
      <w:r>
        <w:rPr>
          <w:rFonts w:eastAsia="Calibri"/>
        </w:rPr>
        <w:t>The PBAC</w:t>
      </w:r>
      <w:r w:rsidR="00FF272A">
        <w:rPr>
          <w:rFonts w:eastAsia="Calibri"/>
        </w:rPr>
        <w:t xml:space="preserve"> considered the </w:t>
      </w:r>
      <w:r w:rsidR="00805D47">
        <w:rPr>
          <w:rFonts w:eastAsia="Calibri"/>
        </w:rPr>
        <w:t xml:space="preserve">claim that pembrolizumab was superior to standard of care in terms of effectiveness and safety was reasonable.  </w:t>
      </w:r>
    </w:p>
    <w:p w:rsidR="00B60939" w:rsidRPr="00C9624D" w:rsidRDefault="00B60939" w:rsidP="00E9094A">
      <w:pPr>
        <w:pStyle w:val="4-SubsectionHeading"/>
      </w:pPr>
      <w:bookmarkStart w:id="22" w:name="_Toc22897645"/>
      <w:bookmarkStart w:id="23" w:name="_Toc62027408"/>
      <w:r w:rsidRPr="00C9624D">
        <w:t>Economic analysis</w:t>
      </w:r>
      <w:bookmarkEnd w:id="22"/>
      <w:bookmarkEnd w:id="23"/>
      <w:r w:rsidR="00491B3A" w:rsidRPr="00C9624D">
        <w:t xml:space="preserve"> </w:t>
      </w:r>
    </w:p>
    <w:p w:rsidR="00242C20" w:rsidRPr="0074481B" w:rsidRDefault="00242C20" w:rsidP="00242C20">
      <w:pPr>
        <w:pStyle w:val="3-BodyText"/>
        <w:spacing w:after="160"/>
      </w:pPr>
      <w:bookmarkStart w:id="24" w:name="_Toc22897647"/>
      <w:bookmarkStart w:id="25" w:name="_Toc22897650"/>
      <w:r w:rsidRPr="0074481B">
        <w:t>The submission presented a modelled economic evaluation, based on the direct randomised trial KN177. The type of economic evaluation presented was a cost-effectiveness analysis and a cost-utility analysis, measuring outcomes in terms of life-years (LYs) gained and quality-adjusted life years (QALYs) gained, respectively. The key components of the economic evaluation are summarised below.</w:t>
      </w:r>
    </w:p>
    <w:p w:rsidR="00242C20" w:rsidRPr="0074481B" w:rsidRDefault="00242C20" w:rsidP="005900AD">
      <w:pPr>
        <w:pStyle w:val="Caption"/>
        <w:keepLines/>
        <w:rPr>
          <w:rStyle w:val="CommentReference"/>
          <w:b/>
          <w:szCs w:val="24"/>
        </w:rPr>
      </w:pPr>
      <w:r w:rsidRPr="0074481B">
        <w:t xml:space="preserve">Table </w:t>
      </w:r>
      <w:r w:rsidR="009A4847">
        <w:rPr>
          <w:noProof/>
        </w:rPr>
        <w:t>9</w:t>
      </w:r>
      <w:r w:rsidRPr="0074481B">
        <w:t xml:space="preserve">: </w:t>
      </w:r>
      <w:r w:rsidRPr="0074481B">
        <w:rPr>
          <w:rStyle w:val="CommentReference"/>
          <w:b/>
          <w:szCs w:val="24"/>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242C20" w:rsidRPr="0074481B" w:rsidTr="00242C20">
        <w:trPr>
          <w:tblHeader/>
        </w:trPr>
        <w:tc>
          <w:tcPr>
            <w:tcW w:w="1396" w:type="pct"/>
            <w:shd w:val="clear" w:color="auto" w:fill="auto"/>
            <w:vAlign w:val="center"/>
          </w:tcPr>
          <w:p w:rsidR="00242C20" w:rsidRPr="0074481B" w:rsidRDefault="00242C20" w:rsidP="005900AD">
            <w:pPr>
              <w:pStyle w:val="In-tableHeading"/>
              <w:keepLines/>
              <w:rPr>
                <w:lang w:val="en-AU"/>
              </w:rPr>
            </w:pPr>
            <w:r w:rsidRPr="0074481B">
              <w:rPr>
                <w:lang w:val="en-AU"/>
              </w:rPr>
              <w:t>Component</w:t>
            </w:r>
          </w:p>
        </w:tc>
        <w:tc>
          <w:tcPr>
            <w:tcW w:w="3604" w:type="pct"/>
            <w:shd w:val="clear" w:color="auto" w:fill="auto"/>
            <w:vAlign w:val="center"/>
          </w:tcPr>
          <w:p w:rsidR="00242C20" w:rsidRPr="0074481B" w:rsidRDefault="00242C20" w:rsidP="005900AD">
            <w:pPr>
              <w:pStyle w:val="In-tableHeading"/>
              <w:keepLines/>
              <w:rPr>
                <w:lang w:val="en-AU"/>
              </w:rPr>
            </w:pPr>
            <w:r w:rsidRPr="0074481B">
              <w:rPr>
                <w:lang w:val="en-AU"/>
              </w:rPr>
              <w:t>Summary</w:t>
            </w:r>
          </w:p>
        </w:tc>
      </w:tr>
      <w:tr w:rsidR="00242C20" w:rsidRPr="0074481B" w:rsidTr="00242C20">
        <w:tc>
          <w:tcPr>
            <w:tcW w:w="1396" w:type="pct"/>
            <w:shd w:val="clear" w:color="auto" w:fill="auto"/>
            <w:vAlign w:val="center"/>
          </w:tcPr>
          <w:p w:rsidR="00242C20" w:rsidRPr="0074481B" w:rsidRDefault="00242C20" w:rsidP="005900AD">
            <w:pPr>
              <w:pStyle w:val="TableText0"/>
              <w:keepLines/>
            </w:pPr>
            <w:r w:rsidRPr="0074481B">
              <w:t>Treatments</w:t>
            </w:r>
          </w:p>
        </w:tc>
        <w:tc>
          <w:tcPr>
            <w:tcW w:w="3604" w:type="pct"/>
            <w:shd w:val="clear" w:color="auto" w:fill="auto"/>
            <w:vAlign w:val="center"/>
          </w:tcPr>
          <w:p w:rsidR="00242C20" w:rsidRPr="0074481B" w:rsidRDefault="00242C20" w:rsidP="005900AD">
            <w:pPr>
              <w:pStyle w:val="TableText0"/>
              <w:keepLines/>
            </w:pPr>
            <w:r w:rsidRPr="0074481B">
              <w:t xml:space="preserve">Pembrolizumab </w:t>
            </w:r>
            <w:r w:rsidRPr="0074481B">
              <w:rPr>
                <w:i/>
              </w:rPr>
              <w:t xml:space="preserve">vs. </w:t>
            </w:r>
            <w:r w:rsidRPr="0074481B">
              <w:t>SoC (represented by a mix of FOLFOX or FOLFIRI ± bevacizumab or cetuximab)</w:t>
            </w:r>
          </w:p>
        </w:tc>
      </w:tr>
      <w:tr w:rsidR="00242C20" w:rsidRPr="0074481B" w:rsidTr="00242C20">
        <w:tc>
          <w:tcPr>
            <w:tcW w:w="1396" w:type="pct"/>
            <w:shd w:val="clear" w:color="auto" w:fill="auto"/>
            <w:vAlign w:val="center"/>
          </w:tcPr>
          <w:p w:rsidR="00242C20" w:rsidRPr="0074481B" w:rsidRDefault="00242C20" w:rsidP="005900AD">
            <w:pPr>
              <w:pStyle w:val="TableText0"/>
              <w:keepLines/>
            </w:pPr>
            <w:r w:rsidRPr="0074481B">
              <w:t>Time horizon</w:t>
            </w:r>
          </w:p>
        </w:tc>
        <w:tc>
          <w:tcPr>
            <w:tcW w:w="3604" w:type="pct"/>
            <w:shd w:val="clear" w:color="auto" w:fill="auto"/>
            <w:vAlign w:val="center"/>
          </w:tcPr>
          <w:p w:rsidR="00242C20" w:rsidRPr="0074481B" w:rsidRDefault="00242C20" w:rsidP="005900AD">
            <w:pPr>
              <w:pStyle w:val="TableText0"/>
              <w:keepLines/>
            </w:pPr>
            <w:r w:rsidRPr="0074481B">
              <w:t xml:space="preserve">10 years in the model base case </w:t>
            </w:r>
            <w:r w:rsidRPr="00F71C5B">
              <w:t>vs</w:t>
            </w:r>
            <w:r w:rsidRPr="0074481B">
              <w:t>. median follow-up of 27.2-28.4 months in KN177</w:t>
            </w:r>
          </w:p>
        </w:tc>
      </w:tr>
      <w:tr w:rsidR="00242C20" w:rsidRPr="0074481B" w:rsidTr="00242C20">
        <w:tc>
          <w:tcPr>
            <w:tcW w:w="1396" w:type="pct"/>
            <w:shd w:val="clear" w:color="auto" w:fill="auto"/>
            <w:vAlign w:val="center"/>
          </w:tcPr>
          <w:p w:rsidR="00242C20" w:rsidRPr="0074481B" w:rsidRDefault="00242C20" w:rsidP="005900AD">
            <w:pPr>
              <w:pStyle w:val="TableText0"/>
              <w:keepLines/>
            </w:pPr>
            <w:r w:rsidRPr="0074481B">
              <w:t>Outcomes</w:t>
            </w:r>
          </w:p>
        </w:tc>
        <w:tc>
          <w:tcPr>
            <w:tcW w:w="3604" w:type="pct"/>
            <w:shd w:val="clear" w:color="auto" w:fill="auto"/>
            <w:vAlign w:val="center"/>
          </w:tcPr>
          <w:p w:rsidR="00242C20" w:rsidRPr="0074481B" w:rsidRDefault="00242C20" w:rsidP="005900AD">
            <w:pPr>
              <w:pStyle w:val="TableText0"/>
              <w:keepLines/>
            </w:pPr>
            <w:r w:rsidRPr="0074481B">
              <w:t>LYs gained and QALYs gained</w:t>
            </w:r>
          </w:p>
        </w:tc>
      </w:tr>
      <w:tr w:rsidR="00242C20" w:rsidRPr="0074481B" w:rsidTr="00242C20">
        <w:tc>
          <w:tcPr>
            <w:tcW w:w="1396" w:type="pct"/>
            <w:shd w:val="clear" w:color="auto" w:fill="auto"/>
            <w:vAlign w:val="center"/>
          </w:tcPr>
          <w:p w:rsidR="00242C20" w:rsidRPr="0074481B" w:rsidRDefault="00242C20" w:rsidP="005900AD">
            <w:pPr>
              <w:pStyle w:val="TableText0"/>
              <w:keepLines/>
            </w:pPr>
            <w:r w:rsidRPr="0074481B">
              <w:t>Methods used to generate results</w:t>
            </w:r>
          </w:p>
        </w:tc>
        <w:tc>
          <w:tcPr>
            <w:tcW w:w="3604" w:type="pct"/>
            <w:shd w:val="clear" w:color="auto" w:fill="auto"/>
            <w:vAlign w:val="center"/>
          </w:tcPr>
          <w:p w:rsidR="00242C20" w:rsidRPr="0074481B" w:rsidRDefault="00242C20" w:rsidP="005900AD">
            <w:pPr>
              <w:pStyle w:val="TableText0"/>
              <w:keepLines/>
            </w:pPr>
            <w:r w:rsidRPr="0074481B">
              <w:t>Cohort analysis of partitioned survival (</w:t>
            </w:r>
            <w:r w:rsidRPr="00F71C5B">
              <w:t>i.e.</w:t>
            </w:r>
            <w:r w:rsidRPr="0074481B">
              <w:t xml:space="preserve"> area under the curve)</w:t>
            </w:r>
          </w:p>
        </w:tc>
      </w:tr>
      <w:tr w:rsidR="00242C20" w:rsidRPr="0074481B" w:rsidTr="00242C20">
        <w:tc>
          <w:tcPr>
            <w:tcW w:w="1396" w:type="pct"/>
            <w:shd w:val="clear" w:color="auto" w:fill="auto"/>
            <w:vAlign w:val="center"/>
          </w:tcPr>
          <w:p w:rsidR="00242C20" w:rsidRPr="0074481B" w:rsidRDefault="00242C20" w:rsidP="005900AD">
            <w:pPr>
              <w:pStyle w:val="TableText0"/>
              <w:keepLines/>
            </w:pPr>
            <w:r w:rsidRPr="0074481B">
              <w:t>Health states</w:t>
            </w:r>
          </w:p>
        </w:tc>
        <w:tc>
          <w:tcPr>
            <w:tcW w:w="3604" w:type="pct"/>
            <w:shd w:val="clear" w:color="auto" w:fill="auto"/>
            <w:vAlign w:val="center"/>
          </w:tcPr>
          <w:p w:rsidR="00242C20" w:rsidRPr="0074481B" w:rsidRDefault="00242C20" w:rsidP="005900AD">
            <w:pPr>
              <w:pStyle w:val="TableText0"/>
              <w:keepLines/>
            </w:pPr>
            <w:r w:rsidRPr="0074481B">
              <w:t>Three heath states: PFS, PD and death. The proportion of patients in each health state was determined on the basis of the PFS and OS curves.</w:t>
            </w:r>
          </w:p>
        </w:tc>
      </w:tr>
      <w:tr w:rsidR="00242C20" w:rsidRPr="0074481B" w:rsidTr="00242C20">
        <w:tc>
          <w:tcPr>
            <w:tcW w:w="1396" w:type="pct"/>
            <w:shd w:val="clear" w:color="auto" w:fill="auto"/>
            <w:vAlign w:val="center"/>
          </w:tcPr>
          <w:p w:rsidR="00242C20" w:rsidRPr="0074481B" w:rsidRDefault="00242C20" w:rsidP="005900AD">
            <w:pPr>
              <w:pStyle w:val="TableText0"/>
              <w:keepLines/>
            </w:pPr>
            <w:r w:rsidRPr="0074481B">
              <w:t>Cycle length</w:t>
            </w:r>
          </w:p>
        </w:tc>
        <w:tc>
          <w:tcPr>
            <w:tcW w:w="3604" w:type="pct"/>
            <w:shd w:val="clear" w:color="auto" w:fill="auto"/>
            <w:vAlign w:val="center"/>
          </w:tcPr>
          <w:p w:rsidR="00242C20" w:rsidRPr="0074481B" w:rsidRDefault="00242C20" w:rsidP="005900AD">
            <w:pPr>
              <w:pStyle w:val="TableText0"/>
              <w:keepLines/>
            </w:pPr>
            <w:r w:rsidRPr="0074481B">
              <w:t>1 week</w:t>
            </w:r>
          </w:p>
        </w:tc>
      </w:tr>
      <w:tr w:rsidR="00242C20" w:rsidRPr="0074481B" w:rsidTr="00242C20">
        <w:tc>
          <w:tcPr>
            <w:tcW w:w="1396" w:type="pct"/>
            <w:shd w:val="clear" w:color="auto" w:fill="auto"/>
            <w:vAlign w:val="center"/>
          </w:tcPr>
          <w:p w:rsidR="00242C20" w:rsidRPr="0074481B" w:rsidRDefault="00242C20" w:rsidP="005900AD">
            <w:pPr>
              <w:pStyle w:val="TableText0"/>
              <w:keepLines/>
            </w:pPr>
            <w:r w:rsidRPr="0074481B">
              <w:t>Allocation to health states</w:t>
            </w:r>
          </w:p>
        </w:tc>
        <w:tc>
          <w:tcPr>
            <w:tcW w:w="3604" w:type="pct"/>
            <w:shd w:val="clear" w:color="auto" w:fill="auto"/>
            <w:vAlign w:val="center"/>
          </w:tcPr>
          <w:p w:rsidR="00242C20" w:rsidRPr="0074481B" w:rsidRDefault="00242C20" w:rsidP="005900AD">
            <w:pPr>
              <w:pStyle w:val="Tabletext"/>
              <w:keepNext/>
              <w:keepLines/>
            </w:pPr>
            <w:r w:rsidRPr="0074481B">
              <w:t xml:space="preserve">The </w:t>
            </w:r>
            <w:r w:rsidRPr="00BC1EF3">
              <w:t xml:space="preserve">Kaplan-Meier estimates for PFS and OS were derived from KN177, with crossover adjustment using a RPSFT (without </w:t>
            </w:r>
            <w:r w:rsidR="00E72E84" w:rsidRPr="00BC1EF3">
              <w:t>recensoring</w:t>
            </w:r>
            <w:r w:rsidRPr="00BC1EF3">
              <w:t>) method. The trial-based survival estimates were used up until 20 weeks for PFS and 52 weeks for OS in both treatment arms.</w:t>
            </w:r>
            <w:r w:rsidRPr="0074481B">
              <w:t xml:space="preserve"> </w:t>
            </w:r>
          </w:p>
        </w:tc>
      </w:tr>
      <w:tr w:rsidR="00242C20" w:rsidRPr="0074481B" w:rsidTr="00242C20">
        <w:tc>
          <w:tcPr>
            <w:tcW w:w="1396" w:type="pct"/>
            <w:shd w:val="clear" w:color="auto" w:fill="auto"/>
            <w:vAlign w:val="center"/>
          </w:tcPr>
          <w:p w:rsidR="00242C20" w:rsidRPr="0074481B" w:rsidRDefault="00242C20" w:rsidP="005900AD">
            <w:pPr>
              <w:pStyle w:val="TableText0"/>
              <w:keepLines/>
            </w:pPr>
            <w:r w:rsidRPr="0074481B">
              <w:t>Extrapolation method</w:t>
            </w:r>
          </w:p>
        </w:tc>
        <w:tc>
          <w:tcPr>
            <w:tcW w:w="3604" w:type="pct"/>
            <w:shd w:val="clear" w:color="auto" w:fill="auto"/>
            <w:vAlign w:val="center"/>
          </w:tcPr>
          <w:p w:rsidR="00242C20" w:rsidRPr="0074481B" w:rsidRDefault="00242C20" w:rsidP="005900AD">
            <w:pPr>
              <w:pStyle w:val="TableText0"/>
              <w:keepLines/>
            </w:pPr>
            <w:r w:rsidRPr="0074481B">
              <w:t xml:space="preserve">Parametric functions were fitted to the trial data to extrapolate respective survival curves to the model time horizon of 10 years. In the base case, an independent exponential function was chosen for both PFS and OS extrapolation in both treatment arms. The selection was based on goodness of fit and clinical plausibility. </w:t>
            </w:r>
          </w:p>
          <w:p w:rsidR="00242C20" w:rsidRPr="0074481B" w:rsidRDefault="00242C20" w:rsidP="005900AD">
            <w:pPr>
              <w:pStyle w:val="TableText0"/>
              <w:keepLines/>
            </w:pPr>
          </w:p>
          <w:p w:rsidR="00242C20" w:rsidRPr="0074481B" w:rsidRDefault="00242C20" w:rsidP="005900AD">
            <w:pPr>
              <w:pStyle w:val="TableText0"/>
              <w:keepLines/>
            </w:pPr>
            <w:r w:rsidRPr="0074481B">
              <w:t>97% of the incremental QALYs and 48% of incremental costs were generated beyond 1 year (</w:t>
            </w:r>
            <w:r w:rsidRPr="00F71C5B">
              <w:t>i.e.</w:t>
            </w:r>
            <w:r w:rsidRPr="0074481B">
              <w:t xml:space="preserve"> the extrapolation time point for OS).</w:t>
            </w:r>
          </w:p>
        </w:tc>
      </w:tr>
      <w:tr w:rsidR="00242C20" w:rsidRPr="0074481B" w:rsidTr="00242C20">
        <w:tc>
          <w:tcPr>
            <w:tcW w:w="1396" w:type="pct"/>
            <w:shd w:val="clear" w:color="auto" w:fill="auto"/>
            <w:vAlign w:val="center"/>
          </w:tcPr>
          <w:p w:rsidR="00242C20" w:rsidRPr="0074481B" w:rsidRDefault="00242C20" w:rsidP="005900AD">
            <w:pPr>
              <w:pStyle w:val="TableText0"/>
              <w:keepLines/>
            </w:pPr>
            <w:r w:rsidRPr="0074481B">
              <w:t>Health related quality of life</w:t>
            </w:r>
          </w:p>
        </w:tc>
        <w:tc>
          <w:tcPr>
            <w:tcW w:w="3604" w:type="pct"/>
            <w:shd w:val="clear" w:color="auto" w:fill="auto"/>
            <w:vAlign w:val="center"/>
          </w:tcPr>
          <w:p w:rsidR="00242C20" w:rsidRPr="0074481B" w:rsidRDefault="00242C20" w:rsidP="005900AD">
            <w:pPr>
              <w:pStyle w:val="TableText0"/>
              <w:keepLines/>
            </w:pPr>
            <w:r w:rsidRPr="0074481B">
              <w:t>EQ-5D scores from KN177 were used to derive utility estimates based on an Australian scoring algorithm</w:t>
            </w:r>
          </w:p>
          <w:p w:rsidR="00242C20" w:rsidRPr="0074481B" w:rsidRDefault="00242C20" w:rsidP="005900AD">
            <w:pPr>
              <w:pStyle w:val="TableText0"/>
              <w:keepLines/>
            </w:pPr>
            <w:r w:rsidRPr="0074481B">
              <w:t>PFS health state utility: 0.855 for pembrolizumab and 0.815 for SoC</w:t>
            </w:r>
          </w:p>
          <w:p w:rsidR="00242C20" w:rsidRPr="0074481B" w:rsidRDefault="00242C20" w:rsidP="005900AD">
            <w:pPr>
              <w:pStyle w:val="TableText0"/>
              <w:keepLines/>
            </w:pPr>
            <w:r w:rsidRPr="0074481B">
              <w:t>PD health state utility: 0.751 for both arms</w:t>
            </w:r>
          </w:p>
          <w:p w:rsidR="00242C20" w:rsidRPr="0074481B" w:rsidRDefault="00242C20" w:rsidP="005900AD">
            <w:pPr>
              <w:pStyle w:val="TableText0"/>
              <w:keepLines/>
            </w:pPr>
            <w:r w:rsidRPr="0074481B">
              <w:t>AE-related disutility was also applied to the economic model.</w:t>
            </w:r>
          </w:p>
        </w:tc>
      </w:tr>
    </w:tbl>
    <w:p w:rsidR="00242C20" w:rsidRPr="0074481B" w:rsidRDefault="00242C20" w:rsidP="005900AD">
      <w:pPr>
        <w:pStyle w:val="TableFooter"/>
        <w:keepNext/>
        <w:keepLines/>
        <w:rPr>
          <w:sz w:val="20"/>
        </w:rPr>
      </w:pPr>
      <w:r w:rsidRPr="0074481B">
        <w:t>Source: Table 3.1-1, p88 and information provided in Section 3.1, pp88-90 of the submission.</w:t>
      </w:r>
    </w:p>
    <w:p w:rsidR="00242C20" w:rsidRPr="0074481B" w:rsidRDefault="00242C20" w:rsidP="005900AD">
      <w:pPr>
        <w:pStyle w:val="TableFooter"/>
        <w:keepNext/>
        <w:keepLines/>
      </w:pPr>
      <w:r w:rsidRPr="0074481B">
        <w:t>AE = adverse event; EQ-5D = EuroQol - 5 dimensions; LYs = life years; OS = overall survival; PD = progressive disease; PFS = progression-free survival; QALYs = quality-adjusted life years; RPSFT = rank-preserving structural failure time; SoC = standard of care</w:t>
      </w:r>
    </w:p>
    <w:p w:rsidR="00242C20" w:rsidRPr="0074481B" w:rsidRDefault="00242C20" w:rsidP="00242C20">
      <w:pPr>
        <w:pStyle w:val="TableFigureFooter"/>
      </w:pPr>
    </w:p>
    <w:p w:rsidR="008A32E3" w:rsidRPr="00EB5988" w:rsidRDefault="00242C20" w:rsidP="00EB5988">
      <w:pPr>
        <w:pStyle w:val="3-BodyText"/>
        <w:rPr>
          <w:snapToGrid/>
        </w:rPr>
      </w:pPr>
      <w:r w:rsidRPr="0074481B">
        <w:t xml:space="preserve">To address the applicability issue raised from the high </w:t>
      </w:r>
      <w:r w:rsidRPr="0074481B">
        <w:rPr>
          <w:snapToGrid/>
        </w:rPr>
        <w:t>rate of treatment switching from first-line SoC to pembrolizumab or other anti-PD-1/PD-L1 therapies upon disease progression</w:t>
      </w:r>
      <w:r w:rsidRPr="0074481B">
        <w:t xml:space="preserve"> in KN177 </w:t>
      </w:r>
      <w:r w:rsidRPr="0074481B">
        <w:rPr>
          <w:snapToGrid/>
        </w:rPr>
        <w:t xml:space="preserve">(59.1% of the randomised patients), adjustment for treatment switching was performed to estimate the OS for dMMR mCRC patients treated with first-line SoC if they do not crossover to </w:t>
      </w:r>
      <w:r w:rsidR="00590140">
        <w:rPr>
          <w:snapToGrid/>
        </w:rPr>
        <w:t>anti-PD-1/PD-L1 therapies</w:t>
      </w:r>
      <w:r w:rsidRPr="0074481B">
        <w:rPr>
          <w:snapToGrid/>
        </w:rPr>
        <w:t xml:space="preserve">. The submission selected a RPSFT (without </w:t>
      </w:r>
      <w:r w:rsidR="00E72E84">
        <w:rPr>
          <w:snapToGrid/>
        </w:rPr>
        <w:t>recensoring</w:t>
      </w:r>
      <w:r w:rsidRPr="0074481B">
        <w:rPr>
          <w:snapToGrid/>
        </w:rPr>
        <w:t xml:space="preserve">) approach in the base case, on the basis that it visually produced the most plausible adjusted OS curve and resulted in the most conservative estimate of the treatment effect of pembrolizumab, in comparison with simplified two-stage (without </w:t>
      </w:r>
      <w:r w:rsidR="00E72E84">
        <w:rPr>
          <w:snapToGrid/>
        </w:rPr>
        <w:t>recensoring</w:t>
      </w:r>
      <w:r w:rsidRPr="0074481B">
        <w:rPr>
          <w:snapToGrid/>
        </w:rPr>
        <w:t xml:space="preserve">) and IPCW approaches (HR for OS: 0.68 </w:t>
      </w:r>
      <w:r w:rsidRPr="00F71C5B">
        <w:rPr>
          <w:snapToGrid/>
        </w:rPr>
        <w:t xml:space="preserve">vs. </w:t>
      </w:r>
      <w:r w:rsidRPr="0074481B">
        <w:rPr>
          <w:snapToGrid/>
        </w:rPr>
        <w:t xml:space="preserve">0.59). </w:t>
      </w:r>
      <w:r w:rsidR="00990AA8" w:rsidRPr="00F71C5B">
        <w:rPr>
          <w:snapToGrid/>
        </w:rPr>
        <w:t>The evaluation</w:t>
      </w:r>
      <w:r w:rsidRPr="00F71C5B">
        <w:rPr>
          <w:snapToGrid/>
        </w:rPr>
        <w:t xml:space="preserve"> noted that the HR for OS from the RPSFT with </w:t>
      </w:r>
      <w:r w:rsidR="00E72E84" w:rsidRPr="00F71C5B">
        <w:rPr>
          <w:snapToGrid/>
        </w:rPr>
        <w:t>recensoring</w:t>
      </w:r>
      <w:r w:rsidRPr="00F71C5B">
        <w:rPr>
          <w:snapToGrid/>
        </w:rPr>
        <w:t xml:space="preserve"> method was less favourable to pembrolizumab than that from the RPSFT without </w:t>
      </w:r>
      <w:r w:rsidR="00E72E84" w:rsidRPr="00F71C5B">
        <w:rPr>
          <w:snapToGrid/>
        </w:rPr>
        <w:t>recensoring</w:t>
      </w:r>
      <w:r w:rsidRPr="00F71C5B">
        <w:rPr>
          <w:snapToGrid/>
        </w:rPr>
        <w:t xml:space="preserve"> approach as used in the base case (OS HR: 0.72 vs. 0.68) and matched most closely to the predicted OS HR based on the Kok (2020) model</w:t>
      </w:r>
      <w:r w:rsidRPr="00F71C5B">
        <w:rPr>
          <w:rStyle w:val="FootnoteReference"/>
          <w:snapToGrid/>
        </w:rPr>
        <w:footnoteReference w:id="7"/>
      </w:r>
      <w:r w:rsidRPr="00F71C5B">
        <w:rPr>
          <w:snapToGrid/>
        </w:rPr>
        <w:t xml:space="preserve"> (0.72 vs. 0.71). </w:t>
      </w:r>
      <w:r w:rsidRPr="00EB5988">
        <w:rPr>
          <w:snapToGrid/>
        </w:rPr>
        <w:t xml:space="preserve">The </w:t>
      </w:r>
      <w:r w:rsidR="00EB5988" w:rsidRPr="00590140">
        <w:rPr>
          <w:snapToGrid/>
        </w:rPr>
        <w:t>evaluation considered</w:t>
      </w:r>
      <w:r w:rsidR="00EB5988" w:rsidRPr="00EB5988">
        <w:rPr>
          <w:i/>
          <w:snapToGrid/>
        </w:rPr>
        <w:t xml:space="preserve"> </w:t>
      </w:r>
      <w:r w:rsidR="00EB5988" w:rsidRPr="00590140">
        <w:rPr>
          <w:snapToGrid/>
        </w:rPr>
        <w:t xml:space="preserve">the </w:t>
      </w:r>
      <w:r w:rsidRPr="00EB5988">
        <w:rPr>
          <w:snapToGrid/>
        </w:rPr>
        <w:t xml:space="preserve">incremental cost-effectiveness ratio (ICER) result based on the RPSFT with </w:t>
      </w:r>
      <w:r w:rsidR="00E72E84" w:rsidRPr="00EB5988">
        <w:rPr>
          <w:snapToGrid/>
        </w:rPr>
        <w:t>recensoring</w:t>
      </w:r>
      <w:r w:rsidRPr="00EB5988">
        <w:rPr>
          <w:snapToGrid/>
        </w:rPr>
        <w:t xml:space="preserve"> approach would be informative to assess the cost-effectiveness of pembrolizumab in dMMR mCRC patients.</w:t>
      </w:r>
      <w:r w:rsidR="00614662">
        <w:rPr>
          <w:snapToGrid/>
        </w:rPr>
        <w:t xml:space="preserve"> </w:t>
      </w:r>
      <w:r w:rsidR="008A32E3" w:rsidRPr="00BC1EF3">
        <w:rPr>
          <w:snapToGrid/>
        </w:rPr>
        <w:t>T</w:t>
      </w:r>
      <w:r w:rsidR="00EB5988" w:rsidRPr="00BC1EF3">
        <w:rPr>
          <w:snapToGrid/>
        </w:rPr>
        <w:t xml:space="preserve">he </w:t>
      </w:r>
      <w:r w:rsidR="006B7E44">
        <w:rPr>
          <w:snapToGrid/>
        </w:rPr>
        <w:t>Pre-Sub-Committee Response (</w:t>
      </w:r>
      <w:r w:rsidR="00EB5988" w:rsidRPr="00BC1EF3">
        <w:rPr>
          <w:snapToGrid/>
        </w:rPr>
        <w:t>PSCR</w:t>
      </w:r>
      <w:r w:rsidR="006B7E44">
        <w:rPr>
          <w:snapToGrid/>
        </w:rPr>
        <w:t>)</w:t>
      </w:r>
      <w:r w:rsidR="00EB5988" w:rsidRPr="00BC1EF3">
        <w:rPr>
          <w:snapToGrid/>
        </w:rPr>
        <w:t xml:space="preserve"> reported an ICER of $</w:t>
      </w:r>
      <w:r w:rsidR="007D02EF">
        <w:rPr>
          <w:snapToGrid/>
        </w:rPr>
        <w:t>55,000 to &lt;$75,000</w:t>
      </w:r>
      <w:r w:rsidR="00F15855" w:rsidRPr="00BC1EF3">
        <w:rPr>
          <w:snapToGrid/>
        </w:rPr>
        <w:t>/</w:t>
      </w:r>
      <w:r w:rsidR="008A32E3" w:rsidRPr="00BC1EF3">
        <w:rPr>
          <w:snapToGrid/>
        </w:rPr>
        <w:t xml:space="preserve">QALY gained applying the RPSFT with recensoring (compared to </w:t>
      </w:r>
      <w:r w:rsidR="00EB5988" w:rsidRPr="00BC1EF3">
        <w:rPr>
          <w:snapToGrid/>
        </w:rPr>
        <w:t>a corrected baseline ICER of $</w:t>
      </w:r>
      <w:r w:rsidR="007D02EF">
        <w:rPr>
          <w:snapToGrid/>
        </w:rPr>
        <w:t>55,000 to &lt;$75,000</w:t>
      </w:r>
      <w:r w:rsidR="00F15855" w:rsidRPr="00BC1EF3">
        <w:rPr>
          <w:snapToGrid/>
        </w:rPr>
        <w:t>/ QALY</w:t>
      </w:r>
      <w:r w:rsidR="008A32E3" w:rsidRPr="00BC1EF3">
        <w:rPr>
          <w:snapToGrid/>
        </w:rPr>
        <w:t>).</w:t>
      </w:r>
    </w:p>
    <w:p w:rsidR="008A32E3" w:rsidRPr="007538C1" w:rsidRDefault="008A32E3" w:rsidP="00933E98">
      <w:pPr>
        <w:pStyle w:val="3-BodyText"/>
      </w:pPr>
      <w:r w:rsidRPr="007538C1">
        <w:rPr>
          <w:snapToGrid/>
        </w:rPr>
        <w:t>The ESC noted that the alternative treatment switching adjustment methods (RPSFT, IPCW and the two-stage approach) should be assessed with respect to the validity of the assumptions associated with each method and to the validity of the statistical analysis involved in the application of each method.</w:t>
      </w:r>
      <w:r w:rsidR="00933E98" w:rsidRPr="007538C1">
        <w:rPr>
          <w:snapToGrid/>
        </w:rPr>
        <w:t xml:space="preserve"> </w:t>
      </w:r>
    </w:p>
    <w:p w:rsidR="008A32E3" w:rsidRPr="00F11A36" w:rsidRDefault="00933E98" w:rsidP="00F11A36">
      <w:pPr>
        <w:pStyle w:val="3-BodyText"/>
        <w:rPr>
          <w:i/>
          <w:snapToGrid/>
        </w:rPr>
      </w:pPr>
      <w:r w:rsidRPr="00BC1EF3">
        <w:rPr>
          <w:snapToGrid/>
        </w:rPr>
        <w:t>The ESC considered t</w:t>
      </w:r>
      <w:r w:rsidR="008A32E3" w:rsidRPr="00BC1EF3">
        <w:rPr>
          <w:snapToGrid/>
        </w:rPr>
        <w:t xml:space="preserve">he RPSFT approach </w:t>
      </w:r>
      <w:r w:rsidR="00524828" w:rsidRPr="00BC1EF3">
        <w:rPr>
          <w:snapToGrid/>
        </w:rPr>
        <w:t xml:space="preserve">(without recensoring) </w:t>
      </w:r>
      <w:r w:rsidR="008A32E3" w:rsidRPr="00BC1EF3">
        <w:rPr>
          <w:snapToGrid/>
        </w:rPr>
        <w:t xml:space="preserve">appeared to perform best from a statistical perspective and </w:t>
      </w:r>
      <w:r w:rsidR="00D80938" w:rsidRPr="00BC1EF3">
        <w:rPr>
          <w:snapToGrid/>
        </w:rPr>
        <w:t>appeared to be</w:t>
      </w:r>
      <w:r w:rsidRPr="00BC1EF3">
        <w:rPr>
          <w:snapToGrid/>
        </w:rPr>
        <w:t xml:space="preserve"> </w:t>
      </w:r>
      <w:r w:rsidR="008A32E3" w:rsidRPr="00BC1EF3">
        <w:rPr>
          <w:snapToGrid/>
        </w:rPr>
        <w:t>the most appropriate treatment switching adjustment approach</w:t>
      </w:r>
      <w:r w:rsidRPr="00BC1EF3">
        <w:rPr>
          <w:snapToGrid/>
        </w:rPr>
        <w:t>, despite some concerns regarding the common treatment effect assumption (</w:t>
      </w:r>
      <w:r w:rsidRPr="008D0DD7">
        <w:rPr>
          <w:snapToGrid/>
        </w:rPr>
        <w:t xml:space="preserve">paragraph </w:t>
      </w:r>
      <w:r w:rsidR="008D0DD7" w:rsidRPr="008D0DD7">
        <w:rPr>
          <w:snapToGrid/>
        </w:rPr>
        <w:t>6.20</w:t>
      </w:r>
      <w:r w:rsidRPr="008D0DD7">
        <w:rPr>
          <w:snapToGrid/>
        </w:rPr>
        <w:t xml:space="preserve">). </w:t>
      </w:r>
      <w:r w:rsidR="008A32E3" w:rsidRPr="008D0DD7">
        <w:rPr>
          <w:snapToGrid/>
        </w:rPr>
        <w:t>The</w:t>
      </w:r>
      <w:r w:rsidR="008A32E3" w:rsidRPr="00BC1EF3">
        <w:rPr>
          <w:snapToGrid/>
        </w:rPr>
        <w:t xml:space="preserve"> ESC considered pembroli</w:t>
      </w:r>
      <w:r w:rsidR="00EB5988" w:rsidRPr="00BC1EF3">
        <w:rPr>
          <w:snapToGrid/>
        </w:rPr>
        <w:t>zumab may be less effective as second</w:t>
      </w:r>
      <w:r w:rsidR="008A32E3" w:rsidRPr="00BC1EF3">
        <w:rPr>
          <w:snapToGrid/>
        </w:rPr>
        <w:t xml:space="preserve"> line therapy due to increased burden of disease</w:t>
      </w:r>
      <w:r w:rsidR="008A32E3" w:rsidRPr="00F11A36">
        <w:rPr>
          <w:i/>
          <w:snapToGrid/>
        </w:rPr>
        <w:t xml:space="preserve">. </w:t>
      </w:r>
      <w:r w:rsidR="00F11A36" w:rsidRPr="00150BE4">
        <w:rPr>
          <w:snapToGrid/>
        </w:rPr>
        <w:t xml:space="preserve">This consideration may inform the interpretation of the ICERs based on the ITT and the RPSFT analyses, i.e. the expected ICER is between these two ICERs, but </w:t>
      </w:r>
      <w:r w:rsidR="00D80938" w:rsidRPr="00150BE4">
        <w:rPr>
          <w:snapToGrid/>
        </w:rPr>
        <w:t xml:space="preserve">likely </w:t>
      </w:r>
      <w:r w:rsidR="00F11A36" w:rsidRPr="00150BE4">
        <w:rPr>
          <w:snapToGrid/>
        </w:rPr>
        <w:t>closer to the RPSFT ICER than the ITT ICER.</w:t>
      </w:r>
    </w:p>
    <w:p w:rsidR="00242C20" w:rsidRDefault="00242C20" w:rsidP="002A36B6">
      <w:pPr>
        <w:pStyle w:val="3-BodyText"/>
      </w:pPr>
      <w:r w:rsidRPr="0074481B">
        <w:t xml:space="preserve">The submission used a 10-year time horizon in the base case economic evaluation. The PBAC has previously accepted a time horizon from 5 years to 10 years for assessment of first-line therapies in mCRC patients, dependent on the availability of long-term trial data (Bevacizumab </w:t>
      </w:r>
      <w:r>
        <w:t>PSD</w:t>
      </w:r>
      <w:r w:rsidR="00E42F9C" w:rsidRPr="00F71C5B">
        <w:t xml:space="preserve">, </w:t>
      </w:r>
      <w:r>
        <w:t xml:space="preserve">March 2008 PBAC </w:t>
      </w:r>
      <w:r w:rsidR="00E42F9C">
        <w:t>m</w:t>
      </w:r>
      <w:r w:rsidRPr="0074481B">
        <w:t>eeting; Panitumumab PSD</w:t>
      </w:r>
      <w:r w:rsidR="00E42F9C" w:rsidRPr="00F71C5B">
        <w:t xml:space="preserve">, </w:t>
      </w:r>
      <w:r>
        <w:t xml:space="preserve">July 2014 PBAC </w:t>
      </w:r>
      <w:r w:rsidR="00E42F9C">
        <w:t>m</w:t>
      </w:r>
      <w:r w:rsidRPr="0074481B">
        <w:t xml:space="preserve">eeting). In KN177, a substantial number of patients were censored from Year 2 and the ITT OS curves of the two treatment arms remained flat after Year 3. The trial data did not provide a reliable basis for a long-term extrapolation. </w:t>
      </w:r>
      <w:r w:rsidR="00EB5988" w:rsidRPr="00EB5988">
        <w:t>T</w:t>
      </w:r>
      <w:r w:rsidRPr="00EB5988">
        <w:t xml:space="preserve">he submission modelled greater survival estimates for patients in the pembrolizumab arm than those in the comparator SoC arm for more than 30 years after discontinuation of pembrolizumab </w:t>
      </w:r>
      <w:r w:rsidR="00714ABB" w:rsidRPr="00EB5988">
        <w:t xml:space="preserve">therapy </w:t>
      </w:r>
      <w:r w:rsidRPr="00EB5988">
        <w:t>at the maximum treatment duration</w:t>
      </w:r>
      <w:r w:rsidRPr="0074481B">
        <w:t xml:space="preserve"> (</w:t>
      </w:r>
      <w:r w:rsidR="009A4847" w:rsidRPr="0074481B">
        <w:t xml:space="preserve">Figure </w:t>
      </w:r>
      <w:r w:rsidR="009A4847">
        <w:rPr>
          <w:noProof/>
        </w:rPr>
        <w:t>4</w:t>
      </w:r>
      <w:r w:rsidRPr="0074481B">
        <w:t xml:space="preserve">). The </w:t>
      </w:r>
      <w:r w:rsidR="00EB5988" w:rsidRPr="007538C1">
        <w:t xml:space="preserve">evaluation considered the </w:t>
      </w:r>
      <w:r w:rsidRPr="007538C1">
        <w:t>implied ongoing treatment benefits associated with pembrolizumab over SoC was not well justified</w:t>
      </w:r>
      <w:r w:rsidR="00FC47BA" w:rsidRPr="007538C1">
        <w:t xml:space="preserve"> </w:t>
      </w:r>
      <w:r w:rsidRPr="007538C1">
        <w:t xml:space="preserve">and appeared unrealistic. The </w:t>
      </w:r>
      <w:r w:rsidR="00EB5988" w:rsidRPr="007538C1">
        <w:t xml:space="preserve">evaluation considered the </w:t>
      </w:r>
      <w:r w:rsidRPr="007538C1">
        <w:t>use</w:t>
      </w:r>
      <w:r w:rsidRPr="0074481B">
        <w:t xml:space="preserve"> of an extended model time horizon in combination with possibly optimistic extrapolations added uncertainty to the cost-effectiveness estimates. </w:t>
      </w:r>
    </w:p>
    <w:p w:rsidR="008A32E3" w:rsidRPr="002B38DD" w:rsidRDefault="00F11A36" w:rsidP="005900AD">
      <w:pPr>
        <w:pStyle w:val="3-BodyText"/>
      </w:pPr>
      <w:r>
        <w:t>The PSCR</w:t>
      </w:r>
      <w:r w:rsidR="004A41EE">
        <w:t xml:space="preserve"> stated</w:t>
      </w:r>
      <w:r w:rsidRPr="00F11A36">
        <w:t xml:space="preserve"> the use of </w:t>
      </w:r>
      <w:r w:rsidR="004A41EE">
        <w:t xml:space="preserve">a </w:t>
      </w:r>
      <w:r w:rsidRPr="00F11A36">
        <w:t>10-year time horizon is conservative as the data suggests a 20-year time horizon may be justified.</w:t>
      </w:r>
      <w:r w:rsidR="00614662">
        <w:t xml:space="preserve"> </w:t>
      </w:r>
      <w:r w:rsidR="00044CF8" w:rsidRPr="00044CF8">
        <w:t xml:space="preserve">The ESC considered a </w:t>
      </w:r>
      <w:r w:rsidR="00375EF1">
        <w:t xml:space="preserve">10 </w:t>
      </w:r>
      <w:r w:rsidR="00044CF8" w:rsidRPr="00044CF8">
        <w:t>year survival of around 25% in the pembrolizumab arm</w:t>
      </w:r>
      <w:r w:rsidR="00375EF1">
        <w:t xml:space="preserve">, as predicted in the base case model, </w:t>
      </w:r>
      <w:r w:rsidR="00EE309C">
        <w:t xml:space="preserve">was uncertain as the </w:t>
      </w:r>
      <w:r>
        <w:t>data are too immature</w:t>
      </w:r>
      <w:r w:rsidR="00044CF8" w:rsidRPr="00044CF8">
        <w:t>.</w:t>
      </w:r>
      <w:r w:rsidR="00044CF8">
        <w:t xml:space="preserve"> </w:t>
      </w:r>
      <w:r w:rsidR="005900AD" w:rsidRPr="007538C1">
        <w:t>The ESC considered additional follow up OS data from KN177 (due the first half of 2021) may further inform the extrapolation of OS and the reasonableness of 25% survival at 10 years.</w:t>
      </w:r>
      <w:r w:rsidR="009B1272" w:rsidRPr="009B1272">
        <w:t xml:space="preserve"> </w:t>
      </w:r>
      <w:r w:rsidR="009B1272">
        <w:t xml:space="preserve">The PBAC agreed with the pre-PBAC response that more mature OS data may not alleviate these concerns due to the high rate of cross over in the SoC treatment arm. </w:t>
      </w:r>
      <w:r w:rsidR="00150BE4" w:rsidRPr="002B38DD">
        <w:t>The PBAC</w:t>
      </w:r>
      <w:r w:rsidR="002B38DD">
        <w:t xml:space="preserve"> considered that, given the immaturity of the clinical data, to mitigate the uncertainty associated with a 10 year time horizon, the economic model should be based on a 7.5 year time horizon.  </w:t>
      </w:r>
    </w:p>
    <w:p w:rsidR="00242C20" w:rsidRPr="00714ABB" w:rsidRDefault="00242C20" w:rsidP="00242C20">
      <w:pPr>
        <w:pStyle w:val="TableFigureHeading"/>
        <w:rPr>
          <w:vertAlign w:val="superscript"/>
        </w:rPr>
      </w:pPr>
      <w:bookmarkStart w:id="26" w:name="_Ref57904299"/>
      <w:r w:rsidRPr="0074481B">
        <w:t xml:space="preserve">Figure </w:t>
      </w:r>
      <w:r w:rsidR="009A4847">
        <w:rPr>
          <w:noProof/>
        </w:rPr>
        <w:t>4</w:t>
      </w:r>
      <w:bookmarkEnd w:id="26"/>
      <w:r w:rsidRPr="0074481B">
        <w:t>: Comparison of the trial-based and modelled PFS and OS survival curves</w:t>
      </w:r>
      <w:r w:rsidR="00714ABB">
        <w:t xml:space="preserve"> </w:t>
      </w:r>
      <w:r w:rsidR="00714ABB">
        <w:rPr>
          <w:vertAlign w:val="superscript"/>
        </w:rPr>
        <w:t>a</w:t>
      </w:r>
    </w:p>
    <w:p w:rsidR="00242C20" w:rsidRPr="0074481B" w:rsidRDefault="00242C20" w:rsidP="00242C20">
      <w:pPr>
        <w:pStyle w:val="3-BodyText"/>
        <w:keepLines/>
        <w:numPr>
          <w:ilvl w:val="0"/>
          <w:numId w:val="0"/>
        </w:numPr>
        <w:ind w:left="720"/>
      </w:pPr>
      <w:r w:rsidRPr="0074481B">
        <w:rPr>
          <w:noProof/>
        </w:rPr>
        <w:drawing>
          <wp:inline distT="0" distB="0" distL="0" distR="0" wp14:anchorId="52C7F08A" wp14:editId="5B63D20C">
            <wp:extent cx="5297805" cy="1934308"/>
            <wp:effectExtent l="0" t="0" r="0" b="8890"/>
            <wp:docPr id="2" name="Picture 2" title="Figure 4: Comparison of the trial-based and modelled PFS and OS survival curves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3434" cy="1940014"/>
                    </a:xfrm>
                    <a:prstGeom prst="rect">
                      <a:avLst/>
                    </a:prstGeom>
                    <a:noFill/>
                  </pic:spPr>
                </pic:pic>
              </a:graphicData>
            </a:graphic>
          </wp:inline>
        </w:drawing>
      </w:r>
    </w:p>
    <w:p w:rsidR="00242C20" w:rsidRPr="0074481B" w:rsidRDefault="00242C20" w:rsidP="00253541">
      <w:pPr>
        <w:pStyle w:val="3-BodyText"/>
        <w:keepLines/>
        <w:numPr>
          <w:ilvl w:val="0"/>
          <w:numId w:val="7"/>
        </w:numPr>
        <w:jc w:val="center"/>
        <w:rPr>
          <w:rFonts w:ascii="Arial Narrow" w:hAnsi="Arial Narrow"/>
          <w:b/>
          <w:sz w:val="20"/>
          <w:szCs w:val="20"/>
        </w:rPr>
      </w:pPr>
      <w:r w:rsidRPr="0074481B">
        <w:rPr>
          <w:rFonts w:ascii="Arial Narrow" w:hAnsi="Arial Narrow"/>
          <w:b/>
          <w:sz w:val="20"/>
          <w:szCs w:val="20"/>
        </w:rPr>
        <w:t>PFS</w:t>
      </w:r>
    </w:p>
    <w:p w:rsidR="00242C20" w:rsidRPr="0074481B" w:rsidRDefault="00242C20" w:rsidP="00242C20">
      <w:pPr>
        <w:pStyle w:val="3-BodyText"/>
        <w:keepLines/>
        <w:numPr>
          <w:ilvl w:val="0"/>
          <w:numId w:val="0"/>
        </w:numPr>
        <w:ind w:left="567"/>
        <w:jc w:val="center"/>
        <w:rPr>
          <w:rFonts w:ascii="Arial Narrow" w:hAnsi="Arial Narrow"/>
          <w:b/>
          <w:sz w:val="20"/>
          <w:szCs w:val="20"/>
        </w:rPr>
      </w:pPr>
      <w:r w:rsidRPr="0074481B">
        <w:rPr>
          <w:noProof/>
        </w:rPr>
        <w:drawing>
          <wp:inline distT="0" distB="0" distL="0" distR="0" wp14:anchorId="1F7DF020" wp14:editId="3D71C654">
            <wp:extent cx="5114925" cy="2023745"/>
            <wp:effectExtent l="0" t="0" r="9525" b="0"/>
            <wp:docPr id="11" name="Picture 11" title="Figure 4: Comparison of the trial-based and modelled PFS and OS survival curves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4925" cy="2023745"/>
                    </a:xfrm>
                    <a:prstGeom prst="rect">
                      <a:avLst/>
                    </a:prstGeom>
                    <a:noFill/>
                  </pic:spPr>
                </pic:pic>
              </a:graphicData>
            </a:graphic>
          </wp:inline>
        </w:drawing>
      </w:r>
    </w:p>
    <w:p w:rsidR="00242C20" w:rsidRPr="0074481B" w:rsidRDefault="00242C20" w:rsidP="00242C20">
      <w:pPr>
        <w:pStyle w:val="3-BodyText"/>
        <w:keepLines/>
        <w:numPr>
          <w:ilvl w:val="0"/>
          <w:numId w:val="0"/>
        </w:numPr>
        <w:ind w:left="1800"/>
        <w:jc w:val="center"/>
        <w:rPr>
          <w:rFonts w:ascii="Arial Narrow" w:hAnsi="Arial Narrow"/>
          <w:b/>
          <w:sz w:val="20"/>
          <w:szCs w:val="20"/>
        </w:rPr>
      </w:pPr>
      <w:r w:rsidRPr="0074481B">
        <w:rPr>
          <w:rFonts w:ascii="Arial Narrow" w:hAnsi="Arial Narrow"/>
          <w:b/>
          <w:sz w:val="20"/>
          <w:szCs w:val="20"/>
        </w:rPr>
        <w:t>(B)</w:t>
      </w:r>
      <w:r w:rsidRPr="0074481B">
        <w:rPr>
          <w:rFonts w:ascii="Arial Narrow" w:hAnsi="Arial Narrow"/>
          <w:b/>
          <w:sz w:val="20"/>
          <w:szCs w:val="20"/>
        </w:rPr>
        <w:tab/>
        <w:t>OS</w:t>
      </w:r>
    </w:p>
    <w:p w:rsidR="00242C20" w:rsidRPr="0074481B" w:rsidRDefault="00242C20" w:rsidP="00242C20">
      <w:pPr>
        <w:pStyle w:val="TableFooter"/>
      </w:pPr>
      <w:r w:rsidRPr="0074481B">
        <w:t xml:space="preserve">Source: </w:t>
      </w:r>
      <w:r w:rsidRPr="00F71C5B">
        <w:t xml:space="preserve">Figure constructed during the evaluation, </w:t>
      </w:r>
      <w:r w:rsidRPr="0074481B">
        <w:t>based on the “Section 3 Workbook_dMMR_CRC_PBAC_NOV20” workbook</w:t>
      </w:r>
    </w:p>
    <w:p w:rsidR="00242C20" w:rsidRDefault="00242C20" w:rsidP="00242C20">
      <w:pPr>
        <w:pStyle w:val="TableFooter"/>
      </w:pPr>
      <w:r w:rsidRPr="0074481B">
        <w:t>OS = overall survival; PFS = progression-free survival; SoC = standard of care</w:t>
      </w:r>
    </w:p>
    <w:p w:rsidR="00714ABB" w:rsidRPr="00714ABB" w:rsidRDefault="00714ABB" w:rsidP="00242C20">
      <w:pPr>
        <w:pStyle w:val="TableFooter"/>
      </w:pPr>
      <w:r>
        <w:rPr>
          <w:vertAlign w:val="superscript"/>
        </w:rPr>
        <w:t xml:space="preserve">a </w:t>
      </w:r>
      <w:r>
        <w:t xml:space="preserve">The Kaplan Meier OS curve for SoC </w:t>
      </w:r>
      <w:r w:rsidR="00F60DF6">
        <w:t xml:space="preserve">has been adjusted for </w:t>
      </w:r>
      <w:r w:rsidR="00F60DF6" w:rsidRPr="00F60DF6">
        <w:t>crossover using the rank-preserving structural failure time</w:t>
      </w:r>
      <w:r w:rsidR="00F60DF6">
        <w:t xml:space="preserve"> method (without recensoring)</w:t>
      </w:r>
      <w:r w:rsidRPr="00714ABB">
        <w:t>.</w:t>
      </w:r>
    </w:p>
    <w:p w:rsidR="00242C20" w:rsidRPr="0074481B" w:rsidRDefault="00242C20" w:rsidP="00242C20">
      <w:pPr>
        <w:pStyle w:val="TableFooter"/>
      </w:pPr>
    </w:p>
    <w:p w:rsidR="00242C20" w:rsidRPr="00623E58" w:rsidRDefault="00242C20" w:rsidP="004761F0">
      <w:pPr>
        <w:pStyle w:val="3-BodyText"/>
      </w:pPr>
      <w:r w:rsidRPr="002E10D9">
        <w:t xml:space="preserve">The </w:t>
      </w:r>
      <w:r>
        <w:t>health state utility values applied to the economic model was based on the EQ-5D data from</w:t>
      </w:r>
      <w:r w:rsidRPr="002E10D9">
        <w:t xml:space="preserve"> </w:t>
      </w:r>
      <w:r>
        <w:t>KN177</w:t>
      </w:r>
      <w:r w:rsidRPr="002E10D9">
        <w:t xml:space="preserve">, </w:t>
      </w:r>
      <w:r>
        <w:t xml:space="preserve">using an </w:t>
      </w:r>
      <w:r w:rsidRPr="00401BA5">
        <w:t>Australian scoring algorithm</w:t>
      </w:r>
      <w:r>
        <w:rPr>
          <w:rStyle w:val="FootnoteReference"/>
        </w:rPr>
        <w:footnoteReference w:id="8"/>
      </w:r>
      <w:r w:rsidRPr="002E10D9">
        <w:t xml:space="preserve">. </w:t>
      </w:r>
      <w:r w:rsidR="00F60DF6" w:rsidRPr="00F71C5B">
        <w:t>T</w:t>
      </w:r>
      <w:r w:rsidRPr="00F71C5B">
        <w:t xml:space="preserve">he </w:t>
      </w:r>
      <w:r w:rsidR="00EB5988" w:rsidRPr="007538C1">
        <w:t>evaluation considered the</w:t>
      </w:r>
      <w:r w:rsidR="00EB5988">
        <w:t xml:space="preserve"> </w:t>
      </w:r>
      <w:r w:rsidRPr="00F71C5B">
        <w:t>quality of life data</w:t>
      </w:r>
      <w:r w:rsidR="00F60DF6" w:rsidRPr="00F71C5B">
        <w:t xml:space="preserve"> from the trial</w:t>
      </w:r>
      <w:r w:rsidRPr="00F71C5B">
        <w:t xml:space="preserve">, which were collected at scheduled visits during treatment up until 1 year or end of treatment, whichever came first, and at the 30-day post-treatment discontinuation visit, </w:t>
      </w:r>
      <w:r w:rsidR="00845968" w:rsidRPr="007538C1">
        <w:t>may not</w:t>
      </w:r>
      <w:r w:rsidR="00845968" w:rsidRPr="00845968">
        <w:rPr>
          <w:i/>
        </w:rPr>
        <w:t xml:space="preserve"> </w:t>
      </w:r>
      <w:r w:rsidRPr="00F71C5B">
        <w:t xml:space="preserve">represent the overall utility weights for patients in the PFS and progressive disease (PD) health states. In addition, the EQ-5D results were subject to performance bias (due to the open-label study design). Overall, the </w:t>
      </w:r>
      <w:r w:rsidR="00EB5988" w:rsidRPr="007538C1">
        <w:t xml:space="preserve">evaluation </w:t>
      </w:r>
      <w:r w:rsidR="00EB5988" w:rsidRPr="002B38DD">
        <w:t>considered the</w:t>
      </w:r>
      <w:r w:rsidR="00EB5988">
        <w:t xml:space="preserve"> </w:t>
      </w:r>
      <w:r w:rsidRPr="00F71C5B">
        <w:t xml:space="preserve">trial-based health state utility values used in the economic model (PFS state: 0.855 for pembrolizumab, 0.815 for SoC; PD state: 0.751 in both treatment arms) were likely overestimates. </w:t>
      </w:r>
      <w:r w:rsidR="00375EF1" w:rsidRPr="007538C1">
        <w:t xml:space="preserve">The ESC </w:t>
      </w:r>
      <w:r w:rsidR="00845968" w:rsidRPr="007538C1">
        <w:t xml:space="preserve">noted the open label trial design which may lead to performance bias and </w:t>
      </w:r>
      <w:r w:rsidR="00375EF1" w:rsidRPr="007538C1">
        <w:t>consider</w:t>
      </w:r>
      <w:r w:rsidR="00845968" w:rsidRPr="007538C1">
        <w:t>e</w:t>
      </w:r>
      <w:r w:rsidR="00375EF1" w:rsidRPr="007538C1">
        <w:t xml:space="preserve">d the use of </w:t>
      </w:r>
      <w:r w:rsidR="00845968" w:rsidRPr="007538C1">
        <w:t>treatment-specific utilities in the PFS state may not be reasonable.</w:t>
      </w:r>
      <w:r w:rsidR="00845968">
        <w:t xml:space="preserve"> </w:t>
      </w:r>
      <w:r w:rsidR="002B38DD">
        <w:t>The pre-PBAC response stated the treatment-specific utilit</w:t>
      </w:r>
      <w:r w:rsidR="001C5E6E">
        <w:t xml:space="preserve">ies were derived from the clinical trial and were </w:t>
      </w:r>
      <w:r w:rsidR="002B38DD">
        <w:t>clinically appropriate</w:t>
      </w:r>
      <w:r w:rsidR="001C5E6E">
        <w:t>.  The pre-PBAC response stated that d</w:t>
      </w:r>
      <w:r w:rsidR="001C5E6E" w:rsidRPr="001C5E6E">
        <w:t>espite the open label nature of the trial it is not unexpected that pembrolizumab would be better tolerated than and preferred to chemother</w:t>
      </w:r>
      <w:r w:rsidR="001C5E6E">
        <w:t>apy regimens and</w:t>
      </w:r>
      <w:r w:rsidR="001C5E6E" w:rsidRPr="001C5E6E">
        <w:t xml:space="preserve"> the adverse event rates and profiles demonstrate toxicity differences that would be noted by patients even if the study treatment was blinded.</w:t>
      </w:r>
      <w:r w:rsidR="004761F0" w:rsidRPr="004761F0">
        <w:t xml:space="preserve"> The PBAC considered that the treatment-specific utilities used in the model remained uncertain due in part being derived from the open label trial design, but were overall acceptable in the context of a statistical difference in quality of life seen in the trial</w:t>
      </w:r>
      <w:r w:rsidR="004761F0">
        <w:t xml:space="preserve"> (</w:t>
      </w:r>
      <w:r w:rsidR="004761F0" w:rsidRPr="008D0DD7">
        <w:t>paragraph 6.27).</w:t>
      </w:r>
    </w:p>
    <w:p w:rsidR="00242C20" w:rsidRPr="00845968" w:rsidRDefault="00242C20" w:rsidP="00242C20">
      <w:pPr>
        <w:pStyle w:val="3-BodyText"/>
        <w:rPr>
          <w:i/>
        </w:rPr>
      </w:pPr>
      <w:r>
        <w:t xml:space="preserve">The treatment costs were calculated on the basis of the proposed effective price for pembrolizumab and the PBS-listed prices for SoC medicines. The submission noted that </w:t>
      </w:r>
      <w:r w:rsidRPr="00623E58">
        <w:t xml:space="preserve">the PBAC has recently recommended the listing of a biosimilar brand of bevacizumab and anticipated that the listing of this biosimilar would have occurred by the listing date of pembrolizumab for </w:t>
      </w:r>
      <w:r w:rsidR="001D1748">
        <w:t xml:space="preserve">the </w:t>
      </w:r>
      <w:r w:rsidRPr="00623E58">
        <w:t xml:space="preserve">proposed indication. A statutory </w:t>
      </w:r>
      <w:r w:rsidRPr="008559E2">
        <w:t>25</w:t>
      </w:r>
      <w:r w:rsidRPr="00623E58">
        <w:t xml:space="preserve">% price </w:t>
      </w:r>
      <w:r w:rsidR="0093463C">
        <w:t>reduction</w:t>
      </w:r>
      <w:r w:rsidRPr="00623E58">
        <w:t xml:space="preserve"> was applied to </w:t>
      </w:r>
      <w:r w:rsidR="0093463C">
        <w:t xml:space="preserve">bevacizumab in </w:t>
      </w:r>
      <w:r w:rsidRPr="00623E58">
        <w:t xml:space="preserve">the financial analysis, </w:t>
      </w:r>
      <w:r w:rsidRPr="00F71C5B">
        <w:t xml:space="preserve">but not </w:t>
      </w:r>
      <w:r w:rsidR="0093463C" w:rsidRPr="00F71C5B">
        <w:t>in</w:t>
      </w:r>
      <w:r w:rsidRPr="00F71C5B">
        <w:t xml:space="preserve"> the submission’s economic analysis.</w:t>
      </w:r>
      <w:r w:rsidRPr="00623E58">
        <w:t xml:space="preserve"> </w:t>
      </w:r>
      <w:r w:rsidR="00845968" w:rsidRPr="007538C1">
        <w:t>The ESC considere</w:t>
      </w:r>
      <w:r w:rsidR="000C625E" w:rsidRPr="007538C1">
        <w:t>d</w:t>
      </w:r>
      <w:r w:rsidR="00845968" w:rsidRPr="007538C1">
        <w:t xml:space="preserve"> that, given the uncertain timing of its implementation, it was not appropriate to include the statutory price reduction for bevacizumab in the economic or the financial modelling.</w:t>
      </w:r>
      <w:r w:rsidR="00845968" w:rsidRPr="00845968">
        <w:rPr>
          <w:i/>
        </w:rPr>
        <w:t xml:space="preserve"> </w:t>
      </w:r>
    </w:p>
    <w:p w:rsidR="00242C20" w:rsidRPr="0074481B" w:rsidRDefault="0090039E" w:rsidP="001945AA">
      <w:pPr>
        <w:pStyle w:val="3-BodyText"/>
      </w:pPr>
      <w:r w:rsidRPr="001945AA">
        <w:t>In the economic model, t</w:t>
      </w:r>
      <w:r w:rsidR="00242C20" w:rsidRPr="001945AA">
        <w:t xml:space="preserve">he proportions of patients who would receive subsequent therapy with bevacizumab and cetuximab after disease progression were assumed to be 17.6% and 2.9%, respectively, in the pembrolizumab arm and 68.1% and 0%, respectively, in the SoC arm. These were estimated on the basis of data from KN177, after adjustment for the use of pembrolizumab </w:t>
      </w:r>
      <w:r w:rsidR="00256BCE" w:rsidRPr="001945AA">
        <w:t xml:space="preserve">and other PD-1/PD-L1 inhibitors </w:t>
      </w:r>
      <w:r w:rsidR="00242C20" w:rsidRPr="001945AA">
        <w:t xml:space="preserve">post-progression in the SoC group. </w:t>
      </w:r>
      <w:r w:rsidR="00242C20" w:rsidRPr="00F71C5B">
        <w:t xml:space="preserve">The current PBS restriction only allows limited use of bevacizumab </w:t>
      </w:r>
      <w:r w:rsidR="005367F6" w:rsidRPr="00F71C5B">
        <w:t xml:space="preserve">in the second-line setting </w:t>
      </w:r>
      <w:r w:rsidR="00242C20" w:rsidRPr="00F71C5B">
        <w:t xml:space="preserve">in RAS wild-type mCRC patients following </w:t>
      </w:r>
      <w:r w:rsidR="005367F6" w:rsidRPr="00F71C5B">
        <w:t>first-line</w:t>
      </w:r>
      <w:r w:rsidR="00242C20" w:rsidRPr="00F71C5B">
        <w:t xml:space="preserve"> anti-EGFR therapy (cetuximab </w:t>
      </w:r>
      <w:r w:rsidR="00E60249" w:rsidRPr="00F71C5B">
        <w:t xml:space="preserve">or </w:t>
      </w:r>
      <w:r w:rsidR="00242C20" w:rsidRPr="00F71C5B">
        <w:t xml:space="preserve">panitumumab); whilst later-line cetuximab and panitumumab can only be used after </w:t>
      </w:r>
      <w:r w:rsidR="005367F6" w:rsidRPr="00F71C5B">
        <w:t xml:space="preserve">failure of first-line </w:t>
      </w:r>
      <w:r w:rsidR="00242C20" w:rsidRPr="00F71C5B">
        <w:t>chemotherapy. Therefore</w:t>
      </w:r>
      <w:r w:rsidR="00161BEB" w:rsidRPr="00F71C5B">
        <w:t xml:space="preserve">, </w:t>
      </w:r>
      <w:r w:rsidR="001B62D1" w:rsidRPr="00F71C5B">
        <w:t xml:space="preserve">if pembrolizumab is listed, </w:t>
      </w:r>
      <w:r w:rsidR="005367F6" w:rsidRPr="00F71C5B">
        <w:t>patients won’t be eligible for bevacizumab or cet</w:t>
      </w:r>
      <w:r w:rsidR="009915DA" w:rsidRPr="00F71C5B">
        <w:t>uximab in a later-line setting af</w:t>
      </w:r>
      <w:r w:rsidR="001B62D1" w:rsidRPr="00F71C5B">
        <w:t>t</w:t>
      </w:r>
      <w:r w:rsidR="009915DA" w:rsidRPr="00F71C5B">
        <w:t>er</w:t>
      </w:r>
      <w:r w:rsidR="005367F6" w:rsidRPr="00F71C5B">
        <w:t xml:space="preserve"> failure to first-line pembrolizumab</w:t>
      </w:r>
      <w:r w:rsidR="00161BEB" w:rsidRPr="00F71C5B">
        <w:t xml:space="preserve">; and the high proportion of patients receiving later-line bevacizumab </w:t>
      </w:r>
      <w:r w:rsidR="009915DA" w:rsidRPr="00F71C5B">
        <w:t xml:space="preserve">(68.1%) following the </w:t>
      </w:r>
      <w:r w:rsidR="001B62D1" w:rsidRPr="00F71C5B">
        <w:t>restricted</w:t>
      </w:r>
      <w:r w:rsidR="009915DA" w:rsidRPr="00F71C5B">
        <w:t xml:space="preserve"> use of first-line cetuximab in the SoC arm (10.3%) </w:t>
      </w:r>
      <w:r w:rsidR="0093463C" w:rsidRPr="00F71C5B">
        <w:t>as assumed in the model did not</w:t>
      </w:r>
      <w:r w:rsidR="00161BEB" w:rsidRPr="00F71C5B">
        <w:t xml:space="preserve"> </w:t>
      </w:r>
      <w:r w:rsidR="009915DA" w:rsidRPr="00F71C5B">
        <w:t>reflect</w:t>
      </w:r>
      <w:r w:rsidR="00161BEB" w:rsidRPr="00F71C5B">
        <w:t xml:space="preserve"> Australian clinical practice</w:t>
      </w:r>
      <w:r w:rsidR="005367F6" w:rsidRPr="00F71C5B">
        <w:t>.</w:t>
      </w:r>
      <w:r w:rsidR="00845968">
        <w:t xml:space="preserve"> </w:t>
      </w:r>
      <w:r w:rsidR="00845968" w:rsidRPr="007538C1">
        <w:t xml:space="preserve">The PBAC </w:t>
      </w:r>
      <w:r w:rsidR="007538C1">
        <w:t xml:space="preserve">considered </w:t>
      </w:r>
      <w:r w:rsidR="00845968" w:rsidRPr="007538C1">
        <w:t>the restriction criteria for bevacizumab, cetuximab and panitumumab should be revised to allow use in dMMR mCRC pa</w:t>
      </w:r>
      <w:r w:rsidR="000C625E" w:rsidRPr="007538C1">
        <w:t>t</w:t>
      </w:r>
      <w:r w:rsidR="00845968" w:rsidRPr="007538C1">
        <w:t>i</w:t>
      </w:r>
      <w:r w:rsidR="000C625E" w:rsidRPr="007538C1">
        <w:t>e</w:t>
      </w:r>
      <w:r w:rsidR="00845968" w:rsidRPr="007538C1">
        <w:t>nts who have previously received pembrolizumab.</w:t>
      </w:r>
      <w:r w:rsidR="00845968" w:rsidRPr="00845968">
        <w:rPr>
          <w:i/>
        </w:rPr>
        <w:t xml:space="preserve"> </w:t>
      </w:r>
      <w:r w:rsidR="005367F6" w:rsidRPr="00845968">
        <w:rPr>
          <w:i/>
        </w:rPr>
        <w:t xml:space="preserve"> </w:t>
      </w:r>
    </w:p>
    <w:p w:rsidR="00242C20" w:rsidRPr="0074481B" w:rsidRDefault="00242C20" w:rsidP="00242C20"/>
    <w:p w:rsidR="00D86373" w:rsidRDefault="00D86373">
      <w:pPr>
        <w:jc w:val="left"/>
        <w:rPr>
          <w:rFonts w:ascii="Arial Narrow" w:hAnsi="Arial Narrow"/>
          <w:b/>
          <w:bCs/>
          <w:sz w:val="20"/>
          <w:szCs w:val="18"/>
        </w:rPr>
      </w:pPr>
      <w:r>
        <w:br w:type="page"/>
      </w:r>
    </w:p>
    <w:p w:rsidR="00242C20" w:rsidRPr="0074481B" w:rsidRDefault="00242C20" w:rsidP="00242C20">
      <w:pPr>
        <w:pStyle w:val="Caption"/>
        <w:rPr>
          <w:rStyle w:val="CommentReference"/>
          <w:b/>
          <w:szCs w:val="24"/>
        </w:rPr>
      </w:pPr>
      <w:r w:rsidRPr="0074481B">
        <w:t xml:space="preserve">Table </w:t>
      </w:r>
      <w:r w:rsidR="009A4847">
        <w:rPr>
          <w:noProof/>
        </w:rPr>
        <w:t>10</w:t>
      </w:r>
      <w:r w:rsidRPr="0074481B">
        <w:t xml:space="preserve">: </w:t>
      </w:r>
      <w:r w:rsidRPr="0074481B">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401"/>
        <w:gridCol w:w="4487"/>
      </w:tblGrid>
      <w:tr w:rsidR="00242C20" w:rsidRPr="0074481B" w:rsidTr="00242C20">
        <w:trPr>
          <w:tblHeader/>
        </w:trPr>
        <w:tc>
          <w:tcPr>
            <w:tcW w:w="626" w:type="pct"/>
            <w:shd w:val="clear" w:color="auto" w:fill="auto"/>
            <w:vAlign w:val="center"/>
          </w:tcPr>
          <w:p w:rsidR="00242C20" w:rsidRPr="0074481B" w:rsidRDefault="00242C20" w:rsidP="00242C20">
            <w:pPr>
              <w:pStyle w:val="In-tableHeading"/>
              <w:jc w:val="center"/>
              <w:rPr>
                <w:lang w:val="en-AU"/>
              </w:rPr>
            </w:pPr>
            <w:r w:rsidRPr="0074481B">
              <w:rPr>
                <w:lang w:val="en-AU"/>
              </w:rPr>
              <w:t>Description</w:t>
            </w:r>
          </w:p>
        </w:tc>
        <w:tc>
          <w:tcPr>
            <w:tcW w:w="1886" w:type="pct"/>
            <w:shd w:val="clear" w:color="auto" w:fill="auto"/>
            <w:vAlign w:val="center"/>
          </w:tcPr>
          <w:p w:rsidR="00242C20" w:rsidRPr="0074481B" w:rsidRDefault="00242C20" w:rsidP="00242C20">
            <w:pPr>
              <w:pStyle w:val="In-tableHeading"/>
              <w:jc w:val="center"/>
              <w:rPr>
                <w:lang w:val="en-AU"/>
              </w:rPr>
            </w:pPr>
            <w:r w:rsidRPr="0074481B">
              <w:rPr>
                <w:lang w:val="en-AU"/>
              </w:rPr>
              <w:t>Method/Value</w:t>
            </w:r>
          </w:p>
        </w:tc>
        <w:tc>
          <w:tcPr>
            <w:tcW w:w="2488" w:type="pct"/>
            <w:shd w:val="clear" w:color="auto" w:fill="auto"/>
            <w:vAlign w:val="center"/>
          </w:tcPr>
          <w:p w:rsidR="00242C20" w:rsidRPr="001C5E6E" w:rsidRDefault="00242C20" w:rsidP="00242C20">
            <w:pPr>
              <w:pStyle w:val="In-tableHeading"/>
              <w:jc w:val="center"/>
              <w:rPr>
                <w:lang w:val="en-AU"/>
              </w:rPr>
            </w:pPr>
            <w:r w:rsidRPr="001C5E6E">
              <w:rPr>
                <w:lang w:val="en-AU"/>
              </w:rPr>
              <w:t>Impact</w:t>
            </w:r>
          </w:p>
          <w:p w:rsidR="00242C20" w:rsidRPr="001C5E6E" w:rsidRDefault="00242C20" w:rsidP="00EF5532">
            <w:pPr>
              <w:pStyle w:val="In-tableHeading"/>
              <w:jc w:val="center"/>
              <w:rPr>
                <w:lang w:val="en-AU"/>
              </w:rPr>
            </w:pPr>
            <w:r w:rsidRPr="001C5E6E">
              <w:rPr>
                <w:lang w:val="en-AU"/>
              </w:rPr>
              <w:t xml:space="preserve">(base case: </w:t>
            </w:r>
            <w:r w:rsidR="00EF5532" w:rsidRPr="001C5E6E">
              <w:rPr>
                <w:lang w:val="en-AU"/>
              </w:rPr>
              <w:t>$</w:t>
            </w:r>
            <w:r w:rsidR="0047136C">
              <w:rPr>
                <w:noProof/>
                <w:color w:val="000000"/>
                <w:highlight w:val="black"/>
                <w:lang w:val="en-AU"/>
              </w:rPr>
              <w:t>'''''''''''''</w:t>
            </w:r>
            <w:r w:rsidR="007D02EF" w:rsidRPr="007D02EF">
              <w:rPr>
                <w:vertAlign w:val="superscript"/>
                <w:lang w:val="en-AU"/>
              </w:rPr>
              <w:t>1</w:t>
            </w:r>
            <w:r w:rsidR="00EF5532" w:rsidRPr="001C5E6E">
              <w:rPr>
                <w:lang w:val="en-AU"/>
              </w:rPr>
              <w:t>/</w:t>
            </w:r>
            <w:r w:rsidRPr="001C5E6E">
              <w:rPr>
                <w:lang w:val="en-AU"/>
              </w:rPr>
              <w:t>QALY)</w:t>
            </w:r>
          </w:p>
        </w:tc>
      </w:tr>
      <w:tr w:rsidR="00242C20" w:rsidRPr="0074481B" w:rsidTr="00242C20">
        <w:tc>
          <w:tcPr>
            <w:tcW w:w="626" w:type="pct"/>
            <w:shd w:val="clear" w:color="auto" w:fill="auto"/>
            <w:vAlign w:val="center"/>
          </w:tcPr>
          <w:p w:rsidR="00242C20" w:rsidRPr="0074481B" w:rsidRDefault="00242C20" w:rsidP="00242C20">
            <w:pPr>
              <w:pStyle w:val="TableText0"/>
            </w:pPr>
            <w:r w:rsidRPr="0074481B">
              <w:t>Comparative treatment effect</w:t>
            </w:r>
          </w:p>
        </w:tc>
        <w:tc>
          <w:tcPr>
            <w:tcW w:w="1886" w:type="pct"/>
            <w:shd w:val="clear" w:color="auto" w:fill="auto"/>
            <w:vAlign w:val="center"/>
          </w:tcPr>
          <w:p w:rsidR="00242C20" w:rsidRPr="0074481B" w:rsidRDefault="00242C20" w:rsidP="00242C20">
            <w:pPr>
              <w:pStyle w:val="TableText0"/>
            </w:pPr>
            <w:r w:rsidRPr="0074481B">
              <w:t xml:space="preserve">The OS estimates in the SoC arm were adjusted using a RPSFT (without </w:t>
            </w:r>
            <w:r w:rsidR="00E72E84">
              <w:t>recensoring</w:t>
            </w:r>
            <w:r w:rsidRPr="0074481B">
              <w:t>) approach.</w:t>
            </w:r>
          </w:p>
        </w:tc>
        <w:tc>
          <w:tcPr>
            <w:tcW w:w="2488" w:type="pct"/>
            <w:shd w:val="clear" w:color="auto" w:fill="auto"/>
            <w:vAlign w:val="center"/>
          </w:tcPr>
          <w:p w:rsidR="00242C20" w:rsidRPr="001C5E6E" w:rsidRDefault="00242C20" w:rsidP="00242C20">
            <w:pPr>
              <w:pStyle w:val="TableText0"/>
            </w:pPr>
            <w:r w:rsidRPr="001C5E6E">
              <w:t>Moderate to high, uncertain</w:t>
            </w:r>
          </w:p>
          <w:p w:rsidR="00242C20" w:rsidRPr="001C5E6E" w:rsidRDefault="00242C20" w:rsidP="00242C20">
            <w:pPr>
              <w:pStyle w:val="TableText0"/>
            </w:pPr>
            <w:r w:rsidRPr="001C5E6E">
              <w:t>Use of ITT results without crossover adjustment increased the ICER to $</w:t>
            </w:r>
            <w:r w:rsidR="0047136C">
              <w:rPr>
                <w:noProof/>
                <w:color w:val="000000"/>
                <w:highlight w:val="black"/>
              </w:rPr>
              <w:t>'''''''''''''''</w:t>
            </w:r>
            <w:r w:rsidR="007D02EF">
              <w:rPr>
                <w:vertAlign w:val="superscript"/>
              </w:rPr>
              <w:t>2</w:t>
            </w:r>
            <w:r w:rsidRPr="001C5E6E">
              <w:t>/QALY.</w:t>
            </w:r>
          </w:p>
          <w:p w:rsidR="00242C20" w:rsidRPr="001C5E6E" w:rsidRDefault="00242C20" w:rsidP="00242C20">
            <w:pPr>
              <w:pStyle w:val="TableText0"/>
              <w:rPr>
                <w:i/>
              </w:rPr>
            </w:pPr>
            <w:r w:rsidRPr="001C5E6E">
              <w:t xml:space="preserve">. </w:t>
            </w:r>
          </w:p>
        </w:tc>
      </w:tr>
      <w:tr w:rsidR="00242C20" w:rsidRPr="0074481B" w:rsidTr="00242C20">
        <w:tc>
          <w:tcPr>
            <w:tcW w:w="626" w:type="pct"/>
            <w:shd w:val="clear" w:color="auto" w:fill="auto"/>
            <w:vAlign w:val="center"/>
          </w:tcPr>
          <w:p w:rsidR="00242C20" w:rsidRPr="0074481B" w:rsidRDefault="00242C20" w:rsidP="00242C20">
            <w:pPr>
              <w:pStyle w:val="TableText0"/>
            </w:pPr>
            <w:r w:rsidRPr="0074481B">
              <w:t>Time horizon</w:t>
            </w:r>
          </w:p>
        </w:tc>
        <w:tc>
          <w:tcPr>
            <w:tcW w:w="1886" w:type="pct"/>
            <w:shd w:val="clear" w:color="auto" w:fill="auto"/>
            <w:vAlign w:val="center"/>
          </w:tcPr>
          <w:p w:rsidR="00242C20" w:rsidRPr="0074481B" w:rsidRDefault="00242C20" w:rsidP="00242C20">
            <w:pPr>
              <w:pStyle w:val="TableText0"/>
            </w:pPr>
            <w:r w:rsidRPr="0074481B">
              <w:t>10 years.</w:t>
            </w:r>
          </w:p>
        </w:tc>
        <w:tc>
          <w:tcPr>
            <w:tcW w:w="2488" w:type="pct"/>
            <w:shd w:val="clear" w:color="auto" w:fill="auto"/>
            <w:vAlign w:val="center"/>
          </w:tcPr>
          <w:p w:rsidR="00242C20" w:rsidRPr="001C5E6E" w:rsidRDefault="00242C20" w:rsidP="008A32E3">
            <w:pPr>
              <w:pStyle w:val="TableText0"/>
              <w:rPr>
                <w:i/>
              </w:rPr>
            </w:pPr>
            <w:r w:rsidRPr="001C5E6E">
              <w:t xml:space="preserve">Moderate, </w:t>
            </w:r>
            <w:r w:rsidR="008A32E3" w:rsidRPr="001C5E6E">
              <w:t>dependent on acceptance of fitted extrapolation curves</w:t>
            </w:r>
            <w:r w:rsidR="000C625E" w:rsidRPr="001C5E6E">
              <w:t>.</w:t>
            </w:r>
            <w:r w:rsidR="008A32E3" w:rsidRPr="001C5E6E">
              <w:rPr>
                <w:i/>
              </w:rPr>
              <w:t xml:space="preserve"> </w:t>
            </w:r>
          </w:p>
        </w:tc>
      </w:tr>
      <w:tr w:rsidR="00242C20" w:rsidRPr="0074481B" w:rsidTr="00242C20">
        <w:tc>
          <w:tcPr>
            <w:tcW w:w="626" w:type="pct"/>
            <w:shd w:val="clear" w:color="auto" w:fill="auto"/>
            <w:vAlign w:val="center"/>
          </w:tcPr>
          <w:p w:rsidR="00242C20" w:rsidRPr="0074481B" w:rsidRDefault="00242C20" w:rsidP="00242C20">
            <w:pPr>
              <w:pStyle w:val="TableText0"/>
            </w:pPr>
            <w:r w:rsidRPr="0074481B">
              <w:t>Extrapolation</w:t>
            </w:r>
          </w:p>
        </w:tc>
        <w:tc>
          <w:tcPr>
            <w:tcW w:w="1886" w:type="pct"/>
            <w:shd w:val="clear" w:color="auto" w:fill="auto"/>
            <w:vAlign w:val="center"/>
          </w:tcPr>
          <w:p w:rsidR="00242C20" w:rsidRPr="0074481B" w:rsidRDefault="00242C20" w:rsidP="00242C20">
            <w:pPr>
              <w:pStyle w:val="TableText0"/>
            </w:pPr>
            <w:r w:rsidRPr="0074481B">
              <w:t xml:space="preserve">The submission modelled sustained survival benefits associated with pembrolizumab for more than 30 years after discontinuation of treatment. </w:t>
            </w:r>
          </w:p>
        </w:tc>
        <w:tc>
          <w:tcPr>
            <w:tcW w:w="2488" w:type="pct"/>
            <w:shd w:val="clear" w:color="auto" w:fill="auto"/>
            <w:vAlign w:val="center"/>
          </w:tcPr>
          <w:p w:rsidR="00242C20" w:rsidRPr="001C5E6E" w:rsidRDefault="00242C20" w:rsidP="00242C20">
            <w:pPr>
              <w:pStyle w:val="TableText0"/>
            </w:pPr>
            <w:r w:rsidRPr="001C5E6E">
              <w:t>Moderate to high, favours pembrolizumab</w:t>
            </w:r>
          </w:p>
          <w:p w:rsidR="00242C20" w:rsidRPr="001C5E6E" w:rsidRDefault="00242C20" w:rsidP="00242C20">
            <w:pPr>
              <w:pStyle w:val="TableText0"/>
            </w:pPr>
            <w:r w:rsidRPr="001C5E6E">
              <w:t>Assuming the survival curves of the two treatment arms converged from Year 5 to Year 10 for both PFS and OS, the ICER increased to $</w:t>
            </w:r>
            <w:r w:rsidR="0047136C">
              <w:rPr>
                <w:noProof/>
                <w:color w:val="000000"/>
                <w:highlight w:val="black"/>
              </w:rPr>
              <w:t>''''''''''''''''</w:t>
            </w:r>
            <w:r w:rsidR="007D02EF">
              <w:rPr>
                <w:vertAlign w:val="superscript"/>
              </w:rPr>
              <w:t>2</w:t>
            </w:r>
            <w:r w:rsidRPr="001C5E6E">
              <w:t xml:space="preserve">. </w:t>
            </w:r>
          </w:p>
        </w:tc>
      </w:tr>
    </w:tbl>
    <w:p w:rsidR="00242C20" w:rsidRPr="00F71C5B" w:rsidRDefault="00242C20" w:rsidP="00242C20">
      <w:pPr>
        <w:pStyle w:val="TableFigureFooter"/>
      </w:pPr>
      <w:r w:rsidRPr="0074481B">
        <w:t xml:space="preserve">Source: </w:t>
      </w:r>
      <w:r w:rsidRPr="00F71C5B">
        <w:t>Table compiled during the evaluation</w:t>
      </w:r>
      <w:r w:rsidRPr="0074481B">
        <w:t xml:space="preserve">, based on Section 3.9 of the submission and </w:t>
      </w:r>
      <w:r w:rsidRPr="00F71C5B">
        <w:t>the sensitivity analyses performed during the evaluation.</w:t>
      </w:r>
    </w:p>
    <w:p w:rsidR="001C5E6E" w:rsidRDefault="00242C20" w:rsidP="00242C20">
      <w:pPr>
        <w:pStyle w:val="TableFigureFooter"/>
      </w:pPr>
      <w:r w:rsidRPr="0074481B">
        <w:t xml:space="preserve">ICER = incremental cost-effectiveness ratio; IPCW = inverse probability of censoring weighting; ITT = intention-to-treat; OS = overall survival; PFS = progression-free survival; </w:t>
      </w:r>
      <w:r w:rsidR="0093463C">
        <w:t xml:space="preserve">QALY = quality-adjusted life year; </w:t>
      </w:r>
      <w:r w:rsidRPr="0074481B">
        <w:t xml:space="preserve">RPSFT = rank-preserving structural failure time; SoC = standard of care </w:t>
      </w:r>
    </w:p>
    <w:p w:rsidR="007D02EF" w:rsidRPr="007D02EF" w:rsidRDefault="007D02EF" w:rsidP="00242C20">
      <w:pPr>
        <w:pStyle w:val="TableFigureFooter"/>
        <w:rPr>
          <w:i/>
        </w:rPr>
      </w:pPr>
      <w:r w:rsidRPr="007D02EF">
        <w:rPr>
          <w:i/>
        </w:rPr>
        <w:t xml:space="preserve">The redacted values correspond to the following ranges: </w:t>
      </w:r>
    </w:p>
    <w:p w:rsidR="007D02EF" w:rsidRPr="007D02EF" w:rsidRDefault="007D02EF" w:rsidP="00242C20">
      <w:pPr>
        <w:pStyle w:val="TableFigureFooter"/>
        <w:rPr>
          <w:i/>
        </w:rPr>
      </w:pPr>
      <w:r w:rsidRPr="007D02EF">
        <w:rPr>
          <w:i/>
          <w:vertAlign w:val="superscript"/>
        </w:rPr>
        <w:t>1</w:t>
      </w:r>
      <w:r w:rsidRPr="007D02EF">
        <w:rPr>
          <w:i/>
        </w:rPr>
        <w:t>$55,000 to &lt;$75,000/QALY gained</w:t>
      </w:r>
    </w:p>
    <w:p w:rsidR="007D02EF" w:rsidRPr="007D02EF" w:rsidRDefault="007D02EF" w:rsidP="00242C20">
      <w:pPr>
        <w:pStyle w:val="TableFigureFooter"/>
        <w:rPr>
          <w:i/>
        </w:rPr>
      </w:pPr>
      <w:r w:rsidRPr="007D02EF">
        <w:rPr>
          <w:i/>
          <w:vertAlign w:val="superscript"/>
        </w:rPr>
        <w:t>2</w:t>
      </w:r>
      <w:r w:rsidRPr="007D02EF">
        <w:rPr>
          <w:i/>
        </w:rPr>
        <w:t>$75,000 to &lt;$95,000/QALY gained</w:t>
      </w:r>
    </w:p>
    <w:p w:rsidR="00242C20" w:rsidRPr="0074481B" w:rsidRDefault="00242C20" w:rsidP="00242C20"/>
    <w:p w:rsidR="00242C20" w:rsidRPr="00F71C5B" w:rsidRDefault="00242C20" w:rsidP="00242C20">
      <w:pPr>
        <w:pStyle w:val="3-BodyText"/>
      </w:pPr>
      <w:r w:rsidRPr="0074481B">
        <w:rPr>
          <w:snapToGrid/>
        </w:rPr>
        <w:t xml:space="preserve">Results of the economic evaluation are summarised in the table below. </w:t>
      </w:r>
    </w:p>
    <w:p w:rsidR="00242C20" w:rsidRPr="00F71C5B" w:rsidRDefault="00242C20" w:rsidP="001C5E6E">
      <w:pPr>
        <w:pStyle w:val="Caption"/>
        <w:keepLines/>
        <w:rPr>
          <w:b w:val="0"/>
          <w:snapToGrid w:val="0"/>
        </w:rPr>
      </w:pPr>
      <w:r w:rsidRPr="0074481B">
        <w:t xml:space="preserve">Table </w:t>
      </w:r>
      <w:r w:rsidR="009A4847">
        <w:rPr>
          <w:noProof/>
        </w:rPr>
        <w:t>11</w:t>
      </w:r>
      <w:r w:rsidRPr="0074481B">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37"/>
        <w:gridCol w:w="2047"/>
        <w:gridCol w:w="1973"/>
        <w:gridCol w:w="2260"/>
      </w:tblGrid>
      <w:tr w:rsidR="00242C20" w:rsidRPr="0074481B" w:rsidTr="00242C20">
        <w:trPr>
          <w:cantSplit/>
          <w:tblHeader/>
        </w:trPr>
        <w:tc>
          <w:tcPr>
            <w:tcW w:w="1518" w:type="pct"/>
            <w:vAlign w:val="center"/>
          </w:tcPr>
          <w:p w:rsidR="00242C20" w:rsidRPr="0074481B" w:rsidRDefault="00242C20" w:rsidP="001C5E6E">
            <w:pPr>
              <w:pStyle w:val="In-tableHeading"/>
              <w:keepLines/>
              <w:rPr>
                <w:lang w:val="en-AU"/>
              </w:rPr>
            </w:pPr>
            <w:r w:rsidRPr="0074481B">
              <w:rPr>
                <w:lang w:val="en-AU"/>
              </w:rPr>
              <w:t>Step and component</w:t>
            </w:r>
          </w:p>
        </w:tc>
        <w:tc>
          <w:tcPr>
            <w:tcW w:w="1135" w:type="pct"/>
            <w:vAlign w:val="center"/>
          </w:tcPr>
          <w:p w:rsidR="00242C20" w:rsidRPr="0074481B" w:rsidRDefault="00242C20" w:rsidP="001C5E6E">
            <w:pPr>
              <w:pStyle w:val="In-tableHeading"/>
              <w:keepLines/>
              <w:jc w:val="center"/>
              <w:rPr>
                <w:lang w:val="en-AU"/>
              </w:rPr>
            </w:pPr>
            <w:r w:rsidRPr="0074481B">
              <w:rPr>
                <w:lang w:val="en-AU"/>
              </w:rPr>
              <w:t xml:space="preserve">Pembrolizumab </w:t>
            </w:r>
          </w:p>
        </w:tc>
        <w:tc>
          <w:tcPr>
            <w:tcW w:w="1094" w:type="pct"/>
            <w:vAlign w:val="center"/>
          </w:tcPr>
          <w:p w:rsidR="00242C20" w:rsidRPr="0074481B" w:rsidRDefault="00242C20" w:rsidP="001C5E6E">
            <w:pPr>
              <w:pStyle w:val="In-tableHeading"/>
              <w:keepLines/>
              <w:jc w:val="center"/>
              <w:rPr>
                <w:lang w:val="en-AU"/>
              </w:rPr>
            </w:pPr>
            <w:r w:rsidRPr="0074481B">
              <w:rPr>
                <w:lang w:val="en-AU"/>
              </w:rPr>
              <w:t>SoC</w:t>
            </w:r>
          </w:p>
        </w:tc>
        <w:tc>
          <w:tcPr>
            <w:tcW w:w="1250" w:type="pct"/>
            <w:vAlign w:val="center"/>
          </w:tcPr>
          <w:p w:rsidR="00242C20" w:rsidRPr="0074481B" w:rsidRDefault="00242C20" w:rsidP="001C5E6E">
            <w:pPr>
              <w:pStyle w:val="In-tableHeading"/>
              <w:keepLines/>
              <w:jc w:val="center"/>
              <w:rPr>
                <w:lang w:val="en-AU"/>
              </w:rPr>
            </w:pPr>
            <w:r w:rsidRPr="0074481B">
              <w:rPr>
                <w:lang w:val="en-AU"/>
              </w:rPr>
              <w:t>Increment</w:t>
            </w:r>
          </w:p>
        </w:tc>
      </w:tr>
      <w:tr w:rsidR="00242C20" w:rsidRPr="0074481B" w:rsidTr="00242C20">
        <w:trPr>
          <w:cantSplit/>
        </w:trPr>
        <w:tc>
          <w:tcPr>
            <w:tcW w:w="5000" w:type="pct"/>
            <w:gridSpan w:val="4"/>
            <w:vAlign w:val="center"/>
          </w:tcPr>
          <w:p w:rsidR="00242C20" w:rsidRPr="0074481B" w:rsidRDefault="00242C20" w:rsidP="001C5E6E">
            <w:pPr>
              <w:pStyle w:val="In-tableHeading"/>
              <w:keepLines/>
              <w:rPr>
                <w:lang w:val="en-AU"/>
              </w:rPr>
            </w:pPr>
            <w:r w:rsidRPr="0074481B">
              <w:rPr>
                <w:lang w:val="en-AU"/>
              </w:rPr>
              <w:t xml:space="preserve">Step 1: KN177 trial-based </w:t>
            </w:r>
            <w:r w:rsidRPr="0074481B">
              <w:rPr>
                <w:rFonts w:cstheme="minorHAnsi"/>
                <w:szCs w:val="20"/>
                <w:lang w:val="en-AU"/>
              </w:rPr>
              <w:t>(time horizon of 4 years)</w:t>
            </w:r>
          </w:p>
        </w:tc>
      </w:tr>
      <w:tr w:rsidR="00242C20" w:rsidRPr="0074481B" w:rsidTr="00242C20">
        <w:trPr>
          <w:cantSplit/>
        </w:trPr>
        <w:tc>
          <w:tcPr>
            <w:tcW w:w="1518" w:type="pct"/>
            <w:vAlign w:val="center"/>
          </w:tcPr>
          <w:p w:rsidR="00242C20" w:rsidRPr="0074481B" w:rsidRDefault="00242C20" w:rsidP="001C5E6E">
            <w:pPr>
              <w:pStyle w:val="TableText0"/>
              <w:keepLines/>
              <w:rPr>
                <w:rFonts w:ascii="Times" w:hAnsi="Times"/>
              </w:rPr>
            </w:pPr>
            <w:r w:rsidRPr="0074481B">
              <w:t>Costs</w:t>
            </w:r>
          </w:p>
        </w:tc>
        <w:tc>
          <w:tcPr>
            <w:tcW w:w="1135" w:type="pct"/>
            <w:vAlign w:val="center"/>
          </w:tcPr>
          <w:p w:rsidR="00242C20" w:rsidRPr="0074481B" w:rsidRDefault="00242C20" w:rsidP="001C5E6E">
            <w:pPr>
              <w:pStyle w:val="TableText0"/>
              <w:keepLines/>
              <w:jc w:val="center"/>
            </w:pPr>
            <w:r w:rsidRPr="0074481B">
              <w:t>$</w:t>
            </w:r>
            <w:r w:rsidR="0047136C">
              <w:rPr>
                <w:noProof/>
                <w:color w:val="000000"/>
                <w:highlight w:val="black"/>
              </w:rPr>
              <w:t>'''''''''''''''''''</w:t>
            </w:r>
          </w:p>
        </w:tc>
        <w:tc>
          <w:tcPr>
            <w:tcW w:w="1094" w:type="pct"/>
            <w:vAlign w:val="center"/>
          </w:tcPr>
          <w:p w:rsidR="00242C20" w:rsidRPr="0074481B" w:rsidRDefault="00242C20" w:rsidP="001C5E6E">
            <w:pPr>
              <w:pStyle w:val="TableText0"/>
              <w:keepLines/>
              <w:jc w:val="center"/>
            </w:pPr>
            <w:r w:rsidRPr="0074481B">
              <w:t>$</w:t>
            </w:r>
            <w:r w:rsidRPr="004B3201">
              <w:t>28,633</w:t>
            </w:r>
          </w:p>
        </w:tc>
        <w:tc>
          <w:tcPr>
            <w:tcW w:w="1250" w:type="pct"/>
            <w:vAlign w:val="center"/>
          </w:tcPr>
          <w:p w:rsidR="00242C20" w:rsidRPr="0074481B" w:rsidRDefault="00242C20" w:rsidP="001C5E6E">
            <w:pPr>
              <w:pStyle w:val="TableText0"/>
              <w:keepLines/>
              <w:jc w:val="center"/>
            </w:pPr>
            <w:r w:rsidRPr="0074481B">
              <w:t>$</w:t>
            </w:r>
            <w:r w:rsidR="0047136C">
              <w:rPr>
                <w:noProof/>
                <w:color w:val="000000"/>
                <w:highlight w:val="black"/>
              </w:rPr>
              <w:t>''''''''''''''''''</w:t>
            </w:r>
          </w:p>
        </w:tc>
      </w:tr>
      <w:tr w:rsidR="00242C20" w:rsidRPr="0074481B" w:rsidTr="00242C20">
        <w:trPr>
          <w:cantSplit/>
        </w:trPr>
        <w:tc>
          <w:tcPr>
            <w:tcW w:w="1518" w:type="pct"/>
            <w:vAlign w:val="center"/>
          </w:tcPr>
          <w:p w:rsidR="00242C20" w:rsidRPr="0074481B" w:rsidRDefault="00242C20" w:rsidP="001C5E6E">
            <w:pPr>
              <w:pStyle w:val="TableText0"/>
              <w:keepLines/>
            </w:pPr>
            <w:r w:rsidRPr="0074481B">
              <w:t>LYs</w:t>
            </w:r>
          </w:p>
        </w:tc>
        <w:tc>
          <w:tcPr>
            <w:tcW w:w="1135" w:type="pct"/>
            <w:vAlign w:val="center"/>
          </w:tcPr>
          <w:p w:rsidR="00242C20" w:rsidRPr="0047136C" w:rsidRDefault="00242C20" w:rsidP="001C5E6E">
            <w:pPr>
              <w:pStyle w:val="TableText0"/>
              <w:keepLines/>
              <w:jc w:val="center"/>
            </w:pPr>
            <w:r w:rsidRPr="0047136C">
              <w:t>2.612</w:t>
            </w:r>
          </w:p>
        </w:tc>
        <w:tc>
          <w:tcPr>
            <w:tcW w:w="1094" w:type="pct"/>
            <w:vAlign w:val="center"/>
          </w:tcPr>
          <w:p w:rsidR="00242C20" w:rsidRPr="004A4725" w:rsidRDefault="00242C20" w:rsidP="001C5E6E">
            <w:pPr>
              <w:pStyle w:val="TableText0"/>
              <w:keepLines/>
              <w:jc w:val="center"/>
            </w:pPr>
            <w:r w:rsidRPr="004A4725">
              <w:t>2.383</w:t>
            </w:r>
          </w:p>
        </w:tc>
        <w:tc>
          <w:tcPr>
            <w:tcW w:w="1250" w:type="pct"/>
            <w:vAlign w:val="center"/>
          </w:tcPr>
          <w:p w:rsidR="00242C20" w:rsidRPr="0047136C" w:rsidRDefault="00242C20" w:rsidP="001C5E6E">
            <w:pPr>
              <w:pStyle w:val="TableText0"/>
              <w:keepLines/>
              <w:jc w:val="center"/>
            </w:pPr>
            <w:r w:rsidRPr="0047136C">
              <w:t>0.229</w:t>
            </w:r>
          </w:p>
        </w:tc>
      </w:tr>
      <w:tr w:rsidR="00242C20" w:rsidRPr="0074481B" w:rsidTr="00242C20">
        <w:trPr>
          <w:cantSplit/>
        </w:trPr>
        <w:tc>
          <w:tcPr>
            <w:tcW w:w="1518" w:type="pct"/>
            <w:vAlign w:val="center"/>
          </w:tcPr>
          <w:p w:rsidR="00242C20" w:rsidRPr="0074481B" w:rsidRDefault="00242C20" w:rsidP="001C5E6E">
            <w:pPr>
              <w:pStyle w:val="TableText0"/>
              <w:keepLines/>
              <w:rPr>
                <w:rFonts w:ascii="Times" w:hAnsi="Times"/>
              </w:rPr>
            </w:pPr>
            <w:r w:rsidRPr="0074481B">
              <w:t>QALYs</w:t>
            </w:r>
          </w:p>
        </w:tc>
        <w:tc>
          <w:tcPr>
            <w:tcW w:w="1135" w:type="pct"/>
            <w:vAlign w:val="center"/>
          </w:tcPr>
          <w:p w:rsidR="00242C20" w:rsidRPr="0047136C" w:rsidRDefault="00242C20" w:rsidP="001C5E6E">
            <w:pPr>
              <w:pStyle w:val="TableText0"/>
              <w:keepLines/>
              <w:jc w:val="center"/>
            </w:pPr>
            <w:r w:rsidRPr="0047136C">
              <w:t>2.128</w:t>
            </w:r>
          </w:p>
        </w:tc>
        <w:tc>
          <w:tcPr>
            <w:tcW w:w="1094" w:type="pct"/>
            <w:vAlign w:val="center"/>
          </w:tcPr>
          <w:p w:rsidR="00242C20" w:rsidRPr="0074481B" w:rsidRDefault="00242C20" w:rsidP="001C5E6E">
            <w:pPr>
              <w:pStyle w:val="TableText0"/>
              <w:keepLines/>
              <w:jc w:val="center"/>
            </w:pPr>
            <w:r w:rsidRPr="0074481B">
              <w:t>1.827</w:t>
            </w:r>
          </w:p>
        </w:tc>
        <w:tc>
          <w:tcPr>
            <w:tcW w:w="1250" w:type="pct"/>
            <w:vAlign w:val="center"/>
          </w:tcPr>
          <w:p w:rsidR="00242C20" w:rsidRPr="0047136C" w:rsidRDefault="00242C20" w:rsidP="001C5E6E">
            <w:pPr>
              <w:pStyle w:val="TableText0"/>
              <w:keepLines/>
              <w:jc w:val="center"/>
            </w:pPr>
            <w:r w:rsidRPr="0047136C">
              <w:t>0.301</w:t>
            </w:r>
          </w:p>
        </w:tc>
      </w:tr>
      <w:tr w:rsidR="00242C20" w:rsidRPr="0074481B" w:rsidTr="00242C20">
        <w:trPr>
          <w:cantSplit/>
        </w:trPr>
        <w:tc>
          <w:tcPr>
            <w:tcW w:w="3747" w:type="pct"/>
            <w:gridSpan w:val="3"/>
            <w:vAlign w:val="center"/>
          </w:tcPr>
          <w:p w:rsidR="00242C20" w:rsidRPr="0074481B" w:rsidRDefault="00242C20" w:rsidP="001C5E6E">
            <w:pPr>
              <w:pStyle w:val="TableText0"/>
              <w:keepLines/>
              <w:rPr>
                <w:rFonts w:ascii="Times" w:hAnsi="Times"/>
              </w:rPr>
            </w:pPr>
            <w:r w:rsidRPr="0074481B">
              <w:t>Incremental cost/extra LY gained</w:t>
            </w:r>
          </w:p>
        </w:tc>
        <w:tc>
          <w:tcPr>
            <w:tcW w:w="1250" w:type="pct"/>
            <w:vAlign w:val="center"/>
          </w:tcPr>
          <w:p w:rsidR="00242C20" w:rsidRPr="008C33CE" w:rsidRDefault="00242C20" w:rsidP="001C5E6E">
            <w:pPr>
              <w:pStyle w:val="TableText0"/>
              <w:keepLines/>
              <w:jc w:val="center"/>
              <w:rPr>
                <w:vertAlign w:val="superscript"/>
              </w:rPr>
            </w:pPr>
            <w:r w:rsidRPr="0074481B">
              <w:t>$</w:t>
            </w:r>
            <w:r w:rsidR="0047136C">
              <w:rPr>
                <w:noProof/>
                <w:color w:val="000000"/>
                <w:highlight w:val="black"/>
              </w:rPr>
              <w:t>'''''''''''''''''''</w:t>
            </w:r>
            <w:r w:rsidR="008C33CE" w:rsidRPr="008C33CE">
              <w:rPr>
                <w:vertAlign w:val="superscript"/>
              </w:rPr>
              <w:t>1</w:t>
            </w:r>
          </w:p>
        </w:tc>
      </w:tr>
      <w:tr w:rsidR="00242C20" w:rsidRPr="0074481B" w:rsidTr="00242C20">
        <w:trPr>
          <w:cantSplit/>
        </w:trPr>
        <w:tc>
          <w:tcPr>
            <w:tcW w:w="3747" w:type="pct"/>
            <w:gridSpan w:val="3"/>
            <w:vAlign w:val="center"/>
          </w:tcPr>
          <w:p w:rsidR="00242C20" w:rsidRPr="0074481B" w:rsidRDefault="00242C20" w:rsidP="001C5E6E">
            <w:pPr>
              <w:pStyle w:val="TableText0"/>
              <w:keepLines/>
            </w:pPr>
            <w:r w:rsidRPr="0074481B">
              <w:t>Incremental cost/extra QALY gained</w:t>
            </w:r>
          </w:p>
        </w:tc>
        <w:tc>
          <w:tcPr>
            <w:tcW w:w="1250" w:type="pct"/>
            <w:vAlign w:val="center"/>
          </w:tcPr>
          <w:p w:rsidR="00242C20" w:rsidRPr="0074481B" w:rsidRDefault="00242C20" w:rsidP="001C5E6E">
            <w:pPr>
              <w:pStyle w:val="TableText0"/>
              <w:keepLines/>
              <w:jc w:val="center"/>
              <w:rPr>
                <w:rFonts w:ascii="Times" w:hAnsi="Times"/>
              </w:rPr>
            </w:pPr>
            <w:r w:rsidRPr="0074481B">
              <w:t>$</w:t>
            </w:r>
            <w:r w:rsidR="0047136C">
              <w:rPr>
                <w:noProof/>
                <w:color w:val="000000"/>
                <w:highlight w:val="black"/>
              </w:rPr>
              <w:t>'''''''''''''''''''''</w:t>
            </w:r>
            <w:r w:rsidR="004B3201" w:rsidRPr="004B3201">
              <w:rPr>
                <w:vertAlign w:val="superscript"/>
              </w:rPr>
              <w:t>2</w:t>
            </w:r>
          </w:p>
        </w:tc>
      </w:tr>
      <w:tr w:rsidR="00242C20" w:rsidRPr="0074481B" w:rsidTr="00242C20">
        <w:trPr>
          <w:cantSplit/>
        </w:trPr>
        <w:tc>
          <w:tcPr>
            <w:tcW w:w="5000" w:type="pct"/>
            <w:gridSpan w:val="4"/>
            <w:vAlign w:val="center"/>
          </w:tcPr>
          <w:p w:rsidR="00242C20" w:rsidRPr="00FC47BA" w:rsidRDefault="00242C20" w:rsidP="001C5E6E">
            <w:pPr>
              <w:pStyle w:val="In-tableHeading"/>
              <w:keepLines/>
              <w:rPr>
                <w:vertAlign w:val="superscript"/>
                <w:lang w:val="en-AU"/>
              </w:rPr>
            </w:pPr>
            <w:r w:rsidRPr="0074481B">
              <w:rPr>
                <w:lang w:val="en-AU"/>
              </w:rPr>
              <w:t>Step 2: Translation of circumstances of use: adjust for SoC crossover and update SoC dosing</w:t>
            </w:r>
            <w:r w:rsidR="00FC47BA">
              <w:rPr>
                <w:vertAlign w:val="superscript"/>
                <w:lang w:val="en-AU"/>
              </w:rPr>
              <w:t>a</w:t>
            </w:r>
          </w:p>
        </w:tc>
      </w:tr>
      <w:tr w:rsidR="00242C20" w:rsidRPr="0074481B" w:rsidTr="00242C20">
        <w:trPr>
          <w:cantSplit/>
        </w:trPr>
        <w:tc>
          <w:tcPr>
            <w:tcW w:w="1518" w:type="pct"/>
            <w:vAlign w:val="center"/>
          </w:tcPr>
          <w:p w:rsidR="00242C20" w:rsidRPr="0074481B" w:rsidRDefault="00242C20" w:rsidP="001C5E6E">
            <w:pPr>
              <w:pStyle w:val="TableText0"/>
              <w:keepLines/>
              <w:rPr>
                <w:rFonts w:ascii="Times" w:hAnsi="Times"/>
              </w:rPr>
            </w:pPr>
            <w:r w:rsidRPr="0074481B">
              <w:t>Costs</w:t>
            </w:r>
          </w:p>
        </w:tc>
        <w:tc>
          <w:tcPr>
            <w:tcW w:w="1135" w:type="pct"/>
            <w:vAlign w:val="center"/>
          </w:tcPr>
          <w:p w:rsidR="00242C20" w:rsidRPr="0074481B" w:rsidRDefault="00242C20" w:rsidP="004361CB">
            <w:pPr>
              <w:pStyle w:val="TableText0"/>
              <w:keepLines/>
              <w:jc w:val="center"/>
            </w:pPr>
            <w:r w:rsidRPr="0074481B">
              <w:t>$</w:t>
            </w:r>
            <w:r w:rsidR="0047136C">
              <w:rPr>
                <w:noProof/>
                <w:color w:val="000000"/>
                <w:highlight w:val="black"/>
              </w:rPr>
              <w:t>'''''''''''''''''''''</w:t>
            </w:r>
          </w:p>
        </w:tc>
        <w:tc>
          <w:tcPr>
            <w:tcW w:w="1094" w:type="pct"/>
            <w:vAlign w:val="center"/>
          </w:tcPr>
          <w:p w:rsidR="00242C20" w:rsidRPr="0074481B" w:rsidRDefault="00242C20" w:rsidP="004361CB">
            <w:pPr>
              <w:pStyle w:val="TableText0"/>
              <w:keepLines/>
              <w:jc w:val="center"/>
            </w:pPr>
            <w:r w:rsidRPr="0074481B">
              <w:t>$</w:t>
            </w:r>
            <w:r w:rsidRPr="004B3201">
              <w:t>30,325</w:t>
            </w:r>
          </w:p>
        </w:tc>
        <w:tc>
          <w:tcPr>
            <w:tcW w:w="1250" w:type="pct"/>
            <w:vAlign w:val="center"/>
          </w:tcPr>
          <w:p w:rsidR="00242C20" w:rsidRPr="0074481B" w:rsidRDefault="00242C20" w:rsidP="001C5E6E">
            <w:pPr>
              <w:pStyle w:val="TableText0"/>
              <w:keepLines/>
              <w:jc w:val="center"/>
            </w:pPr>
            <w:r w:rsidRPr="0074481B">
              <w:t>$</w:t>
            </w:r>
            <w:r w:rsidR="0047136C">
              <w:rPr>
                <w:noProof/>
                <w:color w:val="000000"/>
                <w:highlight w:val="black"/>
              </w:rPr>
              <w:t>'''''''''''''''''</w:t>
            </w:r>
          </w:p>
        </w:tc>
      </w:tr>
      <w:tr w:rsidR="00242C20" w:rsidRPr="0074481B" w:rsidTr="00242C20">
        <w:trPr>
          <w:cantSplit/>
        </w:trPr>
        <w:tc>
          <w:tcPr>
            <w:tcW w:w="1518" w:type="pct"/>
            <w:vAlign w:val="center"/>
          </w:tcPr>
          <w:p w:rsidR="00242C20" w:rsidRPr="0074481B" w:rsidRDefault="00242C20" w:rsidP="001C5E6E">
            <w:pPr>
              <w:pStyle w:val="TableText0"/>
              <w:keepLines/>
              <w:rPr>
                <w:rFonts w:ascii="Times" w:hAnsi="Times"/>
              </w:rPr>
            </w:pPr>
            <w:r w:rsidRPr="0074481B">
              <w:t>LYs</w:t>
            </w:r>
          </w:p>
        </w:tc>
        <w:tc>
          <w:tcPr>
            <w:tcW w:w="1135" w:type="pct"/>
            <w:vAlign w:val="center"/>
          </w:tcPr>
          <w:p w:rsidR="00242C20" w:rsidRPr="0047136C" w:rsidRDefault="00242C20" w:rsidP="001C5E6E">
            <w:pPr>
              <w:pStyle w:val="TableText0"/>
              <w:keepLines/>
              <w:jc w:val="center"/>
            </w:pPr>
            <w:r w:rsidRPr="0047136C">
              <w:t>2.612</w:t>
            </w:r>
          </w:p>
        </w:tc>
        <w:tc>
          <w:tcPr>
            <w:tcW w:w="1094" w:type="pct"/>
            <w:vAlign w:val="center"/>
          </w:tcPr>
          <w:p w:rsidR="00242C20" w:rsidRPr="0047136C" w:rsidRDefault="00242C20" w:rsidP="001C5E6E">
            <w:pPr>
              <w:pStyle w:val="TableText0"/>
              <w:keepLines/>
              <w:jc w:val="center"/>
            </w:pPr>
            <w:r w:rsidRPr="0047136C">
              <w:t>2.238</w:t>
            </w:r>
          </w:p>
        </w:tc>
        <w:tc>
          <w:tcPr>
            <w:tcW w:w="1250" w:type="pct"/>
            <w:vAlign w:val="center"/>
          </w:tcPr>
          <w:p w:rsidR="00242C20" w:rsidRPr="0047136C" w:rsidRDefault="00242C20" w:rsidP="001C5E6E">
            <w:pPr>
              <w:pStyle w:val="TableText0"/>
              <w:keepLines/>
              <w:jc w:val="center"/>
            </w:pPr>
            <w:r w:rsidRPr="0047136C">
              <w:t>0.374</w:t>
            </w:r>
          </w:p>
        </w:tc>
      </w:tr>
      <w:tr w:rsidR="00242C20" w:rsidRPr="0074481B" w:rsidTr="00242C20">
        <w:trPr>
          <w:cantSplit/>
        </w:trPr>
        <w:tc>
          <w:tcPr>
            <w:tcW w:w="1518" w:type="pct"/>
            <w:vAlign w:val="center"/>
          </w:tcPr>
          <w:p w:rsidR="00242C20" w:rsidRPr="0074481B" w:rsidRDefault="00242C20" w:rsidP="001C5E6E">
            <w:pPr>
              <w:pStyle w:val="TableText0"/>
              <w:keepLines/>
            </w:pPr>
            <w:r w:rsidRPr="0074481B">
              <w:t>QALYs</w:t>
            </w:r>
          </w:p>
        </w:tc>
        <w:tc>
          <w:tcPr>
            <w:tcW w:w="1135" w:type="pct"/>
            <w:vAlign w:val="center"/>
          </w:tcPr>
          <w:p w:rsidR="00242C20" w:rsidRPr="0047136C" w:rsidRDefault="00242C20" w:rsidP="001C5E6E">
            <w:pPr>
              <w:pStyle w:val="TableText0"/>
              <w:keepLines/>
              <w:jc w:val="center"/>
            </w:pPr>
            <w:r w:rsidRPr="0047136C">
              <w:t>2.128</w:t>
            </w:r>
          </w:p>
        </w:tc>
        <w:tc>
          <w:tcPr>
            <w:tcW w:w="1094" w:type="pct"/>
            <w:vAlign w:val="center"/>
          </w:tcPr>
          <w:p w:rsidR="00242C20" w:rsidRPr="0047136C" w:rsidRDefault="00242C20" w:rsidP="001C5E6E">
            <w:pPr>
              <w:pStyle w:val="TableText0"/>
              <w:keepLines/>
              <w:jc w:val="center"/>
            </w:pPr>
            <w:r w:rsidRPr="0047136C">
              <w:t>1.718</w:t>
            </w:r>
          </w:p>
        </w:tc>
        <w:tc>
          <w:tcPr>
            <w:tcW w:w="1250" w:type="pct"/>
            <w:vAlign w:val="center"/>
          </w:tcPr>
          <w:p w:rsidR="00242C20" w:rsidRPr="0047136C" w:rsidRDefault="00242C20" w:rsidP="001C5E6E">
            <w:pPr>
              <w:pStyle w:val="TableText0"/>
              <w:keepLines/>
              <w:jc w:val="center"/>
            </w:pPr>
            <w:r w:rsidRPr="0047136C">
              <w:t>0.410</w:t>
            </w:r>
          </w:p>
        </w:tc>
      </w:tr>
      <w:tr w:rsidR="00242C20" w:rsidRPr="0074481B" w:rsidTr="00242C20">
        <w:trPr>
          <w:cantSplit/>
        </w:trPr>
        <w:tc>
          <w:tcPr>
            <w:tcW w:w="3747" w:type="pct"/>
            <w:gridSpan w:val="3"/>
            <w:vAlign w:val="center"/>
          </w:tcPr>
          <w:p w:rsidR="00242C20" w:rsidRPr="0074481B" w:rsidRDefault="00242C20" w:rsidP="001C5E6E">
            <w:pPr>
              <w:pStyle w:val="TableText0"/>
              <w:keepLines/>
              <w:rPr>
                <w:rFonts w:ascii="Times" w:hAnsi="Times"/>
              </w:rPr>
            </w:pPr>
            <w:r w:rsidRPr="0074481B">
              <w:t>Incremental cost/extra LY gained</w:t>
            </w:r>
          </w:p>
        </w:tc>
        <w:tc>
          <w:tcPr>
            <w:tcW w:w="1250" w:type="pct"/>
            <w:vAlign w:val="center"/>
          </w:tcPr>
          <w:p w:rsidR="00242C20" w:rsidRPr="0074481B" w:rsidRDefault="00242C20" w:rsidP="001C5E6E">
            <w:pPr>
              <w:pStyle w:val="TableText0"/>
              <w:keepLines/>
              <w:jc w:val="center"/>
            </w:pPr>
            <w:r w:rsidRPr="0074481B">
              <w:t>$</w:t>
            </w:r>
            <w:r w:rsidR="0047136C">
              <w:rPr>
                <w:noProof/>
                <w:color w:val="000000"/>
                <w:highlight w:val="black"/>
              </w:rPr>
              <w:t>'''''''''''''''''''</w:t>
            </w:r>
            <w:r w:rsidR="004B3201" w:rsidRPr="004B3201">
              <w:rPr>
                <w:vertAlign w:val="superscript"/>
              </w:rPr>
              <w:t>2</w:t>
            </w:r>
          </w:p>
        </w:tc>
      </w:tr>
      <w:tr w:rsidR="00242C20" w:rsidRPr="0074481B" w:rsidTr="00242C20">
        <w:trPr>
          <w:cantSplit/>
        </w:trPr>
        <w:tc>
          <w:tcPr>
            <w:tcW w:w="3747" w:type="pct"/>
            <w:gridSpan w:val="3"/>
            <w:vAlign w:val="center"/>
          </w:tcPr>
          <w:p w:rsidR="00242C20" w:rsidRPr="0074481B" w:rsidRDefault="00242C20" w:rsidP="001C5E6E">
            <w:pPr>
              <w:pStyle w:val="TableText0"/>
              <w:keepLines/>
              <w:rPr>
                <w:rFonts w:ascii="Times" w:hAnsi="Times"/>
              </w:rPr>
            </w:pPr>
            <w:r w:rsidRPr="0074481B">
              <w:t>Incremental cost/extra QALY gained</w:t>
            </w:r>
          </w:p>
        </w:tc>
        <w:tc>
          <w:tcPr>
            <w:tcW w:w="1250" w:type="pct"/>
            <w:vAlign w:val="center"/>
          </w:tcPr>
          <w:p w:rsidR="00242C20" w:rsidRPr="0074481B" w:rsidRDefault="00242C20" w:rsidP="001C5E6E">
            <w:pPr>
              <w:pStyle w:val="TableText0"/>
              <w:keepLines/>
              <w:jc w:val="center"/>
              <w:rPr>
                <w:rFonts w:ascii="Times" w:hAnsi="Times"/>
              </w:rPr>
            </w:pPr>
            <w:r w:rsidRPr="0074481B">
              <w:t>$</w:t>
            </w:r>
            <w:r w:rsidR="0047136C">
              <w:rPr>
                <w:noProof/>
                <w:color w:val="000000"/>
                <w:highlight w:val="black"/>
              </w:rPr>
              <w:t>'''''''''''''''''</w:t>
            </w:r>
            <w:r w:rsidR="004B3201" w:rsidRPr="004B3201">
              <w:rPr>
                <w:vertAlign w:val="superscript"/>
              </w:rPr>
              <w:t>2</w:t>
            </w:r>
          </w:p>
        </w:tc>
      </w:tr>
      <w:tr w:rsidR="00242C20" w:rsidRPr="0074481B" w:rsidTr="00242C20">
        <w:trPr>
          <w:cantSplit/>
        </w:trPr>
        <w:tc>
          <w:tcPr>
            <w:tcW w:w="5000" w:type="pct"/>
            <w:gridSpan w:val="4"/>
            <w:vAlign w:val="center"/>
          </w:tcPr>
          <w:p w:rsidR="00242C20" w:rsidRPr="0074481B" w:rsidRDefault="00242C20" w:rsidP="001C5E6E">
            <w:pPr>
              <w:pStyle w:val="In-tableHeading"/>
              <w:keepLines/>
              <w:rPr>
                <w:lang w:val="en-AU"/>
              </w:rPr>
            </w:pPr>
            <w:r w:rsidRPr="0074481B">
              <w:rPr>
                <w:lang w:val="en-AU"/>
              </w:rPr>
              <w:t xml:space="preserve">Step 3: </w:t>
            </w:r>
            <w:r w:rsidRPr="0074481B">
              <w:rPr>
                <w:rFonts w:cstheme="minorHAnsi"/>
                <w:szCs w:val="20"/>
                <w:lang w:val="en-AU"/>
              </w:rPr>
              <w:t>Transform resource use to non-drug costs (administration, AEs, and health state costs)</w:t>
            </w:r>
          </w:p>
        </w:tc>
      </w:tr>
      <w:tr w:rsidR="00242C20" w:rsidRPr="0074481B" w:rsidTr="00242C20">
        <w:trPr>
          <w:cantSplit/>
        </w:trPr>
        <w:tc>
          <w:tcPr>
            <w:tcW w:w="1518" w:type="pct"/>
            <w:vAlign w:val="center"/>
          </w:tcPr>
          <w:p w:rsidR="00242C20" w:rsidRPr="0074481B" w:rsidRDefault="00242C20" w:rsidP="001C5E6E">
            <w:pPr>
              <w:pStyle w:val="TableText0"/>
              <w:keepLines/>
            </w:pPr>
            <w:r w:rsidRPr="0074481B">
              <w:t>Costs</w:t>
            </w:r>
          </w:p>
        </w:tc>
        <w:tc>
          <w:tcPr>
            <w:tcW w:w="1135" w:type="pct"/>
            <w:vAlign w:val="center"/>
          </w:tcPr>
          <w:p w:rsidR="00242C20" w:rsidRPr="0074481B" w:rsidRDefault="00242C20" w:rsidP="004361CB">
            <w:pPr>
              <w:pStyle w:val="TableText0"/>
              <w:keepLines/>
              <w:jc w:val="center"/>
            </w:pPr>
            <w:r w:rsidRPr="0074481B">
              <w:t>$</w:t>
            </w:r>
            <w:r w:rsidR="0047136C">
              <w:rPr>
                <w:noProof/>
                <w:color w:val="000000"/>
                <w:highlight w:val="black"/>
              </w:rPr>
              <w:t>''''''''''''''''''</w:t>
            </w:r>
          </w:p>
        </w:tc>
        <w:tc>
          <w:tcPr>
            <w:tcW w:w="1094" w:type="pct"/>
            <w:vAlign w:val="center"/>
          </w:tcPr>
          <w:p w:rsidR="00242C20" w:rsidRPr="0074481B" w:rsidRDefault="00242C20" w:rsidP="004361CB">
            <w:pPr>
              <w:pStyle w:val="TableText0"/>
              <w:keepLines/>
              <w:jc w:val="center"/>
            </w:pPr>
            <w:r w:rsidRPr="0074481B">
              <w:t>$</w:t>
            </w:r>
            <w:r w:rsidRPr="004B3201">
              <w:t>60,715</w:t>
            </w:r>
          </w:p>
        </w:tc>
        <w:tc>
          <w:tcPr>
            <w:tcW w:w="1250" w:type="pct"/>
            <w:vAlign w:val="center"/>
          </w:tcPr>
          <w:p w:rsidR="00242C20" w:rsidRPr="0074481B" w:rsidRDefault="00242C20" w:rsidP="001C5E6E">
            <w:pPr>
              <w:pStyle w:val="TableText0"/>
              <w:keepLines/>
              <w:jc w:val="center"/>
            </w:pPr>
            <w:r w:rsidRPr="0074481B">
              <w:t>$</w:t>
            </w:r>
            <w:r w:rsidR="0047136C">
              <w:rPr>
                <w:noProof/>
                <w:color w:val="000000"/>
                <w:highlight w:val="black"/>
              </w:rPr>
              <w:t>'''''''''''''''''</w:t>
            </w:r>
          </w:p>
        </w:tc>
      </w:tr>
      <w:tr w:rsidR="00242C20" w:rsidRPr="0074481B" w:rsidTr="00242C20">
        <w:trPr>
          <w:cantSplit/>
        </w:trPr>
        <w:tc>
          <w:tcPr>
            <w:tcW w:w="1518" w:type="pct"/>
            <w:vAlign w:val="center"/>
          </w:tcPr>
          <w:p w:rsidR="00242C20" w:rsidRPr="0074481B" w:rsidRDefault="00242C20" w:rsidP="001C5E6E">
            <w:pPr>
              <w:pStyle w:val="TableText0"/>
              <w:keepLines/>
            </w:pPr>
            <w:r w:rsidRPr="0074481B">
              <w:t>LYs</w:t>
            </w:r>
          </w:p>
        </w:tc>
        <w:tc>
          <w:tcPr>
            <w:tcW w:w="1135" w:type="pct"/>
            <w:vAlign w:val="center"/>
          </w:tcPr>
          <w:p w:rsidR="00242C20" w:rsidRPr="004A4725" w:rsidRDefault="00242C20" w:rsidP="001C5E6E">
            <w:pPr>
              <w:pStyle w:val="TableText0"/>
              <w:keepLines/>
              <w:jc w:val="center"/>
            </w:pPr>
            <w:r w:rsidRPr="004A4725">
              <w:t>2.612</w:t>
            </w:r>
          </w:p>
        </w:tc>
        <w:tc>
          <w:tcPr>
            <w:tcW w:w="1094" w:type="pct"/>
            <w:vAlign w:val="center"/>
          </w:tcPr>
          <w:p w:rsidR="00242C20" w:rsidRPr="004A4725" w:rsidRDefault="00242C20" w:rsidP="001C5E6E">
            <w:pPr>
              <w:pStyle w:val="TableText0"/>
              <w:keepLines/>
              <w:jc w:val="center"/>
            </w:pPr>
            <w:r w:rsidRPr="004A4725">
              <w:t>2.238</w:t>
            </w:r>
          </w:p>
        </w:tc>
        <w:tc>
          <w:tcPr>
            <w:tcW w:w="1250" w:type="pct"/>
            <w:vAlign w:val="center"/>
          </w:tcPr>
          <w:p w:rsidR="00242C20" w:rsidRPr="0047136C" w:rsidRDefault="00242C20" w:rsidP="001C5E6E">
            <w:pPr>
              <w:pStyle w:val="TableText0"/>
              <w:keepLines/>
              <w:jc w:val="center"/>
            </w:pPr>
            <w:r w:rsidRPr="0097290B">
              <w:t>0.374</w:t>
            </w:r>
          </w:p>
        </w:tc>
      </w:tr>
      <w:tr w:rsidR="00242C20" w:rsidRPr="0074481B" w:rsidTr="00242C20">
        <w:trPr>
          <w:cantSplit/>
        </w:trPr>
        <w:tc>
          <w:tcPr>
            <w:tcW w:w="1518" w:type="pct"/>
            <w:vAlign w:val="center"/>
          </w:tcPr>
          <w:p w:rsidR="00242C20" w:rsidRPr="0074481B" w:rsidRDefault="00242C20" w:rsidP="001C5E6E">
            <w:pPr>
              <w:pStyle w:val="TableText0"/>
              <w:keepLines/>
            </w:pPr>
            <w:r w:rsidRPr="0074481B">
              <w:t>QALYs</w:t>
            </w:r>
          </w:p>
        </w:tc>
        <w:tc>
          <w:tcPr>
            <w:tcW w:w="1135" w:type="pct"/>
            <w:vAlign w:val="center"/>
          </w:tcPr>
          <w:p w:rsidR="00242C20" w:rsidRPr="0047136C" w:rsidRDefault="00242C20" w:rsidP="001C5E6E">
            <w:pPr>
              <w:pStyle w:val="TableText0"/>
              <w:keepLines/>
              <w:jc w:val="center"/>
            </w:pPr>
            <w:r w:rsidRPr="0047136C">
              <w:t>2.128</w:t>
            </w:r>
          </w:p>
        </w:tc>
        <w:tc>
          <w:tcPr>
            <w:tcW w:w="1094" w:type="pct"/>
            <w:vAlign w:val="center"/>
          </w:tcPr>
          <w:p w:rsidR="00242C20" w:rsidRPr="0047136C" w:rsidRDefault="00242C20" w:rsidP="001C5E6E">
            <w:pPr>
              <w:pStyle w:val="TableText0"/>
              <w:keepLines/>
              <w:jc w:val="center"/>
            </w:pPr>
            <w:r w:rsidRPr="0047136C">
              <w:t>1.718</w:t>
            </w:r>
          </w:p>
        </w:tc>
        <w:tc>
          <w:tcPr>
            <w:tcW w:w="1250" w:type="pct"/>
            <w:vAlign w:val="center"/>
          </w:tcPr>
          <w:p w:rsidR="00242C20" w:rsidRPr="0047136C" w:rsidRDefault="00242C20" w:rsidP="001C5E6E">
            <w:pPr>
              <w:pStyle w:val="TableText0"/>
              <w:keepLines/>
              <w:jc w:val="center"/>
            </w:pPr>
            <w:r w:rsidRPr="0047136C">
              <w:t>0.410</w:t>
            </w:r>
          </w:p>
        </w:tc>
      </w:tr>
      <w:tr w:rsidR="00242C20" w:rsidRPr="0074481B" w:rsidTr="00242C20">
        <w:trPr>
          <w:cantSplit/>
        </w:trPr>
        <w:tc>
          <w:tcPr>
            <w:tcW w:w="3747" w:type="pct"/>
            <w:gridSpan w:val="3"/>
            <w:vAlign w:val="center"/>
          </w:tcPr>
          <w:p w:rsidR="00242C20" w:rsidRPr="0074481B" w:rsidRDefault="00242C20" w:rsidP="001C5E6E">
            <w:pPr>
              <w:pStyle w:val="TableText0"/>
              <w:keepLines/>
              <w:rPr>
                <w:rFonts w:ascii="Times" w:hAnsi="Times"/>
              </w:rPr>
            </w:pPr>
            <w:r w:rsidRPr="0074481B">
              <w:t>Incremental cost/extra LY gained</w:t>
            </w:r>
          </w:p>
        </w:tc>
        <w:tc>
          <w:tcPr>
            <w:tcW w:w="1250" w:type="pct"/>
            <w:vAlign w:val="center"/>
          </w:tcPr>
          <w:p w:rsidR="00242C20" w:rsidRPr="0074481B" w:rsidRDefault="00242C20" w:rsidP="001C5E6E">
            <w:pPr>
              <w:pStyle w:val="TableText0"/>
              <w:keepLines/>
              <w:jc w:val="center"/>
            </w:pPr>
            <w:r w:rsidRPr="0074481B">
              <w:t>$</w:t>
            </w:r>
            <w:r w:rsidR="0047136C">
              <w:rPr>
                <w:noProof/>
                <w:color w:val="000000"/>
                <w:highlight w:val="black"/>
              </w:rPr>
              <w:t>''''''''''''''''''''</w:t>
            </w:r>
            <w:r w:rsidR="004B3201" w:rsidRPr="004B3201">
              <w:rPr>
                <w:vertAlign w:val="superscript"/>
              </w:rPr>
              <w:t>2</w:t>
            </w:r>
          </w:p>
        </w:tc>
      </w:tr>
      <w:tr w:rsidR="00242C20" w:rsidRPr="0074481B" w:rsidTr="00242C20">
        <w:trPr>
          <w:cantSplit/>
        </w:trPr>
        <w:tc>
          <w:tcPr>
            <w:tcW w:w="3747" w:type="pct"/>
            <w:gridSpan w:val="3"/>
            <w:vAlign w:val="center"/>
          </w:tcPr>
          <w:p w:rsidR="00242C20" w:rsidRPr="0074481B" w:rsidRDefault="00242C20" w:rsidP="001C5E6E">
            <w:pPr>
              <w:pStyle w:val="TableText0"/>
              <w:keepLines/>
            </w:pPr>
            <w:r w:rsidRPr="0074481B">
              <w:t>Incremental cost/extra QALY gained</w:t>
            </w:r>
          </w:p>
        </w:tc>
        <w:tc>
          <w:tcPr>
            <w:tcW w:w="1250" w:type="pct"/>
            <w:vAlign w:val="center"/>
          </w:tcPr>
          <w:p w:rsidR="00242C20" w:rsidRPr="0074481B" w:rsidRDefault="00242C20" w:rsidP="001C5E6E">
            <w:pPr>
              <w:pStyle w:val="TableText0"/>
              <w:keepLines/>
              <w:jc w:val="center"/>
              <w:rPr>
                <w:rFonts w:ascii="Times" w:hAnsi="Times"/>
              </w:rPr>
            </w:pPr>
            <w:r w:rsidRPr="0074481B">
              <w:t>$</w:t>
            </w:r>
            <w:r w:rsidR="0047136C">
              <w:rPr>
                <w:noProof/>
                <w:color w:val="000000"/>
                <w:highlight w:val="black"/>
              </w:rPr>
              <w:t>'''''''''''''''''''</w:t>
            </w:r>
            <w:r w:rsidR="004B3201" w:rsidRPr="004B3201">
              <w:rPr>
                <w:vertAlign w:val="superscript"/>
              </w:rPr>
              <w:t>2</w:t>
            </w:r>
          </w:p>
        </w:tc>
      </w:tr>
      <w:tr w:rsidR="00242C20" w:rsidRPr="0074481B" w:rsidTr="00242C20">
        <w:trPr>
          <w:cantSplit/>
        </w:trPr>
        <w:tc>
          <w:tcPr>
            <w:tcW w:w="5000" w:type="pct"/>
            <w:gridSpan w:val="4"/>
            <w:vAlign w:val="center"/>
          </w:tcPr>
          <w:p w:rsidR="00242C20" w:rsidRPr="0074481B" w:rsidRDefault="00242C20" w:rsidP="001C5E6E">
            <w:pPr>
              <w:pStyle w:val="In-tableHeading"/>
              <w:keepLines/>
              <w:rPr>
                <w:lang w:val="en-AU"/>
              </w:rPr>
            </w:pPr>
            <w:r w:rsidRPr="0074481B">
              <w:rPr>
                <w:lang w:val="en-AU"/>
              </w:rPr>
              <w:t xml:space="preserve">Step 4: </w:t>
            </w:r>
            <w:r w:rsidRPr="0074481B">
              <w:rPr>
                <w:rFonts w:cstheme="minorHAnsi"/>
                <w:szCs w:val="20"/>
                <w:lang w:val="en-AU"/>
              </w:rPr>
              <w:t>Extrapolation of PFS and OS to a 10-year time horizon</w:t>
            </w:r>
          </w:p>
        </w:tc>
      </w:tr>
      <w:tr w:rsidR="00242C20" w:rsidRPr="0074481B" w:rsidTr="00242C20">
        <w:trPr>
          <w:cantSplit/>
        </w:trPr>
        <w:tc>
          <w:tcPr>
            <w:tcW w:w="1518" w:type="pct"/>
            <w:vAlign w:val="center"/>
          </w:tcPr>
          <w:p w:rsidR="00242C20" w:rsidRPr="001C5E6E" w:rsidRDefault="00242C20" w:rsidP="001C5E6E">
            <w:pPr>
              <w:pStyle w:val="TableText0"/>
              <w:keepLines/>
            </w:pPr>
            <w:r w:rsidRPr="001C5E6E">
              <w:t>Costs</w:t>
            </w:r>
          </w:p>
          <w:p w:rsidR="00242C20" w:rsidRPr="001C5E6E" w:rsidRDefault="00242C20" w:rsidP="001C5E6E">
            <w:pPr>
              <w:pStyle w:val="TableText0"/>
              <w:keepLines/>
              <w:rPr>
                <w:i/>
                <w:vertAlign w:val="superscript"/>
              </w:rPr>
            </w:pPr>
            <w:r w:rsidRPr="001C5E6E">
              <w:t xml:space="preserve">    </w:t>
            </w:r>
            <w:r w:rsidRPr="001C5E6E">
              <w:rPr>
                <w:i/>
              </w:rPr>
              <w:t xml:space="preserve">Revised </w:t>
            </w:r>
            <w:r w:rsidR="00FC47BA" w:rsidRPr="001C5E6E">
              <w:rPr>
                <w:i/>
                <w:vertAlign w:val="superscript"/>
              </w:rPr>
              <w:t>b</w:t>
            </w:r>
          </w:p>
        </w:tc>
        <w:tc>
          <w:tcPr>
            <w:tcW w:w="1135" w:type="pct"/>
            <w:vAlign w:val="center"/>
          </w:tcPr>
          <w:p w:rsidR="00242C20" w:rsidRPr="001C5E6E" w:rsidRDefault="00242C20" w:rsidP="004361CB">
            <w:pPr>
              <w:pStyle w:val="TableText0"/>
              <w:keepLines/>
              <w:jc w:val="center"/>
            </w:pPr>
            <w:r w:rsidRPr="001C5E6E">
              <w:t>$</w:t>
            </w:r>
            <w:r w:rsidR="0047136C">
              <w:rPr>
                <w:noProof/>
                <w:color w:val="000000"/>
                <w:highlight w:val="black"/>
              </w:rPr>
              <w:t>''''''''''''''''''''</w:t>
            </w:r>
          </w:p>
          <w:p w:rsidR="00242C20" w:rsidRPr="001C5E6E" w:rsidRDefault="00242C20" w:rsidP="004361CB">
            <w:pPr>
              <w:pStyle w:val="TableText0"/>
              <w:keepLines/>
              <w:jc w:val="center"/>
              <w:rPr>
                <w:i/>
              </w:rPr>
            </w:pPr>
            <w:r w:rsidRPr="001C5E6E">
              <w:rPr>
                <w:i/>
              </w:rPr>
              <w:t>$</w:t>
            </w:r>
            <w:r w:rsidR="0047136C">
              <w:rPr>
                <w:i/>
                <w:noProof/>
                <w:color w:val="000000"/>
                <w:highlight w:val="black"/>
              </w:rPr>
              <w:t>'''''''''''''''''''</w:t>
            </w:r>
          </w:p>
        </w:tc>
        <w:tc>
          <w:tcPr>
            <w:tcW w:w="1094" w:type="pct"/>
            <w:vAlign w:val="center"/>
          </w:tcPr>
          <w:p w:rsidR="00242C20" w:rsidRPr="001C5E6E" w:rsidRDefault="00242C20" w:rsidP="004361CB">
            <w:pPr>
              <w:pStyle w:val="TableText0"/>
              <w:keepLines/>
              <w:jc w:val="center"/>
            </w:pPr>
            <w:r w:rsidRPr="001C5E6E">
              <w:t>$</w:t>
            </w:r>
            <w:r w:rsidRPr="004B3201">
              <w:t>60,715</w:t>
            </w:r>
          </w:p>
          <w:p w:rsidR="00242C20" w:rsidRPr="001C5E6E" w:rsidRDefault="00242C20" w:rsidP="004361CB">
            <w:pPr>
              <w:pStyle w:val="TableText0"/>
              <w:keepLines/>
              <w:jc w:val="center"/>
              <w:rPr>
                <w:i/>
              </w:rPr>
            </w:pPr>
            <w:r w:rsidRPr="001C5E6E">
              <w:rPr>
                <w:i/>
              </w:rPr>
              <w:t>$</w:t>
            </w:r>
            <w:r w:rsidRPr="004B3201">
              <w:rPr>
                <w:i/>
              </w:rPr>
              <w:t>57,853</w:t>
            </w:r>
          </w:p>
        </w:tc>
        <w:tc>
          <w:tcPr>
            <w:tcW w:w="1250" w:type="pct"/>
            <w:vAlign w:val="center"/>
          </w:tcPr>
          <w:p w:rsidR="00242C20" w:rsidRPr="0074481B" w:rsidRDefault="00242C20" w:rsidP="001C5E6E">
            <w:pPr>
              <w:pStyle w:val="TableText0"/>
              <w:keepLines/>
              <w:jc w:val="center"/>
            </w:pPr>
            <w:r w:rsidRPr="0074481B">
              <w:t>$</w:t>
            </w:r>
            <w:r w:rsidR="0047136C">
              <w:rPr>
                <w:noProof/>
                <w:color w:val="000000"/>
                <w:highlight w:val="black"/>
              </w:rPr>
              <w:t>''''''''''''''''</w:t>
            </w:r>
          </w:p>
          <w:p w:rsidR="00242C20" w:rsidRPr="001C5E6E" w:rsidRDefault="00242C20" w:rsidP="001C5E6E">
            <w:pPr>
              <w:pStyle w:val="TableText0"/>
              <w:keepLines/>
              <w:jc w:val="center"/>
              <w:rPr>
                <w:i/>
              </w:rPr>
            </w:pPr>
            <w:r w:rsidRPr="001C5E6E">
              <w:rPr>
                <w:i/>
              </w:rPr>
              <w:t>$</w:t>
            </w:r>
            <w:r w:rsidR="0047136C">
              <w:rPr>
                <w:i/>
                <w:noProof/>
                <w:color w:val="000000"/>
                <w:highlight w:val="black"/>
              </w:rPr>
              <w:t>''''''''''''''''</w:t>
            </w:r>
          </w:p>
        </w:tc>
      </w:tr>
      <w:tr w:rsidR="00242C20" w:rsidRPr="0074481B" w:rsidTr="00242C20">
        <w:trPr>
          <w:cantSplit/>
        </w:trPr>
        <w:tc>
          <w:tcPr>
            <w:tcW w:w="1518" w:type="pct"/>
            <w:vAlign w:val="center"/>
          </w:tcPr>
          <w:p w:rsidR="00242C20" w:rsidRPr="001C5E6E" w:rsidRDefault="00242C20" w:rsidP="001C5E6E">
            <w:pPr>
              <w:pStyle w:val="TableText0"/>
              <w:keepLines/>
            </w:pPr>
            <w:r w:rsidRPr="001C5E6E">
              <w:t>LYs</w:t>
            </w:r>
          </w:p>
        </w:tc>
        <w:tc>
          <w:tcPr>
            <w:tcW w:w="1135" w:type="pct"/>
            <w:vAlign w:val="center"/>
          </w:tcPr>
          <w:p w:rsidR="00242C20" w:rsidRPr="0047136C" w:rsidRDefault="00242C20" w:rsidP="001C5E6E">
            <w:pPr>
              <w:pStyle w:val="TableText0"/>
              <w:keepLines/>
              <w:jc w:val="center"/>
            </w:pPr>
            <w:r w:rsidRPr="0047136C">
              <w:t>4.315</w:t>
            </w:r>
          </w:p>
        </w:tc>
        <w:tc>
          <w:tcPr>
            <w:tcW w:w="1094" w:type="pct"/>
            <w:vAlign w:val="center"/>
          </w:tcPr>
          <w:p w:rsidR="00242C20" w:rsidRPr="0047136C" w:rsidRDefault="00242C20" w:rsidP="001C5E6E">
            <w:pPr>
              <w:pStyle w:val="TableText0"/>
              <w:keepLines/>
              <w:jc w:val="center"/>
            </w:pPr>
            <w:r w:rsidRPr="0047136C">
              <w:t>3.092</w:t>
            </w:r>
          </w:p>
        </w:tc>
        <w:tc>
          <w:tcPr>
            <w:tcW w:w="1250" w:type="pct"/>
            <w:vAlign w:val="center"/>
          </w:tcPr>
          <w:p w:rsidR="00242C20" w:rsidRPr="0047136C" w:rsidRDefault="00242C20" w:rsidP="001C5E6E">
            <w:pPr>
              <w:pStyle w:val="TableText0"/>
              <w:keepLines/>
              <w:jc w:val="center"/>
            </w:pPr>
            <w:r w:rsidRPr="0047136C">
              <w:t>1.223</w:t>
            </w:r>
          </w:p>
        </w:tc>
      </w:tr>
      <w:tr w:rsidR="00242C20" w:rsidRPr="0074481B" w:rsidTr="00242C20">
        <w:trPr>
          <w:cantSplit/>
        </w:trPr>
        <w:tc>
          <w:tcPr>
            <w:tcW w:w="1518" w:type="pct"/>
            <w:vAlign w:val="center"/>
          </w:tcPr>
          <w:p w:rsidR="00242C20" w:rsidRPr="001C5E6E" w:rsidRDefault="00242C20" w:rsidP="001C5E6E">
            <w:pPr>
              <w:pStyle w:val="TableText0"/>
              <w:keepLines/>
            </w:pPr>
            <w:r w:rsidRPr="001C5E6E">
              <w:t>QALYs</w:t>
            </w:r>
          </w:p>
        </w:tc>
        <w:tc>
          <w:tcPr>
            <w:tcW w:w="1135" w:type="pct"/>
            <w:vAlign w:val="center"/>
          </w:tcPr>
          <w:p w:rsidR="00242C20" w:rsidRPr="0047136C" w:rsidRDefault="00242C20" w:rsidP="001C5E6E">
            <w:pPr>
              <w:pStyle w:val="TableText0"/>
              <w:keepLines/>
              <w:jc w:val="center"/>
            </w:pPr>
            <w:r w:rsidRPr="0047136C">
              <w:t>3.516</w:t>
            </w:r>
          </w:p>
        </w:tc>
        <w:tc>
          <w:tcPr>
            <w:tcW w:w="1094" w:type="pct"/>
            <w:vAlign w:val="center"/>
          </w:tcPr>
          <w:p w:rsidR="00242C20" w:rsidRPr="0047136C" w:rsidRDefault="00242C20" w:rsidP="001C5E6E">
            <w:pPr>
              <w:pStyle w:val="TableText0"/>
              <w:keepLines/>
              <w:jc w:val="center"/>
            </w:pPr>
            <w:r w:rsidRPr="0047136C">
              <w:t>2.362</w:t>
            </w:r>
          </w:p>
        </w:tc>
        <w:tc>
          <w:tcPr>
            <w:tcW w:w="1250" w:type="pct"/>
            <w:vAlign w:val="center"/>
          </w:tcPr>
          <w:p w:rsidR="00242C20" w:rsidRPr="0047136C" w:rsidRDefault="00242C20" w:rsidP="001C5E6E">
            <w:pPr>
              <w:pStyle w:val="TableText0"/>
              <w:keepLines/>
              <w:jc w:val="center"/>
            </w:pPr>
            <w:r w:rsidRPr="0047136C">
              <w:t>1.154</w:t>
            </w:r>
          </w:p>
        </w:tc>
      </w:tr>
      <w:tr w:rsidR="00242C20" w:rsidRPr="0074481B" w:rsidTr="00242C20">
        <w:trPr>
          <w:cantSplit/>
        </w:trPr>
        <w:tc>
          <w:tcPr>
            <w:tcW w:w="3747" w:type="pct"/>
            <w:gridSpan w:val="3"/>
            <w:vAlign w:val="center"/>
          </w:tcPr>
          <w:p w:rsidR="00242C20" w:rsidRPr="001C5E6E" w:rsidRDefault="00242C20" w:rsidP="001C5E6E">
            <w:pPr>
              <w:pStyle w:val="TableText0"/>
              <w:keepLines/>
            </w:pPr>
            <w:r w:rsidRPr="001C5E6E">
              <w:t>Incremental cost/extra LY gained</w:t>
            </w:r>
          </w:p>
          <w:p w:rsidR="00242C20" w:rsidRPr="001C5E6E" w:rsidRDefault="00242C20" w:rsidP="001C5E6E">
            <w:pPr>
              <w:pStyle w:val="TableText0"/>
              <w:keepLines/>
              <w:rPr>
                <w:rFonts w:ascii="Times" w:hAnsi="Times"/>
                <w:i/>
                <w:vertAlign w:val="superscript"/>
              </w:rPr>
            </w:pPr>
            <w:r w:rsidRPr="001C5E6E">
              <w:t xml:space="preserve">     </w:t>
            </w:r>
            <w:r w:rsidRPr="001C5E6E">
              <w:rPr>
                <w:i/>
              </w:rPr>
              <w:t>Revised</w:t>
            </w:r>
            <w:r w:rsidRPr="001C5E6E">
              <w:rPr>
                <w:i/>
                <w:vertAlign w:val="superscript"/>
              </w:rPr>
              <w:t xml:space="preserve"> </w:t>
            </w:r>
            <w:r w:rsidR="00FC47BA" w:rsidRPr="001C5E6E">
              <w:rPr>
                <w:i/>
                <w:vertAlign w:val="superscript"/>
              </w:rPr>
              <w:t>b</w:t>
            </w:r>
          </w:p>
        </w:tc>
        <w:tc>
          <w:tcPr>
            <w:tcW w:w="1250" w:type="pct"/>
            <w:vAlign w:val="center"/>
          </w:tcPr>
          <w:p w:rsidR="00242C20" w:rsidRPr="004B3201" w:rsidRDefault="00242C20" w:rsidP="001C5E6E">
            <w:pPr>
              <w:pStyle w:val="TableText0"/>
              <w:keepLines/>
              <w:jc w:val="center"/>
              <w:rPr>
                <w:vertAlign w:val="superscript"/>
              </w:rPr>
            </w:pPr>
            <w:r w:rsidRPr="0074481B">
              <w:t>$</w:t>
            </w:r>
            <w:r w:rsidR="0047136C">
              <w:rPr>
                <w:noProof/>
                <w:color w:val="000000"/>
                <w:highlight w:val="black"/>
              </w:rPr>
              <w:t>''''''''''''''''''</w:t>
            </w:r>
            <w:r w:rsidR="004B3201" w:rsidRPr="004B3201">
              <w:rPr>
                <w:vertAlign w:val="superscript"/>
              </w:rPr>
              <w:t>3</w:t>
            </w:r>
          </w:p>
          <w:p w:rsidR="00242C20" w:rsidRPr="001C5E6E" w:rsidRDefault="00242C20" w:rsidP="001C5E6E">
            <w:pPr>
              <w:pStyle w:val="TableText0"/>
              <w:keepLines/>
              <w:jc w:val="center"/>
              <w:rPr>
                <w:i/>
              </w:rPr>
            </w:pPr>
            <w:r w:rsidRPr="001C5E6E">
              <w:rPr>
                <w:i/>
              </w:rPr>
              <w:t>$</w:t>
            </w:r>
            <w:r w:rsidR="0047136C">
              <w:rPr>
                <w:i/>
                <w:noProof/>
                <w:color w:val="000000"/>
                <w:highlight w:val="black"/>
              </w:rPr>
              <w:t>'''''''''''''''''</w:t>
            </w:r>
            <w:r w:rsidR="004B3201" w:rsidRPr="004B3201">
              <w:rPr>
                <w:vertAlign w:val="superscript"/>
              </w:rPr>
              <w:t>3</w:t>
            </w:r>
          </w:p>
        </w:tc>
      </w:tr>
      <w:tr w:rsidR="00242C20" w:rsidRPr="0074481B" w:rsidTr="00242C20">
        <w:trPr>
          <w:cantSplit/>
        </w:trPr>
        <w:tc>
          <w:tcPr>
            <w:tcW w:w="3747" w:type="pct"/>
            <w:gridSpan w:val="3"/>
            <w:vAlign w:val="center"/>
          </w:tcPr>
          <w:p w:rsidR="00242C20" w:rsidRPr="001C5E6E" w:rsidRDefault="00242C20" w:rsidP="001C5E6E">
            <w:pPr>
              <w:pStyle w:val="TableText0"/>
              <w:keepLines/>
              <w:rPr>
                <w:b/>
              </w:rPr>
            </w:pPr>
            <w:r w:rsidRPr="001C5E6E">
              <w:rPr>
                <w:b/>
              </w:rPr>
              <w:t>Incremental cost/extra QALY gained</w:t>
            </w:r>
          </w:p>
          <w:p w:rsidR="00242C20" w:rsidRPr="001C5E6E" w:rsidRDefault="00242C20" w:rsidP="001C5E6E">
            <w:pPr>
              <w:pStyle w:val="TableText0"/>
              <w:keepLines/>
              <w:rPr>
                <w:b/>
                <w:i/>
              </w:rPr>
            </w:pPr>
            <w:r w:rsidRPr="001C5E6E">
              <w:t xml:space="preserve">    </w:t>
            </w:r>
            <w:r w:rsidRPr="001C5E6E">
              <w:rPr>
                <w:i/>
              </w:rPr>
              <w:t xml:space="preserve">Revised </w:t>
            </w:r>
            <w:r w:rsidR="00FC47BA" w:rsidRPr="001C5E6E">
              <w:rPr>
                <w:i/>
                <w:vertAlign w:val="superscript"/>
              </w:rPr>
              <w:t>b</w:t>
            </w:r>
          </w:p>
        </w:tc>
        <w:tc>
          <w:tcPr>
            <w:tcW w:w="1250" w:type="pct"/>
            <w:vAlign w:val="center"/>
          </w:tcPr>
          <w:p w:rsidR="00242C20" w:rsidRPr="0074481B" w:rsidRDefault="00242C20" w:rsidP="001C5E6E">
            <w:pPr>
              <w:pStyle w:val="TableText0"/>
              <w:keepLines/>
              <w:jc w:val="center"/>
              <w:rPr>
                <w:b/>
              </w:rPr>
            </w:pPr>
            <w:r w:rsidRPr="0074481B">
              <w:rPr>
                <w:b/>
              </w:rPr>
              <w:t>$</w:t>
            </w:r>
            <w:r w:rsidR="0047136C">
              <w:rPr>
                <w:b/>
                <w:noProof/>
                <w:color w:val="000000"/>
                <w:highlight w:val="black"/>
              </w:rPr>
              <w:t>'''''''''''''''</w:t>
            </w:r>
            <w:r w:rsidR="004B3201" w:rsidRPr="004B3201">
              <w:rPr>
                <w:vertAlign w:val="superscript"/>
              </w:rPr>
              <w:t>3</w:t>
            </w:r>
          </w:p>
          <w:p w:rsidR="00242C20" w:rsidRPr="001C5E6E" w:rsidRDefault="00242C20" w:rsidP="001C5E6E">
            <w:pPr>
              <w:pStyle w:val="TableText0"/>
              <w:keepLines/>
              <w:jc w:val="center"/>
              <w:rPr>
                <w:b/>
                <w:i/>
              </w:rPr>
            </w:pPr>
            <w:r w:rsidRPr="001C5E6E">
              <w:rPr>
                <w:b/>
                <w:i/>
              </w:rPr>
              <w:t>$</w:t>
            </w:r>
            <w:r w:rsidR="0047136C">
              <w:rPr>
                <w:b/>
                <w:i/>
                <w:noProof/>
                <w:color w:val="000000"/>
                <w:highlight w:val="black"/>
              </w:rPr>
              <w:t>''''''''''''''</w:t>
            </w:r>
            <w:r w:rsidR="004B3201" w:rsidRPr="004B3201">
              <w:rPr>
                <w:vertAlign w:val="superscript"/>
              </w:rPr>
              <w:t>3</w:t>
            </w:r>
          </w:p>
        </w:tc>
      </w:tr>
    </w:tbl>
    <w:p w:rsidR="00242C20" w:rsidRPr="0074481B" w:rsidRDefault="00242C20" w:rsidP="001C5E6E">
      <w:pPr>
        <w:pStyle w:val="TableFooter"/>
        <w:keepNext/>
        <w:keepLines/>
      </w:pPr>
      <w:r w:rsidRPr="0074481B">
        <w:t>Source: Table 3.8-2, pp148 of the submission.</w:t>
      </w:r>
    </w:p>
    <w:p w:rsidR="00242C20" w:rsidRPr="0074481B" w:rsidRDefault="00242C20" w:rsidP="001C5E6E">
      <w:pPr>
        <w:pStyle w:val="TableFooter"/>
        <w:keepNext/>
        <w:keepLines/>
      </w:pPr>
      <w:r w:rsidRPr="0074481B">
        <w:t>AEs = adverse events; LYs = life years; OS = overall survival; PFS = progression-free survival; QALYs = quality-adjusted life years; SoC = standard of care</w:t>
      </w:r>
    </w:p>
    <w:p w:rsidR="00FC47BA" w:rsidRPr="00F71C5B" w:rsidRDefault="00242C20" w:rsidP="001C5E6E">
      <w:pPr>
        <w:pStyle w:val="TableFooter"/>
        <w:keepNext/>
        <w:keepLines/>
        <w:rPr>
          <w:vertAlign w:val="superscript"/>
        </w:rPr>
      </w:pPr>
      <w:r w:rsidRPr="00F71C5B">
        <w:rPr>
          <w:vertAlign w:val="superscript"/>
        </w:rPr>
        <w:t xml:space="preserve">a </w:t>
      </w:r>
      <w:r w:rsidR="00FC47BA">
        <w:t xml:space="preserve">The dosing of </w:t>
      </w:r>
      <w:r w:rsidR="00FC47BA" w:rsidRPr="00CD0AC4">
        <w:t xml:space="preserve">leucovorin </w:t>
      </w:r>
      <w:r w:rsidR="00FC47BA">
        <w:t xml:space="preserve">changed from </w:t>
      </w:r>
      <w:r w:rsidR="00FC47BA" w:rsidRPr="00CD0AC4">
        <w:t>400 mg/m</w:t>
      </w:r>
      <w:r w:rsidR="00FC47BA" w:rsidRPr="00CD0AC4">
        <w:rPr>
          <w:vertAlign w:val="superscript"/>
        </w:rPr>
        <w:t>2</w:t>
      </w:r>
      <w:r w:rsidR="00FC47BA" w:rsidRPr="00CD0AC4">
        <w:t xml:space="preserve"> </w:t>
      </w:r>
      <w:r w:rsidR="00FC47BA">
        <w:t xml:space="preserve">every 2 weeks in the clinical trial to </w:t>
      </w:r>
      <w:r w:rsidR="00FC47BA" w:rsidRPr="00CD0AC4">
        <w:t xml:space="preserve">50 mg </w:t>
      </w:r>
      <w:r w:rsidR="00FC47BA">
        <w:t>every 2 weeks as per eviQ guidelines</w:t>
      </w:r>
    </w:p>
    <w:p w:rsidR="008C33CE" w:rsidRDefault="00FC47BA" w:rsidP="001C5E6E">
      <w:pPr>
        <w:pStyle w:val="TableFooter"/>
        <w:keepNext/>
        <w:keepLines/>
        <w:rPr>
          <w:i/>
        </w:rPr>
      </w:pPr>
      <w:r w:rsidRPr="00F71C5B">
        <w:rPr>
          <w:vertAlign w:val="superscript"/>
        </w:rPr>
        <w:t xml:space="preserve">b </w:t>
      </w:r>
      <w:r w:rsidR="00242C20" w:rsidRPr="00F71C5B">
        <w:t>In italics are results revised after correcting the submission’s errors in calculation of the treatment costs of SoC therapies  and updating the MBS cost for administration of chemotherapy (MBS item 13950)</w:t>
      </w:r>
      <w:r w:rsidR="0032568D">
        <w:t xml:space="preserve">. </w:t>
      </w:r>
      <w:r w:rsidR="0032568D" w:rsidRPr="0032568D">
        <w:rPr>
          <w:i/>
        </w:rPr>
        <w:t>The PSCR accepted the corrected base case ICER of $</w:t>
      </w:r>
      <w:r w:rsidR="0047136C">
        <w:rPr>
          <w:i/>
          <w:noProof/>
          <w:color w:val="000000"/>
          <w:highlight w:val="black"/>
        </w:rPr>
        <w:t>''''''''''''''''''</w:t>
      </w:r>
      <w:r w:rsidR="004B3201" w:rsidRPr="004B3201">
        <w:rPr>
          <w:vertAlign w:val="superscript"/>
        </w:rPr>
        <w:t>3</w:t>
      </w:r>
      <w:r w:rsidR="0032568D" w:rsidRPr="0032568D">
        <w:rPr>
          <w:i/>
        </w:rPr>
        <w:t xml:space="preserve">.  </w:t>
      </w:r>
    </w:p>
    <w:p w:rsidR="008C33CE" w:rsidRDefault="008C33CE" w:rsidP="001C5E6E">
      <w:pPr>
        <w:pStyle w:val="TableFooter"/>
        <w:keepNext/>
        <w:keepLines/>
        <w:rPr>
          <w:i/>
        </w:rPr>
      </w:pPr>
      <w:r>
        <w:rPr>
          <w:i/>
        </w:rPr>
        <w:t>The redacted values correspond to the following ranges:</w:t>
      </w:r>
    </w:p>
    <w:p w:rsidR="008C33CE" w:rsidRDefault="008C33CE" w:rsidP="001C5E6E">
      <w:pPr>
        <w:pStyle w:val="TableFooter"/>
        <w:keepNext/>
        <w:keepLines/>
        <w:rPr>
          <w:i/>
        </w:rPr>
      </w:pPr>
      <w:r>
        <w:rPr>
          <w:i/>
          <w:vertAlign w:val="superscript"/>
        </w:rPr>
        <w:t>1</w:t>
      </w:r>
      <w:r>
        <w:rPr>
          <w:i/>
        </w:rPr>
        <w:t>$255,000 to &lt;$355,000/QALY gained</w:t>
      </w:r>
    </w:p>
    <w:p w:rsidR="008C33CE" w:rsidRDefault="008C33CE" w:rsidP="001C5E6E">
      <w:pPr>
        <w:pStyle w:val="TableFooter"/>
        <w:keepNext/>
        <w:keepLines/>
        <w:rPr>
          <w:i/>
        </w:rPr>
      </w:pPr>
      <w:r>
        <w:rPr>
          <w:i/>
          <w:vertAlign w:val="superscript"/>
        </w:rPr>
        <w:t>2</w:t>
      </w:r>
      <w:r>
        <w:rPr>
          <w:i/>
        </w:rPr>
        <w:t>$155,000 to &lt;$255,000/QALY gained</w:t>
      </w:r>
    </w:p>
    <w:p w:rsidR="004B3201" w:rsidRPr="004B3201" w:rsidRDefault="004B3201" w:rsidP="001C5E6E">
      <w:pPr>
        <w:pStyle w:val="TableFooter"/>
        <w:keepNext/>
        <w:keepLines/>
        <w:rPr>
          <w:i/>
        </w:rPr>
      </w:pPr>
      <w:r>
        <w:rPr>
          <w:i/>
          <w:vertAlign w:val="superscript"/>
        </w:rPr>
        <w:t>3</w:t>
      </w:r>
      <w:r>
        <w:rPr>
          <w:i/>
        </w:rPr>
        <w:t>$55,000 to &lt;$75,000/QALY gained</w:t>
      </w:r>
    </w:p>
    <w:p w:rsidR="00242C20" w:rsidRPr="00F71C5B" w:rsidRDefault="00242C20" w:rsidP="00242C20">
      <w:pPr>
        <w:pStyle w:val="3-BodyText"/>
        <w:numPr>
          <w:ilvl w:val="0"/>
          <w:numId w:val="0"/>
        </w:numPr>
        <w:ind w:left="720" w:hanging="720"/>
      </w:pPr>
    </w:p>
    <w:p w:rsidR="00242C20" w:rsidRPr="0074481B" w:rsidRDefault="00242C20" w:rsidP="00242C20">
      <w:pPr>
        <w:pStyle w:val="3-BodyText"/>
      </w:pPr>
      <w:r w:rsidRPr="00F71C5B">
        <w:t xml:space="preserve">The incremental QALYs increased steadily over the time horizon. In contrast, the incremental costs </w:t>
      </w:r>
      <w:r w:rsidR="00561F57" w:rsidRPr="00F71C5B">
        <w:t xml:space="preserve">were high </w:t>
      </w:r>
      <w:r w:rsidRPr="00F71C5B">
        <w:t>during the first 2 years, corresponding to the maximum treatment duration for pembrolizumab. Thereafter, the difference in cumulative costs between the two treatment arms remained fairly stable until the end of the time horizon. About 97% of the incremental QALYs and 48% of the incremental costs were generated beyond 1 year (i.e. the extrapolation time point for OS).</w:t>
      </w:r>
      <w:r w:rsidRPr="0074481B">
        <w:t xml:space="preserve"> </w:t>
      </w:r>
    </w:p>
    <w:p w:rsidR="00242C20" w:rsidRPr="0074481B" w:rsidRDefault="00242C20" w:rsidP="00242C20">
      <w:pPr>
        <w:pStyle w:val="3-BodyText"/>
      </w:pPr>
      <w:r w:rsidRPr="0074481B">
        <w:t>The results of the key sensitivity analyses are summarised below.</w:t>
      </w:r>
    </w:p>
    <w:p w:rsidR="00D86373" w:rsidRDefault="00D86373">
      <w:pPr>
        <w:jc w:val="left"/>
        <w:rPr>
          <w:rFonts w:ascii="Arial Narrow" w:hAnsi="Arial Narrow"/>
          <w:b/>
          <w:bCs/>
          <w:sz w:val="20"/>
          <w:szCs w:val="18"/>
        </w:rPr>
      </w:pPr>
      <w:bookmarkStart w:id="27" w:name="_Ref58582317"/>
    </w:p>
    <w:p w:rsidR="00242C20" w:rsidRPr="00F71C5B" w:rsidRDefault="00242C20" w:rsidP="002A36B6">
      <w:pPr>
        <w:pStyle w:val="Caption"/>
        <w:rPr>
          <w:b w:val="0"/>
        </w:rPr>
      </w:pPr>
      <w:r w:rsidRPr="0074481B">
        <w:t xml:space="preserve">Table </w:t>
      </w:r>
      <w:r w:rsidR="009A4847">
        <w:rPr>
          <w:noProof/>
        </w:rPr>
        <w:t>12</w:t>
      </w:r>
      <w:bookmarkEnd w:id="27"/>
      <w:r w:rsidRPr="0074481B">
        <w:t>: Key sensitivity analyses</w:t>
      </w:r>
    </w:p>
    <w:tbl>
      <w:tblPr>
        <w:tblStyle w:val="MSDTableGrid11"/>
        <w:tblW w:w="5000" w:type="pct"/>
        <w:tblLayout w:type="fixed"/>
        <w:tblLook w:val="04A0" w:firstRow="1" w:lastRow="0" w:firstColumn="1" w:lastColumn="0" w:noHBand="0" w:noVBand="1"/>
        <w:tblCaption w:val="Table 12: Key sensitivity analyses"/>
      </w:tblPr>
      <w:tblGrid>
        <w:gridCol w:w="3664"/>
        <w:gridCol w:w="1553"/>
        <w:gridCol w:w="1410"/>
        <w:gridCol w:w="1270"/>
        <w:gridCol w:w="1120"/>
      </w:tblGrid>
      <w:tr w:rsidR="00242C20" w:rsidRPr="0074481B" w:rsidTr="00BF2FBB">
        <w:trPr>
          <w:trHeight w:val="70"/>
          <w:tblHeader/>
        </w:trPr>
        <w:tc>
          <w:tcPr>
            <w:tcW w:w="2032" w:type="pct"/>
          </w:tcPr>
          <w:p w:rsidR="00242C20" w:rsidRPr="0074481B" w:rsidRDefault="00242C20" w:rsidP="002A36B6">
            <w:pPr>
              <w:pStyle w:val="TableText0"/>
              <w:spacing w:before="0" w:after="0" w:line="240" w:lineRule="auto"/>
              <w:rPr>
                <w:b/>
              </w:rPr>
            </w:pPr>
            <w:r w:rsidRPr="0074481B">
              <w:rPr>
                <w:b/>
              </w:rPr>
              <w:t>Variables and assumptions</w:t>
            </w:r>
          </w:p>
        </w:tc>
        <w:tc>
          <w:tcPr>
            <w:tcW w:w="861" w:type="pct"/>
          </w:tcPr>
          <w:p w:rsidR="00242C20" w:rsidRPr="0074481B" w:rsidRDefault="00242C20" w:rsidP="002A36B6">
            <w:pPr>
              <w:pStyle w:val="TableText0"/>
              <w:spacing w:before="0" w:after="0" w:line="240" w:lineRule="auto"/>
              <w:jc w:val="center"/>
              <w:rPr>
                <w:b/>
              </w:rPr>
            </w:pPr>
            <w:r w:rsidRPr="0074481B">
              <w:rPr>
                <w:b/>
              </w:rPr>
              <w:t>Incremental costs</w:t>
            </w:r>
          </w:p>
        </w:tc>
        <w:tc>
          <w:tcPr>
            <w:tcW w:w="782" w:type="pct"/>
          </w:tcPr>
          <w:p w:rsidR="00242C20" w:rsidRPr="0074481B" w:rsidRDefault="00242C20" w:rsidP="002A36B6">
            <w:pPr>
              <w:pStyle w:val="TableText0"/>
              <w:spacing w:before="0" w:after="0" w:line="240" w:lineRule="auto"/>
              <w:jc w:val="center"/>
              <w:rPr>
                <w:b/>
              </w:rPr>
            </w:pPr>
            <w:r w:rsidRPr="0074481B">
              <w:rPr>
                <w:b/>
              </w:rPr>
              <w:t>Incremental QALYs</w:t>
            </w:r>
          </w:p>
        </w:tc>
        <w:tc>
          <w:tcPr>
            <w:tcW w:w="704" w:type="pct"/>
          </w:tcPr>
          <w:p w:rsidR="00242C20" w:rsidRPr="0074481B" w:rsidRDefault="00242C20" w:rsidP="002A36B6">
            <w:pPr>
              <w:pStyle w:val="TableText0"/>
              <w:spacing w:before="0" w:after="0" w:line="240" w:lineRule="auto"/>
              <w:jc w:val="center"/>
              <w:rPr>
                <w:b/>
              </w:rPr>
            </w:pPr>
            <w:r w:rsidRPr="0074481B">
              <w:rPr>
                <w:b/>
              </w:rPr>
              <w:t>ICER</w:t>
            </w:r>
          </w:p>
        </w:tc>
        <w:tc>
          <w:tcPr>
            <w:tcW w:w="621" w:type="pct"/>
          </w:tcPr>
          <w:p w:rsidR="00242C20" w:rsidRPr="0074481B" w:rsidRDefault="00242C20" w:rsidP="002A36B6">
            <w:pPr>
              <w:pStyle w:val="TableText0"/>
              <w:spacing w:before="0" w:after="0" w:line="240" w:lineRule="auto"/>
              <w:jc w:val="center"/>
              <w:rPr>
                <w:b/>
              </w:rPr>
            </w:pPr>
            <w:r w:rsidRPr="0074481B">
              <w:rPr>
                <w:b/>
              </w:rPr>
              <w:t>% change</w:t>
            </w:r>
          </w:p>
        </w:tc>
      </w:tr>
      <w:tr w:rsidR="00242C20" w:rsidRPr="0074481B" w:rsidTr="00242C20">
        <w:tc>
          <w:tcPr>
            <w:tcW w:w="2032" w:type="pct"/>
          </w:tcPr>
          <w:p w:rsidR="00242C20" w:rsidRPr="0074481B" w:rsidRDefault="00242C20" w:rsidP="002A36B6">
            <w:pPr>
              <w:pStyle w:val="TableText0"/>
              <w:spacing w:before="0" w:after="0" w:line="240" w:lineRule="auto"/>
              <w:rPr>
                <w:b/>
              </w:rPr>
            </w:pPr>
            <w:r w:rsidRPr="0074481B">
              <w:rPr>
                <w:b/>
              </w:rPr>
              <w:t>Base case</w:t>
            </w:r>
          </w:p>
        </w:tc>
        <w:tc>
          <w:tcPr>
            <w:tcW w:w="861" w:type="pct"/>
          </w:tcPr>
          <w:p w:rsidR="00242C20" w:rsidRPr="0074481B" w:rsidRDefault="00242C20" w:rsidP="004B3201">
            <w:pPr>
              <w:pStyle w:val="TableText0"/>
              <w:spacing w:before="0" w:after="0" w:line="240" w:lineRule="auto"/>
              <w:jc w:val="center"/>
              <w:rPr>
                <w:b/>
              </w:rPr>
            </w:pPr>
            <w:r w:rsidRPr="0074481B">
              <w:rPr>
                <w:b/>
              </w:rPr>
              <w:t>$</w:t>
            </w:r>
            <w:r w:rsidR="0047136C">
              <w:rPr>
                <w:b/>
                <w:noProof/>
                <w:color w:val="000000"/>
                <w:highlight w:val="black"/>
              </w:rPr>
              <w:t>''''''''''''</w:t>
            </w:r>
          </w:p>
        </w:tc>
        <w:tc>
          <w:tcPr>
            <w:tcW w:w="782" w:type="pct"/>
          </w:tcPr>
          <w:p w:rsidR="00242C20" w:rsidRPr="0074481B" w:rsidRDefault="00242C20" w:rsidP="002A36B6">
            <w:pPr>
              <w:pStyle w:val="TableText0"/>
              <w:spacing w:before="0" w:after="0" w:line="240" w:lineRule="auto"/>
              <w:jc w:val="center"/>
              <w:rPr>
                <w:b/>
              </w:rPr>
            </w:pPr>
            <w:r w:rsidRPr="0047136C">
              <w:rPr>
                <w:b/>
              </w:rPr>
              <w:t>1.154</w:t>
            </w:r>
          </w:p>
        </w:tc>
        <w:tc>
          <w:tcPr>
            <w:tcW w:w="704" w:type="pct"/>
          </w:tcPr>
          <w:p w:rsidR="00242C20" w:rsidRPr="0074481B" w:rsidRDefault="00242C20" w:rsidP="001C5E6E">
            <w:pPr>
              <w:pStyle w:val="TableText0"/>
              <w:spacing w:before="0" w:after="0" w:line="240" w:lineRule="auto"/>
              <w:jc w:val="center"/>
              <w:rPr>
                <w:b/>
              </w:rPr>
            </w:pPr>
            <w:r w:rsidRPr="0074481B">
              <w:rPr>
                <w:b/>
              </w:rPr>
              <w:t>$</w:t>
            </w:r>
            <w:r w:rsidR="0047136C">
              <w:rPr>
                <w:b/>
                <w:noProof/>
                <w:color w:val="000000"/>
                <w:highlight w:val="black"/>
              </w:rPr>
              <w:t>''''''''''''''</w:t>
            </w:r>
            <w:r w:rsidR="00E11EFC">
              <w:rPr>
                <w:vertAlign w:val="superscript"/>
              </w:rPr>
              <w:t>1</w:t>
            </w:r>
          </w:p>
        </w:tc>
        <w:tc>
          <w:tcPr>
            <w:tcW w:w="621" w:type="pct"/>
          </w:tcPr>
          <w:p w:rsidR="00242C20" w:rsidRPr="0074481B" w:rsidRDefault="00242C20" w:rsidP="002A36B6">
            <w:pPr>
              <w:pStyle w:val="TableText0"/>
              <w:spacing w:before="0" w:after="0" w:line="240" w:lineRule="auto"/>
              <w:jc w:val="center"/>
              <w:rPr>
                <w:b/>
              </w:rPr>
            </w:pPr>
            <w:r w:rsidRPr="0074481B">
              <w:rPr>
                <w:b/>
              </w:rPr>
              <w:t>–</w:t>
            </w:r>
          </w:p>
        </w:tc>
      </w:tr>
      <w:tr w:rsidR="00242C20" w:rsidRPr="0074481B" w:rsidTr="00242C20">
        <w:tc>
          <w:tcPr>
            <w:tcW w:w="5000" w:type="pct"/>
            <w:gridSpan w:val="5"/>
          </w:tcPr>
          <w:p w:rsidR="00242C20" w:rsidRPr="0074481B" w:rsidRDefault="00242C20" w:rsidP="002A36B6">
            <w:pPr>
              <w:pStyle w:val="TableText0"/>
              <w:spacing w:before="0" w:after="0" w:line="240" w:lineRule="auto"/>
            </w:pPr>
            <w:r w:rsidRPr="0074481B">
              <w:rPr>
                <w:b/>
              </w:rPr>
              <w:t xml:space="preserve">Survival curves (base case: adjustment for SoC crossover using the RPFST (without </w:t>
            </w:r>
            <w:r w:rsidR="00E72E84">
              <w:rPr>
                <w:b/>
              </w:rPr>
              <w:t>recensoring</w:t>
            </w:r>
            <w:r w:rsidRPr="0074481B">
              <w:rPr>
                <w:b/>
              </w:rPr>
              <w:t>) method)</w:t>
            </w:r>
          </w:p>
        </w:tc>
      </w:tr>
      <w:tr w:rsidR="00242C20" w:rsidRPr="0074481B" w:rsidTr="00242C20">
        <w:tc>
          <w:tcPr>
            <w:tcW w:w="2032" w:type="pct"/>
          </w:tcPr>
          <w:p w:rsidR="00242C20" w:rsidRPr="0074481B" w:rsidRDefault="00242C20" w:rsidP="002A36B6">
            <w:pPr>
              <w:pStyle w:val="TableText0"/>
              <w:spacing w:before="0" w:after="0" w:line="240" w:lineRule="auto"/>
            </w:pPr>
            <w:r w:rsidRPr="0074481B">
              <w:t>ITT, no adjustment</w:t>
            </w:r>
          </w:p>
        </w:tc>
        <w:tc>
          <w:tcPr>
            <w:tcW w:w="861" w:type="pct"/>
          </w:tcPr>
          <w:p w:rsidR="00242C20" w:rsidRPr="0074481B" w:rsidRDefault="00242C20" w:rsidP="004361CB">
            <w:pPr>
              <w:pStyle w:val="TableText0"/>
              <w:spacing w:before="0" w:after="0" w:line="240" w:lineRule="auto"/>
              <w:jc w:val="center"/>
            </w:pPr>
            <w:r w:rsidRPr="0074481B">
              <w:t>$</w:t>
            </w:r>
            <w:r w:rsidR="0047136C">
              <w:rPr>
                <w:noProof/>
                <w:color w:val="000000"/>
                <w:highlight w:val="black"/>
              </w:rPr>
              <w:t>'''''''''''''''</w:t>
            </w:r>
          </w:p>
        </w:tc>
        <w:tc>
          <w:tcPr>
            <w:tcW w:w="782" w:type="pct"/>
          </w:tcPr>
          <w:p w:rsidR="00242C20" w:rsidRPr="0047136C" w:rsidRDefault="00242C20" w:rsidP="004361CB">
            <w:pPr>
              <w:pStyle w:val="TableText0"/>
              <w:spacing w:before="0" w:after="0" w:line="240" w:lineRule="auto"/>
              <w:jc w:val="center"/>
            </w:pPr>
            <w:r w:rsidRPr="0047136C">
              <w:t>0.869</w:t>
            </w:r>
          </w:p>
        </w:tc>
        <w:tc>
          <w:tcPr>
            <w:tcW w:w="704" w:type="pct"/>
          </w:tcPr>
          <w:p w:rsidR="00242C20" w:rsidRPr="0074481B" w:rsidRDefault="00242C20" w:rsidP="001C5E6E">
            <w:pPr>
              <w:pStyle w:val="TableText0"/>
              <w:spacing w:before="0" w:after="0" w:line="240" w:lineRule="auto"/>
              <w:jc w:val="center"/>
            </w:pPr>
            <w:r w:rsidRPr="0074481B">
              <w:t>$</w:t>
            </w:r>
            <w:r w:rsidR="0047136C">
              <w:rPr>
                <w:noProof/>
                <w:color w:val="000000"/>
                <w:highlight w:val="black"/>
              </w:rPr>
              <w:t>''''''''''''''''''</w:t>
            </w:r>
            <w:r w:rsidR="00E11EFC">
              <w:rPr>
                <w:vertAlign w:val="superscript"/>
              </w:rPr>
              <w:t>2</w:t>
            </w:r>
          </w:p>
        </w:tc>
        <w:tc>
          <w:tcPr>
            <w:tcW w:w="621" w:type="pct"/>
          </w:tcPr>
          <w:p w:rsidR="00242C20" w:rsidRPr="0074481B" w:rsidRDefault="00242C20" w:rsidP="002A36B6">
            <w:pPr>
              <w:pStyle w:val="TableText0"/>
              <w:spacing w:before="0" w:after="0" w:line="240" w:lineRule="auto"/>
              <w:jc w:val="center"/>
            </w:pPr>
            <w:r w:rsidRPr="0074481B">
              <w:t>+30.0%</w:t>
            </w:r>
          </w:p>
        </w:tc>
      </w:tr>
      <w:tr w:rsidR="00242C20" w:rsidRPr="0074481B" w:rsidTr="00242C20">
        <w:tc>
          <w:tcPr>
            <w:tcW w:w="2032" w:type="pct"/>
          </w:tcPr>
          <w:p w:rsidR="00242C20" w:rsidRPr="0074481B" w:rsidRDefault="00242C20" w:rsidP="002A36B6">
            <w:pPr>
              <w:pStyle w:val="TableText0"/>
              <w:spacing w:before="0" w:after="0" w:line="240" w:lineRule="auto"/>
            </w:pPr>
            <w:r w:rsidRPr="0074481B">
              <w:t>IPCW</w:t>
            </w:r>
          </w:p>
        </w:tc>
        <w:tc>
          <w:tcPr>
            <w:tcW w:w="861" w:type="pct"/>
          </w:tcPr>
          <w:p w:rsidR="00242C20" w:rsidRPr="0074481B" w:rsidRDefault="00242C20" w:rsidP="004361CB">
            <w:pPr>
              <w:pStyle w:val="TableText0"/>
              <w:spacing w:before="0" w:after="0" w:line="240" w:lineRule="auto"/>
              <w:jc w:val="center"/>
            </w:pPr>
            <w:r w:rsidRPr="0074481B">
              <w:t>$</w:t>
            </w:r>
            <w:r w:rsidR="0047136C">
              <w:rPr>
                <w:noProof/>
                <w:color w:val="000000"/>
                <w:highlight w:val="black"/>
              </w:rPr>
              <w:t>'''''''''''''''''</w:t>
            </w:r>
          </w:p>
        </w:tc>
        <w:tc>
          <w:tcPr>
            <w:tcW w:w="782" w:type="pct"/>
          </w:tcPr>
          <w:p w:rsidR="00242C20" w:rsidRPr="0047136C" w:rsidRDefault="00242C20" w:rsidP="004361CB">
            <w:pPr>
              <w:pStyle w:val="TableText0"/>
              <w:spacing w:before="0" w:after="0" w:line="240" w:lineRule="auto"/>
              <w:jc w:val="center"/>
            </w:pPr>
            <w:r w:rsidRPr="0047136C">
              <w:t>1.610</w:t>
            </w:r>
          </w:p>
        </w:tc>
        <w:tc>
          <w:tcPr>
            <w:tcW w:w="704" w:type="pct"/>
          </w:tcPr>
          <w:p w:rsidR="00242C20" w:rsidRPr="0074481B" w:rsidRDefault="00242C20" w:rsidP="001C5E6E">
            <w:pPr>
              <w:pStyle w:val="TableText0"/>
              <w:spacing w:before="0" w:after="0" w:line="240" w:lineRule="auto"/>
              <w:jc w:val="center"/>
            </w:pPr>
            <w:r w:rsidRPr="0074481B">
              <w:t>$</w:t>
            </w:r>
            <w:r w:rsidR="0047136C">
              <w:rPr>
                <w:noProof/>
                <w:color w:val="000000"/>
                <w:highlight w:val="black"/>
              </w:rPr>
              <w:t>''''''''''''''''</w:t>
            </w:r>
            <w:r w:rsidR="00E43DD9">
              <w:rPr>
                <w:vertAlign w:val="superscript"/>
              </w:rPr>
              <w:t>3</w:t>
            </w:r>
          </w:p>
        </w:tc>
        <w:tc>
          <w:tcPr>
            <w:tcW w:w="621" w:type="pct"/>
          </w:tcPr>
          <w:p w:rsidR="00242C20" w:rsidRPr="0074481B" w:rsidRDefault="00242C20" w:rsidP="002A36B6">
            <w:pPr>
              <w:pStyle w:val="TableText0"/>
              <w:spacing w:before="0" w:after="0" w:line="240" w:lineRule="auto"/>
              <w:jc w:val="center"/>
            </w:pPr>
            <w:r w:rsidRPr="0074481B">
              <w:t>-25.8%</w:t>
            </w:r>
          </w:p>
        </w:tc>
      </w:tr>
      <w:tr w:rsidR="00242C20" w:rsidRPr="0074481B" w:rsidTr="00242C20">
        <w:tc>
          <w:tcPr>
            <w:tcW w:w="2032" w:type="pct"/>
          </w:tcPr>
          <w:p w:rsidR="00242C20" w:rsidRPr="0074481B" w:rsidRDefault="00242C20" w:rsidP="002A36B6">
            <w:pPr>
              <w:pStyle w:val="TableText0"/>
              <w:spacing w:before="0" w:after="0" w:line="240" w:lineRule="auto"/>
            </w:pPr>
            <w:r w:rsidRPr="0074481B">
              <w:t xml:space="preserve">Two-stage (without </w:t>
            </w:r>
            <w:r w:rsidR="00E72E84">
              <w:t>recensoring</w:t>
            </w:r>
            <w:r w:rsidRPr="0074481B">
              <w:t>)</w:t>
            </w:r>
          </w:p>
        </w:tc>
        <w:tc>
          <w:tcPr>
            <w:tcW w:w="861" w:type="pct"/>
          </w:tcPr>
          <w:p w:rsidR="00242C20" w:rsidRPr="0074481B" w:rsidRDefault="00242C20" w:rsidP="004361CB">
            <w:pPr>
              <w:pStyle w:val="TableText0"/>
              <w:spacing w:before="0" w:after="0" w:line="240" w:lineRule="auto"/>
              <w:jc w:val="center"/>
            </w:pPr>
            <w:r w:rsidRPr="0074481B">
              <w:t>$</w:t>
            </w:r>
            <w:r w:rsidR="0047136C">
              <w:rPr>
                <w:noProof/>
                <w:color w:val="000000"/>
                <w:highlight w:val="black"/>
              </w:rPr>
              <w:t>'''''''''''''''''</w:t>
            </w:r>
          </w:p>
        </w:tc>
        <w:tc>
          <w:tcPr>
            <w:tcW w:w="782" w:type="pct"/>
          </w:tcPr>
          <w:p w:rsidR="00242C20" w:rsidRPr="0047136C" w:rsidRDefault="00242C20" w:rsidP="004361CB">
            <w:pPr>
              <w:pStyle w:val="TableText0"/>
              <w:spacing w:before="0" w:after="0" w:line="240" w:lineRule="auto"/>
              <w:jc w:val="center"/>
            </w:pPr>
            <w:r w:rsidRPr="0047136C">
              <w:t>1.521</w:t>
            </w:r>
          </w:p>
        </w:tc>
        <w:tc>
          <w:tcPr>
            <w:tcW w:w="704" w:type="pct"/>
          </w:tcPr>
          <w:p w:rsidR="00242C20" w:rsidRPr="0074481B" w:rsidRDefault="00242C20" w:rsidP="001C5E6E">
            <w:pPr>
              <w:pStyle w:val="TableText0"/>
              <w:spacing w:before="0" w:after="0" w:line="240" w:lineRule="auto"/>
              <w:jc w:val="center"/>
            </w:pPr>
            <w:r w:rsidRPr="0074481B">
              <w:t>$</w:t>
            </w:r>
            <w:r w:rsidR="0047136C">
              <w:rPr>
                <w:noProof/>
                <w:color w:val="000000"/>
                <w:highlight w:val="black"/>
              </w:rPr>
              <w:t>''''''''''''''''</w:t>
            </w:r>
            <w:r w:rsidR="00E43DD9">
              <w:rPr>
                <w:vertAlign w:val="superscript"/>
              </w:rPr>
              <w:t>4</w:t>
            </w:r>
          </w:p>
        </w:tc>
        <w:tc>
          <w:tcPr>
            <w:tcW w:w="621" w:type="pct"/>
          </w:tcPr>
          <w:p w:rsidR="00242C20" w:rsidRPr="0074481B" w:rsidRDefault="00242C20" w:rsidP="002A36B6">
            <w:pPr>
              <w:pStyle w:val="TableText0"/>
              <w:spacing w:before="0" w:after="0" w:line="240" w:lineRule="auto"/>
              <w:jc w:val="center"/>
            </w:pPr>
            <w:r w:rsidRPr="0074481B">
              <w:t>-22.0%</w:t>
            </w:r>
          </w:p>
        </w:tc>
      </w:tr>
      <w:tr w:rsidR="00242C20" w:rsidRPr="0074481B" w:rsidTr="00242C20">
        <w:tc>
          <w:tcPr>
            <w:tcW w:w="5000" w:type="pct"/>
            <w:gridSpan w:val="5"/>
          </w:tcPr>
          <w:p w:rsidR="00242C20" w:rsidRPr="0074481B" w:rsidRDefault="00242C20" w:rsidP="001C5E6E">
            <w:pPr>
              <w:pStyle w:val="TableText0"/>
              <w:spacing w:before="0" w:after="0" w:line="240" w:lineRule="auto"/>
            </w:pPr>
            <w:r w:rsidRPr="0074481B">
              <w:rPr>
                <w:b/>
              </w:rPr>
              <w:t>Parametric distribution for OS extrapolation (base case: exponential for both arms)</w:t>
            </w:r>
          </w:p>
        </w:tc>
      </w:tr>
      <w:tr w:rsidR="00242C20" w:rsidRPr="0074481B" w:rsidTr="00242C20">
        <w:tc>
          <w:tcPr>
            <w:tcW w:w="2032" w:type="pct"/>
          </w:tcPr>
          <w:p w:rsidR="00242C20" w:rsidRPr="0074481B" w:rsidRDefault="00242C20" w:rsidP="002A36B6">
            <w:pPr>
              <w:pStyle w:val="TableText0"/>
              <w:spacing w:before="0" w:after="0" w:line="240" w:lineRule="auto"/>
            </w:pPr>
            <w:r w:rsidRPr="0074481B">
              <w:t>Weibull for both arms</w:t>
            </w:r>
          </w:p>
        </w:tc>
        <w:tc>
          <w:tcPr>
            <w:tcW w:w="861" w:type="pct"/>
          </w:tcPr>
          <w:p w:rsidR="00242C20" w:rsidRPr="0074481B" w:rsidRDefault="00242C20" w:rsidP="004361CB">
            <w:pPr>
              <w:pStyle w:val="TableText0"/>
              <w:spacing w:before="0" w:after="0" w:line="240" w:lineRule="auto"/>
              <w:jc w:val="center"/>
            </w:pPr>
            <w:r w:rsidRPr="0074481B">
              <w:t>$</w:t>
            </w:r>
            <w:r w:rsidR="0047136C">
              <w:rPr>
                <w:noProof/>
                <w:color w:val="000000"/>
                <w:highlight w:val="black"/>
              </w:rPr>
              <w:t>''''''''''''''''</w:t>
            </w:r>
          </w:p>
        </w:tc>
        <w:tc>
          <w:tcPr>
            <w:tcW w:w="782" w:type="pct"/>
          </w:tcPr>
          <w:p w:rsidR="00242C20" w:rsidRPr="0047136C" w:rsidRDefault="00242C20" w:rsidP="004361CB">
            <w:pPr>
              <w:pStyle w:val="TableText0"/>
              <w:spacing w:before="0" w:after="0" w:line="240" w:lineRule="auto"/>
              <w:jc w:val="center"/>
            </w:pPr>
            <w:r w:rsidRPr="0047136C">
              <w:t>1.554</w:t>
            </w:r>
          </w:p>
        </w:tc>
        <w:tc>
          <w:tcPr>
            <w:tcW w:w="704" w:type="pct"/>
          </w:tcPr>
          <w:p w:rsidR="00242C20" w:rsidRPr="0074481B" w:rsidRDefault="00242C20" w:rsidP="001C5E6E">
            <w:pPr>
              <w:pStyle w:val="TableText0"/>
              <w:spacing w:before="0" w:after="0" w:line="240" w:lineRule="auto"/>
              <w:jc w:val="center"/>
            </w:pPr>
            <w:r w:rsidRPr="0074481B">
              <w:t>$</w:t>
            </w:r>
            <w:r w:rsidR="0047136C">
              <w:rPr>
                <w:noProof/>
                <w:color w:val="000000"/>
                <w:highlight w:val="black"/>
              </w:rPr>
              <w:t>'''''''''''''''''</w:t>
            </w:r>
            <w:r w:rsidR="00E43DD9">
              <w:rPr>
                <w:vertAlign w:val="superscript"/>
              </w:rPr>
              <w:t>4</w:t>
            </w:r>
          </w:p>
        </w:tc>
        <w:tc>
          <w:tcPr>
            <w:tcW w:w="621" w:type="pct"/>
          </w:tcPr>
          <w:p w:rsidR="00242C20" w:rsidRPr="0074481B" w:rsidRDefault="00242C20" w:rsidP="002A36B6">
            <w:pPr>
              <w:pStyle w:val="TableText0"/>
              <w:spacing w:before="0" w:after="0" w:line="240" w:lineRule="auto"/>
              <w:jc w:val="center"/>
            </w:pPr>
            <w:r w:rsidRPr="0074481B">
              <w:t>-23.5%</w:t>
            </w:r>
          </w:p>
        </w:tc>
      </w:tr>
      <w:tr w:rsidR="00242C20" w:rsidRPr="0074481B" w:rsidTr="00242C20">
        <w:tc>
          <w:tcPr>
            <w:tcW w:w="2032" w:type="pct"/>
          </w:tcPr>
          <w:p w:rsidR="00242C20" w:rsidRPr="0074481B" w:rsidRDefault="00242C20" w:rsidP="002A36B6">
            <w:pPr>
              <w:pStyle w:val="TableText0"/>
              <w:spacing w:before="0" w:after="0" w:line="240" w:lineRule="auto"/>
            </w:pPr>
            <w:r w:rsidRPr="0074481B">
              <w:t>Gompertz for both arms</w:t>
            </w:r>
          </w:p>
        </w:tc>
        <w:tc>
          <w:tcPr>
            <w:tcW w:w="861" w:type="pct"/>
          </w:tcPr>
          <w:p w:rsidR="00242C20" w:rsidRPr="0074481B" w:rsidRDefault="00242C20" w:rsidP="004361CB">
            <w:pPr>
              <w:pStyle w:val="TableText0"/>
              <w:spacing w:before="0" w:after="0" w:line="240" w:lineRule="auto"/>
              <w:jc w:val="center"/>
            </w:pPr>
            <w:r w:rsidRPr="0074481B">
              <w:t>$</w:t>
            </w:r>
            <w:r w:rsidR="0047136C">
              <w:rPr>
                <w:noProof/>
                <w:color w:val="000000"/>
                <w:highlight w:val="black"/>
              </w:rPr>
              <w:t>''''''''''''''''</w:t>
            </w:r>
          </w:p>
        </w:tc>
        <w:tc>
          <w:tcPr>
            <w:tcW w:w="782" w:type="pct"/>
          </w:tcPr>
          <w:p w:rsidR="00242C20" w:rsidRPr="0047136C" w:rsidRDefault="00242C20" w:rsidP="004361CB">
            <w:pPr>
              <w:pStyle w:val="TableText0"/>
              <w:spacing w:before="0" w:after="0" w:line="240" w:lineRule="auto"/>
              <w:jc w:val="center"/>
            </w:pPr>
            <w:r w:rsidRPr="0047136C">
              <w:t>1.809</w:t>
            </w:r>
          </w:p>
        </w:tc>
        <w:tc>
          <w:tcPr>
            <w:tcW w:w="704" w:type="pct"/>
          </w:tcPr>
          <w:p w:rsidR="00242C20" w:rsidRPr="0074481B" w:rsidRDefault="00242C20" w:rsidP="001C5E6E">
            <w:pPr>
              <w:pStyle w:val="TableText0"/>
              <w:spacing w:before="0" w:after="0" w:line="240" w:lineRule="auto"/>
              <w:jc w:val="center"/>
            </w:pPr>
            <w:r w:rsidRPr="0074481B">
              <w:t>$</w:t>
            </w:r>
            <w:r w:rsidR="0047136C">
              <w:rPr>
                <w:noProof/>
                <w:color w:val="000000"/>
                <w:highlight w:val="black"/>
              </w:rPr>
              <w:t>'''''''''''''''''</w:t>
            </w:r>
            <w:r w:rsidR="00E43DD9">
              <w:rPr>
                <w:vertAlign w:val="superscript"/>
              </w:rPr>
              <w:t>3</w:t>
            </w:r>
          </w:p>
        </w:tc>
        <w:tc>
          <w:tcPr>
            <w:tcW w:w="621" w:type="pct"/>
          </w:tcPr>
          <w:p w:rsidR="00242C20" w:rsidRPr="0074481B" w:rsidRDefault="00242C20" w:rsidP="002A36B6">
            <w:pPr>
              <w:pStyle w:val="TableText0"/>
              <w:spacing w:before="0" w:after="0" w:line="240" w:lineRule="auto"/>
              <w:jc w:val="center"/>
            </w:pPr>
            <w:r w:rsidRPr="0074481B">
              <w:t>-33.0%</w:t>
            </w:r>
          </w:p>
        </w:tc>
      </w:tr>
      <w:tr w:rsidR="00242C20" w:rsidRPr="0074481B" w:rsidTr="00242C20">
        <w:tc>
          <w:tcPr>
            <w:tcW w:w="2032" w:type="pct"/>
          </w:tcPr>
          <w:p w:rsidR="00242C20" w:rsidRPr="0074481B" w:rsidRDefault="00242C20" w:rsidP="002A36B6">
            <w:pPr>
              <w:pStyle w:val="TableText0"/>
              <w:spacing w:before="0" w:after="0" w:line="240" w:lineRule="auto"/>
            </w:pPr>
            <w:r w:rsidRPr="0074481B">
              <w:t>Log-logistic for both arms</w:t>
            </w:r>
          </w:p>
        </w:tc>
        <w:tc>
          <w:tcPr>
            <w:tcW w:w="861" w:type="pct"/>
          </w:tcPr>
          <w:p w:rsidR="00242C20" w:rsidRPr="0074481B" w:rsidRDefault="00242C20" w:rsidP="004361CB">
            <w:pPr>
              <w:pStyle w:val="TableText0"/>
              <w:spacing w:before="0" w:after="0" w:line="240" w:lineRule="auto"/>
              <w:jc w:val="center"/>
            </w:pPr>
            <w:r w:rsidRPr="0074481B">
              <w:t>$</w:t>
            </w:r>
            <w:r w:rsidR="0047136C">
              <w:rPr>
                <w:noProof/>
                <w:color w:val="000000"/>
                <w:highlight w:val="black"/>
              </w:rPr>
              <w:t>''''''''''''''''</w:t>
            </w:r>
          </w:p>
        </w:tc>
        <w:tc>
          <w:tcPr>
            <w:tcW w:w="782" w:type="pct"/>
          </w:tcPr>
          <w:p w:rsidR="00242C20" w:rsidRPr="0047136C" w:rsidRDefault="00242C20" w:rsidP="004361CB">
            <w:pPr>
              <w:pStyle w:val="TableText0"/>
              <w:spacing w:before="0" w:after="0" w:line="240" w:lineRule="auto"/>
              <w:jc w:val="center"/>
            </w:pPr>
            <w:r w:rsidRPr="0047136C">
              <w:t>1.381</w:t>
            </w:r>
          </w:p>
        </w:tc>
        <w:tc>
          <w:tcPr>
            <w:tcW w:w="704" w:type="pct"/>
          </w:tcPr>
          <w:p w:rsidR="00242C20" w:rsidRPr="0074481B" w:rsidRDefault="00242C20" w:rsidP="001C5E6E">
            <w:pPr>
              <w:pStyle w:val="TableText0"/>
              <w:spacing w:before="0" w:after="0" w:line="240" w:lineRule="auto"/>
              <w:jc w:val="center"/>
            </w:pPr>
            <w:r w:rsidRPr="0074481B">
              <w:t>$</w:t>
            </w:r>
            <w:r w:rsidR="0047136C">
              <w:rPr>
                <w:noProof/>
                <w:color w:val="000000"/>
                <w:highlight w:val="black"/>
              </w:rPr>
              <w:t>''''''''''''''''''</w:t>
            </w:r>
            <w:r w:rsidR="00E43DD9">
              <w:rPr>
                <w:vertAlign w:val="superscript"/>
              </w:rPr>
              <w:t>4</w:t>
            </w:r>
          </w:p>
        </w:tc>
        <w:tc>
          <w:tcPr>
            <w:tcW w:w="621" w:type="pct"/>
          </w:tcPr>
          <w:p w:rsidR="00242C20" w:rsidRPr="0074481B" w:rsidRDefault="00242C20" w:rsidP="002A36B6">
            <w:pPr>
              <w:pStyle w:val="TableText0"/>
              <w:spacing w:before="0" w:after="0" w:line="240" w:lineRule="auto"/>
              <w:jc w:val="center"/>
            </w:pPr>
            <w:r w:rsidRPr="0074481B">
              <w:t>-15.0%</w:t>
            </w:r>
          </w:p>
        </w:tc>
      </w:tr>
      <w:tr w:rsidR="00242C20" w:rsidRPr="0074481B" w:rsidTr="00242C20">
        <w:tc>
          <w:tcPr>
            <w:tcW w:w="2032" w:type="pct"/>
          </w:tcPr>
          <w:p w:rsidR="00242C20" w:rsidRPr="0074481B" w:rsidRDefault="00242C20" w:rsidP="002A36B6">
            <w:pPr>
              <w:pStyle w:val="TableText0"/>
              <w:spacing w:before="0" w:after="0" w:line="240" w:lineRule="auto"/>
            </w:pPr>
            <w:r w:rsidRPr="0074481B">
              <w:t>Lognormal for both arms</w:t>
            </w:r>
          </w:p>
        </w:tc>
        <w:tc>
          <w:tcPr>
            <w:tcW w:w="861" w:type="pct"/>
          </w:tcPr>
          <w:p w:rsidR="00242C20" w:rsidRPr="0074481B" w:rsidRDefault="00242C20" w:rsidP="004361CB">
            <w:pPr>
              <w:pStyle w:val="TableText0"/>
              <w:spacing w:before="0" w:after="0" w:line="240" w:lineRule="auto"/>
              <w:jc w:val="center"/>
            </w:pPr>
            <w:r w:rsidRPr="0074481B">
              <w:t>$</w:t>
            </w:r>
            <w:r w:rsidR="0047136C">
              <w:rPr>
                <w:noProof/>
                <w:color w:val="000000"/>
                <w:highlight w:val="black"/>
              </w:rPr>
              <w:t>'''''''''''''''</w:t>
            </w:r>
          </w:p>
        </w:tc>
        <w:tc>
          <w:tcPr>
            <w:tcW w:w="782" w:type="pct"/>
          </w:tcPr>
          <w:p w:rsidR="00242C20" w:rsidRPr="0047136C" w:rsidRDefault="00242C20" w:rsidP="004361CB">
            <w:pPr>
              <w:pStyle w:val="TableText0"/>
              <w:spacing w:before="0" w:after="0" w:line="240" w:lineRule="auto"/>
              <w:jc w:val="center"/>
            </w:pPr>
            <w:r w:rsidRPr="0047136C">
              <w:t>1.305</w:t>
            </w:r>
          </w:p>
        </w:tc>
        <w:tc>
          <w:tcPr>
            <w:tcW w:w="704" w:type="pct"/>
          </w:tcPr>
          <w:p w:rsidR="00242C20" w:rsidRPr="0074481B" w:rsidRDefault="00242C20" w:rsidP="001C5E6E">
            <w:pPr>
              <w:pStyle w:val="TableText0"/>
              <w:spacing w:before="0" w:after="0" w:line="240" w:lineRule="auto"/>
              <w:jc w:val="center"/>
            </w:pPr>
            <w:r w:rsidRPr="0074481B">
              <w:t>$</w:t>
            </w:r>
            <w:r w:rsidR="0047136C">
              <w:rPr>
                <w:noProof/>
                <w:color w:val="000000"/>
                <w:highlight w:val="black"/>
              </w:rPr>
              <w:t>''''''''''''''''''</w:t>
            </w:r>
            <w:r w:rsidR="00E43DD9">
              <w:rPr>
                <w:vertAlign w:val="superscript"/>
              </w:rPr>
              <w:t>4</w:t>
            </w:r>
          </w:p>
        </w:tc>
        <w:tc>
          <w:tcPr>
            <w:tcW w:w="621" w:type="pct"/>
          </w:tcPr>
          <w:p w:rsidR="00242C20" w:rsidRPr="0074481B" w:rsidRDefault="00242C20" w:rsidP="002A36B6">
            <w:pPr>
              <w:pStyle w:val="TableText0"/>
              <w:spacing w:before="0" w:after="0" w:line="240" w:lineRule="auto"/>
              <w:jc w:val="center"/>
            </w:pPr>
            <w:r w:rsidRPr="0074481B">
              <w:t>-10.5%</w:t>
            </w:r>
          </w:p>
        </w:tc>
      </w:tr>
      <w:tr w:rsidR="00242C20" w:rsidRPr="0074481B" w:rsidTr="00242C20">
        <w:tc>
          <w:tcPr>
            <w:tcW w:w="2032" w:type="pct"/>
          </w:tcPr>
          <w:p w:rsidR="00242C20" w:rsidRPr="0074481B" w:rsidRDefault="00242C20" w:rsidP="002A36B6">
            <w:pPr>
              <w:pStyle w:val="TableText0"/>
              <w:spacing w:before="0" w:after="0" w:line="240" w:lineRule="auto"/>
            </w:pPr>
            <w:r w:rsidRPr="0074481B">
              <w:t>Generalised gamma for both arms</w:t>
            </w:r>
          </w:p>
        </w:tc>
        <w:tc>
          <w:tcPr>
            <w:tcW w:w="861" w:type="pct"/>
          </w:tcPr>
          <w:p w:rsidR="00242C20" w:rsidRPr="0074481B" w:rsidRDefault="00242C20" w:rsidP="004361CB">
            <w:pPr>
              <w:pStyle w:val="TableText0"/>
              <w:spacing w:before="0" w:after="0" w:line="240" w:lineRule="auto"/>
              <w:jc w:val="center"/>
            </w:pPr>
            <w:r w:rsidRPr="0074481B">
              <w:t>$</w:t>
            </w:r>
            <w:r w:rsidR="0047136C">
              <w:rPr>
                <w:noProof/>
                <w:color w:val="000000"/>
                <w:highlight w:val="black"/>
              </w:rPr>
              <w:t>'''''''''''''''''</w:t>
            </w:r>
          </w:p>
        </w:tc>
        <w:tc>
          <w:tcPr>
            <w:tcW w:w="782" w:type="pct"/>
          </w:tcPr>
          <w:p w:rsidR="00242C20" w:rsidRPr="0047136C" w:rsidRDefault="00242C20" w:rsidP="004361CB">
            <w:pPr>
              <w:pStyle w:val="TableText0"/>
              <w:spacing w:before="0" w:after="0" w:line="240" w:lineRule="auto"/>
              <w:jc w:val="center"/>
            </w:pPr>
            <w:r w:rsidRPr="0047136C">
              <w:t>1.413</w:t>
            </w:r>
          </w:p>
        </w:tc>
        <w:tc>
          <w:tcPr>
            <w:tcW w:w="704" w:type="pct"/>
          </w:tcPr>
          <w:p w:rsidR="00242C20" w:rsidRPr="0074481B" w:rsidRDefault="00242C20" w:rsidP="001C5E6E">
            <w:pPr>
              <w:pStyle w:val="TableText0"/>
              <w:spacing w:before="0" w:after="0" w:line="240" w:lineRule="auto"/>
              <w:jc w:val="center"/>
            </w:pPr>
            <w:r w:rsidRPr="0074481B">
              <w:t>$</w:t>
            </w:r>
            <w:r w:rsidR="0047136C">
              <w:rPr>
                <w:noProof/>
                <w:color w:val="000000"/>
                <w:highlight w:val="black"/>
              </w:rPr>
              <w:t>''''''''''''''''</w:t>
            </w:r>
            <w:r w:rsidR="00E43DD9">
              <w:rPr>
                <w:vertAlign w:val="superscript"/>
              </w:rPr>
              <w:t>4</w:t>
            </w:r>
          </w:p>
        </w:tc>
        <w:tc>
          <w:tcPr>
            <w:tcW w:w="621" w:type="pct"/>
          </w:tcPr>
          <w:p w:rsidR="00242C20" w:rsidRPr="0074481B" w:rsidRDefault="00242C20" w:rsidP="002A36B6">
            <w:pPr>
              <w:pStyle w:val="TableText0"/>
              <w:spacing w:before="0" w:after="0" w:line="240" w:lineRule="auto"/>
              <w:jc w:val="center"/>
            </w:pPr>
            <w:r w:rsidRPr="0074481B">
              <w:t>-16.7%</w:t>
            </w:r>
          </w:p>
        </w:tc>
      </w:tr>
      <w:tr w:rsidR="00242C20" w:rsidRPr="00F71C5B" w:rsidTr="00242C20">
        <w:tc>
          <w:tcPr>
            <w:tcW w:w="2032" w:type="pct"/>
          </w:tcPr>
          <w:p w:rsidR="00242C20" w:rsidRPr="009A77B3" w:rsidRDefault="00242C20" w:rsidP="002A36B6">
            <w:pPr>
              <w:pStyle w:val="TableText0"/>
              <w:spacing w:before="0" w:after="0" w:line="240" w:lineRule="auto"/>
              <w:rPr>
                <w:i/>
                <w:vertAlign w:val="superscript"/>
              </w:rPr>
            </w:pPr>
            <w:r w:rsidRPr="009A77B3">
              <w:rPr>
                <w:i/>
              </w:rPr>
              <w:t>Exponential for pembrolizumab and lognormal for SoC</w:t>
            </w:r>
            <w:r w:rsidRPr="009A77B3">
              <w:rPr>
                <w:i/>
                <w:vertAlign w:val="superscript"/>
              </w:rPr>
              <w:t xml:space="preserve"> a</w:t>
            </w:r>
          </w:p>
        </w:tc>
        <w:tc>
          <w:tcPr>
            <w:tcW w:w="861" w:type="pct"/>
          </w:tcPr>
          <w:p w:rsidR="00242C20" w:rsidRPr="009A77B3" w:rsidRDefault="00242C20" w:rsidP="004361CB">
            <w:pPr>
              <w:pStyle w:val="TableText0"/>
              <w:jc w:val="center"/>
              <w:rPr>
                <w:i/>
              </w:rPr>
            </w:pPr>
            <w:r w:rsidRPr="009A77B3">
              <w:rPr>
                <w:i/>
              </w:rPr>
              <w:t>$</w:t>
            </w:r>
            <w:r w:rsidR="0047136C">
              <w:rPr>
                <w:i/>
                <w:noProof/>
                <w:color w:val="000000"/>
                <w:highlight w:val="black"/>
              </w:rPr>
              <w:t>'''''''''''''''</w:t>
            </w:r>
          </w:p>
        </w:tc>
        <w:tc>
          <w:tcPr>
            <w:tcW w:w="782" w:type="pct"/>
          </w:tcPr>
          <w:p w:rsidR="00242C20" w:rsidRPr="0047136C" w:rsidRDefault="00242C20" w:rsidP="004361CB">
            <w:pPr>
              <w:pStyle w:val="TableText0"/>
              <w:jc w:val="center"/>
              <w:rPr>
                <w:i/>
              </w:rPr>
            </w:pPr>
            <w:r w:rsidRPr="0047136C">
              <w:rPr>
                <w:i/>
              </w:rPr>
              <w:t>0.892</w:t>
            </w:r>
          </w:p>
        </w:tc>
        <w:tc>
          <w:tcPr>
            <w:tcW w:w="704" w:type="pct"/>
          </w:tcPr>
          <w:p w:rsidR="00242C20" w:rsidRPr="009A77B3" w:rsidRDefault="00242C20" w:rsidP="001C5E6E">
            <w:pPr>
              <w:pStyle w:val="TableText0"/>
              <w:jc w:val="center"/>
              <w:rPr>
                <w:i/>
              </w:rPr>
            </w:pPr>
            <w:r w:rsidRPr="009A77B3">
              <w:rPr>
                <w:i/>
              </w:rPr>
              <w:t>$</w:t>
            </w:r>
            <w:r w:rsidR="0047136C">
              <w:rPr>
                <w:i/>
                <w:noProof/>
                <w:color w:val="000000"/>
                <w:highlight w:val="black"/>
              </w:rPr>
              <w:t>''''''''''''''''''</w:t>
            </w:r>
            <w:r w:rsidR="00E43DD9">
              <w:rPr>
                <w:vertAlign w:val="superscript"/>
              </w:rPr>
              <w:t>2</w:t>
            </w:r>
          </w:p>
        </w:tc>
        <w:tc>
          <w:tcPr>
            <w:tcW w:w="621" w:type="pct"/>
          </w:tcPr>
          <w:p w:rsidR="00242C20" w:rsidRPr="009A77B3" w:rsidRDefault="00242C20" w:rsidP="002A36B6">
            <w:pPr>
              <w:pStyle w:val="TableText0"/>
              <w:jc w:val="center"/>
              <w:rPr>
                <w:i/>
              </w:rPr>
            </w:pPr>
            <w:r w:rsidRPr="009A77B3">
              <w:rPr>
                <w:i/>
              </w:rPr>
              <w:t>+26.8%</w:t>
            </w:r>
          </w:p>
        </w:tc>
      </w:tr>
      <w:tr w:rsidR="00242C20" w:rsidRPr="0074481B" w:rsidTr="00242C20">
        <w:tc>
          <w:tcPr>
            <w:tcW w:w="5000" w:type="pct"/>
            <w:gridSpan w:val="5"/>
          </w:tcPr>
          <w:p w:rsidR="00242C20" w:rsidRPr="0074481B" w:rsidRDefault="00242C20" w:rsidP="00242C20">
            <w:pPr>
              <w:pStyle w:val="TableText0"/>
              <w:keepNext w:val="0"/>
              <w:spacing w:before="0" w:after="0" w:line="240" w:lineRule="auto"/>
            </w:pPr>
            <w:r w:rsidRPr="0074481B">
              <w:rPr>
                <w:b/>
              </w:rPr>
              <w:t>Convergence of the survival curves of the two treatment arms (base case: no)</w:t>
            </w:r>
          </w:p>
        </w:tc>
      </w:tr>
      <w:tr w:rsidR="00242C20" w:rsidRPr="00F71C5B" w:rsidTr="00242C20">
        <w:tc>
          <w:tcPr>
            <w:tcW w:w="2032" w:type="pct"/>
          </w:tcPr>
          <w:p w:rsidR="00242C20" w:rsidRPr="00F71C5B" w:rsidRDefault="00242C20" w:rsidP="00242C20">
            <w:pPr>
              <w:pStyle w:val="TableText0"/>
              <w:keepNext w:val="0"/>
              <w:spacing w:before="0" w:after="0" w:line="240" w:lineRule="auto"/>
              <w:ind w:right="57"/>
              <w:rPr>
                <w:vertAlign w:val="superscript"/>
              </w:rPr>
            </w:pPr>
            <w:r w:rsidRPr="00F71C5B">
              <w:t xml:space="preserve">Pembrolizumab PFS and OS curves converging linearly towards respective SoC curves from Year 3 (i.e. Week 156) to Year 10 </w:t>
            </w:r>
            <w:r w:rsidRPr="00F71C5B">
              <w:rPr>
                <w:vertAlign w:val="superscript"/>
              </w:rPr>
              <w:t>a</w:t>
            </w:r>
          </w:p>
        </w:tc>
        <w:tc>
          <w:tcPr>
            <w:tcW w:w="861" w:type="pct"/>
          </w:tcPr>
          <w:p w:rsidR="00242C20" w:rsidRPr="00F71C5B" w:rsidRDefault="00242C20" w:rsidP="004361CB">
            <w:pPr>
              <w:pStyle w:val="TableText0"/>
              <w:keepNext w:val="0"/>
              <w:spacing w:before="0" w:after="0" w:line="240" w:lineRule="auto"/>
              <w:jc w:val="center"/>
            </w:pPr>
            <w:r w:rsidRPr="00F71C5B">
              <w:t>$</w:t>
            </w:r>
            <w:r w:rsidR="0047136C">
              <w:rPr>
                <w:noProof/>
                <w:color w:val="000000"/>
                <w:highlight w:val="black"/>
              </w:rPr>
              <w:t>''''''''''''''''</w:t>
            </w:r>
          </w:p>
        </w:tc>
        <w:tc>
          <w:tcPr>
            <w:tcW w:w="782" w:type="pct"/>
          </w:tcPr>
          <w:p w:rsidR="00242C20" w:rsidRPr="0047136C" w:rsidRDefault="00242C20" w:rsidP="00242C20">
            <w:pPr>
              <w:pStyle w:val="TableText0"/>
              <w:keepNext w:val="0"/>
              <w:spacing w:before="0" w:after="0" w:line="240" w:lineRule="auto"/>
              <w:jc w:val="center"/>
            </w:pPr>
            <w:r w:rsidRPr="0047136C">
              <w:t>0.892</w:t>
            </w:r>
          </w:p>
        </w:tc>
        <w:tc>
          <w:tcPr>
            <w:tcW w:w="704" w:type="pct"/>
          </w:tcPr>
          <w:p w:rsidR="00242C20" w:rsidRPr="00F71C5B" w:rsidRDefault="00242C20" w:rsidP="001C5E6E">
            <w:pPr>
              <w:pStyle w:val="TableText0"/>
              <w:keepNext w:val="0"/>
              <w:spacing w:before="0" w:after="0" w:line="240" w:lineRule="auto"/>
              <w:jc w:val="center"/>
            </w:pPr>
            <w:r w:rsidRPr="00F71C5B">
              <w:t>$</w:t>
            </w:r>
            <w:r w:rsidR="0047136C">
              <w:rPr>
                <w:noProof/>
                <w:color w:val="000000"/>
                <w:highlight w:val="black"/>
              </w:rPr>
              <w:t>'''''''''''''''</w:t>
            </w:r>
            <w:r w:rsidR="00E43DD9">
              <w:rPr>
                <w:vertAlign w:val="superscript"/>
              </w:rPr>
              <w:t>2</w:t>
            </w:r>
          </w:p>
        </w:tc>
        <w:tc>
          <w:tcPr>
            <w:tcW w:w="621" w:type="pct"/>
          </w:tcPr>
          <w:p w:rsidR="00242C20" w:rsidRPr="00F71C5B" w:rsidRDefault="00242C20" w:rsidP="00242C20">
            <w:pPr>
              <w:pStyle w:val="TableText0"/>
              <w:keepNext w:val="0"/>
              <w:spacing w:before="0" w:after="0" w:line="240" w:lineRule="auto"/>
              <w:jc w:val="center"/>
            </w:pPr>
            <w:r w:rsidRPr="00F71C5B">
              <w:t>+28.7%</w:t>
            </w:r>
          </w:p>
        </w:tc>
      </w:tr>
      <w:tr w:rsidR="00242C20" w:rsidRPr="00F71C5B" w:rsidTr="00242C20">
        <w:tc>
          <w:tcPr>
            <w:tcW w:w="2032" w:type="pct"/>
          </w:tcPr>
          <w:p w:rsidR="00242C20" w:rsidRPr="00F71C5B" w:rsidRDefault="00242C20" w:rsidP="00242C20">
            <w:pPr>
              <w:pStyle w:val="TableText0"/>
              <w:keepNext w:val="0"/>
              <w:spacing w:before="0" w:after="0" w:line="240" w:lineRule="auto"/>
              <w:ind w:right="57"/>
              <w:rPr>
                <w:vertAlign w:val="superscript"/>
              </w:rPr>
            </w:pPr>
            <w:r w:rsidRPr="00F71C5B">
              <w:t xml:space="preserve">Pembrolizumab PFS and OS curves converging linearly towards respective SoC curves from Year 5 (i.e. Week 260) to Year 10 </w:t>
            </w:r>
            <w:r w:rsidRPr="00F71C5B">
              <w:rPr>
                <w:vertAlign w:val="superscript"/>
              </w:rPr>
              <w:t>a</w:t>
            </w:r>
          </w:p>
        </w:tc>
        <w:tc>
          <w:tcPr>
            <w:tcW w:w="861" w:type="pct"/>
          </w:tcPr>
          <w:p w:rsidR="00242C20" w:rsidRPr="00F71C5B" w:rsidRDefault="00242C20" w:rsidP="004361CB">
            <w:pPr>
              <w:pStyle w:val="TableText0"/>
              <w:keepNext w:val="0"/>
              <w:spacing w:before="0" w:after="0" w:line="240" w:lineRule="auto"/>
              <w:jc w:val="center"/>
            </w:pPr>
            <w:r w:rsidRPr="00F71C5B">
              <w:t>$</w:t>
            </w:r>
            <w:r w:rsidR="0047136C">
              <w:rPr>
                <w:noProof/>
                <w:color w:val="000000"/>
                <w:highlight w:val="black"/>
              </w:rPr>
              <w:t>''''''''''''''''</w:t>
            </w:r>
          </w:p>
        </w:tc>
        <w:tc>
          <w:tcPr>
            <w:tcW w:w="782" w:type="pct"/>
          </w:tcPr>
          <w:p w:rsidR="00242C20" w:rsidRPr="0047136C" w:rsidRDefault="00242C20" w:rsidP="00242C20">
            <w:pPr>
              <w:pStyle w:val="TableText0"/>
              <w:keepNext w:val="0"/>
              <w:spacing w:before="0" w:after="0" w:line="240" w:lineRule="auto"/>
              <w:jc w:val="center"/>
            </w:pPr>
            <w:r w:rsidRPr="0047136C">
              <w:t>0.933</w:t>
            </w:r>
          </w:p>
        </w:tc>
        <w:tc>
          <w:tcPr>
            <w:tcW w:w="704" w:type="pct"/>
          </w:tcPr>
          <w:p w:rsidR="00242C20" w:rsidRPr="00F71C5B" w:rsidRDefault="00242C20" w:rsidP="001C5E6E">
            <w:pPr>
              <w:pStyle w:val="TableText0"/>
              <w:keepNext w:val="0"/>
              <w:spacing w:before="0" w:after="0" w:line="240" w:lineRule="auto"/>
              <w:jc w:val="center"/>
            </w:pPr>
            <w:r w:rsidRPr="00F71C5B">
              <w:t>$</w:t>
            </w:r>
            <w:r w:rsidR="0047136C">
              <w:rPr>
                <w:noProof/>
                <w:color w:val="000000"/>
                <w:highlight w:val="black"/>
              </w:rPr>
              <w:t>'''''''''''''''''</w:t>
            </w:r>
            <w:r w:rsidR="00E43DD9">
              <w:rPr>
                <w:vertAlign w:val="superscript"/>
              </w:rPr>
              <w:t>1</w:t>
            </w:r>
          </w:p>
        </w:tc>
        <w:tc>
          <w:tcPr>
            <w:tcW w:w="621" w:type="pct"/>
          </w:tcPr>
          <w:p w:rsidR="00242C20" w:rsidRPr="00F71C5B" w:rsidRDefault="00242C20" w:rsidP="00242C20">
            <w:pPr>
              <w:pStyle w:val="TableText0"/>
              <w:keepNext w:val="0"/>
              <w:spacing w:before="0" w:after="0" w:line="240" w:lineRule="auto"/>
              <w:jc w:val="center"/>
            </w:pPr>
            <w:r w:rsidRPr="00F71C5B">
              <w:t>+23.3%</w:t>
            </w:r>
          </w:p>
        </w:tc>
      </w:tr>
      <w:tr w:rsidR="00242C20" w:rsidRPr="0074481B" w:rsidTr="00242C20">
        <w:tc>
          <w:tcPr>
            <w:tcW w:w="5000" w:type="pct"/>
            <w:gridSpan w:val="5"/>
          </w:tcPr>
          <w:p w:rsidR="00242C20" w:rsidRPr="0074481B" w:rsidRDefault="00242C20" w:rsidP="00242C20">
            <w:pPr>
              <w:pStyle w:val="TableText0"/>
              <w:keepNext w:val="0"/>
              <w:spacing w:before="0" w:after="0" w:line="240" w:lineRule="auto"/>
            </w:pPr>
            <w:r w:rsidRPr="00827535">
              <w:rPr>
                <w:b/>
              </w:rPr>
              <w:t>Cost of bevacizumab (ex-manufacture price of $303.94 per 100 mg vial and $1,215.75 per 400 mg vial)</w:t>
            </w:r>
          </w:p>
        </w:tc>
      </w:tr>
      <w:tr w:rsidR="00242C20" w:rsidRPr="00F71C5B" w:rsidTr="00242C20">
        <w:tc>
          <w:tcPr>
            <w:tcW w:w="2032" w:type="pct"/>
          </w:tcPr>
          <w:p w:rsidR="00242C20" w:rsidRPr="00F71C5B" w:rsidRDefault="00242C20" w:rsidP="00242C20">
            <w:pPr>
              <w:pStyle w:val="TableText0"/>
              <w:keepNext w:val="0"/>
              <w:spacing w:before="0" w:after="0" w:line="240" w:lineRule="auto"/>
              <w:ind w:right="57"/>
              <w:rPr>
                <w:vertAlign w:val="superscript"/>
              </w:rPr>
            </w:pPr>
            <w:r w:rsidRPr="00F71C5B">
              <w:t xml:space="preserve">Expected statutory price reduction of </w:t>
            </w:r>
            <w:r w:rsidRPr="00443707">
              <w:t>25</w:t>
            </w:r>
            <w:r w:rsidRPr="00F71C5B">
              <w:t xml:space="preserve">% </w:t>
            </w:r>
            <w:r w:rsidRPr="00F71C5B">
              <w:rPr>
                <w:vertAlign w:val="superscript"/>
              </w:rPr>
              <w:t>a</w:t>
            </w:r>
          </w:p>
        </w:tc>
        <w:tc>
          <w:tcPr>
            <w:tcW w:w="861" w:type="pct"/>
          </w:tcPr>
          <w:p w:rsidR="00242C20" w:rsidRPr="00F71C5B" w:rsidRDefault="00242C20" w:rsidP="004361CB">
            <w:pPr>
              <w:pStyle w:val="TableText0"/>
              <w:keepNext w:val="0"/>
              <w:spacing w:before="0" w:after="0" w:line="240" w:lineRule="auto"/>
              <w:jc w:val="center"/>
            </w:pPr>
            <w:r w:rsidRPr="00F71C5B">
              <w:t>$</w:t>
            </w:r>
            <w:r w:rsidR="0047136C">
              <w:rPr>
                <w:noProof/>
                <w:color w:val="000000"/>
                <w:highlight w:val="black"/>
              </w:rPr>
              <w:t>'''''''''''''''</w:t>
            </w:r>
          </w:p>
        </w:tc>
        <w:tc>
          <w:tcPr>
            <w:tcW w:w="782" w:type="pct"/>
          </w:tcPr>
          <w:p w:rsidR="00242C20" w:rsidRPr="00F71C5B" w:rsidRDefault="00242C20" w:rsidP="00242C20">
            <w:pPr>
              <w:pStyle w:val="TableText0"/>
              <w:keepNext w:val="0"/>
              <w:spacing w:before="0" w:after="0" w:line="240" w:lineRule="auto"/>
              <w:jc w:val="center"/>
            </w:pPr>
            <w:r w:rsidRPr="0047136C">
              <w:t>1.154</w:t>
            </w:r>
          </w:p>
        </w:tc>
        <w:tc>
          <w:tcPr>
            <w:tcW w:w="704" w:type="pct"/>
          </w:tcPr>
          <w:p w:rsidR="00242C20" w:rsidRPr="00F71C5B" w:rsidRDefault="00242C20" w:rsidP="001C5E6E">
            <w:pPr>
              <w:pStyle w:val="TableText0"/>
              <w:keepNext w:val="0"/>
              <w:spacing w:before="0" w:after="0" w:line="240" w:lineRule="auto"/>
              <w:jc w:val="center"/>
            </w:pPr>
            <w:r w:rsidRPr="00F71C5B">
              <w:t>$</w:t>
            </w:r>
            <w:r w:rsidR="0047136C">
              <w:rPr>
                <w:noProof/>
                <w:color w:val="000000"/>
                <w:highlight w:val="black"/>
              </w:rPr>
              <w:t>'''''''''''''''''</w:t>
            </w:r>
            <w:r w:rsidR="00E43DD9">
              <w:rPr>
                <w:vertAlign w:val="superscript"/>
              </w:rPr>
              <w:t>1</w:t>
            </w:r>
          </w:p>
        </w:tc>
        <w:tc>
          <w:tcPr>
            <w:tcW w:w="621" w:type="pct"/>
          </w:tcPr>
          <w:p w:rsidR="00242C20" w:rsidRPr="00F71C5B" w:rsidRDefault="005E091D" w:rsidP="00242C20">
            <w:pPr>
              <w:pStyle w:val="TableText0"/>
              <w:keepNext w:val="0"/>
              <w:spacing w:before="0" w:after="0" w:line="240" w:lineRule="auto"/>
              <w:jc w:val="center"/>
            </w:pPr>
            <w:r w:rsidRPr="00F71C5B">
              <w:t>+</w:t>
            </w:r>
            <w:r w:rsidR="00242C20" w:rsidRPr="00F71C5B">
              <w:t>7.0%</w:t>
            </w:r>
          </w:p>
        </w:tc>
      </w:tr>
      <w:tr w:rsidR="00242C20" w:rsidRPr="0074481B" w:rsidTr="00242C20">
        <w:tc>
          <w:tcPr>
            <w:tcW w:w="5000" w:type="pct"/>
            <w:gridSpan w:val="5"/>
          </w:tcPr>
          <w:p w:rsidR="00242C20" w:rsidRPr="0074481B" w:rsidRDefault="00242C20" w:rsidP="00242C20">
            <w:pPr>
              <w:pStyle w:val="TableText0"/>
              <w:keepNext w:val="0"/>
              <w:spacing w:before="0" w:after="0" w:line="240" w:lineRule="auto"/>
              <w:rPr>
                <w:b/>
              </w:rPr>
            </w:pPr>
            <w:r w:rsidRPr="0074481B">
              <w:rPr>
                <w:b/>
              </w:rPr>
              <w:t>Time horizon (base case: 10 years)</w:t>
            </w:r>
          </w:p>
        </w:tc>
      </w:tr>
      <w:tr w:rsidR="00242C20" w:rsidRPr="0074481B" w:rsidTr="00242C20">
        <w:tc>
          <w:tcPr>
            <w:tcW w:w="2032" w:type="pct"/>
          </w:tcPr>
          <w:p w:rsidR="00242C20" w:rsidRPr="0074481B" w:rsidRDefault="00242C20" w:rsidP="00242C20">
            <w:pPr>
              <w:pStyle w:val="TableText0"/>
              <w:keepNext w:val="0"/>
              <w:spacing w:before="0" w:after="0" w:line="240" w:lineRule="auto"/>
            </w:pPr>
            <w:r w:rsidRPr="0074481B">
              <w:t>7.5 years</w:t>
            </w:r>
          </w:p>
        </w:tc>
        <w:tc>
          <w:tcPr>
            <w:tcW w:w="861" w:type="pct"/>
          </w:tcPr>
          <w:p w:rsidR="00242C20" w:rsidRPr="0074481B" w:rsidRDefault="00242C20" w:rsidP="004361CB">
            <w:pPr>
              <w:pStyle w:val="TableText0"/>
              <w:keepNext w:val="0"/>
              <w:spacing w:before="0" w:after="0" w:line="240" w:lineRule="auto"/>
              <w:jc w:val="center"/>
            </w:pPr>
            <w:r w:rsidRPr="0074481B">
              <w:t>$</w:t>
            </w:r>
            <w:r w:rsidR="0047136C">
              <w:rPr>
                <w:noProof/>
                <w:color w:val="000000"/>
                <w:highlight w:val="black"/>
              </w:rPr>
              <w:t>''''''''''''''''</w:t>
            </w:r>
          </w:p>
        </w:tc>
        <w:tc>
          <w:tcPr>
            <w:tcW w:w="782" w:type="pct"/>
          </w:tcPr>
          <w:p w:rsidR="00242C20" w:rsidRPr="0047136C" w:rsidRDefault="00242C20" w:rsidP="00242C20">
            <w:pPr>
              <w:pStyle w:val="TableText0"/>
              <w:keepNext w:val="0"/>
              <w:spacing w:before="0" w:after="0" w:line="240" w:lineRule="auto"/>
              <w:jc w:val="center"/>
            </w:pPr>
            <w:r w:rsidRPr="0047136C">
              <w:t>0.890</w:t>
            </w:r>
          </w:p>
        </w:tc>
        <w:tc>
          <w:tcPr>
            <w:tcW w:w="704" w:type="pct"/>
          </w:tcPr>
          <w:p w:rsidR="00242C20" w:rsidRPr="0074481B" w:rsidRDefault="00242C20" w:rsidP="001C5E6E">
            <w:pPr>
              <w:pStyle w:val="TableText0"/>
              <w:keepNext w:val="0"/>
              <w:spacing w:before="0" w:after="0" w:line="240" w:lineRule="auto"/>
              <w:jc w:val="center"/>
            </w:pPr>
            <w:r w:rsidRPr="0074481B">
              <w:t>$</w:t>
            </w:r>
            <w:r w:rsidR="0047136C">
              <w:rPr>
                <w:noProof/>
                <w:color w:val="000000"/>
                <w:highlight w:val="black"/>
              </w:rPr>
              <w:t>'''''''''''''''</w:t>
            </w:r>
            <w:r w:rsidR="00E43DD9">
              <w:rPr>
                <w:vertAlign w:val="superscript"/>
              </w:rPr>
              <w:t>2</w:t>
            </w:r>
          </w:p>
        </w:tc>
        <w:tc>
          <w:tcPr>
            <w:tcW w:w="621" w:type="pct"/>
          </w:tcPr>
          <w:p w:rsidR="00242C20" w:rsidRPr="0074481B" w:rsidRDefault="00242C20" w:rsidP="00242C20">
            <w:pPr>
              <w:pStyle w:val="TableText0"/>
              <w:keepNext w:val="0"/>
              <w:spacing w:before="0" w:after="0" w:line="240" w:lineRule="auto"/>
              <w:jc w:val="center"/>
            </w:pPr>
            <w:r w:rsidRPr="0074481B">
              <w:t>+26.9%</w:t>
            </w:r>
          </w:p>
        </w:tc>
      </w:tr>
      <w:tr w:rsidR="00242C20" w:rsidRPr="0074481B" w:rsidTr="00242C20">
        <w:tc>
          <w:tcPr>
            <w:tcW w:w="2032" w:type="pct"/>
          </w:tcPr>
          <w:p w:rsidR="00242C20" w:rsidRPr="0074481B" w:rsidRDefault="00242C20" w:rsidP="00242C20">
            <w:pPr>
              <w:pStyle w:val="TableText0"/>
              <w:keepNext w:val="0"/>
              <w:spacing w:before="0" w:after="0" w:line="240" w:lineRule="auto"/>
            </w:pPr>
            <w:r w:rsidRPr="0074481B">
              <w:t>20 years</w:t>
            </w:r>
          </w:p>
        </w:tc>
        <w:tc>
          <w:tcPr>
            <w:tcW w:w="861" w:type="pct"/>
          </w:tcPr>
          <w:p w:rsidR="00242C20" w:rsidRPr="0074481B" w:rsidRDefault="00242C20" w:rsidP="004361CB">
            <w:pPr>
              <w:pStyle w:val="TableText0"/>
              <w:keepNext w:val="0"/>
              <w:spacing w:before="0" w:after="0" w:line="240" w:lineRule="auto"/>
              <w:jc w:val="center"/>
            </w:pPr>
            <w:r w:rsidRPr="0074481B">
              <w:t>$</w:t>
            </w:r>
            <w:r w:rsidR="0047136C">
              <w:rPr>
                <w:noProof/>
                <w:color w:val="000000"/>
                <w:highlight w:val="black"/>
              </w:rPr>
              <w:t>''''''''''''''''''</w:t>
            </w:r>
          </w:p>
        </w:tc>
        <w:tc>
          <w:tcPr>
            <w:tcW w:w="782" w:type="pct"/>
          </w:tcPr>
          <w:p w:rsidR="00242C20" w:rsidRPr="0047136C" w:rsidRDefault="00242C20" w:rsidP="00242C20">
            <w:pPr>
              <w:pStyle w:val="TableText0"/>
              <w:keepNext w:val="0"/>
              <w:spacing w:before="0" w:after="0" w:line="240" w:lineRule="auto"/>
              <w:jc w:val="center"/>
            </w:pPr>
            <w:r w:rsidRPr="0047136C">
              <w:t>1.661</w:t>
            </w:r>
          </w:p>
        </w:tc>
        <w:tc>
          <w:tcPr>
            <w:tcW w:w="704" w:type="pct"/>
          </w:tcPr>
          <w:p w:rsidR="00242C20" w:rsidRPr="0074481B" w:rsidRDefault="00242C20" w:rsidP="001C5E6E">
            <w:pPr>
              <w:pStyle w:val="TableText0"/>
              <w:keepNext w:val="0"/>
              <w:spacing w:before="0" w:after="0" w:line="240" w:lineRule="auto"/>
              <w:jc w:val="center"/>
            </w:pPr>
            <w:r w:rsidRPr="0074481B">
              <w:t>$</w:t>
            </w:r>
            <w:r w:rsidR="0047136C">
              <w:rPr>
                <w:noProof/>
                <w:color w:val="000000"/>
                <w:highlight w:val="black"/>
              </w:rPr>
              <w:t>''''''''''''''''</w:t>
            </w:r>
            <w:r w:rsidR="00E43DD9">
              <w:rPr>
                <w:vertAlign w:val="superscript"/>
              </w:rPr>
              <w:t>3</w:t>
            </w:r>
          </w:p>
        </w:tc>
        <w:tc>
          <w:tcPr>
            <w:tcW w:w="621" w:type="pct"/>
          </w:tcPr>
          <w:p w:rsidR="00242C20" w:rsidRPr="0074481B" w:rsidRDefault="00242C20" w:rsidP="00242C20">
            <w:pPr>
              <w:pStyle w:val="TableText0"/>
              <w:keepNext w:val="0"/>
              <w:spacing w:before="0" w:after="0" w:line="240" w:lineRule="auto"/>
              <w:jc w:val="center"/>
            </w:pPr>
            <w:r w:rsidRPr="0074481B">
              <w:t>-27.6%</w:t>
            </w:r>
          </w:p>
        </w:tc>
      </w:tr>
      <w:tr w:rsidR="005900AD" w:rsidRPr="005900AD" w:rsidTr="005B2A32">
        <w:tc>
          <w:tcPr>
            <w:tcW w:w="5000" w:type="pct"/>
            <w:gridSpan w:val="5"/>
          </w:tcPr>
          <w:p w:rsidR="005900AD" w:rsidRPr="00AB7FA3" w:rsidRDefault="005900AD" w:rsidP="005B2A32">
            <w:pPr>
              <w:pStyle w:val="TableText0"/>
              <w:spacing w:before="0" w:after="0" w:line="240" w:lineRule="auto"/>
              <w:rPr>
                <w:b/>
              </w:rPr>
            </w:pPr>
            <w:r w:rsidRPr="00AB7FA3">
              <w:rPr>
                <w:b/>
              </w:rPr>
              <w:t>Proportion of patients receiving no first-line SoC therapies (base case: 0%)</w:t>
            </w:r>
          </w:p>
        </w:tc>
      </w:tr>
      <w:tr w:rsidR="005900AD" w:rsidRPr="005900AD" w:rsidTr="005B2A32">
        <w:tc>
          <w:tcPr>
            <w:tcW w:w="2032" w:type="pct"/>
          </w:tcPr>
          <w:p w:rsidR="005900AD" w:rsidRPr="00AB7FA3" w:rsidRDefault="005900AD" w:rsidP="005B2A32">
            <w:pPr>
              <w:pStyle w:val="TableText0"/>
              <w:spacing w:before="0" w:after="0" w:line="240" w:lineRule="auto"/>
              <w:rPr>
                <w:vertAlign w:val="superscript"/>
              </w:rPr>
            </w:pPr>
            <w:r w:rsidRPr="00AB7FA3">
              <w:t xml:space="preserve">7.1% as in KN177 </w:t>
            </w:r>
            <w:r w:rsidRPr="00AB7FA3">
              <w:rPr>
                <w:vertAlign w:val="superscript"/>
              </w:rPr>
              <w:t>a</w:t>
            </w:r>
          </w:p>
        </w:tc>
        <w:tc>
          <w:tcPr>
            <w:tcW w:w="861" w:type="pct"/>
          </w:tcPr>
          <w:p w:rsidR="005900AD" w:rsidRPr="00AB7FA3" w:rsidRDefault="005900AD" w:rsidP="004361CB">
            <w:pPr>
              <w:pStyle w:val="TableText0"/>
              <w:spacing w:before="0" w:after="0" w:line="240" w:lineRule="auto"/>
              <w:jc w:val="center"/>
            </w:pPr>
            <w:r w:rsidRPr="00AB7FA3">
              <w:t>$</w:t>
            </w:r>
            <w:r w:rsidR="0047136C">
              <w:rPr>
                <w:noProof/>
                <w:color w:val="000000"/>
                <w:highlight w:val="black"/>
              </w:rPr>
              <w:t>'''''''''''''''</w:t>
            </w:r>
          </w:p>
        </w:tc>
        <w:tc>
          <w:tcPr>
            <w:tcW w:w="782" w:type="pct"/>
          </w:tcPr>
          <w:p w:rsidR="005900AD" w:rsidRPr="00AB7FA3" w:rsidRDefault="005900AD" w:rsidP="005B2A32">
            <w:pPr>
              <w:pStyle w:val="TableText0"/>
              <w:spacing w:before="0" w:after="0" w:line="240" w:lineRule="auto"/>
              <w:jc w:val="center"/>
            </w:pPr>
            <w:r w:rsidRPr="0047136C">
              <w:t>1.154</w:t>
            </w:r>
          </w:p>
        </w:tc>
        <w:tc>
          <w:tcPr>
            <w:tcW w:w="704" w:type="pct"/>
          </w:tcPr>
          <w:p w:rsidR="005900AD" w:rsidRPr="00AB7FA3" w:rsidRDefault="005900AD" w:rsidP="001C5E6E">
            <w:pPr>
              <w:pStyle w:val="TableText0"/>
              <w:spacing w:before="0" w:after="0" w:line="240" w:lineRule="auto"/>
              <w:jc w:val="center"/>
            </w:pPr>
            <w:r w:rsidRPr="00AB7FA3">
              <w:t>$</w:t>
            </w:r>
            <w:r w:rsidR="0047136C">
              <w:rPr>
                <w:noProof/>
                <w:color w:val="000000"/>
                <w:highlight w:val="black"/>
              </w:rPr>
              <w:t>''''''''''''''''''</w:t>
            </w:r>
            <w:r w:rsidR="00E43DD9">
              <w:rPr>
                <w:vertAlign w:val="superscript"/>
              </w:rPr>
              <w:t>1</w:t>
            </w:r>
          </w:p>
        </w:tc>
        <w:tc>
          <w:tcPr>
            <w:tcW w:w="621" w:type="pct"/>
          </w:tcPr>
          <w:p w:rsidR="005900AD" w:rsidRPr="00AB7FA3" w:rsidRDefault="005900AD" w:rsidP="005B2A32">
            <w:pPr>
              <w:pStyle w:val="TableText0"/>
              <w:spacing w:before="0" w:after="0" w:line="240" w:lineRule="auto"/>
              <w:jc w:val="center"/>
            </w:pPr>
            <w:r w:rsidRPr="00AB7FA3">
              <w:t>+2.3%</w:t>
            </w:r>
          </w:p>
        </w:tc>
      </w:tr>
      <w:tr w:rsidR="005900AD" w:rsidRPr="005900AD" w:rsidTr="005B2A32">
        <w:tc>
          <w:tcPr>
            <w:tcW w:w="5000" w:type="pct"/>
            <w:gridSpan w:val="5"/>
          </w:tcPr>
          <w:p w:rsidR="005900AD" w:rsidRPr="00AB7FA3" w:rsidRDefault="005900AD" w:rsidP="005B2A32">
            <w:pPr>
              <w:pStyle w:val="TableText0"/>
              <w:spacing w:before="0" w:after="0" w:line="240" w:lineRule="auto"/>
              <w:rPr>
                <w:b/>
              </w:rPr>
            </w:pPr>
            <w:r w:rsidRPr="00AB7FA3">
              <w:rPr>
                <w:b/>
              </w:rPr>
              <w:t>Proportion of patients receiving subsequent therapy in the SoC arm (base case: 83.2%)</w:t>
            </w:r>
          </w:p>
        </w:tc>
      </w:tr>
      <w:tr w:rsidR="005900AD" w:rsidRPr="005900AD" w:rsidTr="005B2A32">
        <w:tc>
          <w:tcPr>
            <w:tcW w:w="2032" w:type="pct"/>
          </w:tcPr>
          <w:p w:rsidR="005900AD" w:rsidRPr="00AB7FA3" w:rsidRDefault="005900AD" w:rsidP="005B2A32">
            <w:pPr>
              <w:pStyle w:val="TableText0"/>
              <w:spacing w:before="0" w:after="0" w:line="240" w:lineRule="auto"/>
              <w:rPr>
                <w:vertAlign w:val="superscript"/>
              </w:rPr>
            </w:pPr>
            <w:r w:rsidRPr="00AB7FA3">
              <w:t xml:space="preserve">53.7%, same as the pembrolizumab arm </w:t>
            </w:r>
            <w:r w:rsidRPr="00AB7FA3">
              <w:rPr>
                <w:vertAlign w:val="superscript"/>
              </w:rPr>
              <w:t>a, b</w:t>
            </w:r>
          </w:p>
        </w:tc>
        <w:tc>
          <w:tcPr>
            <w:tcW w:w="861" w:type="pct"/>
          </w:tcPr>
          <w:p w:rsidR="005900AD" w:rsidRPr="00AB7FA3" w:rsidRDefault="005900AD" w:rsidP="004361CB">
            <w:pPr>
              <w:pStyle w:val="TableText0"/>
              <w:spacing w:before="0" w:after="0" w:line="240" w:lineRule="auto"/>
              <w:jc w:val="center"/>
            </w:pPr>
            <w:r w:rsidRPr="00AB7FA3">
              <w:t>$</w:t>
            </w:r>
            <w:r w:rsidR="0047136C">
              <w:rPr>
                <w:noProof/>
                <w:color w:val="000000"/>
                <w:highlight w:val="black"/>
              </w:rPr>
              <w:t>''''''''''''''''</w:t>
            </w:r>
          </w:p>
        </w:tc>
        <w:tc>
          <w:tcPr>
            <w:tcW w:w="782" w:type="pct"/>
          </w:tcPr>
          <w:p w:rsidR="005900AD" w:rsidRPr="00AB7FA3" w:rsidRDefault="005900AD" w:rsidP="005B2A32">
            <w:pPr>
              <w:pStyle w:val="TableText0"/>
              <w:spacing w:before="0" w:after="0" w:line="240" w:lineRule="auto"/>
              <w:jc w:val="center"/>
            </w:pPr>
            <w:r w:rsidRPr="0047136C">
              <w:t>1.154</w:t>
            </w:r>
          </w:p>
        </w:tc>
        <w:tc>
          <w:tcPr>
            <w:tcW w:w="704" w:type="pct"/>
          </w:tcPr>
          <w:p w:rsidR="005900AD" w:rsidRPr="00AB7FA3" w:rsidRDefault="005900AD" w:rsidP="001C5E6E">
            <w:pPr>
              <w:pStyle w:val="TableText0"/>
              <w:spacing w:before="0" w:after="0" w:line="240" w:lineRule="auto"/>
              <w:jc w:val="center"/>
            </w:pPr>
            <w:r w:rsidRPr="00AB7FA3">
              <w:t>$</w:t>
            </w:r>
            <w:r w:rsidR="0047136C">
              <w:rPr>
                <w:noProof/>
                <w:color w:val="000000"/>
                <w:highlight w:val="black"/>
              </w:rPr>
              <w:t>'''''''''''''''</w:t>
            </w:r>
            <w:r w:rsidR="00E43DD9">
              <w:rPr>
                <w:vertAlign w:val="superscript"/>
              </w:rPr>
              <w:t>1</w:t>
            </w:r>
          </w:p>
        </w:tc>
        <w:tc>
          <w:tcPr>
            <w:tcW w:w="621" w:type="pct"/>
          </w:tcPr>
          <w:p w:rsidR="005900AD" w:rsidRPr="00AB7FA3" w:rsidRDefault="005900AD" w:rsidP="005B2A32">
            <w:pPr>
              <w:pStyle w:val="TableText0"/>
              <w:spacing w:before="0" w:after="0" w:line="240" w:lineRule="auto"/>
              <w:jc w:val="center"/>
            </w:pPr>
            <w:r w:rsidRPr="00AB7FA3">
              <w:t>+6.4%</w:t>
            </w:r>
          </w:p>
        </w:tc>
      </w:tr>
      <w:tr w:rsidR="00EF5532" w:rsidRPr="005778C6" w:rsidTr="00242C20">
        <w:tc>
          <w:tcPr>
            <w:tcW w:w="2032" w:type="pct"/>
          </w:tcPr>
          <w:p w:rsidR="00EF5532" w:rsidRPr="00AB7FA3" w:rsidRDefault="00EF5532" w:rsidP="005778C6">
            <w:pPr>
              <w:pStyle w:val="TableText0"/>
              <w:keepNext w:val="0"/>
              <w:spacing w:before="0" w:after="0" w:line="240" w:lineRule="auto"/>
            </w:pPr>
            <w:r w:rsidRPr="00AB7FA3">
              <w:rPr>
                <w:b/>
              </w:rPr>
              <w:t>Multivariate analysis</w:t>
            </w:r>
            <w:r w:rsidR="00263A7A" w:rsidRPr="00AB7FA3">
              <w:rPr>
                <w:b/>
                <w:vertAlign w:val="superscript"/>
              </w:rPr>
              <w:t>b</w:t>
            </w:r>
          </w:p>
        </w:tc>
        <w:tc>
          <w:tcPr>
            <w:tcW w:w="861" w:type="pct"/>
          </w:tcPr>
          <w:p w:rsidR="00EF5532" w:rsidRPr="00AB7FA3" w:rsidRDefault="00EF5532" w:rsidP="005778C6">
            <w:pPr>
              <w:pStyle w:val="TableText0"/>
              <w:keepNext w:val="0"/>
              <w:spacing w:before="0" w:after="0" w:line="240" w:lineRule="auto"/>
              <w:jc w:val="center"/>
            </w:pPr>
          </w:p>
        </w:tc>
        <w:tc>
          <w:tcPr>
            <w:tcW w:w="782" w:type="pct"/>
          </w:tcPr>
          <w:p w:rsidR="00EF5532" w:rsidRPr="00AB7FA3" w:rsidRDefault="00EF5532" w:rsidP="005778C6">
            <w:pPr>
              <w:pStyle w:val="TableText0"/>
              <w:keepNext w:val="0"/>
              <w:spacing w:before="0" w:after="0" w:line="240" w:lineRule="auto"/>
              <w:ind w:left="0"/>
            </w:pPr>
          </w:p>
        </w:tc>
        <w:tc>
          <w:tcPr>
            <w:tcW w:w="704" w:type="pct"/>
          </w:tcPr>
          <w:p w:rsidR="00EF5532" w:rsidRPr="00AB7FA3" w:rsidRDefault="00EF5532" w:rsidP="005778C6">
            <w:pPr>
              <w:pStyle w:val="TableText0"/>
              <w:keepNext w:val="0"/>
              <w:spacing w:before="0" w:after="0" w:line="240" w:lineRule="auto"/>
              <w:ind w:left="0"/>
            </w:pPr>
          </w:p>
        </w:tc>
        <w:tc>
          <w:tcPr>
            <w:tcW w:w="621" w:type="pct"/>
          </w:tcPr>
          <w:p w:rsidR="00EF5532" w:rsidRPr="00AB7FA3" w:rsidRDefault="00EF5532" w:rsidP="005778C6">
            <w:pPr>
              <w:pStyle w:val="TableText0"/>
              <w:keepNext w:val="0"/>
              <w:spacing w:before="0" w:after="0" w:line="240" w:lineRule="auto"/>
              <w:ind w:left="0"/>
            </w:pPr>
          </w:p>
        </w:tc>
      </w:tr>
    </w:tbl>
    <w:p w:rsidR="00EF5532" w:rsidRDefault="00EF5532">
      <w:r>
        <w:rPr>
          <w:bCs/>
        </w:rPr>
        <w:br w:type="page"/>
      </w:r>
    </w:p>
    <w:tbl>
      <w:tblPr>
        <w:tblStyle w:val="MSDTableGrid11"/>
        <w:tblW w:w="5000" w:type="pct"/>
        <w:tblLayout w:type="fixed"/>
        <w:tblLook w:val="04A0" w:firstRow="1" w:lastRow="0" w:firstColumn="1" w:lastColumn="0" w:noHBand="0" w:noVBand="1"/>
        <w:tblCaption w:val="Table 12: Key sensitivity analyses"/>
      </w:tblPr>
      <w:tblGrid>
        <w:gridCol w:w="3664"/>
        <w:gridCol w:w="1553"/>
        <w:gridCol w:w="1410"/>
        <w:gridCol w:w="1270"/>
        <w:gridCol w:w="1120"/>
      </w:tblGrid>
      <w:tr w:rsidR="00EF5532" w:rsidRPr="00EF5532" w:rsidTr="00BF2FBB">
        <w:trPr>
          <w:tblHeader/>
        </w:trPr>
        <w:tc>
          <w:tcPr>
            <w:tcW w:w="2032" w:type="pct"/>
          </w:tcPr>
          <w:p w:rsidR="00EF5532" w:rsidRPr="00AB7FA3" w:rsidRDefault="005778C6" w:rsidP="00F11A36">
            <w:pPr>
              <w:pStyle w:val="TableText0"/>
              <w:keepNext w:val="0"/>
              <w:spacing w:before="0" w:after="0" w:line="240" w:lineRule="auto"/>
            </w:pPr>
            <w:r w:rsidRPr="00AB7FA3">
              <w:rPr>
                <w:u w:val="single"/>
              </w:rPr>
              <w:t>Parametric distribution for OS extrapolation (base case: exponential for both arms):</w:t>
            </w:r>
            <w:r w:rsidRPr="00AB7FA3">
              <w:rPr>
                <w:b/>
              </w:rPr>
              <w:t xml:space="preserve"> </w:t>
            </w:r>
            <w:r w:rsidR="00EF5532" w:rsidRPr="00AB7FA3">
              <w:t xml:space="preserve">Exponential for pembrolizumab and lognormal for SoC </w:t>
            </w:r>
          </w:p>
          <w:p w:rsidR="00F11A36" w:rsidRPr="00AB7FA3" w:rsidRDefault="00F11A36" w:rsidP="00F11A36">
            <w:pPr>
              <w:pStyle w:val="TableText0"/>
              <w:keepNext w:val="0"/>
              <w:tabs>
                <w:tab w:val="center" w:pos="1827"/>
              </w:tabs>
              <w:spacing w:before="0" w:after="0" w:line="240" w:lineRule="auto"/>
            </w:pPr>
            <w:r w:rsidRPr="00AB7FA3">
              <w:rPr>
                <w:u w:val="single"/>
              </w:rPr>
              <w:t>Proportion of patients receiving no first-line</w:t>
            </w:r>
            <w:r w:rsidRPr="00AB7FA3">
              <w:rPr>
                <w:b/>
                <w:u w:val="single"/>
              </w:rPr>
              <w:t xml:space="preserve"> </w:t>
            </w:r>
            <w:r w:rsidRPr="00AB7FA3">
              <w:rPr>
                <w:u w:val="single"/>
              </w:rPr>
              <w:t>SoC therapies (base case: 0%):</w:t>
            </w:r>
            <w:r w:rsidRPr="00AB7FA3">
              <w:t xml:space="preserve"> 7.1% as in KN177</w:t>
            </w:r>
          </w:p>
          <w:p w:rsidR="00F11A36" w:rsidRPr="00AB7FA3" w:rsidRDefault="00F11A36" w:rsidP="00F11A36">
            <w:pPr>
              <w:pStyle w:val="TableText0"/>
              <w:keepNext w:val="0"/>
              <w:tabs>
                <w:tab w:val="center" w:pos="1827"/>
              </w:tabs>
              <w:spacing w:before="0" w:after="0" w:line="240" w:lineRule="auto"/>
            </w:pPr>
            <w:r w:rsidRPr="00AB7FA3">
              <w:rPr>
                <w:u w:val="single"/>
              </w:rPr>
              <w:t>Proportion of patients receiving subsequent therapy in the SoC arm (base case: 83.2%):</w:t>
            </w:r>
            <w:r w:rsidRPr="00AB7FA3">
              <w:t xml:space="preserve"> 53.7%</w:t>
            </w:r>
          </w:p>
          <w:p w:rsidR="00F11A36" w:rsidRPr="00AB7FA3" w:rsidRDefault="00F11A36" w:rsidP="00F11A36">
            <w:pPr>
              <w:pStyle w:val="TableText0"/>
              <w:keepNext w:val="0"/>
              <w:tabs>
                <w:tab w:val="center" w:pos="1827"/>
              </w:tabs>
              <w:spacing w:before="0" w:after="0" w:line="240" w:lineRule="auto"/>
            </w:pPr>
            <w:r w:rsidRPr="00AB7FA3">
              <w:rPr>
                <w:u w:val="single"/>
              </w:rPr>
              <w:t>Health state utility value for PFS (base case: 0.855 for pembrolizumab and 0.815 for SoC):</w:t>
            </w:r>
            <w:r w:rsidRPr="00AB7FA3">
              <w:t xml:space="preserve"> No treatment difference (0.815 for both arms)</w:t>
            </w:r>
          </w:p>
        </w:tc>
        <w:tc>
          <w:tcPr>
            <w:tcW w:w="861" w:type="pct"/>
          </w:tcPr>
          <w:p w:rsidR="005778C6" w:rsidRPr="00AB7FA3" w:rsidRDefault="005778C6" w:rsidP="004361CB">
            <w:pPr>
              <w:jc w:val="center"/>
              <w:rPr>
                <w:rFonts w:ascii="Arial Narrow" w:eastAsiaTheme="majorEastAsia" w:hAnsi="Arial Narrow" w:cstheme="majorBidi"/>
                <w:bCs/>
                <w:sz w:val="20"/>
              </w:rPr>
            </w:pPr>
            <w:r w:rsidRPr="00AB7FA3">
              <w:rPr>
                <w:rFonts w:ascii="Arial Narrow" w:eastAsiaTheme="majorEastAsia" w:hAnsi="Arial Narrow" w:cstheme="majorBidi"/>
                <w:bCs/>
                <w:sz w:val="20"/>
              </w:rPr>
              <w:t>$</w:t>
            </w:r>
            <w:r w:rsidR="0047136C">
              <w:rPr>
                <w:rFonts w:ascii="Arial Narrow" w:eastAsiaTheme="majorEastAsia" w:hAnsi="Arial Narrow" w:cstheme="majorBidi"/>
                <w:bCs/>
                <w:noProof/>
                <w:color w:val="000000"/>
                <w:sz w:val="20"/>
                <w:highlight w:val="black"/>
              </w:rPr>
              <w:t>'''''''''''''''''''''''''</w:t>
            </w:r>
          </w:p>
          <w:p w:rsidR="00EF5532" w:rsidRPr="00AB7FA3" w:rsidRDefault="00EF5532" w:rsidP="004361CB">
            <w:pPr>
              <w:pStyle w:val="TableText0"/>
              <w:keepNext w:val="0"/>
              <w:jc w:val="center"/>
            </w:pPr>
          </w:p>
        </w:tc>
        <w:tc>
          <w:tcPr>
            <w:tcW w:w="782" w:type="pct"/>
          </w:tcPr>
          <w:p w:rsidR="005778C6" w:rsidRPr="00AB7FA3" w:rsidRDefault="005778C6" w:rsidP="005778C6">
            <w:pPr>
              <w:jc w:val="center"/>
              <w:rPr>
                <w:rFonts w:ascii="Arial Narrow" w:eastAsiaTheme="majorEastAsia" w:hAnsi="Arial Narrow" w:cstheme="majorBidi"/>
                <w:bCs/>
                <w:sz w:val="20"/>
              </w:rPr>
            </w:pPr>
            <w:r w:rsidRPr="00AB7FA3">
              <w:rPr>
                <w:rFonts w:ascii="Arial Narrow" w:eastAsiaTheme="majorEastAsia" w:hAnsi="Arial Narrow" w:cstheme="majorBidi"/>
                <w:bCs/>
                <w:sz w:val="20"/>
              </w:rPr>
              <w:t>0.777</w:t>
            </w:r>
          </w:p>
          <w:p w:rsidR="00EF5532" w:rsidRPr="00AB7FA3" w:rsidRDefault="00EF5532" w:rsidP="00242C20">
            <w:pPr>
              <w:pStyle w:val="TableText0"/>
              <w:keepNext w:val="0"/>
              <w:jc w:val="center"/>
            </w:pPr>
          </w:p>
        </w:tc>
        <w:tc>
          <w:tcPr>
            <w:tcW w:w="704" w:type="pct"/>
          </w:tcPr>
          <w:p w:rsidR="005778C6" w:rsidRPr="0047136C" w:rsidRDefault="005778C6" w:rsidP="001C5E6E">
            <w:pPr>
              <w:jc w:val="center"/>
              <w:rPr>
                <w:rFonts w:ascii="Arial Narrow" w:eastAsiaTheme="majorEastAsia" w:hAnsi="Arial Narrow" w:cstheme="majorBidi"/>
                <w:bCs/>
                <w:sz w:val="20"/>
              </w:rPr>
            </w:pPr>
            <w:r w:rsidRPr="00AB7FA3">
              <w:rPr>
                <w:rFonts w:ascii="Arial Narrow" w:eastAsiaTheme="majorEastAsia" w:hAnsi="Arial Narrow" w:cstheme="majorBidi"/>
                <w:bCs/>
                <w:sz w:val="20"/>
              </w:rPr>
              <w:t>$</w:t>
            </w:r>
            <w:r w:rsidR="0047136C">
              <w:rPr>
                <w:rFonts w:ascii="Arial Narrow" w:eastAsiaTheme="majorEastAsia" w:hAnsi="Arial Narrow" w:cstheme="majorBidi"/>
                <w:bCs/>
                <w:noProof/>
                <w:color w:val="000000"/>
                <w:sz w:val="20"/>
                <w:highlight w:val="black"/>
              </w:rPr>
              <w:t>'''''''''''''''''</w:t>
            </w:r>
            <w:r w:rsidR="0047136C">
              <w:rPr>
                <w:rFonts w:ascii="Arial Narrow" w:eastAsiaTheme="majorEastAsia" w:hAnsi="Arial Narrow" w:cstheme="majorBidi"/>
                <w:bCs/>
                <w:noProof/>
                <w:color w:val="000000"/>
                <w:sz w:val="20"/>
                <w:vertAlign w:val="superscript"/>
              </w:rPr>
              <w:t>5</w:t>
            </w:r>
          </w:p>
          <w:p w:rsidR="00EF5532" w:rsidRPr="00AB7FA3" w:rsidRDefault="00EF5532" w:rsidP="001C5E6E">
            <w:pPr>
              <w:pStyle w:val="TableText0"/>
              <w:keepNext w:val="0"/>
              <w:jc w:val="center"/>
            </w:pPr>
          </w:p>
        </w:tc>
        <w:tc>
          <w:tcPr>
            <w:tcW w:w="621" w:type="pct"/>
          </w:tcPr>
          <w:p w:rsidR="00EF5532" w:rsidRPr="00AB7FA3" w:rsidRDefault="005778C6" w:rsidP="00242C20">
            <w:pPr>
              <w:pStyle w:val="TableText0"/>
              <w:keepNext w:val="0"/>
              <w:jc w:val="center"/>
            </w:pPr>
            <w:r w:rsidRPr="00AB7FA3">
              <w:t>+57%</w:t>
            </w:r>
          </w:p>
        </w:tc>
      </w:tr>
    </w:tbl>
    <w:p w:rsidR="00242C20" w:rsidRPr="0074481B" w:rsidRDefault="00242C20" w:rsidP="00242C20">
      <w:pPr>
        <w:pStyle w:val="TableFooter"/>
      </w:pPr>
      <w:r w:rsidRPr="0074481B">
        <w:t>Source: Table 3.9-1, pp151-153 of the submission</w:t>
      </w:r>
    </w:p>
    <w:p w:rsidR="00242C20" w:rsidRPr="0074481B" w:rsidRDefault="00242C20" w:rsidP="00242C20">
      <w:pPr>
        <w:pStyle w:val="TableFooter"/>
      </w:pPr>
      <w:r w:rsidRPr="0074481B">
        <w:t xml:space="preserve">ICER = incremental cost-effectiveness ratio; IPCW = inverse probability of censoring weighting; ITT = intention-to-treat; OS = overall survival; PFS = progression-free survival; QALYs = quality-adjusted life years; RPSFT = rank-preserving structural failure time; SoC = standard of care </w:t>
      </w:r>
    </w:p>
    <w:p w:rsidR="00242C20" w:rsidRDefault="00242C20" w:rsidP="00242C20">
      <w:pPr>
        <w:pStyle w:val="TableFooter"/>
      </w:pPr>
      <w:r w:rsidRPr="00F71C5B">
        <w:rPr>
          <w:vertAlign w:val="superscript"/>
        </w:rPr>
        <w:t xml:space="preserve">a </w:t>
      </w:r>
      <w:r w:rsidRPr="00F71C5B">
        <w:t xml:space="preserve">Additional sensitivity analyses performed during the evaluation. </w:t>
      </w:r>
    </w:p>
    <w:p w:rsidR="00263A7A" w:rsidRDefault="00263A7A" w:rsidP="00242C20">
      <w:pPr>
        <w:pStyle w:val="TableFooter"/>
      </w:pPr>
      <w:r w:rsidRPr="00AB7FA3">
        <w:rPr>
          <w:vertAlign w:val="superscript"/>
        </w:rPr>
        <w:t>b</w:t>
      </w:r>
      <w:r w:rsidRPr="00AB7FA3">
        <w:t xml:space="preserve"> </w:t>
      </w:r>
      <w:r w:rsidR="006969D3" w:rsidRPr="00AB7FA3">
        <w:t xml:space="preserve">using the model </w:t>
      </w:r>
      <w:r w:rsidRPr="00AB7FA3">
        <w:t>correcting the submission’s errors in calculation of the treatment costs of SoC therapies</w:t>
      </w:r>
    </w:p>
    <w:p w:rsidR="00E11EFC" w:rsidRPr="00E43DD9" w:rsidRDefault="00E11EFC" w:rsidP="00242C20">
      <w:pPr>
        <w:pStyle w:val="TableFooter"/>
        <w:rPr>
          <w:i/>
        </w:rPr>
      </w:pPr>
      <w:r w:rsidRPr="00E43DD9">
        <w:rPr>
          <w:i/>
        </w:rPr>
        <w:t>The redacted values correspond to the following ranges:</w:t>
      </w:r>
    </w:p>
    <w:p w:rsidR="00E11EFC" w:rsidRPr="00E43DD9" w:rsidRDefault="00E11EFC" w:rsidP="00242C20">
      <w:pPr>
        <w:pStyle w:val="TableFooter"/>
        <w:rPr>
          <w:i/>
        </w:rPr>
      </w:pPr>
      <w:r w:rsidRPr="00E43DD9">
        <w:rPr>
          <w:i/>
          <w:vertAlign w:val="superscript"/>
        </w:rPr>
        <w:t>1</w:t>
      </w:r>
      <w:r w:rsidRPr="00E43DD9">
        <w:rPr>
          <w:i/>
        </w:rPr>
        <w:t>$55,000 to &lt;$75,000/QALY gained</w:t>
      </w:r>
    </w:p>
    <w:p w:rsidR="00E11EFC" w:rsidRPr="00E43DD9" w:rsidRDefault="00E11EFC" w:rsidP="00242C20">
      <w:pPr>
        <w:pStyle w:val="TableFooter"/>
        <w:rPr>
          <w:i/>
        </w:rPr>
      </w:pPr>
      <w:r w:rsidRPr="00E43DD9">
        <w:rPr>
          <w:i/>
          <w:vertAlign w:val="superscript"/>
        </w:rPr>
        <w:t>2</w:t>
      </w:r>
      <w:r w:rsidRPr="00E43DD9">
        <w:rPr>
          <w:i/>
        </w:rPr>
        <w:t>$75,000 to &lt;$95,000/QALY gained</w:t>
      </w:r>
    </w:p>
    <w:p w:rsidR="00E11EFC" w:rsidRPr="00E43DD9" w:rsidRDefault="00E11EFC" w:rsidP="00242C20">
      <w:pPr>
        <w:pStyle w:val="TableFooter"/>
        <w:rPr>
          <w:i/>
        </w:rPr>
      </w:pPr>
      <w:r w:rsidRPr="00E43DD9">
        <w:rPr>
          <w:i/>
          <w:vertAlign w:val="superscript"/>
        </w:rPr>
        <w:t>3</w:t>
      </w:r>
      <w:r w:rsidRPr="00E43DD9">
        <w:rPr>
          <w:i/>
        </w:rPr>
        <w:t>$35,000 to &lt;$45,000/QALY gained</w:t>
      </w:r>
    </w:p>
    <w:p w:rsidR="00E43DD9" w:rsidRDefault="00E43DD9" w:rsidP="00242C20">
      <w:pPr>
        <w:pStyle w:val="TableFooter"/>
        <w:rPr>
          <w:i/>
        </w:rPr>
      </w:pPr>
      <w:r w:rsidRPr="00E43DD9">
        <w:rPr>
          <w:i/>
          <w:vertAlign w:val="superscript"/>
        </w:rPr>
        <w:t>4</w:t>
      </w:r>
      <w:r w:rsidRPr="00E43DD9">
        <w:rPr>
          <w:i/>
        </w:rPr>
        <w:t>$45,000 to &lt;$55,000/QALY gained</w:t>
      </w:r>
    </w:p>
    <w:p w:rsidR="0047136C" w:rsidRPr="0047136C" w:rsidRDefault="0047136C" w:rsidP="00242C20">
      <w:pPr>
        <w:pStyle w:val="TableFooter"/>
        <w:rPr>
          <w:i/>
        </w:rPr>
      </w:pPr>
      <w:r>
        <w:rPr>
          <w:i/>
          <w:vertAlign w:val="superscript"/>
        </w:rPr>
        <w:t>5</w:t>
      </w:r>
      <w:r>
        <w:rPr>
          <w:i/>
        </w:rPr>
        <w:t xml:space="preserve">$95,000 to &lt; $115,000/QALY gained </w:t>
      </w:r>
    </w:p>
    <w:p w:rsidR="00263A7A" w:rsidRPr="00F71C5B" w:rsidRDefault="00263A7A" w:rsidP="00242C20">
      <w:pPr>
        <w:pStyle w:val="TableFooter"/>
      </w:pPr>
    </w:p>
    <w:p w:rsidR="00242C20" w:rsidRPr="0074481B" w:rsidRDefault="00242C20" w:rsidP="00242C20">
      <w:pPr>
        <w:pStyle w:val="3-BodyText"/>
      </w:pPr>
      <w:r w:rsidRPr="0074481B">
        <w:t xml:space="preserve">As commented previously, the comparative effectiveness of pembrolizumab relative to SoC, if treatment switching from SoC to pembrolizumab or other PD-1/PD-L1 inhibitors </w:t>
      </w:r>
      <w:r w:rsidR="005E091D">
        <w:t>did</w:t>
      </w:r>
      <w:r w:rsidRPr="0074481B">
        <w:t xml:space="preserve"> not occur, was the major economic uncertainty. An ICER </w:t>
      </w:r>
      <w:r w:rsidRPr="00EF5532">
        <w:t>of $</w:t>
      </w:r>
      <w:r w:rsidR="00926E22">
        <w:t>75,000 to &lt;$95,000/QALY</w:t>
      </w:r>
      <w:r w:rsidRPr="0074481B">
        <w:t xml:space="preserve"> was estimated for a model without crossover adjustment, </w:t>
      </w:r>
      <w:r w:rsidRPr="00F71C5B">
        <w:t>i.e.</w:t>
      </w:r>
      <w:r w:rsidRPr="0074481B">
        <w:t xml:space="preserve"> using ITT results </w:t>
      </w:r>
      <w:r>
        <w:t xml:space="preserve">of OS for SoC in </w:t>
      </w:r>
      <w:r w:rsidRPr="0074481B">
        <w:t>KN177.</w:t>
      </w:r>
      <w:r w:rsidRPr="00FF46DB">
        <w:t xml:space="preserve"> </w:t>
      </w:r>
      <w:r w:rsidR="000C625E" w:rsidRPr="00BC1EF3">
        <w:t>The evaluation considered this</w:t>
      </w:r>
      <w:r w:rsidRPr="00F71C5B">
        <w:t xml:space="preserve"> should be interpreted with caution as the costs of subsequent </w:t>
      </w:r>
      <w:r w:rsidR="006F54CB" w:rsidRPr="00F71C5B">
        <w:t xml:space="preserve">treatment with </w:t>
      </w:r>
      <w:r w:rsidRPr="00F71C5B">
        <w:t>pembrolizumab and other anti-PD-1/PD-L1 therapies following first-line SoC, were not included in this analysis, and if included would decrease the ICER.</w:t>
      </w:r>
      <w:r w:rsidRPr="0074481B">
        <w:t xml:space="preserve"> </w:t>
      </w:r>
    </w:p>
    <w:p w:rsidR="00242C20" w:rsidRPr="00F11A36" w:rsidRDefault="00242C20" w:rsidP="00242C20">
      <w:pPr>
        <w:pStyle w:val="3-BodyText"/>
      </w:pPr>
      <w:r w:rsidRPr="00F71C5B">
        <w:t xml:space="preserve">The submission’s assumption of ongoing treatment effect of pembrolizumab has not been well justified. During the evaluation, exploratory analyses were performed to examine the impact of the change in the extrapolation of OS benefits of pembrolizumab on the result of the model. If, for both PFS and OS, the survival curves for pembrolizumab and SoC started to converge from Year 3, i.e. 1 year after the discontinuation of pembrolizumab at its maximum treatment duration, and the complete convergence of the survival estimates of the two treatment arms occurred by the end of 10-year model time horizon, the ICER would increase </w:t>
      </w:r>
      <w:r w:rsidRPr="00F11A36">
        <w:t>to $</w:t>
      </w:r>
      <w:r w:rsidR="00926E22">
        <w:t>75,000 to &lt;$95,000</w:t>
      </w:r>
      <w:r w:rsidRPr="00F11A36">
        <w:t xml:space="preserve">/QALY. Assuming a later time point for commencement of convergence (i.e. 5 years) </w:t>
      </w:r>
      <w:r w:rsidR="000B3784" w:rsidRPr="00F11A36">
        <w:t xml:space="preserve">resulted in an </w:t>
      </w:r>
      <w:r w:rsidRPr="00F11A36">
        <w:t xml:space="preserve">ICER </w:t>
      </w:r>
      <w:r w:rsidR="000B3784" w:rsidRPr="00F11A36">
        <w:t xml:space="preserve">of </w:t>
      </w:r>
      <w:r w:rsidRPr="00F11A36">
        <w:t>$</w:t>
      </w:r>
      <w:r w:rsidR="00926E22">
        <w:t>55,000 to &lt;$75,000</w:t>
      </w:r>
      <w:r w:rsidRPr="00F11A36">
        <w:t>/Q</w:t>
      </w:r>
      <w:r w:rsidR="00CC64E3" w:rsidRPr="00F11A36">
        <w:t>A</w:t>
      </w:r>
      <w:r w:rsidRPr="00F11A36">
        <w:t xml:space="preserve">LY.  </w:t>
      </w:r>
    </w:p>
    <w:p w:rsidR="00242C20" w:rsidRPr="00F11A36" w:rsidRDefault="00242C20" w:rsidP="00242C20">
      <w:pPr>
        <w:pStyle w:val="3-BodyText"/>
      </w:pPr>
      <w:r w:rsidRPr="00F11A36">
        <w:t>Model time horizon was also an important parameter which affected the economic evaluation result. The ICER would increase to $</w:t>
      </w:r>
      <w:r w:rsidR="00926E22">
        <w:t>75,000 to &lt;$95,000</w:t>
      </w:r>
      <w:r w:rsidRPr="00F11A36">
        <w:t>/QALY for a 7.5-year horizon and decrease to $</w:t>
      </w:r>
      <w:r w:rsidR="00926E22">
        <w:t>35,000 to &lt;$45,000</w:t>
      </w:r>
      <w:r w:rsidRPr="00F11A36">
        <w:t>/QALY for a 20-year time horizon.</w:t>
      </w:r>
    </w:p>
    <w:p w:rsidR="000C625E" w:rsidRPr="000C625E" w:rsidRDefault="00175CC8" w:rsidP="000C625E">
      <w:pPr>
        <w:pStyle w:val="3-BodyText"/>
      </w:pPr>
      <w:r>
        <w:t>In the base case, an exponential distribution was chosen to extrapolate OS in both arms</w:t>
      </w:r>
      <w:r w:rsidR="0017155C">
        <w:t xml:space="preserve">, as this parametric function appeared to reasonably fit </w:t>
      </w:r>
      <w:r w:rsidR="0017155C" w:rsidRPr="00175CC8">
        <w:t xml:space="preserve">the trial-based Kaplan-Meier OS estimates </w:t>
      </w:r>
      <w:r w:rsidR="0017155C">
        <w:t>and provided the m</w:t>
      </w:r>
      <w:r w:rsidR="0017155C" w:rsidRPr="0017155C">
        <w:t xml:space="preserve">ost conservative estimate of pembrolizumab </w:t>
      </w:r>
      <w:r w:rsidRPr="00175CC8">
        <w:t>OS.</w:t>
      </w:r>
      <w:r>
        <w:t xml:space="preserve"> </w:t>
      </w:r>
      <w:r w:rsidR="00BB282B" w:rsidRPr="00BC1EF3">
        <w:t xml:space="preserve">The ESC considered that use the exponential function to extrapolate OS for pembrolizumab was reasonable. </w:t>
      </w:r>
      <w:r w:rsidR="000C625E" w:rsidRPr="00BC1EF3">
        <w:t>The ESC considered that, given the immaturity of the clinical data, the most conservative estimate of the relative treatment effect of pembrolizumab versus SoC was based on an exponential extrapolation for pembrolizumab and a lognormal extrapolation for SoC.</w:t>
      </w:r>
      <w:r w:rsidR="000C625E" w:rsidRPr="000C625E">
        <w:rPr>
          <w:i/>
        </w:rPr>
        <w:t xml:space="preserve"> </w:t>
      </w:r>
    </w:p>
    <w:p w:rsidR="008A32E3" w:rsidRPr="00BC1EF3" w:rsidRDefault="00447D9E" w:rsidP="000C625E">
      <w:pPr>
        <w:pStyle w:val="3-BodyText"/>
      </w:pPr>
      <w:r w:rsidRPr="00BC1EF3">
        <w:t>Given the shape of the hazard function, the ESC noted that flexible parametric survival models may provide additional and potentially more realistic extrapolation curves</w:t>
      </w:r>
      <w:r w:rsidR="00DB2113" w:rsidRPr="00BC1EF3">
        <w:t xml:space="preserve"> (informed by </w:t>
      </w:r>
      <w:r w:rsidR="004F3A1D" w:rsidRPr="00BC1EF3">
        <w:t xml:space="preserve">a </w:t>
      </w:r>
      <w:r w:rsidR="00DB2113" w:rsidRPr="00BC1EF3">
        <w:t>recent paper comparing standard and flexible parametric models</w:t>
      </w:r>
      <w:r w:rsidR="004F3A1D" w:rsidRPr="00BC1EF3">
        <w:t>)</w:t>
      </w:r>
      <w:r w:rsidR="00765D64" w:rsidRPr="00BC1EF3">
        <w:rPr>
          <w:rStyle w:val="FootnoteReference"/>
        </w:rPr>
        <w:footnoteReference w:id="9"/>
      </w:r>
      <w:r w:rsidRPr="00BC1EF3">
        <w:t xml:space="preserve">. The ESC considered that, given </w:t>
      </w:r>
      <w:r w:rsidR="008A32E3" w:rsidRPr="00BC1EF3">
        <w:t>the recommendation to consider the ITT and RPSFT ICERs</w:t>
      </w:r>
      <w:r w:rsidRPr="00BC1EF3">
        <w:t xml:space="preserve"> (paragraph </w:t>
      </w:r>
      <w:r w:rsidR="00F11A36" w:rsidRPr="00BC1EF3">
        <w:t>6.41</w:t>
      </w:r>
      <w:r w:rsidRPr="00BC1EF3">
        <w:t>)</w:t>
      </w:r>
      <w:r w:rsidR="008A32E3" w:rsidRPr="00BC1EF3">
        <w:t xml:space="preserve">, it </w:t>
      </w:r>
      <w:r w:rsidRPr="00BC1EF3">
        <w:t xml:space="preserve">may be informative </w:t>
      </w:r>
      <w:r w:rsidR="008A32E3" w:rsidRPr="00BC1EF3">
        <w:t xml:space="preserve">to </w:t>
      </w:r>
      <w:r w:rsidRPr="00BC1EF3">
        <w:t xml:space="preserve">see </w:t>
      </w:r>
      <w:r w:rsidR="008A32E3" w:rsidRPr="00BC1EF3">
        <w:t>the extrapolation curves (including the flexible parametric models) for the ITT analysis and the associated ICERs to inform the selection of the base case ITT analysis.</w:t>
      </w:r>
    </w:p>
    <w:p w:rsidR="005900AD" w:rsidRPr="00BC1EF3" w:rsidRDefault="001F5393" w:rsidP="001F5393">
      <w:pPr>
        <w:pStyle w:val="3-BodyText"/>
      </w:pPr>
      <w:r w:rsidRPr="00BC1EF3">
        <w:t xml:space="preserve">In KN177, eleven (7.1%) patients randomised to the SoC group did not receive SoC chemotherapy. The economic model assumed 100% patients in the comparator arm would be treated with active first-line therapy and adjusted the trial-based proportion of patients receiving each SoC regimen and, thus, the treatment costs, without corresponding adjustment for health outcomes. The ESC noted </w:t>
      </w:r>
      <w:r w:rsidR="009A4847" w:rsidRPr="00BC1EF3">
        <w:t xml:space="preserve">that when it was </w:t>
      </w:r>
      <w:r w:rsidR="00B66D8D" w:rsidRPr="00BC1EF3">
        <w:t xml:space="preserve">assumed </w:t>
      </w:r>
      <w:r w:rsidRPr="00BC1EF3">
        <w:t>7.1% of BSC patient did not receive treatment</w:t>
      </w:r>
      <w:r w:rsidR="0099688A" w:rsidRPr="00BC1EF3">
        <w:t>, consistent with KN177,</w:t>
      </w:r>
      <w:r w:rsidRPr="00BC1EF3">
        <w:t xml:space="preserve"> the ICER </w:t>
      </w:r>
      <w:r w:rsidR="00B66D8D" w:rsidRPr="00BC1EF3">
        <w:t xml:space="preserve">increased </w:t>
      </w:r>
      <w:r w:rsidRPr="00BC1EF3">
        <w:t>to $</w:t>
      </w:r>
      <w:r w:rsidR="00926E22">
        <w:t>55,000 to &lt;$75,000/QALY</w:t>
      </w:r>
      <w:r w:rsidRPr="00BC1EF3">
        <w:t>.</w:t>
      </w:r>
    </w:p>
    <w:p w:rsidR="001F5393" w:rsidRPr="00BC1EF3" w:rsidRDefault="001F5393" w:rsidP="0099688A">
      <w:pPr>
        <w:pStyle w:val="3-BodyText"/>
      </w:pPr>
      <w:r w:rsidRPr="00BC1EF3">
        <w:t xml:space="preserve">In the economic model, the patients who received second-line immunotherapy in the trial were redistributed to receive chemotherapy, with the total proportion of patients on active second-line therapy remaining unchanged from the trial data (53.7% in the pembrolizumab arm and 83.2% in the SoC arm). </w:t>
      </w:r>
      <w:r w:rsidR="0099688A" w:rsidRPr="00BC1EF3">
        <w:t xml:space="preserve">The ESC noted a majority of the SoC patients who received second-line therapy were treated with immunotherapy. </w:t>
      </w:r>
      <w:r w:rsidRPr="00BC1EF3">
        <w:t>The ESC considered</w:t>
      </w:r>
      <w:r w:rsidR="0099688A" w:rsidRPr="00BC1EF3">
        <w:t xml:space="preserve"> that, in the absence of immunotherapy being available as a second-line treatment, the proportion of SoC patients treated with second-line therapy may be lower. The ESC noted that </w:t>
      </w:r>
      <w:r w:rsidR="00B66D8D" w:rsidRPr="00BC1EF3">
        <w:t xml:space="preserve">when it was assumed </w:t>
      </w:r>
      <w:r w:rsidR="0099688A" w:rsidRPr="00BC1EF3">
        <w:t xml:space="preserve">53.7% of SoC received second-line treatment the ICER </w:t>
      </w:r>
      <w:r w:rsidR="00B66D8D" w:rsidRPr="00BC1EF3">
        <w:t xml:space="preserve">increased </w:t>
      </w:r>
      <w:r w:rsidR="0099688A" w:rsidRPr="00BC1EF3">
        <w:t>to $</w:t>
      </w:r>
      <w:r w:rsidR="00926E22">
        <w:t>55,000 to &lt;$75,000/QALY</w:t>
      </w:r>
      <w:r w:rsidR="0099688A" w:rsidRPr="00BC1EF3">
        <w:t>.</w:t>
      </w:r>
    </w:p>
    <w:p w:rsidR="0099688A" w:rsidRPr="00BC1EF3" w:rsidRDefault="0099688A" w:rsidP="0099688A">
      <w:pPr>
        <w:pStyle w:val="3-BodyText"/>
      </w:pPr>
      <w:r w:rsidRPr="00BC1EF3">
        <w:t xml:space="preserve">The ESC </w:t>
      </w:r>
      <w:r w:rsidR="00765D64" w:rsidRPr="00BC1EF3">
        <w:t xml:space="preserve">noted </w:t>
      </w:r>
      <w:r w:rsidRPr="00BC1EF3">
        <w:t>a multivariate analysis applying (i) exponential extrapolation of OS in the pembrolizumab arm (ii) the proportion of SoC patients that r</w:t>
      </w:r>
      <w:r w:rsidR="00765D64" w:rsidRPr="00BC1EF3">
        <w:t xml:space="preserve">eceived no first line therapy as </w:t>
      </w:r>
      <w:r w:rsidRPr="00BC1EF3">
        <w:t xml:space="preserve">7.1% (iii) </w:t>
      </w:r>
      <w:r w:rsidR="00765D64" w:rsidRPr="00BC1EF3">
        <w:t xml:space="preserve">the </w:t>
      </w:r>
      <w:r w:rsidRPr="00BC1EF3">
        <w:t xml:space="preserve">proportion of SoC patients receiving subsequent therapy </w:t>
      </w:r>
      <w:r w:rsidR="00765D64" w:rsidRPr="00BC1EF3">
        <w:t xml:space="preserve">as </w:t>
      </w:r>
      <w:r w:rsidRPr="00BC1EF3">
        <w:t>53.7% and (iv) no difference in utilities for the PFS health state</w:t>
      </w:r>
      <w:r w:rsidR="00765D64" w:rsidRPr="00BC1EF3">
        <w:t xml:space="preserve"> increased the ICER to $</w:t>
      </w:r>
      <w:r w:rsidR="00CC5876">
        <w:t>95,000 to &lt; $115,000/QALY gained</w:t>
      </w:r>
      <w:r w:rsidR="00E0038F">
        <w:rPr>
          <w:rStyle w:val="FootnoteReference"/>
        </w:rPr>
        <w:footnoteReference w:id="10"/>
      </w:r>
      <w:r w:rsidRPr="00BC1EF3">
        <w:t xml:space="preserve">. </w:t>
      </w:r>
      <w:r w:rsidR="001C5E6E">
        <w:t xml:space="preserve">The pre-PBAC </w:t>
      </w:r>
      <w:r w:rsidR="001C5E6E" w:rsidRPr="008D0DD7">
        <w:t xml:space="preserve">response accepted </w:t>
      </w:r>
      <w:r w:rsidR="009001E7" w:rsidRPr="008D0DD7">
        <w:t xml:space="preserve">the ESC proposed </w:t>
      </w:r>
      <w:r w:rsidR="001C5E6E" w:rsidRPr="008D0DD7">
        <w:t>changes (i) to (iii) but did not accept change (iv) (paragraph 6.</w:t>
      </w:r>
      <w:r w:rsidR="009001E7" w:rsidRPr="008D0DD7">
        <w:t>46</w:t>
      </w:r>
      <w:r w:rsidR="001C5E6E" w:rsidRPr="008D0DD7">
        <w:t xml:space="preserve">).  </w:t>
      </w:r>
      <w:r w:rsidR="009001E7" w:rsidRPr="008D0DD7">
        <w:t>The</w:t>
      </w:r>
      <w:r w:rsidR="009001E7">
        <w:t xml:space="preserve"> pre-PBAC noted this resulted in an ICER of $</w:t>
      </w:r>
      <w:r w:rsidR="00926E22">
        <w:t>75,000 to &lt;$95,000</w:t>
      </w:r>
      <w:r w:rsidR="009001E7">
        <w:t xml:space="preserve"> per QALY and proposed a </w:t>
      </w:r>
      <w:r w:rsidR="009001E7" w:rsidRPr="00030A51">
        <w:t>23</w:t>
      </w:r>
      <w:r w:rsidR="009001E7">
        <w:t>% reduction in the effective pembrolizumab price (</w:t>
      </w:r>
      <w:r w:rsidR="005339C4">
        <w:t xml:space="preserve">to </w:t>
      </w:r>
      <w:r w:rsidR="009001E7">
        <w:t>$</w:t>
      </w:r>
      <w:r w:rsidR="0047136C">
        <w:rPr>
          <w:noProof/>
          <w:color w:val="000000"/>
          <w:highlight w:val="black"/>
        </w:rPr>
        <w:t>''''''''''''''''</w:t>
      </w:r>
      <w:r w:rsidR="009001E7">
        <w:t xml:space="preserve"> per 100 mg vial) to reduce the ICER to less than $</w:t>
      </w:r>
      <w:r w:rsidR="00926E22">
        <w:t>55,000 to &lt;$75,000</w:t>
      </w:r>
      <w:r w:rsidR="009001E7">
        <w:t xml:space="preserve"> per QALY.  </w:t>
      </w:r>
    </w:p>
    <w:p w:rsidR="006D0F4E" w:rsidRDefault="00242C20" w:rsidP="006D0F4E">
      <w:pPr>
        <w:pStyle w:val="3-BodyText"/>
      </w:pPr>
      <w:r w:rsidRPr="00F71C5B">
        <w:t>Other variables, including time point of extrapolation, method of PFS extrapolation, health state utilities, costs for disease monitoring/management, for treatment of AEs and for curative surgery, and discounting rate, did not have major impacts on the estimate for the cost</w:t>
      </w:r>
      <w:r w:rsidR="006F54CB" w:rsidRPr="00F71C5B">
        <w:t>-</w:t>
      </w:r>
      <w:r w:rsidRPr="00F71C5B">
        <w:t xml:space="preserve">effectiveness of pembrolizumab versus SoC in the proposed target population. </w:t>
      </w:r>
    </w:p>
    <w:p w:rsidR="00242C20" w:rsidRDefault="00242C20" w:rsidP="00242C20">
      <w:pPr>
        <w:pStyle w:val="4-SubsectionHeading"/>
      </w:pPr>
      <w:bookmarkStart w:id="28" w:name="_Toc22897646"/>
      <w:bookmarkStart w:id="29" w:name="_Toc62027409"/>
      <w:r w:rsidRPr="002C2775">
        <w:t>Drug cost/patient/course</w:t>
      </w:r>
      <w:bookmarkEnd w:id="28"/>
      <w:bookmarkEnd w:id="29"/>
    </w:p>
    <w:p w:rsidR="00242C20" w:rsidRDefault="00242C20" w:rsidP="00242C20">
      <w:pPr>
        <w:pStyle w:val="3-BodyText"/>
      </w:pPr>
      <w:r w:rsidRPr="00122305">
        <w:t xml:space="preserve">The per patient drug costs for </w:t>
      </w:r>
      <w:r>
        <w:t>first-line pembrolizumab</w:t>
      </w:r>
      <w:r w:rsidRPr="00122305">
        <w:t xml:space="preserve"> </w:t>
      </w:r>
      <w:r w:rsidR="00EB00BE">
        <w:t xml:space="preserve">(using the price proposed in the submission) </w:t>
      </w:r>
      <w:r w:rsidRPr="00122305">
        <w:t xml:space="preserve">and </w:t>
      </w:r>
      <w:r>
        <w:t>SoC therapies for treatment of dMMR mCRC</w:t>
      </w:r>
      <w:r w:rsidRPr="00122305">
        <w:t xml:space="preserve"> are presented in the table below. The drug cost for </w:t>
      </w:r>
      <w:r>
        <w:t>pembrolizumab</w:t>
      </w:r>
      <w:r w:rsidRPr="00122305">
        <w:t xml:space="preserve"> was estimated to be $</w:t>
      </w:r>
      <w:r w:rsidR="0047136C">
        <w:rPr>
          <w:noProof/>
          <w:color w:val="000000"/>
          <w:highlight w:val="black"/>
        </w:rPr>
        <w:t>''''''''''''''</w:t>
      </w:r>
      <w:r>
        <w:t xml:space="preserve">, using the trial-based time-on-treatment (ToT) curve from KN177 (mean: 13.4 months) and a relative dosing intensity of 96.5% (to take into account missing doses). </w:t>
      </w:r>
      <w:r w:rsidRPr="00122305">
        <w:t xml:space="preserve">The drug cost for </w:t>
      </w:r>
      <w:r>
        <w:t>SoC therapies was estimated to be $</w:t>
      </w:r>
      <w:r w:rsidRPr="00030A51">
        <w:t>29,561</w:t>
      </w:r>
      <w:r>
        <w:t>, based on the modelled time-on-treatment (ToT) curve and a relative dosing intensity of 88.6%</w:t>
      </w:r>
      <w:r w:rsidRPr="00122305">
        <w:t xml:space="preserve">. </w:t>
      </w:r>
    </w:p>
    <w:p w:rsidR="00242C20" w:rsidRDefault="00242C20" w:rsidP="00242C20">
      <w:pPr>
        <w:pStyle w:val="Caption"/>
        <w:rPr>
          <w:rStyle w:val="CommentReference"/>
          <w:b/>
          <w:szCs w:val="24"/>
        </w:rPr>
      </w:pPr>
      <w:r>
        <w:t xml:space="preserve">Table </w:t>
      </w:r>
      <w:r w:rsidR="009A4847">
        <w:rPr>
          <w:noProof/>
        </w:rPr>
        <w:t>13</w:t>
      </w:r>
      <w:r w:rsidRPr="00BB732D">
        <w:rPr>
          <w:rStyle w:val="CommentReference"/>
          <w:b/>
          <w:szCs w:val="24"/>
        </w:rPr>
        <w:t xml:space="preserve">: Drug cost per patient for proposed </w:t>
      </w:r>
      <w:r w:rsidR="00EB00BE">
        <w:rPr>
          <w:rStyle w:val="CommentReference"/>
          <w:b/>
          <w:szCs w:val="24"/>
        </w:rPr>
        <w:t xml:space="preserve">(using the price proposed in the submission) </w:t>
      </w:r>
      <w:r w:rsidRPr="00BB732D">
        <w:rPr>
          <w:rStyle w:val="CommentReference"/>
          <w:b/>
          <w:szCs w:val="24"/>
        </w:rPr>
        <w:t>and comparator drugs</w:t>
      </w:r>
      <w:r>
        <w:rPr>
          <w:rStyle w:val="CommentReference"/>
          <w:b/>
          <w:szCs w:val="24"/>
        </w:rPr>
        <w:t xml:space="preserve"> (undiscounted</w:t>
      </w:r>
      <w:r w:rsidR="00FC47BA">
        <w:rPr>
          <w:rStyle w:val="CommentReference"/>
          <w:b/>
          <w:szCs w:val="24"/>
        </w:rPr>
        <w:t>, published prices for SoC agents</w:t>
      </w:r>
      <w:r>
        <w:rPr>
          <w:rStyle w:val="CommentReference"/>
          <w:b/>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59"/>
        <w:gridCol w:w="1255"/>
        <w:gridCol w:w="1261"/>
        <w:gridCol w:w="1261"/>
      </w:tblGrid>
      <w:tr w:rsidR="00242C20" w:rsidRPr="00E2771E" w:rsidTr="00242C20">
        <w:trPr>
          <w:cantSplit/>
          <w:tblHeader/>
          <w:jc w:val="center"/>
        </w:trPr>
        <w:tc>
          <w:tcPr>
            <w:tcW w:w="815" w:type="pct"/>
            <w:shd w:val="clear" w:color="auto" w:fill="auto"/>
            <w:vAlign w:val="center"/>
          </w:tcPr>
          <w:p w:rsidR="00242C20" w:rsidRPr="00E2771E" w:rsidRDefault="00242C20" w:rsidP="00242C20">
            <w:pPr>
              <w:pStyle w:val="In-tableHeading"/>
              <w:keepNext w:val="0"/>
              <w:jc w:val="center"/>
            </w:pPr>
          </w:p>
        </w:tc>
        <w:tc>
          <w:tcPr>
            <w:tcW w:w="2091" w:type="pct"/>
            <w:gridSpan w:val="3"/>
            <w:shd w:val="clear" w:color="auto" w:fill="auto"/>
            <w:vAlign w:val="center"/>
          </w:tcPr>
          <w:p w:rsidR="00242C20" w:rsidRDefault="00242C20" w:rsidP="00242C20">
            <w:pPr>
              <w:pStyle w:val="In-tableHeading"/>
              <w:keepNext w:val="0"/>
              <w:jc w:val="center"/>
            </w:pPr>
            <w:r>
              <w:t>Pembrolizumab</w:t>
            </w:r>
          </w:p>
        </w:tc>
        <w:tc>
          <w:tcPr>
            <w:tcW w:w="2094" w:type="pct"/>
            <w:gridSpan w:val="3"/>
            <w:shd w:val="clear" w:color="auto" w:fill="auto"/>
            <w:vAlign w:val="center"/>
          </w:tcPr>
          <w:p w:rsidR="00242C20" w:rsidRDefault="00242C20" w:rsidP="00242C20">
            <w:pPr>
              <w:pStyle w:val="In-tableHeading"/>
              <w:keepNext w:val="0"/>
              <w:jc w:val="center"/>
            </w:pPr>
            <w:r>
              <w:t>SoC</w:t>
            </w:r>
          </w:p>
        </w:tc>
      </w:tr>
      <w:tr w:rsidR="00242C20" w:rsidRPr="00E2771E" w:rsidTr="00242C20">
        <w:trPr>
          <w:cantSplit/>
          <w:tblHeader/>
          <w:jc w:val="center"/>
        </w:trPr>
        <w:tc>
          <w:tcPr>
            <w:tcW w:w="815" w:type="pct"/>
            <w:shd w:val="clear" w:color="auto" w:fill="auto"/>
            <w:vAlign w:val="center"/>
          </w:tcPr>
          <w:p w:rsidR="00242C20" w:rsidRPr="00E2771E" w:rsidRDefault="00242C20" w:rsidP="00242C20">
            <w:pPr>
              <w:pStyle w:val="In-tableHeading"/>
              <w:keepNext w:val="0"/>
              <w:jc w:val="center"/>
            </w:pPr>
          </w:p>
        </w:tc>
        <w:tc>
          <w:tcPr>
            <w:tcW w:w="697" w:type="pct"/>
            <w:shd w:val="clear" w:color="auto" w:fill="auto"/>
            <w:vAlign w:val="center"/>
          </w:tcPr>
          <w:p w:rsidR="00242C20" w:rsidRPr="00F65EAA" w:rsidRDefault="00242C20" w:rsidP="00242C20">
            <w:pPr>
              <w:pStyle w:val="In-tableHeading"/>
              <w:keepNext w:val="0"/>
              <w:jc w:val="center"/>
            </w:pPr>
            <w:r w:rsidRPr="00F65EAA">
              <w:t>Trial</w:t>
            </w:r>
            <w:r>
              <w:t xml:space="preserve"> </w:t>
            </w:r>
            <w:r w:rsidRPr="00F65EAA">
              <w:t>dos</w:t>
            </w:r>
            <w:r>
              <w:t>e</w:t>
            </w:r>
            <w:r w:rsidRPr="00F65EAA">
              <w:t xml:space="preserve"> and duration</w:t>
            </w:r>
          </w:p>
        </w:tc>
        <w:tc>
          <w:tcPr>
            <w:tcW w:w="696" w:type="pct"/>
            <w:shd w:val="clear" w:color="auto" w:fill="auto"/>
            <w:vAlign w:val="center"/>
          </w:tcPr>
          <w:p w:rsidR="00242C20" w:rsidRPr="00E2771E" w:rsidRDefault="00242C20" w:rsidP="00242C20">
            <w:pPr>
              <w:pStyle w:val="In-tableHeading"/>
              <w:keepNext w:val="0"/>
              <w:jc w:val="center"/>
            </w:pPr>
            <w:r>
              <w:t>Model</w:t>
            </w:r>
          </w:p>
        </w:tc>
        <w:tc>
          <w:tcPr>
            <w:tcW w:w="698" w:type="pct"/>
            <w:shd w:val="clear" w:color="auto" w:fill="auto"/>
            <w:vAlign w:val="center"/>
          </w:tcPr>
          <w:p w:rsidR="00242C20" w:rsidRPr="00E2771E" w:rsidRDefault="00242C20" w:rsidP="00242C20">
            <w:pPr>
              <w:pStyle w:val="In-tableHeading"/>
              <w:keepNext w:val="0"/>
              <w:jc w:val="center"/>
            </w:pPr>
            <w:r>
              <w:t>Financial estimates</w:t>
            </w:r>
          </w:p>
        </w:tc>
        <w:tc>
          <w:tcPr>
            <w:tcW w:w="696" w:type="pct"/>
            <w:shd w:val="clear" w:color="auto" w:fill="auto"/>
            <w:vAlign w:val="center"/>
          </w:tcPr>
          <w:p w:rsidR="00242C20" w:rsidRPr="00E2771E" w:rsidRDefault="00242C20" w:rsidP="00242C20">
            <w:pPr>
              <w:pStyle w:val="In-tableHeading"/>
              <w:keepNext w:val="0"/>
              <w:jc w:val="center"/>
            </w:pPr>
            <w:r>
              <w:t>Trial dose and duration</w:t>
            </w:r>
          </w:p>
        </w:tc>
        <w:tc>
          <w:tcPr>
            <w:tcW w:w="699" w:type="pct"/>
            <w:shd w:val="clear" w:color="auto" w:fill="auto"/>
            <w:vAlign w:val="center"/>
          </w:tcPr>
          <w:p w:rsidR="00242C20" w:rsidRPr="00E2771E" w:rsidRDefault="00242C20" w:rsidP="00242C20">
            <w:pPr>
              <w:pStyle w:val="In-tableHeading"/>
              <w:keepNext w:val="0"/>
              <w:jc w:val="center"/>
            </w:pPr>
            <w:r>
              <w:t>Model</w:t>
            </w:r>
          </w:p>
        </w:tc>
        <w:tc>
          <w:tcPr>
            <w:tcW w:w="699" w:type="pct"/>
          </w:tcPr>
          <w:p w:rsidR="00242C20" w:rsidRDefault="00242C20" w:rsidP="00242C20">
            <w:pPr>
              <w:pStyle w:val="In-tableHeading"/>
              <w:keepNext w:val="0"/>
              <w:jc w:val="center"/>
            </w:pPr>
            <w:r>
              <w:t>Financial estimates</w:t>
            </w:r>
          </w:p>
        </w:tc>
      </w:tr>
      <w:tr w:rsidR="00242C20" w:rsidRPr="00E2771E" w:rsidTr="00242C20">
        <w:trPr>
          <w:cantSplit/>
          <w:jc w:val="center"/>
        </w:trPr>
        <w:tc>
          <w:tcPr>
            <w:tcW w:w="815" w:type="pct"/>
            <w:shd w:val="clear" w:color="auto" w:fill="auto"/>
            <w:vAlign w:val="center"/>
          </w:tcPr>
          <w:p w:rsidR="00242C20" w:rsidRPr="001F5BDA" w:rsidRDefault="00242C20" w:rsidP="00242C20">
            <w:pPr>
              <w:pStyle w:val="TableText0"/>
              <w:keepNext w:val="0"/>
              <w:rPr>
                <w:lang w:val="en-US"/>
              </w:rPr>
            </w:pPr>
            <w:r w:rsidRPr="001F5BDA">
              <w:rPr>
                <w:lang w:val="en-US"/>
              </w:rPr>
              <w:t>Mean dose</w:t>
            </w:r>
          </w:p>
        </w:tc>
        <w:tc>
          <w:tcPr>
            <w:tcW w:w="697" w:type="pct"/>
            <w:shd w:val="clear" w:color="auto" w:fill="auto"/>
            <w:vAlign w:val="center"/>
          </w:tcPr>
          <w:p w:rsidR="00242C20" w:rsidRPr="00041B30" w:rsidRDefault="00242C20" w:rsidP="00242C20">
            <w:pPr>
              <w:pStyle w:val="TableText0"/>
              <w:keepNext w:val="0"/>
              <w:jc w:val="center"/>
              <w:rPr>
                <w:lang w:val="en-US"/>
              </w:rPr>
            </w:pPr>
            <w:r w:rsidRPr="00041B30">
              <w:rPr>
                <w:lang w:val="en-US"/>
              </w:rPr>
              <w:t>200</w:t>
            </w:r>
            <w:r>
              <w:rPr>
                <w:lang w:val="en-US"/>
              </w:rPr>
              <w:t xml:space="preserve"> </w:t>
            </w:r>
            <w:r w:rsidRPr="00041B30">
              <w:rPr>
                <w:lang w:val="en-US"/>
              </w:rPr>
              <w:t>mg Q3W</w:t>
            </w:r>
          </w:p>
        </w:tc>
        <w:tc>
          <w:tcPr>
            <w:tcW w:w="696" w:type="pct"/>
            <w:shd w:val="clear" w:color="auto" w:fill="auto"/>
            <w:vAlign w:val="center"/>
          </w:tcPr>
          <w:p w:rsidR="00242C20" w:rsidRPr="00252D20" w:rsidRDefault="00242C20" w:rsidP="00242C20">
            <w:pPr>
              <w:pStyle w:val="TableText0"/>
              <w:keepNext w:val="0"/>
              <w:jc w:val="center"/>
              <w:rPr>
                <w:lang w:val="en-US"/>
              </w:rPr>
            </w:pPr>
            <w:r w:rsidRPr="00252D20">
              <w:rPr>
                <w:lang w:val="en-US"/>
              </w:rPr>
              <w:t>200 mg Q3W</w:t>
            </w:r>
          </w:p>
        </w:tc>
        <w:tc>
          <w:tcPr>
            <w:tcW w:w="698" w:type="pct"/>
            <w:shd w:val="clear" w:color="auto" w:fill="auto"/>
            <w:vAlign w:val="center"/>
          </w:tcPr>
          <w:p w:rsidR="00242C20" w:rsidRPr="00920C3E" w:rsidRDefault="00242C20" w:rsidP="00242C20">
            <w:pPr>
              <w:pStyle w:val="TableText0"/>
              <w:keepNext w:val="0"/>
              <w:jc w:val="center"/>
              <w:rPr>
                <w:lang w:val="en-US"/>
              </w:rPr>
            </w:pPr>
            <w:r w:rsidRPr="00920C3E">
              <w:rPr>
                <w:lang w:val="en-US"/>
              </w:rPr>
              <w:t>200 mg Q3W</w:t>
            </w:r>
          </w:p>
        </w:tc>
        <w:tc>
          <w:tcPr>
            <w:tcW w:w="696" w:type="pct"/>
            <w:shd w:val="clear" w:color="auto" w:fill="auto"/>
            <w:vAlign w:val="center"/>
          </w:tcPr>
          <w:p w:rsidR="00242C20" w:rsidRPr="00920C3E" w:rsidRDefault="00242C20" w:rsidP="00242C20">
            <w:pPr>
              <w:pStyle w:val="TableText0"/>
              <w:keepNext w:val="0"/>
              <w:jc w:val="center"/>
              <w:rPr>
                <w:vertAlign w:val="superscript"/>
                <w:lang w:val="en-US"/>
              </w:rPr>
            </w:pPr>
            <w:r w:rsidRPr="00920C3E">
              <w:t>mFOLFOX or FOLFORI ± BEV or CET</w:t>
            </w:r>
            <w:r w:rsidRPr="00920C3E">
              <w:rPr>
                <w:vertAlign w:val="superscript"/>
              </w:rPr>
              <w:t xml:space="preserve"> a</w:t>
            </w:r>
          </w:p>
        </w:tc>
        <w:tc>
          <w:tcPr>
            <w:tcW w:w="699" w:type="pct"/>
            <w:shd w:val="clear" w:color="auto" w:fill="auto"/>
            <w:vAlign w:val="center"/>
          </w:tcPr>
          <w:p w:rsidR="00242C20" w:rsidRPr="00920C3E" w:rsidRDefault="00242C20" w:rsidP="00242C20">
            <w:pPr>
              <w:pStyle w:val="TableText0"/>
              <w:keepNext w:val="0"/>
              <w:jc w:val="center"/>
              <w:rPr>
                <w:lang w:val="en-US"/>
              </w:rPr>
            </w:pPr>
            <w:r w:rsidRPr="00920C3E">
              <w:t>mFOLFOX or FOLFORI ± BEV or CET</w:t>
            </w:r>
            <w:r w:rsidRPr="00920C3E">
              <w:rPr>
                <w:vertAlign w:val="superscript"/>
              </w:rPr>
              <w:t xml:space="preserve"> b</w:t>
            </w:r>
          </w:p>
        </w:tc>
        <w:tc>
          <w:tcPr>
            <w:tcW w:w="699" w:type="pct"/>
          </w:tcPr>
          <w:p w:rsidR="00242C20" w:rsidRPr="00DF6069" w:rsidRDefault="00242C20" w:rsidP="00242C20">
            <w:pPr>
              <w:pStyle w:val="TableText0"/>
              <w:keepNext w:val="0"/>
              <w:jc w:val="center"/>
              <w:rPr>
                <w:vertAlign w:val="superscript"/>
                <w:lang w:val="en-US"/>
              </w:rPr>
            </w:pPr>
            <w:r>
              <w:rPr>
                <w:lang w:val="en-US"/>
              </w:rPr>
              <w:t xml:space="preserve">mFOLFOX ± BEV or CET </w:t>
            </w:r>
            <w:r>
              <w:rPr>
                <w:vertAlign w:val="superscript"/>
                <w:lang w:val="en-US"/>
              </w:rPr>
              <w:t>c</w:t>
            </w:r>
          </w:p>
        </w:tc>
      </w:tr>
      <w:tr w:rsidR="00242C20" w:rsidRPr="00E2771E" w:rsidTr="00242C20">
        <w:trPr>
          <w:cantSplit/>
          <w:jc w:val="center"/>
        </w:trPr>
        <w:tc>
          <w:tcPr>
            <w:tcW w:w="815" w:type="pct"/>
            <w:shd w:val="clear" w:color="auto" w:fill="auto"/>
            <w:vAlign w:val="center"/>
          </w:tcPr>
          <w:p w:rsidR="00242C20" w:rsidRPr="001F5BDA" w:rsidRDefault="00242C20" w:rsidP="00242C20">
            <w:pPr>
              <w:pStyle w:val="TableText0"/>
              <w:keepNext w:val="0"/>
              <w:rPr>
                <w:lang w:val="en-US"/>
              </w:rPr>
            </w:pPr>
            <w:r w:rsidRPr="001F5BDA">
              <w:rPr>
                <w:lang w:val="en-US"/>
              </w:rPr>
              <w:t>Mean duration</w:t>
            </w:r>
          </w:p>
        </w:tc>
        <w:tc>
          <w:tcPr>
            <w:tcW w:w="697" w:type="pct"/>
            <w:shd w:val="clear" w:color="auto" w:fill="auto"/>
            <w:vAlign w:val="center"/>
          </w:tcPr>
          <w:p w:rsidR="00242C20" w:rsidRPr="00F9770F" w:rsidRDefault="00242C20" w:rsidP="00242C20">
            <w:pPr>
              <w:pStyle w:val="TableText0"/>
              <w:keepNext w:val="0"/>
              <w:jc w:val="center"/>
              <w:rPr>
                <w:lang w:val="en-US"/>
              </w:rPr>
            </w:pPr>
            <w:r w:rsidRPr="00F9770F">
              <w:rPr>
                <w:lang w:val="en-US"/>
              </w:rPr>
              <w:t>13.3 months</w:t>
            </w:r>
          </w:p>
        </w:tc>
        <w:tc>
          <w:tcPr>
            <w:tcW w:w="696" w:type="pct"/>
            <w:shd w:val="clear" w:color="auto" w:fill="auto"/>
            <w:vAlign w:val="center"/>
          </w:tcPr>
          <w:p w:rsidR="00242C20" w:rsidRPr="00F9770F" w:rsidRDefault="00242C20" w:rsidP="00242C20">
            <w:pPr>
              <w:pStyle w:val="TableText0"/>
              <w:keepNext w:val="0"/>
              <w:jc w:val="center"/>
              <w:rPr>
                <w:lang w:val="en-US"/>
              </w:rPr>
            </w:pPr>
            <w:r>
              <w:rPr>
                <w:lang w:val="en-US"/>
              </w:rPr>
              <w:t>13.4 months</w:t>
            </w:r>
          </w:p>
        </w:tc>
        <w:tc>
          <w:tcPr>
            <w:tcW w:w="698" w:type="pct"/>
            <w:shd w:val="clear" w:color="auto" w:fill="auto"/>
            <w:vAlign w:val="center"/>
          </w:tcPr>
          <w:p w:rsidR="00242C20" w:rsidRPr="00920C3E" w:rsidRDefault="00242C20" w:rsidP="00242C20">
            <w:pPr>
              <w:pStyle w:val="TableText0"/>
              <w:keepNext w:val="0"/>
              <w:jc w:val="center"/>
              <w:rPr>
                <w:lang w:val="en-US"/>
              </w:rPr>
            </w:pPr>
            <w:r>
              <w:rPr>
                <w:lang w:val="en-US"/>
              </w:rPr>
              <w:t>13.3 months</w:t>
            </w:r>
          </w:p>
        </w:tc>
        <w:tc>
          <w:tcPr>
            <w:tcW w:w="696" w:type="pct"/>
            <w:shd w:val="clear" w:color="auto" w:fill="auto"/>
            <w:vAlign w:val="center"/>
          </w:tcPr>
          <w:p w:rsidR="00242C20" w:rsidRPr="00920C3E" w:rsidRDefault="00242C20" w:rsidP="00242C20">
            <w:pPr>
              <w:pStyle w:val="TableText0"/>
              <w:keepNext w:val="0"/>
              <w:jc w:val="center"/>
              <w:rPr>
                <w:lang w:val="en-US"/>
              </w:rPr>
            </w:pPr>
            <w:r w:rsidRPr="00920C3E">
              <w:rPr>
                <w:lang w:val="en-US"/>
              </w:rPr>
              <w:t>8.3 months</w:t>
            </w:r>
          </w:p>
        </w:tc>
        <w:tc>
          <w:tcPr>
            <w:tcW w:w="699" w:type="pct"/>
            <w:shd w:val="clear" w:color="auto" w:fill="auto"/>
            <w:vAlign w:val="center"/>
          </w:tcPr>
          <w:p w:rsidR="00242C20" w:rsidRPr="00920C3E" w:rsidRDefault="00242C20" w:rsidP="00242C20">
            <w:pPr>
              <w:pStyle w:val="TableText0"/>
              <w:keepNext w:val="0"/>
              <w:jc w:val="center"/>
              <w:rPr>
                <w:lang w:val="en-US"/>
              </w:rPr>
            </w:pPr>
            <w:r w:rsidRPr="00920C3E">
              <w:rPr>
                <w:lang w:val="en-US"/>
              </w:rPr>
              <w:t>8.</w:t>
            </w:r>
            <w:r>
              <w:rPr>
                <w:lang w:val="en-US"/>
              </w:rPr>
              <w:t>8</w:t>
            </w:r>
            <w:r w:rsidRPr="00920C3E">
              <w:rPr>
                <w:lang w:val="en-US"/>
              </w:rPr>
              <w:t xml:space="preserve"> months</w:t>
            </w:r>
          </w:p>
        </w:tc>
        <w:tc>
          <w:tcPr>
            <w:tcW w:w="699" w:type="pct"/>
          </w:tcPr>
          <w:p w:rsidR="00242C20" w:rsidRPr="00920C3E" w:rsidRDefault="00242C20" w:rsidP="00242C20">
            <w:pPr>
              <w:pStyle w:val="TableText0"/>
              <w:keepNext w:val="0"/>
              <w:jc w:val="center"/>
              <w:rPr>
                <w:lang w:val="en-US"/>
              </w:rPr>
            </w:pPr>
            <w:r>
              <w:rPr>
                <w:lang w:val="en-US"/>
              </w:rPr>
              <w:t>8.0 months</w:t>
            </w:r>
          </w:p>
        </w:tc>
      </w:tr>
      <w:tr w:rsidR="00242C20" w:rsidRPr="00F71C5B" w:rsidTr="00242C20">
        <w:trPr>
          <w:cantSplit/>
          <w:jc w:val="center"/>
        </w:trPr>
        <w:tc>
          <w:tcPr>
            <w:tcW w:w="815" w:type="pct"/>
            <w:shd w:val="clear" w:color="auto" w:fill="auto"/>
            <w:vAlign w:val="center"/>
          </w:tcPr>
          <w:p w:rsidR="00242C20" w:rsidRPr="00F71C5B" w:rsidRDefault="00242C20" w:rsidP="00242C20">
            <w:pPr>
              <w:pStyle w:val="TableText0"/>
              <w:keepNext w:val="0"/>
              <w:rPr>
                <w:lang w:val="en-US"/>
              </w:rPr>
            </w:pPr>
            <w:r w:rsidRPr="00F71C5B">
              <w:rPr>
                <w:lang w:val="en-US"/>
              </w:rPr>
              <w:t>Cost/patient/month</w:t>
            </w:r>
          </w:p>
        </w:tc>
        <w:tc>
          <w:tcPr>
            <w:tcW w:w="697" w:type="pct"/>
            <w:shd w:val="clear" w:color="auto" w:fill="auto"/>
            <w:vAlign w:val="center"/>
          </w:tcPr>
          <w:p w:rsidR="00242C20" w:rsidRPr="00F71C5B" w:rsidRDefault="00242C20" w:rsidP="00242C20">
            <w:pPr>
              <w:pStyle w:val="TableText0"/>
              <w:keepNext w:val="0"/>
              <w:jc w:val="center"/>
              <w:rPr>
                <w:vertAlign w:val="superscript"/>
                <w:lang w:val="en-US"/>
              </w:rPr>
            </w:pPr>
            <w:r w:rsidRPr="00F71C5B">
              <w:rPr>
                <w:lang w:val="en-US"/>
              </w:rPr>
              <w:t>$</w:t>
            </w:r>
            <w:r w:rsidR="0047136C">
              <w:rPr>
                <w:noProof/>
                <w:color w:val="000000"/>
                <w:highlight w:val="black"/>
                <w:lang w:val="en-US"/>
              </w:rPr>
              <w:t>'''''''''''''</w:t>
            </w:r>
            <w:r w:rsidRPr="00F71C5B">
              <w:rPr>
                <w:lang w:val="en-US"/>
              </w:rPr>
              <w:t xml:space="preserve"> </w:t>
            </w:r>
            <w:r w:rsidRPr="00F71C5B">
              <w:rPr>
                <w:vertAlign w:val="superscript"/>
                <w:lang w:val="en-US"/>
              </w:rPr>
              <w:t>d</w:t>
            </w:r>
          </w:p>
        </w:tc>
        <w:tc>
          <w:tcPr>
            <w:tcW w:w="696" w:type="pct"/>
            <w:shd w:val="clear" w:color="auto" w:fill="auto"/>
            <w:vAlign w:val="center"/>
          </w:tcPr>
          <w:p w:rsidR="00242C20" w:rsidRPr="00F71C5B" w:rsidRDefault="00242C20" w:rsidP="00242C20">
            <w:pPr>
              <w:pStyle w:val="TableText0"/>
              <w:keepNext w:val="0"/>
              <w:jc w:val="center"/>
              <w:rPr>
                <w:lang w:val="en-US"/>
              </w:rPr>
            </w:pPr>
            <w:r w:rsidRPr="00F71C5B">
              <w:rPr>
                <w:lang w:val="en-US"/>
              </w:rPr>
              <w:t>$</w:t>
            </w:r>
            <w:r w:rsidR="0047136C">
              <w:rPr>
                <w:noProof/>
                <w:color w:val="000000"/>
                <w:highlight w:val="black"/>
                <w:lang w:val="en-US"/>
              </w:rPr>
              <w:t>'''''''''''''</w:t>
            </w:r>
            <w:r w:rsidRPr="00F71C5B">
              <w:rPr>
                <w:lang w:val="en-US"/>
              </w:rPr>
              <w:t xml:space="preserve"> </w:t>
            </w:r>
            <w:r w:rsidRPr="00F71C5B">
              <w:rPr>
                <w:vertAlign w:val="superscript"/>
                <w:lang w:val="en-US"/>
              </w:rPr>
              <w:t>d</w:t>
            </w:r>
          </w:p>
        </w:tc>
        <w:tc>
          <w:tcPr>
            <w:tcW w:w="698" w:type="pct"/>
            <w:shd w:val="clear" w:color="auto" w:fill="auto"/>
            <w:vAlign w:val="center"/>
          </w:tcPr>
          <w:p w:rsidR="00242C20" w:rsidRPr="00F71C5B" w:rsidRDefault="00242C20" w:rsidP="00242C20">
            <w:pPr>
              <w:pStyle w:val="TableText0"/>
              <w:keepNext w:val="0"/>
              <w:jc w:val="center"/>
              <w:rPr>
                <w:vertAlign w:val="superscript"/>
                <w:lang w:val="en-US"/>
              </w:rPr>
            </w:pPr>
            <w:r w:rsidRPr="00F71C5B">
              <w:rPr>
                <w:lang w:val="en-US"/>
              </w:rPr>
              <w:t>$</w:t>
            </w:r>
            <w:r w:rsidR="0047136C">
              <w:rPr>
                <w:noProof/>
                <w:color w:val="000000"/>
                <w:highlight w:val="black"/>
                <w:lang w:val="en-US"/>
              </w:rPr>
              <w:t>'''''''''''''</w:t>
            </w:r>
            <w:r w:rsidRPr="00F71C5B">
              <w:rPr>
                <w:lang w:val="en-US"/>
              </w:rPr>
              <w:t xml:space="preserve"> </w:t>
            </w:r>
            <w:r w:rsidRPr="00F71C5B">
              <w:rPr>
                <w:vertAlign w:val="superscript"/>
                <w:lang w:val="en-US"/>
              </w:rPr>
              <w:t>e</w:t>
            </w:r>
          </w:p>
        </w:tc>
        <w:tc>
          <w:tcPr>
            <w:tcW w:w="696" w:type="pct"/>
            <w:shd w:val="clear" w:color="auto" w:fill="auto"/>
            <w:vAlign w:val="center"/>
          </w:tcPr>
          <w:p w:rsidR="00242C20" w:rsidRPr="00F71C5B" w:rsidRDefault="00242C20" w:rsidP="00242C20">
            <w:pPr>
              <w:pStyle w:val="TableText0"/>
              <w:keepNext w:val="0"/>
              <w:jc w:val="center"/>
              <w:rPr>
                <w:vertAlign w:val="superscript"/>
                <w:lang w:val="en-US"/>
              </w:rPr>
            </w:pPr>
            <w:r w:rsidRPr="00F71C5B">
              <w:rPr>
                <w:lang w:val="en-US"/>
              </w:rPr>
              <w:t xml:space="preserve">$3,133 </w:t>
            </w:r>
            <w:r w:rsidRPr="00F71C5B">
              <w:rPr>
                <w:vertAlign w:val="superscript"/>
                <w:lang w:val="en-US"/>
              </w:rPr>
              <w:t>f</w:t>
            </w:r>
          </w:p>
        </w:tc>
        <w:tc>
          <w:tcPr>
            <w:tcW w:w="699" w:type="pct"/>
            <w:shd w:val="clear" w:color="auto" w:fill="auto"/>
            <w:vAlign w:val="center"/>
          </w:tcPr>
          <w:p w:rsidR="00242C20" w:rsidRPr="00F71C5B" w:rsidRDefault="00242C20" w:rsidP="00242C20">
            <w:pPr>
              <w:pStyle w:val="TableText0"/>
              <w:keepNext w:val="0"/>
              <w:jc w:val="center"/>
              <w:rPr>
                <w:vertAlign w:val="superscript"/>
                <w:lang w:val="en-US"/>
              </w:rPr>
            </w:pPr>
            <w:r w:rsidRPr="00F71C5B">
              <w:rPr>
                <w:lang w:val="en-US"/>
              </w:rPr>
              <w:t xml:space="preserve">$3,331 </w:t>
            </w:r>
            <w:r w:rsidRPr="00F71C5B">
              <w:rPr>
                <w:vertAlign w:val="superscript"/>
                <w:lang w:val="en-US"/>
              </w:rPr>
              <w:t>f</w:t>
            </w:r>
          </w:p>
        </w:tc>
        <w:tc>
          <w:tcPr>
            <w:tcW w:w="699" w:type="pct"/>
          </w:tcPr>
          <w:p w:rsidR="00242C20" w:rsidRPr="00F71C5B" w:rsidRDefault="00242C20" w:rsidP="00242C20">
            <w:pPr>
              <w:pStyle w:val="TableText0"/>
              <w:keepNext w:val="0"/>
              <w:jc w:val="center"/>
              <w:rPr>
                <w:vertAlign w:val="superscript"/>
                <w:lang w:val="en-US"/>
              </w:rPr>
            </w:pPr>
            <w:r w:rsidRPr="00F71C5B">
              <w:rPr>
                <w:lang w:val="en-US"/>
              </w:rPr>
              <w:t xml:space="preserve">$4,152 </w:t>
            </w:r>
            <w:r w:rsidRPr="00F71C5B">
              <w:rPr>
                <w:vertAlign w:val="superscript"/>
                <w:lang w:val="en-US"/>
              </w:rPr>
              <w:t>e</w:t>
            </w:r>
          </w:p>
        </w:tc>
      </w:tr>
      <w:tr w:rsidR="00242C20" w:rsidRPr="00F71C5B" w:rsidTr="00242C20">
        <w:trPr>
          <w:cantSplit/>
          <w:jc w:val="center"/>
        </w:trPr>
        <w:tc>
          <w:tcPr>
            <w:tcW w:w="815" w:type="pct"/>
            <w:shd w:val="clear" w:color="auto" w:fill="auto"/>
            <w:vAlign w:val="center"/>
          </w:tcPr>
          <w:p w:rsidR="00242C20" w:rsidRPr="00F71C5B" w:rsidRDefault="00242C20" w:rsidP="00242C20">
            <w:pPr>
              <w:pStyle w:val="TableText0"/>
              <w:keepNext w:val="0"/>
              <w:rPr>
                <w:lang w:val="en-US"/>
              </w:rPr>
            </w:pPr>
            <w:r w:rsidRPr="00F71C5B">
              <w:rPr>
                <w:lang w:val="en-US"/>
              </w:rPr>
              <w:t>Cost/patient/</w:t>
            </w:r>
          </w:p>
          <w:p w:rsidR="00242C20" w:rsidRPr="00F71C5B" w:rsidRDefault="00242C20" w:rsidP="00242C20">
            <w:pPr>
              <w:pStyle w:val="TableText0"/>
              <w:keepNext w:val="0"/>
              <w:rPr>
                <w:lang w:val="en-US"/>
              </w:rPr>
            </w:pPr>
            <w:r w:rsidRPr="00F71C5B">
              <w:rPr>
                <w:lang w:val="en-US"/>
              </w:rPr>
              <w:t>course</w:t>
            </w:r>
          </w:p>
        </w:tc>
        <w:tc>
          <w:tcPr>
            <w:tcW w:w="697" w:type="pct"/>
            <w:shd w:val="clear" w:color="auto" w:fill="auto"/>
            <w:vAlign w:val="center"/>
          </w:tcPr>
          <w:p w:rsidR="00242C20" w:rsidRPr="00F71C5B" w:rsidRDefault="00242C20" w:rsidP="00242C20">
            <w:pPr>
              <w:pStyle w:val="TableText0"/>
              <w:keepNext w:val="0"/>
              <w:jc w:val="center"/>
              <w:rPr>
                <w:lang w:val="en-US"/>
              </w:rPr>
            </w:pPr>
            <w:r w:rsidRPr="00F71C5B">
              <w:rPr>
                <w:lang w:val="en-US"/>
              </w:rPr>
              <w:t>$</w:t>
            </w:r>
            <w:r w:rsidR="0047136C">
              <w:rPr>
                <w:noProof/>
                <w:color w:val="000000"/>
                <w:highlight w:val="black"/>
                <w:lang w:val="en-US"/>
              </w:rPr>
              <w:t>''''''''''''''''''</w:t>
            </w:r>
          </w:p>
        </w:tc>
        <w:tc>
          <w:tcPr>
            <w:tcW w:w="696" w:type="pct"/>
            <w:shd w:val="clear" w:color="auto" w:fill="auto"/>
            <w:vAlign w:val="center"/>
          </w:tcPr>
          <w:p w:rsidR="00242C20" w:rsidRPr="00F71C5B" w:rsidRDefault="00242C20" w:rsidP="00242C20">
            <w:pPr>
              <w:pStyle w:val="TableText0"/>
              <w:keepNext w:val="0"/>
              <w:jc w:val="center"/>
              <w:rPr>
                <w:lang w:val="en-US"/>
              </w:rPr>
            </w:pPr>
            <w:r w:rsidRPr="00F71C5B">
              <w:rPr>
                <w:lang w:val="en-US"/>
              </w:rPr>
              <w:t>$</w:t>
            </w:r>
            <w:r w:rsidR="0047136C">
              <w:rPr>
                <w:noProof/>
                <w:color w:val="000000"/>
                <w:highlight w:val="black"/>
                <w:lang w:val="en-US"/>
              </w:rPr>
              <w:t>'''''''''''''''''''</w:t>
            </w:r>
          </w:p>
        </w:tc>
        <w:tc>
          <w:tcPr>
            <w:tcW w:w="698" w:type="pct"/>
            <w:shd w:val="clear" w:color="auto" w:fill="auto"/>
            <w:vAlign w:val="center"/>
          </w:tcPr>
          <w:p w:rsidR="00242C20" w:rsidRPr="00F71C5B" w:rsidRDefault="00242C20" w:rsidP="00242C20">
            <w:pPr>
              <w:pStyle w:val="TableText0"/>
              <w:keepNext w:val="0"/>
              <w:jc w:val="center"/>
              <w:rPr>
                <w:lang w:val="en-US"/>
              </w:rPr>
            </w:pPr>
            <w:r w:rsidRPr="00F71C5B">
              <w:rPr>
                <w:lang w:val="en-US"/>
              </w:rPr>
              <w:t>$</w:t>
            </w:r>
            <w:r w:rsidR="0047136C">
              <w:rPr>
                <w:noProof/>
                <w:color w:val="000000"/>
                <w:highlight w:val="black"/>
                <w:lang w:val="en-US"/>
              </w:rPr>
              <w:t>'''''''''''''''''''''</w:t>
            </w:r>
          </w:p>
        </w:tc>
        <w:tc>
          <w:tcPr>
            <w:tcW w:w="696" w:type="pct"/>
            <w:shd w:val="clear" w:color="auto" w:fill="auto"/>
            <w:vAlign w:val="center"/>
          </w:tcPr>
          <w:p w:rsidR="00242C20" w:rsidRPr="00F71C5B" w:rsidRDefault="00242C20" w:rsidP="00242C20">
            <w:pPr>
              <w:pStyle w:val="TableText0"/>
              <w:keepNext w:val="0"/>
              <w:jc w:val="center"/>
              <w:rPr>
                <w:vertAlign w:val="superscript"/>
                <w:lang w:val="en-US"/>
              </w:rPr>
            </w:pPr>
            <w:r w:rsidRPr="00F71C5B">
              <w:rPr>
                <w:lang w:val="en-US"/>
              </w:rPr>
              <w:t>$26,077</w:t>
            </w:r>
            <w:r w:rsidRPr="00F71C5B">
              <w:rPr>
                <w:vertAlign w:val="superscript"/>
                <w:lang w:val="en-US"/>
              </w:rPr>
              <w:t xml:space="preserve"> g</w:t>
            </w:r>
          </w:p>
        </w:tc>
        <w:tc>
          <w:tcPr>
            <w:tcW w:w="699" w:type="pct"/>
            <w:shd w:val="clear" w:color="auto" w:fill="auto"/>
            <w:vAlign w:val="center"/>
          </w:tcPr>
          <w:p w:rsidR="00242C20" w:rsidRPr="00F71C5B" w:rsidRDefault="00242C20" w:rsidP="00242C20">
            <w:pPr>
              <w:pStyle w:val="TableText0"/>
              <w:keepNext w:val="0"/>
              <w:jc w:val="center"/>
              <w:rPr>
                <w:vertAlign w:val="superscript"/>
                <w:lang w:val="en-US"/>
              </w:rPr>
            </w:pPr>
            <w:r w:rsidRPr="00F71C5B">
              <w:rPr>
                <w:lang w:val="en-US"/>
              </w:rPr>
              <w:t xml:space="preserve">$29,561 </w:t>
            </w:r>
            <w:r w:rsidRPr="00F71C5B">
              <w:rPr>
                <w:vertAlign w:val="superscript"/>
                <w:lang w:val="en-US"/>
              </w:rPr>
              <w:t>h</w:t>
            </w:r>
          </w:p>
        </w:tc>
        <w:tc>
          <w:tcPr>
            <w:tcW w:w="699" w:type="pct"/>
            <w:vAlign w:val="center"/>
          </w:tcPr>
          <w:p w:rsidR="00242C20" w:rsidRPr="00F71C5B" w:rsidRDefault="00242C20" w:rsidP="00242C20">
            <w:pPr>
              <w:pStyle w:val="TableText0"/>
              <w:keepNext w:val="0"/>
              <w:jc w:val="center"/>
              <w:rPr>
                <w:lang w:val="en-US"/>
              </w:rPr>
            </w:pPr>
            <w:r w:rsidRPr="00F71C5B">
              <w:rPr>
                <w:lang w:val="en-US"/>
              </w:rPr>
              <w:t>$33,227</w:t>
            </w:r>
          </w:p>
        </w:tc>
      </w:tr>
    </w:tbl>
    <w:p w:rsidR="00242C20" w:rsidRDefault="00242C20" w:rsidP="00242C20">
      <w:pPr>
        <w:pStyle w:val="TableFigureFooter"/>
      </w:pPr>
      <w:r w:rsidRPr="007F1017">
        <w:t xml:space="preserve">Source: </w:t>
      </w:r>
      <w:r>
        <w:t>Table 2.4-3, p36, Table 2.4-3, pp36-37 of the submission; Table 10-6, p54 of the KN177 clinical study report</w:t>
      </w:r>
    </w:p>
    <w:p w:rsidR="006F54CB" w:rsidRDefault="006F54CB" w:rsidP="00242C20">
      <w:pPr>
        <w:pStyle w:val="TableFigureFooter"/>
      </w:pPr>
      <w:r>
        <w:t>QW = every week; Q2W = every 2 weeks; Q3W = every 3 weeks; SoC = standard of care</w:t>
      </w:r>
    </w:p>
    <w:p w:rsidR="00242C20" w:rsidRDefault="00242C20" w:rsidP="00242C20">
      <w:pPr>
        <w:pStyle w:val="TableFigureFooter"/>
      </w:pPr>
      <w:r>
        <w:rPr>
          <w:vertAlign w:val="superscript"/>
        </w:rPr>
        <w:t xml:space="preserve">a </w:t>
      </w:r>
      <w:r>
        <w:t>SoC regimens used in the clinical trial:</w:t>
      </w:r>
    </w:p>
    <w:p w:rsidR="00242C20" w:rsidRDefault="00242C20" w:rsidP="00253541">
      <w:pPr>
        <w:pStyle w:val="TableFigureFooter"/>
        <w:numPr>
          <w:ilvl w:val="0"/>
          <w:numId w:val="8"/>
        </w:numPr>
      </w:pPr>
      <w:r>
        <w:t>mFOLFOX (in 7.1% patients): oxaliplatin: 85 mg/m</w:t>
      </w:r>
      <w:r w:rsidRPr="00041B30">
        <w:rPr>
          <w:vertAlign w:val="superscript"/>
        </w:rPr>
        <w:t>2</w:t>
      </w:r>
      <w:r>
        <w:t xml:space="preserve"> Q2W + leucovorin 400 mg/m</w:t>
      </w:r>
      <w:r w:rsidRPr="00041B30">
        <w:rPr>
          <w:vertAlign w:val="superscript"/>
        </w:rPr>
        <w:t>2</w:t>
      </w:r>
      <w:r>
        <w:t xml:space="preserve"> (or levoleucovorin 200mg/m</w:t>
      </w:r>
      <w:r w:rsidRPr="00041B30">
        <w:rPr>
          <w:vertAlign w:val="superscript"/>
        </w:rPr>
        <w:t>2</w:t>
      </w:r>
      <w:r>
        <w:t>) Q2W + 5-FU 400 mg/ m</w:t>
      </w:r>
      <w:r w:rsidRPr="00041B30">
        <w:rPr>
          <w:vertAlign w:val="superscript"/>
        </w:rPr>
        <w:t>2</w:t>
      </w:r>
      <w:r>
        <w:t xml:space="preserve"> then 5-FU 1200 mg/m</w:t>
      </w:r>
      <w:r w:rsidRPr="00041B30">
        <w:rPr>
          <w:vertAlign w:val="superscript"/>
        </w:rPr>
        <w:t>2</w:t>
      </w:r>
      <w:r>
        <w:t>/day x 2 days Q2W</w:t>
      </w:r>
    </w:p>
    <w:p w:rsidR="00242C20" w:rsidRDefault="00242C20" w:rsidP="00253541">
      <w:pPr>
        <w:pStyle w:val="TableFigureFooter"/>
        <w:numPr>
          <w:ilvl w:val="0"/>
          <w:numId w:val="8"/>
        </w:numPr>
      </w:pPr>
      <w:r>
        <w:t>mFOLFOX+BEV (in 41.6% patients): mFOLFOX regimen as above + bevacizumab 5 mg/kg Q2W</w:t>
      </w:r>
    </w:p>
    <w:p w:rsidR="00242C20" w:rsidRDefault="00242C20" w:rsidP="00253541">
      <w:pPr>
        <w:pStyle w:val="TableFigureFooter"/>
        <w:numPr>
          <w:ilvl w:val="0"/>
          <w:numId w:val="8"/>
        </w:numPr>
      </w:pPr>
      <w:r>
        <w:t xml:space="preserve">mFOLFOX+CET (in 3.2% patients): mFOLFOX regimen as above + cetuximab </w:t>
      </w:r>
      <w:r w:rsidRPr="00041B30">
        <w:t>400 mg/m</w:t>
      </w:r>
      <w:r w:rsidRPr="00041B30">
        <w:rPr>
          <w:vertAlign w:val="superscript"/>
        </w:rPr>
        <w:t>2</w:t>
      </w:r>
      <w:r w:rsidRPr="00041B30">
        <w:t xml:space="preserve"> </w:t>
      </w:r>
      <w:r>
        <w:t>up front, followed by 250mg/m</w:t>
      </w:r>
      <w:r>
        <w:rPr>
          <w:vertAlign w:val="superscript"/>
        </w:rPr>
        <w:t xml:space="preserve">2 </w:t>
      </w:r>
      <w:r>
        <w:t>QW</w:t>
      </w:r>
    </w:p>
    <w:p w:rsidR="00242C20" w:rsidRDefault="00242C20" w:rsidP="00253541">
      <w:pPr>
        <w:pStyle w:val="TableFigureFooter"/>
        <w:numPr>
          <w:ilvl w:val="0"/>
          <w:numId w:val="8"/>
        </w:numPr>
      </w:pPr>
      <w:r>
        <w:t>FOLFIRI: i</w:t>
      </w:r>
      <w:r w:rsidRPr="0085739A">
        <w:t>rinotecan</w:t>
      </w:r>
      <w:r>
        <w:t xml:space="preserve"> (in 10.4% patients)</w:t>
      </w:r>
      <w:r w:rsidRPr="0085739A">
        <w:t>: 180 mg/m</w:t>
      </w:r>
      <w:r w:rsidRPr="0085739A">
        <w:rPr>
          <w:vertAlign w:val="superscript"/>
        </w:rPr>
        <w:t>2</w:t>
      </w:r>
      <w:r>
        <w:t xml:space="preserve"> Q2W + leucovorin 400 mg/m</w:t>
      </w:r>
      <w:r w:rsidRPr="00041B30">
        <w:rPr>
          <w:vertAlign w:val="superscript"/>
        </w:rPr>
        <w:t>2</w:t>
      </w:r>
      <w:r>
        <w:t xml:space="preserve"> (or levoleucovorin 200mg/m</w:t>
      </w:r>
      <w:r w:rsidRPr="00041B30">
        <w:rPr>
          <w:vertAlign w:val="superscript"/>
        </w:rPr>
        <w:t>2</w:t>
      </w:r>
      <w:r>
        <w:t>) Q2W + 5-FU 400 mg/ m</w:t>
      </w:r>
      <w:r w:rsidRPr="00041B30">
        <w:rPr>
          <w:vertAlign w:val="superscript"/>
        </w:rPr>
        <w:t>2</w:t>
      </w:r>
      <w:r>
        <w:t xml:space="preserve"> then 5-FU 1200 mg/m</w:t>
      </w:r>
      <w:r w:rsidRPr="00041B30">
        <w:rPr>
          <w:vertAlign w:val="superscript"/>
        </w:rPr>
        <w:t>2</w:t>
      </w:r>
      <w:r>
        <w:t>/day x 2 days Q2W</w:t>
      </w:r>
    </w:p>
    <w:p w:rsidR="00242C20" w:rsidRDefault="00242C20" w:rsidP="00253541">
      <w:pPr>
        <w:pStyle w:val="TableFigureFooter"/>
        <w:numPr>
          <w:ilvl w:val="0"/>
          <w:numId w:val="8"/>
        </w:numPr>
      </w:pPr>
      <w:r>
        <w:t>FOLFIRI+BEV (in 23.4% patients): FOLFIRI regimen as above + bevacizumab 5 mg/kg Q2W</w:t>
      </w:r>
    </w:p>
    <w:p w:rsidR="00242C20" w:rsidRDefault="00242C20" w:rsidP="00253541">
      <w:pPr>
        <w:pStyle w:val="TableFigureFooter"/>
        <w:numPr>
          <w:ilvl w:val="0"/>
          <w:numId w:val="8"/>
        </w:numPr>
      </w:pPr>
      <w:r>
        <w:t xml:space="preserve">FOLFIRI+CET (in 7.1% patients): FOLFIRI regimen as above + cetuximab </w:t>
      </w:r>
      <w:r w:rsidRPr="00041B30">
        <w:t>400 mg/m</w:t>
      </w:r>
      <w:r w:rsidRPr="00BE6AB9">
        <w:rPr>
          <w:vertAlign w:val="superscript"/>
        </w:rPr>
        <w:t>2</w:t>
      </w:r>
      <w:r w:rsidRPr="00041B30">
        <w:t xml:space="preserve"> </w:t>
      </w:r>
      <w:r>
        <w:t>up front, followed by 250mg/m</w:t>
      </w:r>
      <w:r w:rsidRPr="00BE6AB9">
        <w:rPr>
          <w:vertAlign w:val="superscript"/>
        </w:rPr>
        <w:t xml:space="preserve">2 </w:t>
      </w:r>
      <w:r>
        <w:t>QW</w:t>
      </w:r>
    </w:p>
    <w:p w:rsidR="00242C20" w:rsidRPr="006969D3" w:rsidRDefault="00242C20" w:rsidP="00253541">
      <w:pPr>
        <w:pStyle w:val="TableFigureFooter"/>
        <w:numPr>
          <w:ilvl w:val="0"/>
          <w:numId w:val="8"/>
        </w:numPr>
      </w:pPr>
      <w:r w:rsidRPr="006969D3">
        <w:t>No treatment (in 7.1% patients)</w:t>
      </w:r>
    </w:p>
    <w:p w:rsidR="00242C20" w:rsidRDefault="00242C20" w:rsidP="00242C20">
      <w:pPr>
        <w:pStyle w:val="TableFigureFooter"/>
      </w:pPr>
      <w:r>
        <w:rPr>
          <w:vertAlign w:val="superscript"/>
        </w:rPr>
        <w:t xml:space="preserve">b </w:t>
      </w:r>
      <w:r>
        <w:t>SoC regimens in the economic model:</w:t>
      </w:r>
    </w:p>
    <w:p w:rsidR="00242C20" w:rsidRDefault="00242C20" w:rsidP="00253541">
      <w:pPr>
        <w:pStyle w:val="TableFigureFooter"/>
        <w:numPr>
          <w:ilvl w:val="0"/>
          <w:numId w:val="8"/>
        </w:numPr>
      </w:pPr>
      <w:r>
        <w:t>mFOLFOX (in 9.1% patients): oxaliplatin: 85 mg/m</w:t>
      </w:r>
      <w:r w:rsidRPr="00041B30">
        <w:rPr>
          <w:vertAlign w:val="superscript"/>
        </w:rPr>
        <w:t>2</w:t>
      </w:r>
      <w:r>
        <w:t xml:space="preserve"> Q2W + leucovorin 50mg Q2W + 5-FU 400 mg/ m</w:t>
      </w:r>
      <w:r w:rsidRPr="00041B30">
        <w:rPr>
          <w:vertAlign w:val="superscript"/>
        </w:rPr>
        <w:t>2</w:t>
      </w:r>
      <w:r>
        <w:t xml:space="preserve"> then 5-FU 1200 mg/m</w:t>
      </w:r>
      <w:r w:rsidRPr="00041B30">
        <w:rPr>
          <w:vertAlign w:val="superscript"/>
        </w:rPr>
        <w:t>2</w:t>
      </w:r>
      <w:r>
        <w:t>/day x 2 days Q2W</w:t>
      </w:r>
    </w:p>
    <w:p w:rsidR="00242C20" w:rsidRDefault="00242C20" w:rsidP="00253541">
      <w:pPr>
        <w:pStyle w:val="TableFigureFooter"/>
        <w:numPr>
          <w:ilvl w:val="0"/>
          <w:numId w:val="8"/>
        </w:numPr>
      </w:pPr>
      <w:r>
        <w:t>mFOLFOX+BEV (in 43.5% patients): mFOLFOX regimen as above + bevacizumab 5 mg/kg Q2W</w:t>
      </w:r>
    </w:p>
    <w:p w:rsidR="00242C20" w:rsidRPr="001B7E81" w:rsidRDefault="00242C20" w:rsidP="00253541">
      <w:pPr>
        <w:pStyle w:val="TableFigureFooter"/>
        <w:numPr>
          <w:ilvl w:val="0"/>
          <w:numId w:val="8"/>
        </w:numPr>
      </w:pPr>
      <w:r>
        <w:t>mFOLFOX+CET (in 3.2% patients): mFOLFOX regimen as above + cetuximab 500</w:t>
      </w:r>
      <w:r w:rsidRPr="00041B30">
        <w:t xml:space="preserve"> mg/m</w:t>
      </w:r>
      <w:r w:rsidRPr="00041B30">
        <w:rPr>
          <w:vertAlign w:val="superscript"/>
        </w:rPr>
        <w:t>2</w:t>
      </w:r>
      <w:r w:rsidRPr="00041B30">
        <w:t xml:space="preserve"> </w:t>
      </w:r>
      <w:r>
        <w:t>Q2W (</w:t>
      </w:r>
      <w:r w:rsidRPr="00F71C5B">
        <w:t>revised according to the eviQ guidelines (</w:t>
      </w:r>
      <w:r w:rsidRPr="0047136C">
        <w:t>https://www.eviq.org.au/medical-oncology/colorectal/metastatic/1756-colorectal-metastatic-folfox6-modified-flu</w:t>
      </w:r>
      <w:r w:rsidRPr="00F71C5B">
        <w:t xml:space="preserve">, </w:t>
      </w:r>
      <w:r>
        <w:t>access 24 November 2020)</w:t>
      </w:r>
    </w:p>
    <w:p w:rsidR="00242C20" w:rsidRDefault="00242C20" w:rsidP="00253541">
      <w:pPr>
        <w:pStyle w:val="TableFigureFooter"/>
        <w:numPr>
          <w:ilvl w:val="0"/>
          <w:numId w:val="8"/>
        </w:numPr>
      </w:pPr>
      <w:r>
        <w:t>FOLFIRI: i</w:t>
      </w:r>
      <w:r w:rsidRPr="0085739A">
        <w:t>rinotecan</w:t>
      </w:r>
      <w:r>
        <w:t xml:space="preserve"> (in 11.0% patients)</w:t>
      </w:r>
      <w:r w:rsidRPr="0085739A">
        <w:t>: 180 mg/m</w:t>
      </w:r>
      <w:r w:rsidRPr="0085739A">
        <w:rPr>
          <w:vertAlign w:val="superscript"/>
        </w:rPr>
        <w:t>2</w:t>
      </w:r>
      <w:r>
        <w:t xml:space="preserve"> Q2W + leucovorin 50 mg Q2W + 5-FU 400 mg/ m</w:t>
      </w:r>
      <w:r w:rsidRPr="00041B30">
        <w:rPr>
          <w:vertAlign w:val="superscript"/>
        </w:rPr>
        <w:t>2</w:t>
      </w:r>
      <w:r>
        <w:t xml:space="preserve"> then 5-FU 1200 mg/m</w:t>
      </w:r>
      <w:r w:rsidRPr="00041B30">
        <w:rPr>
          <w:vertAlign w:val="superscript"/>
        </w:rPr>
        <w:t>2</w:t>
      </w:r>
      <w:r>
        <w:t>/day x 2 days Q2W</w:t>
      </w:r>
    </w:p>
    <w:p w:rsidR="00242C20" w:rsidRDefault="00242C20" w:rsidP="00253541">
      <w:pPr>
        <w:pStyle w:val="TableFigureFooter"/>
        <w:numPr>
          <w:ilvl w:val="0"/>
          <w:numId w:val="8"/>
        </w:numPr>
      </w:pPr>
      <w:r>
        <w:t>FOLFIRI+BEV (in 26.0% patients): FOLFIRI regimen as above + bevacizumab 5 mg/kg Q2W</w:t>
      </w:r>
    </w:p>
    <w:p w:rsidR="00242C20" w:rsidRDefault="00242C20" w:rsidP="00253541">
      <w:pPr>
        <w:pStyle w:val="TableFigureFooter"/>
        <w:numPr>
          <w:ilvl w:val="0"/>
          <w:numId w:val="8"/>
        </w:numPr>
      </w:pPr>
      <w:r>
        <w:t xml:space="preserve">FOLFIRI+CET (in 7.1% patients): FOLFIRI regimen as above + cetuximab </w:t>
      </w:r>
      <w:r w:rsidRPr="00041B30">
        <w:t>400 mg/m</w:t>
      </w:r>
      <w:r w:rsidRPr="00BE6AB9">
        <w:rPr>
          <w:vertAlign w:val="superscript"/>
        </w:rPr>
        <w:t>2</w:t>
      </w:r>
      <w:r w:rsidRPr="00041B30">
        <w:t xml:space="preserve"> </w:t>
      </w:r>
      <w:r>
        <w:t>up front, followed by 250mg/m</w:t>
      </w:r>
      <w:r w:rsidRPr="00BE6AB9">
        <w:rPr>
          <w:vertAlign w:val="superscript"/>
        </w:rPr>
        <w:t xml:space="preserve">2 </w:t>
      </w:r>
      <w:r>
        <w:t>QW</w:t>
      </w:r>
    </w:p>
    <w:p w:rsidR="00242C20" w:rsidRDefault="00242C20" w:rsidP="00242C20">
      <w:pPr>
        <w:pStyle w:val="TableFigureFooter"/>
      </w:pPr>
      <w:r>
        <w:rPr>
          <w:vertAlign w:val="superscript"/>
        </w:rPr>
        <w:t xml:space="preserve">c </w:t>
      </w:r>
      <w:r>
        <w:t>SoC regimens in the financial analysis:</w:t>
      </w:r>
    </w:p>
    <w:p w:rsidR="00242C20" w:rsidRDefault="00242C20" w:rsidP="00253541">
      <w:pPr>
        <w:pStyle w:val="TableFigureFooter"/>
        <w:numPr>
          <w:ilvl w:val="0"/>
          <w:numId w:val="8"/>
        </w:numPr>
      </w:pPr>
      <w:r>
        <w:t>mFOLFOX (in 23.9% patients): oxaliplatin: 85 mg/m</w:t>
      </w:r>
      <w:r w:rsidRPr="00041B30">
        <w:rPr>
          <w:vertAlign w:val="superscript"/>
        </w:rPr>
        <w:t>2</w:t>
      </w:r>
      <w:r>
        <w:t xml:space="preserve"> Q2W + leucovorin 50mg Q2W + 5-FU 400 mg/ m</w:t>
      </w:r>
      <w:r w:rsidRPr="00041B30">
        <w:rPr>
          <w:vertAlign w:val="superscript"/>
        </w:rPr>
        <w:t>2</w:t>
      </w:r>
      <w:r>
        <w:t xml:space="preserve"> then 5-FU 1200 mg/m</w:t>
      </w:r>
      <w:r w:rsidRPr="00041B30">
        <w:rPr>
          <w:vertAlign w:val="superscript"/>
        </w:rPr>
        <w:t>2</w:t>
      </w:r>
      <w:r>
        <w:t>/day x 2 days Q2W</w:t>
      </w:r>
    </w:p>
    <w:p w:rsidR="00242C20" w:rsidRDefault="00242C20" w:rsidP="00253541">
      <w:pPr>
        <w:pStyle w:val="TableFigureFooter"/>
        <w:numPr>
          <w:ilvl w:val="0"/>
          <w:numId w:val="8"/>
        </w:numPr>
      </w:pPr>
      <w:r>
        <w:t>mFOLFOX+BEV (in 57.4% patients): mFOLFOX regimen as above + bevacizumab 5 mg/kg Q2W</w:t>
      </w:r>
    </w:p>
    <w:p w:rsidR="00242C20" w:rsidRPr="007C2A0B" w:rsidRDefault="00242C20" w:rsidP="00253541">
      <w:pPr>
        <w:pStyle w:val="TableFigureFooter"/>
        <w:numPr>
          <w:ilvl w:val="0"/>
          <w:numId w:val="8"/>
        </w:numPr>
      </w:pPr>
      <w:r>
        <w:t xml:space="preserve">mFOLFOX+CET (in 18.9% patients): mFOLFOX regimen as above + cetuximab </w:t>
      </w:r>
      <w:r w:rsidRPr="00041B30">
        <w:t>400 mg/m</w:t>
      </w:r>
      <w:r w:rsidRPr="005B2E12">
        <w:rPr>
          <w:vertAlign w:val="superscript"/>
        </w:rPr>
        <w:t>2</w:t>
      </w:r>
      <w:r w:rsidRPr="00041B30">
        <w:t xml:space="preserve"> </w:t>
      </w:r>
      <w:r>
        <w:t>up front, followed by 250mg/m</w:t>
      </w:r>
      <w:r w:rsidRPr="005B2E12">
        <w:rPr>
          <w:vertAlign w:val="superscript"/>
        </w:rPr>
        <w:t xml:space="preserve">2 </w:t>
      </w:r>
      <w:r>
        <w:t>QW</w:t>
      </w:r>
    </w:p>
    <w:p w:rsidR="00242C20" w:rsidRPr="004F3A1D" w:rsidRDefault="00242C20" w:rsidP="00242C20">
      <w:pPr>
        <w:pStyle w:val="TableFigureFooter"/>
      </w:pPr>
      <w:r w:rsidRPr="004F3A1D">
        <w:rPr>
          <w:vertAlign w:val="superscript"/>
        </w:rPr>
        <w:t xml:space="preserve">d </w:t>
      </w:r>
      <w:r w:rsidRPr="004F3A1D">
        <w:t>To account for missed doses, a trial-based relative dosing intensity of 96.5% was applied for pembrolizumab.</w:t>
      </w:r>
    </w:p>
    <w:p w:rsidR="00242C20" w:rsidRPr="007C2A0B" w:rsidRDefault="00242C20" w:rsidP="00242C20">
      <w:pPr>
        <w:pStyle w:val="TableFigureFooter"/>
      </w:pPr>
      <w:r w:rsidRPr="009001E7">
        <w:rPr>
          <w:vertAlign w:val="superscript"/>
        </w:rPr>
        <w:t xml:space="preserve">e </w:t>
      </w:r>
      <w:r w:rsidRPr="009001E7">
        <w:t>R</w:t>
      </w:r>
      <w:r w:rsidR="006F54CB" w:rsidRPr="009001E7">
        <w:t>e</w:t>
      </w:r>
      <w:r w:rsidRPr="009001E7">
        <w:t>lative dosing intensity for pembrolizumab therapy and for SoC therapies was not taken into account in the financial analysis.</w:t>
      </w:r>
      <w:r>
        <w:t xml:space="preserve"> </w:t>
      </w:r>
    </w:p>
    <w:p w:rsidR="00242C20" w:rsidRDefault="00242C20" w:rsidP="00242C20">
      <w:pPr>
        <w:pStyle w:val="TableFigureFooter"/>
      </w:pPr>
      <w:r>
        <w:rPr>
          <w:vertAlign w:val="superscript"/>
        </w:rPr>
        <w:t xml:space="preserve">f </w:t>
      </w:r>
      <w:r w:rsidRPr="00F71C5B">
        <w:t>After correcting the submission’s errors in calculation of the treatment costs of SoC therapies.</w:t>
      </w:r>
      <w:r>
        <w:t xml:space="preserve"> </w:t>
      </w:r>
      <w:r w:rsidRPr="00252D20">
        <w:t xml:space="preserve">To account for missed doses, a trial-based relative dosing intensity of </w:t>
      </w:r>
      <w:r>
        <w:t>88.6</w:t>
      </w:r>
      <w:r w:rsidRPr="00252D20">
        <w:t xml:space="preserve">% was applied for </w:t>
      </w:r>
      <w:r>
        <w:t>SoC therapies</w:t>
      </w:r>
      <w:r w:rsidRPr="00252D20">
        <w:t>.</w:t>
      </w:r>
      <w:r>
        <w:t xml:space="preserve"> </w:t>
      </w:r>
    </w:p>
    <w:p w:rsidR="00242C20" w:rsidRDefault="00242C20" w:rsidP="00242C20">
      <w:pPr>
        <w:pStyle w:val="TableFigureFooter"/>
      </w:pPr>
      <w:r>
        <w:rPr>
          <w:vertAlign w:val="superscript"/>
        </w:rPr>
        <w:t xml:space="preserve">g </w:t>
      </w:r>
      <w:r>
        <w:t xml:space="preserve">Including an additional drug cost of $707 for the </w:t>
      </w:r>
      <w:r w:rsidR="00DA1B95">
        <w:t xml:space="preserve">first </w:t>
      </w:r>
      <w:r>
        <w:t>cycle of cetuximab, in combination with mFOLFOX or FOLFIRI (a total of 10.4% patients)</w:t>
      </w:r>
    </w:p>
    <w:p w:rsidR="00242C20" w:rsidRPr="00252D20" w:rsidRDefault="00242C20" w:rsidP="002A36B6">
      <w:pPr>
        <w:pStyle w:val="TableFigureFooter"/>
      </w:pPr>
      <w:r>
        <w:rPr>
          <w:vertAlign w:val="superscript"/>
        </w:rPr>
        <w:t xml:space="preserve">h </w:t>
      </w:r>
      <w:r>
        <w:t xml:space="preserve">Including an additional drug cost of $707 for the </w:t>
      </w:r>
      <w:r w:rsidR="00DA1B95">
        <w:t xml:space="preserve">first </w:t>
      </w:r>
      <w:r>
        <w:t>cycle of cetuximab, in combinati</w:t>
      </w:r>
      <w:r w:rsidR="002A36B6">
        <w:t>on with FOLFIRI (7.1% patients)</w:t>
      </w:r>
    </w:p>
    <w:p w:rsidR="00242C20" w:rsidRPr="00C9624D" w:rsidRDefault="00242C20" w:rsidP="00242C20">
      <w:pPr>
        <w:pStyle w:val="4-SubsectionHeading"/>
      </w:pPr>
      <w:bookmarkStart w:id="30" w:name="_Toc62027410"/>
      <w:r w:rsidRPr="00C9624D">
        <w:t>Estimated PBS usage &amp; financial implications</w:t>
      </w:r>
      <w:bookmarkEnd w:id="24"/>
      <w:bookmarkEnd w:id="30"/>
    </w:p>
    <w:p w:rsidR="00C8268E" w:rsidRDefault="00BE206C" w:rsidP="00242C20">
      <w:pPr>
        <w:pStyle w:val="3-BodyText"/>
      </w:pPr>
      <w:r>
        <w:t>This submission was</w:t>
      </w:r>
      <w:r w:rsidR="00242C20" w:rsidRPr="00EA3127">
        <w:t xml:space="preserve"> not considered by DUSC. The financial analysis took an epidemiological approach to estimate the financial impact of the proposed listing of pembrolizumab as first-line treatment for dMMR mCRC. The key inputs in the financial analysis are summarised in the table below. </w:t>
      </w:r>
    </w:p>
    <w:p w:rsidR="00242C20" w:rsidRPr="00EA3127" w:rsidRDefault="00242C20" w:rsidP="00242C20">
      <w:pPr>
        <w:pStyle w:val="Caption"/>
        <w:rPr>
          <w:rStyle w:val="CommentReference"/>
          <w:b/>
          <w:szCs w:val="24"/>
        </w:rPr>
      </w:pPr>
      <w:r w:rsidRPr="00EA3127">
        <w:t xml:space="preserve">Table </w:t>
      </w:r>
      <w:r w:rsidR="009A4847">
        <w:rPr>
          <w:noProof/>
        </w:rPr>
        <w:t>14</w:t>
      </w:r>
      <w:r w:rsidRPr="00EA3127">
        <w:t xml:space="preserve">: </w:t>
      </w:r>
      <w:r w:rsidRPr="00EA3127">
        <w:rPr>
          <w:rStyle w:val="CommentReference"/>
          <w:b/>
          <w:szCs w:val="24"/>
        </w:rPr>
        <w:t>Key inputs for financial estimates</w:t>
      </w:r>
      <w:r w:rsidR="009A0D0E">
        <w:rPr>
          <w:rStyle w:val="CommentReference"/>
          <w:b/>
          <w:szCs w:val="24"/>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gridCol w:w="4677"/>
      </w:tblGrid>
      <w:tr w:rsidR="00242C20" w:rsidRPr="00EA3127" w:rsidTr="00242C20">
        <w:trPr>
          <w:tblHeader/>
        </w:trPr>
        <w:tc>
          <w:tcPr>
            <w:tcW w:w="2122" w:type="dxa"/>
          </w:tcPr>
          <w:p w:rsidR="00242C20" w:rsidRPr="00EA3127" w:rsidRDefault="00242C20" w:rsidP="00242C20">
            <w:pPr>
              <w:pStyle w:val="Tabletext"/>
              <w:rPr>
                <w:b/>
              </w:rPr>
            </w:pPr>
            <w:r w:rsidRPr="00EA3127">
              <w:rPr>
                <w:b/>
              </w:rPr>
              <w:t>Data</w:t>
            </w:r>
          </w:p>
        </w:tc>
        <w:tc>
          <w:tcPr>
            <w:tcW w:w="2268" w:type="dxa"/>
          </w:tcPr>
          <w:p w:rsidR="00242C20" w:rsidRPr="00EA3127" w:rsidRDefault="00242C20" w:rsidP="00242C20">
            <w:pPr>
              <w:pStyle w:val="Tabletext"/>
              <w:jc w:val="center"/>
              <w:rPr>
                <w:b/>
              </w:rPr>
            </w:pPr>
            <w:r w:rsidRPr="00EA3127">
              <w:rPr>
                <w:b/>
              </w:rPr>
              <w:t xml:space="preserve">Value applied </w:t>
            </w:r>
          </w:p>
        </w:tc>
        <w:tc>
          <w:tcPr>
            <w:tcW w:w="4677" w:type="dxa"/>
          </w:tcPr>
          <w:p w:rsidR="00242C20" w:rsidRPr="00EA3127" w:rsidRDefault="00242C20" w:rsidP="00242C20">
            <w:pPr>
              <w:pStyle w:val="Tabletext"/>
              <w:jc w:val="center"/>
              <w:rPr>
                <w:b/>
              </w:rPr>
            </w:pPr>
            <w:r w:rsidRPr="00EA3127">
              <w:rPr>
                <w:b/>
              </w:rPr>
              <w:t>Source and comment</w:t>
            </w:r>
          </w:p>
        </w:tc>
      </w:tr>
      <w:tr w:rsidR="00242C20" w:rsidRPr="00EA3127" w:rsidTr="00242C20">
        <w:tc>
          <w:tcPr>
            <w:tcW w:w="2122" w:type="dxa"/>
          </w:tcPr>
          <w:p w:rsidR="00242C20" w:rsidRPr="00EA3127" w:rsidRDefault="00242C20" w:rsidP="00242C20">
            <w:pPr>
              <w:pStyle w:val="Tabletext"/>
            </w:pPr>
            <w:r w:rsidRPr="00EA3127">
              <w:t>Incident patients</w:t>
            </w:r>
          </w:p>
        </w:tc>
        <w:tc>
          <w:tcPr>
            <w:tcW w:w="2268" w:type="dxa"/>
          </w:tcPr>
          <w:p w:rsidR="00242C20" w:rsidRPr="00EA3127" w:rsidRDefault="0047136C" w:rsidP="00242C20">
            <w:pPr>
              <w:pStyle w:val="Tabletext"/>
            </w:pPr>
            <w:r>
              <w:rPr>
                <w:noProof/>
                <w:color w:val="000000"/>
                <w:highlight w:val="black"/>
              </w:rPr>
              <w:t>'''''''''''''''</w:t>
            </w:r>
            <w:r w:rsidR="00926E22" w:rsidRPr="00926E22">
              <w:rPr>
                <w:vertAlign w:val="superscript"/>
              </w:rPr>
              <w:t>1</w:t>
            </w:r>
            <w:r w:rsidR="00242C20" w:rsidRPr="00EA3127">
              <w:t xml:space="preserve"> in Year 2015, to </w:t>
            </w:r>
            <w:r>
              <w:rPr>
                <w:noProof/>
                <w:color w:val="000000"/>
                <w:highlight w:val="black"/>
              </w:rPr>
              <w:t>''''''''''''''''</w:t>
            </w:r>
            <w:r w:rsidR="00926E22" w:rsidRPr="00926E22">
              <w:rPr>
                <w:vertAlign w:val="superscript"/>
              </w:rPr>
              <w:t>1</w:t>
            </w:r>
            <w:r w:rsidR="00926E22">
              <w:rPr>
                <w:vertAlign w:val="superscript"/>
              </w:rPr>
              <w:t xml:space="preserve"> </w:t>
            </w:r>
            <w:r w:rsidR="00242C20" w:rsidRPr="00EA3127">
              <w:t>in Year 2021 (Year 1</w:t>
            </w:r>
            <w:r w:rsidR="00242C20" w:rsidRPr="00C8268E">
              <w:t xml:space="preserve">), to </w:t>
            </w:r>
            <w:r>
              <w:rPr>
                <w:noProof/>
                <w:color w:val="000000"/>
                <w:highlight w:val="black"/>
              </w:rPr>
              <w:t>'''''''''''''''</w:t>
            </w:r>
            <w:r w:rsidR="00926E22" w:rsidRPr="00926E22">
              <w:rPr>
                <w:vertAlign w:val="superscript"/>
              </w:rPr>
              <w:t>1</w:t>
            </w:r>
            <w:r w:rsidR="00242C20" w:rsidRPr="00C8268E">
              <w:t xml:space="preserve"> in Year 2026</w:t>
            </w:r>
          </w:p>
        </w:tc>
        <w:tc>
          <w:tcPr>
            <w:tcW w:w="4677" w:type="dxa"/>
          </w:tcPr>
          <w:p w:rsidR="00242C20" w:rsidRPr="00EA3127" w:rsidRDefault="00242C20" w:rsidP="004C5B7D">
            <w:pPr>
              <w:pStyle w:val="Tabletext"/>
              <w:rPr>
                <w:i/>
              </w:rPr>
            </w:pPr>
            <w:r w:rsidRPr="00EA3127">
              <w:t xml:space="preserve">AIHW incidence of CRC in 2007 to 2019, extrapolated from linear regression. </w:t>
            </w:r>
          </w:p>
        </w:tc>
      </w:tr>
      <w:tr w:rsidR="00242C20" w:rsidRPr="00EA3127" w:rsidTr="00242C20">
        <w:tc>
          <w:tcPr>
            <w:tcW w:w="2122" w:type="dxa"/>
          </w:tcPr>
          <w:p w:rsidR="00242C20" w:rsidRPr="00EA3127" w:rsidRDefault="00242C20" w:rsidP="00242C20">
            <w:pPr>
              <w:pStyle w:val="Tabletext"/>
            </w:pPr>
            <w:r w:rsidRPr="00EA3127">
              <w:t>Disease stage at diagnosis</w:t>
            </w:r>
          </w:p>
        </w:tc>
        <w:tc>
          <w:tcPr>
            <w:tcW w:w="2268" w:type="dxa"/>
          </w:tcPr>
          <w:p w:rsidR="00242C20" w:rsidRPr="00EA3127" w:rsidRDefault="00242C20" w:rsidP="00242C20">
            <w:pPr>
              <w:pStyle w:val="Tabletext"/>
            </w:pPr>
            <w:r w:rsidRPr="00EA3127">
              <w:t>24.3% Stage II, 23.6% Stage III, 20% Stage IV</w:t>
            </w:r>
          </w:p>
        </w:tc>
        <w:tc>
          <w:tcPr>
            <w:tcW w:w="4677" w:type="dxa"/>
          </w:tcPr>
          <w:p w:rsidR="00242C20" w:rsidRPr="00EA3127" w:rsidRDefault="00242C20" w:rsidP="00C82315">
            <w:pPr>
              <w:pStyle w:val="Tabletext"/>
              <w:rPr>
                <w:i/>
              </w:rPr>
            </w:pPr>
            <w:r w:rsidRPr="00EA3127">
              <w:t>NCCI, previous 2</w:t>
            </w:r>
            <w:r w:rsidRPr="00EA3127">
              <w:rPr>
                <w:vertAlign w:val="superscript"/>
              </w:rPr>
              <w:t>nd</w:t>
            </w:r>
            <w:r w:rsidRPr="00EA3127">
              <w:t xml:space="preserve">-line dMMR CRC submission. </w:t>
            </w:r>
          </w:p>
        </w:tc>
      </w:tr>
      <w:tr w:rsidR="009A0D0E" w:rsidRPr="00EA3127" w:rsidTr="00242C20">
        <w:tc>
          <w:tcPr>
            <w:tcW w:w="2122" w:type="dxa"/>
          </w:tcPr>
          <w:p w:rsidR="009A0D0E" w:rsidRPr="00EA3127" w:rsidRDefault="009A0D0E" w:rsidP="00242C20">
            <w:pPr>
              <w:pStyle w:val="Tabletext"/>
            </w:pPr>
            <w:r w:rsidRPr="00EA3127">
              <w:t>% progressing from Stages II/III to Stage IV after 5 years</w:t>
            </w:r>
          </w:p>
        </w:tc>
        <w:tc>
          <w:tcPr>
            <w:tcW w:w="2268" w:type="dxa"/>
          </w:tcPr>
          <w:p w:rsidR="009A0D0E" w:rsidRPr="00EA3127" w:rsidRDefault="009A0D0E" w:rsidP="009A0D0E">
            <w:pPr>
              <w:pStyle w:val="Tabletext"/>
            </w:pPr>
            <w:r w:rsidRPr="00EA3127">
              <w:t>27.5%</w:t>
            </w:r>
            <w:r>
              <w:t xml:space="preserve"> </w:t>
            </w:r>
          </w:p>
        </w:tc>
        <w:tc>
          <w:tcPr>
            <w:tcW w:w="4677" w:type="dxa"/>
          </w:tcPr>
          <w:p w:rsidR="009A0D0E" w:rsidRDefault="009A0D0E" w:rsidP="00614662">
            <w:pPr>
              <w:pStyle w:val="Tabletext"/>
            </w:pPr>
            <w:r>
              <w:t xml:space="preserve">An Australian population-based analysis (Luo et al 2017) </w:t>
            </w:r>
          </w:p>
          <w:p w:rsidR="009A0D0E" w:rsidRPr="004C5B7D" w:rsidRDefault="009A0D0E" w:rsidP="009A0D0E">
            <w:pPr>
              <w:pStyle w:val="Tabletext"/>
            </w:pPr>
            <w:r>
              <w:t>Updated to 18.54% in pre-PBAC response (</w:t>
            </w:r>
            <w:r w:rsidRPr="008D0DD7">
              <w:t xml:space="preserve">paragraph </w:t>
            </w:r>
            <w:r w:rsidR="005339C4" w:rsidRPr="008D0DD7">
              <w:t>6.6</w:t>
            </w:r>
            <w:r w:rsidR="00BE6074" w:rsidRPr="008D0DD7">
              <w:t>6</w:t>
            </w:r>
            <w:r w:rsidRPr="008D0DD7">
              <w:t>)</w:t>
            </w:r>
          </w:p>
        </w:tc>
      </w:tr>
      <w:tr w:rsidR="009A0D0E" w:rsidRPr="00F71C5B" w:rsidTr="00242C20">
        <w:tc>
          <w:tcPr>
            <w:tcW w:w="2122" w:type="dxa"/>
          </w:tcPr>
          <w:p w:rsidR="009A0D0E" w:rsidRPr="00F71C5B" w:rsidRDefault="009A0D0E" w:rsidP="00242C20">
            <w:pPr>
              <w:pStyle w:val="Tabletext"/>
            </w:pPr>
            <w:r w:rsidRPr="00F71C5B">
              <w:t>% progressing from Stage II/III to IV after 5 years and alive</w:t>
            </w:r>
          </w:p>
        </w:tc>
        <w:tc>
          <w:tcPr>
            <w:tcW w:w="2268" w:type="dxa"/>
          </w:tcPr>
          <w:p w:rsidR="009A0D0E" w:rsidRPr="00F71C5B" w:rsidRDefault="009A0D0E" w:rsidP="00242C20">
            <w:pPr>
              <w:pStyle w:val="Tabletext"/>
            </w:pPr>
            <w:r w:rsidRPr="00F71C5B">
              <w:t>77.5%</w:t>
            </w:r>
          </w:p>
        </w:tc>
        <w:tc>
          <w:tcPr>
            <w:tcW w:w="4677" w:type="dxa"/>
          </w:tcPr>
          <w:p w:rsidR="009A0D0E" w:rsidRDefault="009A0D0E" w:rsidP="009A0D0E">
            <w:pPr>
              <w:pStyle w:val="Tabletext"/>
            </w:pPr>
            <w:r>
              <w:t xml:space="preserve">An Australian population-based analysis (Luo et al 2017) </w:t>
            </w:r>
          </w:p>
          <w:p w:rsidR="009A0D0E" w:rsidRPr="00F71C5B" w:rsidRDefault="009A0D0E" w:rsidP="00242C20">
            <w:pPr>
              <w:pStyle w:val="Tabletext"/>
            </w:pPr>
          </w:p>
        </w:tc>
      </w:tr>
      <w:tr w:rsidR="00242C20" w:rsidRPr="00EA3127" w:rsidTr="00242C20">
        <w:tc>
          <w:tcPr>
            <w:tcW w:w="2122" w:type="dxa"/>
          </w:tcPr>
          <w:p w:rsidR="00242C20" w:rsidRPr="00EA3127" w:rsidRDefault="00242C20" w:rsidP="00242C20">
            <w:pPr>
              <w:pStyle w:val="Tabletext"/>
            </w:pPr>
            <w:r w:rsidRPr="00EA3127">
              <w:t>Prevalent patients</w:t>
            </w:r>
          </w:p>
        </w:tc>
        <w:tc>
          <w:tcPr>
            <w:tcW w:w="2268" w:type="dxa"/>
          </w:tcPr>
          <w:p w:rsidR="00242C20" w:rsidRPr="00EA3127" w:rsidRDefault="0047136C" w:rsidP="00242C20">
            <w:pPr>
              <w:pStyle w:val="Tabletext"/>
            </w:pPr>
            <w:r>
              <w:rPr>
                <w:noProof/>
                <w:color w:val="000000"/>
                <w:highlight w:val="black"/>
              </w:rPr>
              <w:t>'''''''''''''''</w:t>
            </w:r>
            <w:r w:rsidR="00926E22" w:rsidRPr="00926E22">
              <w:rPr>
                <w:vertAlign w:val="superscript"/>
              </w:rPr>
              <w:t>1</w:t>
            </w:r>
            <w:r w:rsidR="00242C20" w:rsidRPr="00EA3127">
              <w:t xml:space="preserve"> in 2020, to </w:t>
            </w:r>
            <w:r>
              <w:rPr>
                <w:noProof/>
                <w:color w:val="000000"/>
                <w:highlight w:val="black"/>
              </w:rPr>
              <w:t>''''''''''''''''</w:t>
            </w:r>
            <w:r w:rsidR="00926E22" w:rsidRPr="00926E22">
              <w:rPr>
                <w:vertAlign w:val="superscript"/>
              </w:rPr>
              <w:t>1</w:t>
            </w:r>
            <w:r w:rsidR="00242C20" w:rsidRPr="00EA3127">
              <w:t xml:space="preserve"> in 2021, to </w:t>
            </w:r>
            <w:r>
              <w:rPr>
                <w:noProof/>
                <w:color w:val="000000"/>
                <w:highlight w:val="black"/>
              </w:rPr>
              <w:t>'''''''''''''''''</w:t>
            </w:r>
            <w:r w:rsidR="00926E22" w:rsidRPr="00926E22">
              <w:rPr>
                <w:vertAlign w:val="superscript"/>
              </w:rPr>
              <w:t>1</w:t>
            </w:r>
            <w:r w:rsidR="00242C20" w:rsidRPr="00EA3127">
              <w:t xml:space="preserve"> in Year 2026</w:t>
            </w:r>
          </w:p>
        </w:tc>
        <w:tc>
          <w:tcPr>
            <w:tcW w:w="4677" w:type="dxa"/>
          </w:tcPr>
          <w:p w:rsidR="00242C20" w:rsidRPr="00EA3127" w:rsidRDefault="00242C20" w:rsidP="00C82315">
            <w:pPr>
              <w:pStyle w:val="Tabletext"/>
              <w:rPr>
                <w:i/>
              </w:rPr>
            </w:pPr>
            <w:r w:rsidRPr="00EA3127">
              <w:t xml:space="preserve">AIHW prevalence of CRC in 2007, 2009, 2012 and 2015, extrapolated from linear regression. </w:t>
            </w:r>
          </w:p>
        </w:tc>
      </w:tr>
      <w:tr w:rsidR="00242C20" w:rsidRPr="00EA3127" w:rsidTr="00242C20">
        <w:tc>
          <w:tcPr>
            <w:tcW w:w="2122" w:type="dxa"/>
          </w:tcPr>
          <w:p w:rsidR="00242C20" w:rsidRPr="00EA3127" w:rsidRDefault="00242C20" w:rsidP="00242C20">
            <w:pPr>
              <w:pStyle w:val="Tabletext"/>
            </w:pPr>
            <w:r w:rsidRPr="00EA3127">
              <w:t>1-year survival rate</w:t>
            </w:r>
          </w:p>
        </w:tc>
        <w:tc>
          <w:tcPr>
            <w:tcW w:w="2268" w:type="dxa"/>
          </w:tcPr>
          <w:p w:rsidR="00242C20" w:rsidRPr="00EA3127" w:rsidRDefault="00242C20" w:rsidP="00242C20">
            <w:pPr>
              <w:pStyle w:val="Tabletext"/>
            </w:pPr>
            <w:r w:rsidRPr="00EA3127">
              <w:t>49.3%</w:t>
            </w:r>
          </w:p>
        </w:tc>
        <w:tc>
          <w:tcPr>
            <w:tcW w:w="4677" w:type="dxa"/>
          </w:tcPr>
          <w:p w:rsidR="00242C20" w:rsidRPr="00EA3127" w:rsidRDefault="00242C20" w:rsidP="009A0D0E">
            <w:pPr>
              <w:pStyle w:val="Tabletext"/>
              <w:rPr>
                <w:i/>
              </w:rPr>
            </w:pPr>
            <w:r w:rsidRPr="00EA3127">
              <w:t xml:space="preserve">NCCI. </w:t>
            </w:r>
            <w:r w:rsidRPr="00F71C5B">
              <w:t>The NCCI reported 1-year survival in 2011 in patients with Stage IV disease at diagnosis regardless of their treatment</w:t>
            </w:r>
            <w:r w:rsidR="005339C4">
              <w:t>.</w:t>
            </w:r>
          </w:p>
        </w:tc>
      </w:tr>
      <w:tr w:rsidR="00242C20" w:rsidRPr="00EA3127" w:rsidTr="00242C20">
        <w:tc>
          <w:tcPr>
            <w:tcW w:w="2122" w:type="dxa"/>
          </w:tcPr>
          <w:p w:rsidR="00242C20" w:rsidRPr="00EA3127" w:rsidRDefault="00242C20" w:rsidP="00242C20">
            <w:pPr>
              <w:pStyle w:val="Tabletext"/>
            </w:pPr>
            <w:r w:rsidRPr="00EA3127">
              <w:t>dMMR prevalence</w:t>
            </w:r>
          </w:p>
        </w:tc>
        <w:tc>
          <w:tcPr>
            <w:tcW w:w="2268" w:type="dxa"/>
          </w:tcPr>
          <w:p w:rsidR="00242C20" w:rsidRPr="00EA3127" w:rsidRDefault="00242C20" w:rsidP="00242C20">
            <w:pPr>
              <w:pStyle w:val="Tabletext"/>
            </w:pPr>
            <w:r w:rsidRPr="00EA3127">
              <w:t>6.9%</w:t>
            </w:r>
          </w:p>
        </w:tc>
        <w:tc>
          <w:tcPr>
            <w:tcW w:w="4677" w:type="dxa"/>
          </w:tcPr>
          <w:p w:rsidR="004F3A1D" w:rsidRDefault="00242C20" w:rsidP="004F3A1D">
            <w:pPr>
              <w:pStyle w:val="Tabletext"/>
            </w:pPr>
            <w:r>
              <w:t xml:space="preserve">TRACC registry. </w:t>
            </w:r>
          </w:p>
          <w:p w:rsidR="00242C20" w:rsidRPr="00DE6E76" w:rsidRDefault="00242C20" w:rsidP="004F3A1D">
            <w:pPr>
              <w:pStyle w:val="Tabletext"/>
              <w:rPr>
                <w:i/>
              </w:rPr>
            </w:pPr>
          </w:p>
        </w:tc>
      </w:tr>
      <w:tr w:rsidR="00242C20" w:rsidRPr="00EA3127" w:rsidTr="00242C20">
        <w:tc>
          <w:tcPr>
            <w:tcW w:w="2122" w:type="dxa"/>
          </w:tcPr>
          <w:p w:rsidR="00242C20" w:rsidRPr="00EA3127" w:rsidRDefault="00242C20" w:rsidP="00242C20">
            <w:pPr>
              <w:pStyle w:val="Tabletext"/>
            </w:pPr>
            <w:r w:rsidRPr="00EA3127">
              <w:t>% with performance status 0-1</w:t>
            </w:r>
          </w:p>
        </w:tc>
        <w:tc>
          <w:tcPr>
            <w:tcW w:w="2268" w:type="dxa"/>
          </w:tcPr>
          <w:p w:rsidR="00242C20" w:rsidRPr="00EA3127" w:rsidRDefault="00242C20" w:rsidP="00242C20">
            <w:pPr>
              <w:pStyle w:val="Tabletext"/>
            </w:pPr>
            <w:r w:rsidRPr="00EA3127">
              <w:t>89.9</w:t>
            </w:r>
            <w:r w:rsidR="002A7DA3">
              <w:t>%</w:t>
            </w:r>
          </w:p>
        </w:tc>
        <w:tc>
          <w:tcPr>
            <w:tcW w:w="4677" w:type="dxa"/>
          </w:tcPr>
          <w:p w:rsidR="00242C20" w:rsidRPr="00DE6E76" w:rsidRDefault="00242C20" w:rsidP="009A0D0E">
            <w:pPr>
              <w:pStyle w:val="Tabletext"/>
              <w:rPr>
                <w:i/>
              </w:rPr>
            </w:pPr>
            <w:r w:rsidRPr="00EA3127">
              <w:t xml:space="preserve">TRACC </w:t>
            </w:r>
            <w:r>
              <w:t>registry</w:t>
            </w:r>
            <w:r w:rsidRPr="00EA3127">
              <w:t>.</w:t>
            </w:r>
            <w:r>
              <w:t xml:space="preserve"> </w:t>
            </w:r>
          </w:p>
        </w:tc>
      </w:tr>
      <w:tr w:rsidR="00242C20" w:rsidRPr="00EA3127" w:rsidTr="00242C20">
        <w:tc>
          <w:tcPr>
            <w:tcW w:w="2122" w:type="dxa"/>
          </w:tcPr>
          <w:p w:rsidR="00242C20" w:rsidRPr="00EA3127" w:rsidRDefault="00242C20" w:rsidP="00242C20">
            <w:pPr>
              <w:pStyle w:val="Tabletext"/>
            </w:pPr>
            <w:r w:rsidRPr="00EA3127">
              <w:t>Grandfathered patients</w:t>
            </w:r>
          </w:p>
        </w:tc>
        <w:tc>
          <w:tcPr>
            <w:tcW w:w="2268" w:type="dxa"/>
          </w:tcPr>
          <w:p w:rsidR="00242C20" w:rsidRPr="00EA3127" w:rsidRDefault="00242C20" w:rsidP="00242C20">
            <w:pPr>
              <w:pStyle w:val="Tabletext"/>
            </w:pPr>
            <w:r w:rsidRPr="00EA3127">
              <w:t>50 in Year 1</w:t>
            </w:r>
          </w:p>
        </w:tc>
        <w:tc>
          <w:tcPr>
            <w:tcW w:w="4677" w:type="dxa"/>
          </w:tcPr>
          <w:p w:rsidR="00242C20" w:rsidRPr="00EA3127" w:rsidRDefault="00242C20" w:rsidP="008342ED">
            <w:pPr>
              <w:pStyle w:val="Tabletext"/>
              <w:rPr>
                <w:i/>
              </w:rPr>
            </w:pPr>
            <w:r w:rsidRPr="00EA3127">
              <w:t>Submission’s assumption.</w:t>
            </w:r>
            <w:r w:rsidR="00E43A17" w:rsidRPr="00F71C5B">
              <w:t xml:space="preserve"> The submission’s assumption that the treatment duration of PBS-subsidised pembrolizumab therapy in the grandfathered patients would be the same as that for</w:t>
            </w:r>
            <w:r w:rsidR="00652BE6" w:rsidRPr="00F71C5B">
              <w:t xml:space="preserve"> the</w:t>
            </w:r>
            <w:r w:rsidR="00E43A17" w:rsidRPr="00F71C5B">
              <w:t xml:space="preserve"> incidence/</w:t>
            </w:r>
            <w:r w:rsidR="00E43A17" w:rsidRPr="009A0D0E">
              <w:t>prevalent patients</w:t>
            </w:r>
            <w:r w:rsidR="008342ED" w:rsidRPr="009A0D0E">
              <w:t xml:space="preserve"> and the ESC considered</w:t>
            </w:r>
            <w:r w:rsidR="00E43A17" w:rsidRPr="009A0D0E">
              <w:t xml:space="preserve"> </w:t>
            </w:r>
            <w:r w:rsidR="008342ED" w:rsidRPr="009A0D0E">
              <w:t xml:space="preserve">this was </w:t>
            </w:r>
            <w:r w:rsidR="00E43A17" w:rsidRPr="009A0D0E">
              <w:t>not</w:t>
            </w:r>
            <w:r w:rsidR="008342ED" w:rsidRPr="009A0D0E">
              <w:t xml:space="preserve"> appropriate</w:t>
            </w:r>
            <w:r w:rsidR="00E43A17" w:rsidRPr="009A0D0E">
              <w:t>.</w:t>
            </w:r>
          </w:p>
        </w:tc>
      </w:tr>
      <w:tr w:rsidR="00242C20" w:rsidRPr="00EA3127" w:rsidTr="00242C20">
        <w:tc>
          <w:tcPr>
            <w:tcW w:w="2122" w:type="dxa"/>
          </w:tcPr>
          <w:p w:rsidR="00242C20" w:rsidRPr="00EA3127" w:rsidRDefault="00242C20" w:rsidP="00242C20">
            <w:pPr>
              <w:pStyle w:val="Tabletext"/>
            </w:pPr>
            <w:r w:rsidRPr="00EA3127">
              <w:t>Uptake rate</w:t>
            </w:r>
          </w:p>
        </w:tc>
        <w:tc>
          <w:tcPr>
            <w:tcW w:w="2268" w:type="dxa"/>
          </w:tcPr>
          <w:p w:rsidR="00242C20" w:rsidRPr="00EA3127" w:rsidRDefault="00242C20" w:rsidP="00242C20">
            <w:pPr>
              <w:pStyle w:val="Tabletext"/>
            </w:pPr>
            <w:r w:rsidRPr="00EA3127">
              <w:t>95% in incident patients and 41% in prevalent patients</w:t>
            </w:r>
            <w:r w:rsidR="00E40549">
              <w:t xml:space="preserve"> </w:t>
            </w:r>
          </w:p>
        </w:tc>
        <w:tc>
          <w:tcPr>
            <w:tcW w:w="4677" w:type="dxa"/>
          </w:tcPr>
          <w:p w:rsidR="00242C20" w:rsidRDefault="00242C20" w:rsidP="00242C20">
            <w:pPr>
              <w:pStyle w:val="Tabletext"/>
            </w:pPr>
            <w:r w:rsidRPr="00EA3127">
              <w:t xml:space="preserve">Assumption. </w:t>
            </w:r>
          </w:p>
          <w:p w:rsidR="00FB2FBA" w:rsidRDefault="00FB2FBA" w:rsidP="00242C20">
            <w:pPr>
              <w:pStyle w:val="Tabletext"/>
            </w:pPr>
          </w:p>
          <w:p w:rsidR="00FB2FBA" w:rsidRPr="009A0D0E" w:rsidRDefault="00FB2FBA" w:rsidP="00242C20">
            <w:pPr>
              <w:pStyle w:val="Tabletext"/>
            </w:pPr>
            <w:r w:rsidRPr="009A0D0E">
              <w:t xml:space="preserve">The model calculated a total of 94 prevalent patients.  50 of these were assumed to be accounted for in the grandfather patient numbers.  Of the remaining 44 prevalent patients, it was assumed 39 would be treated with pembrolizumab. The </w:t>
            </w:r>
            <w:r w:rsidR="007C68F6">
              <w:t xml:space="preserve">PBAC agreed with the ESC that it would be </w:t>
            </w:r>
            <w:r w:rsidR="00D637CC" w:rsidRPr="009A0D0E">
              <w:t xml:space="preserve">reasonable to assume approximately half of the remaining prevalent patients would be suitable for first line pembrolizumab. </w:t>
            </w:r>
            <w:r w:rsidRPr="009A0D0E">
              <w:t xml:space="preserve"> </w:t>
            </w:r>
            <w:r w:rsidR="009A0D0E" w:rsidRPr="009A0D0E">
              <w:t xml:space="preserve">Updated in pre-PBAC response.   </w:t>
            </w:r>
          </w:p>
          <w:p w:rsidR="00FB2FBA" w:rsidRPr="00EA3127" w:rsidRDefault="00FB2FBA" w:rsidP="00242C20">
            <w:pPr>
              <w:pStyle w:val="Tabletext"/>
              <w:rPr>
                <w:i/>
              </w:rPr>
            </w:pPr>
          </w:p>
        </w:tc>
      </w:tr>
      <w:tr w:rsidR="00242C20" w:rsidRPr="00EA3127" w:rsidTr="00242C20">
        <w:tc>
          <w:tcPr>
            <w:tcW w:w="2122" w:type="dxa"/>
          </w:tcPr>
          <w:p w:rsidR="00242C20" w:rsidRPr="00EA3127" w:rsidRDefault="00242C20" w:rsidP="00242C20">
            <w:pPr>
              <w:pStyle w:val="Tabletext"/>
            </w:pPr>
            <w:r w:rsidRPr="00EA3127">
              <w:t>Pembrolizumab treatment duration</w:t>
            </w:r>
          </w:p>
        </w:tc>
        <w:tc>
          <w:tcPr>
            <w:tcW w:w="2268" w:type="dxa"/>
          </w:tcPr>
          <w:p w:rsidR="00242C20" w:rsidRPr="00EA3127" w:rsidRDefault="00242C20" w:rsidP="00242C20">
            <w:pPr>
              <w:pStyle w:val="Tabletext"/>
            </w:pPr>
            <w:r w:rsidRPr="00EA3127">
              <w:t>19.2 x 3-week cycles</w:t>
            </w:r>
          </w:p>
        </w:tc>
        <w:tc>
          <w:tcPr>
            <w:tcW w:w="4677" w:type="dxa"/>
          </w:tcPr>
          <w:p w:rsidR="00242C20" w:rsidRPr="00EA3127" w:rsidRDefault="00242C20" w:rsidP="005339C4">
            <w:pPr>
              <w:pStyle w:val="Tabletext"/>
              <w:rPr>
                <w:i/>
              </w:rPr>
            </w:pPr>
            <w:r w:rsidRPr="00EA3127">
              <w:t xml:space="preserve">Time-on treatment curve from KN177. </w:t>
            </w:r>
          </w:p>
        </w:tc>
      </w:tr>
      <w:tr w:rsidR="00242C20" w:rsidRPr="00EA3127" w:rsidTr="00242C20">
        <w:tc>
          <w:tcPr>
            <w:tcW w:w="2122" w:type="dxa"/>
          </w:tcPr>
          <w:p w:rsidR="00242C20" w:rsidRPr="00EA3127" w:rsidRDefault="00242C20" w:rsidP="00242C20">
            <w:pPr>
              <w:pStyle w:val="Tabletext"/>
            </w:pPr>
            <w:r w:rsidRPr="00EA3127">
              <w:t>Uptake rate of SoC</w:t>
            </w:r>
          </w:p>
        </w:tc>
        <w:tc>
          <w:tcPr>
            <w:tcW w:w="2268" w:type="dxa"/>
          </w:tcPr>
          <w:p w:rsidR="00242C20" w:rsidRPr="00EA3127" w:rsidRDefault="00242C20" w:rsidP="00242C20">
            <w:pPr>
              <w:pStyle w:val="Tabletext"/>
            </w:pPr>
            <w:r w:rsidRPr="00EA3127">
              <w:t xml:space="preserve">85% of </w:t>
            </w:r>
            <w:r>
              <w:t>patients likely to receive pembrolizumab</w:t>
            </w:r>
          </w:p>
        </w:tc>
        <w:tc>
          <w:tcPr>
            <w:tcW w:w="4677" w:type="dxa"/>
          </w:tcPr>
          <w:p w:rsidR="00242C20" w:rsidRPr="00EA3127" w:rsidRDefault="00242C20" w:rsidP="009A0D0E">
            <w:pPr>
              <w:pStyle w:val="Tabletext"/>
              <w:rPr>
                <w:i/>
              </w:rPr>
            </w:pPr>
            <w:r w:rsidRPr="00EA3127">
              <w:t xml:space="preserve">Assumption, based on previous PBAC consideration on later-line dMMR CRC submission and DUSC mCRC review (2018). </w:t>
            </w:r>
          </w:p>
        </w:tc>
      </w:tr>
      <w:tr w:rsidR="00242C20" w:rsidRPr="00EA3127" w:rsidTr="00242C20">
        <w:tc>
          <w:tcPr>
            <w:tcW w:w="2122" w:type="dxa"/>
          </w:tcPr>
          <w:p w:rsidR="00242C20" w:rsidRPr="00EA3127" w:rsidRDefault="00242C20" w:rsidP="00242C20">
            <w:pPr>
              <w:pStyle w:val="Tabletext"/>
            </w:pPr>
            <w:r w:rsidRPr="00EA3127">
              <w:t>Distribution of SoC therapies</w:t>
            </w:r>
          </w:p>
        </w:tc>
        <w:tc>
          <w:tcPr>
            <w:tcW w:w="2268" w:type="dxa"/>
          </w:tcPr>
          <w:p w:rsidR="00242C20" w:rsidRPr="00EA3127" w:rsidRDefault="00242C20" w:rsidP="00242C20">
            <w:pPr>
              <w:pStyle w:val="Tabletext"/>
            </w:pPr>
            <w:r w:rsidRPr="00EA3127">
              <w:t>23.9% mFOLFOX</w:t>
            </w:r>
          </w:p>
          <w:p w:rsidR="00242C20" w:rsidRPr="00EA3127" w:rsidRDefault="00242C20" w:rsidP="00242C20">
            <w:pPr>
              <w:pStyle w:val="Tabletext"/>
            </w:pPr>
            <w:r w:rsidRPr="00EA3127">
              <w:t>57.4% mFOLFOX+BEV</w:t>
            </w:r>
          </w:p>
          <w:p w:rsidR="00242C20" w:rsidRPr="00EA3127" w:rsidRDefault="00242C20" w:rsidP="00242C20">
            <w:pPr>
              <w:pStyle w:val="Tabletext"/>
            </w:pPr>
            <w:r w:rsidRPr="00EA3127">
              <w:t>18.9% mFOLFOX+CET</w:t>
            </w:r>
          </w:p>
        </w:tc>
        <w:tc>
          <w:tcPr>
            <w:tcW w:w="4677" w:type="dxa"/>
          </w:tcPr>
          <w:p w:rsidR="00242C20" w:rsidRPr="00EA3127" w:rsidRDefault="00242C20" w:rsidP="009A0D0E">
            <w:pPr>
              <w:pStyle w:val="Tabletext"/>
              <w:rPr>
                <w:i/>
              </w:rPr>
            </w:pPr>
            <w:r w:rsidRPr="00EA3127">
              <w:t xml:space="preserve">DUSC mCRC review (2018). </w:t>
            </w:r>
            <w:r w:rsidR="00FB2FBA" w:rsidRPr="00C82315">
              <w:t>The ESC considered that the use of mFOLFOX+BEV would be higher and the use of mFOLFOX + CET would be lower due to the biology of dMMR mCRC. 10% use of mFOLFOX+CET, consistent with KN177, would be a more reasonable estimate</w:t>
            </w:r>
            <w:r w:rsidR="00FB2FBA" w:rsidRPr="00FB2FBA">
              <w:rPr>
                <w:i/>
              </w:rPr>
              <w:t>.</w:t>
            </w:r>
            <w:r w:rsidR="00FB2FBA">
              <w:t xml:space="preserve">  </w:t>
            </w:r>
            <w:r w:rsidR="009A0D0E">
              <w:t xml:space="preserve">Updated in pre-PBAC response. </w:t>
            </w:r>
          </w:p>
        </w:tc>
      </w:tr>
      <w:tr w:rsidR="00242C20" w:rsidRPr="00EA3127" w:rsidTr="00242C20">
        <w:tc>
          <w:tcPr>
            <w:tcW w:w="2122" w:type="dxa"/>
          </w:tcPr>
          <w:p w:rsidR="00242C20" w:rsidRPr="00EA3127" w:rsidRDefault="00242C20" w:rsidP="00242C20">
            <w:pPr>
              <w:pStyle w:val="Tabletext"/>
            </w:pPr>
            <w:r w:rsidRPr="00EA3127">
              <w:t xml:space="preserve">Treatment duration of SoC </w:t>
            </w:r>
          </w:p>
        </w:tc>
        <w:tc>
          <w:tcPr>
            <w:tcW w:w="2268" w:type="dxa"/>
          </w:tcPr>
          <w:p w:rsidR="00242C20" w:rsidRPr="00EA3127" w:rsidRDefault="00242C20" w:rsidP="00242C20">
            <w:pPr>
              <w:pStyle w:val="Tabletext"/>
            </w:pPr>
            <w:r w:rsidRPr="00EA3127">
              <w:t>17.4 x 2-week cycles</w:t>
            </w:r>
          </w:p>
        </w:tc>
        <w:tc>
          <w:tcPr>
            <w:tcW w:w="4677" w:type="dxa"/>
          </w:tcPr>
          <w:p w:rsidR="00242C20" w:rsidRPr="00EA3127" w:rsidRDefault="00242C20" w:rsidP="00242C20">
            <w:pPr>
              <w:pStyle w:val="Tabletext"/>
            </w:pPr>
            <w:r w:rsidRPr="00EA3127">
              <w:t xml:space="preserve">KN177. </w:t>
            </w:r>
            <w:r w:rsidRPr="00F71C5B">
              <w:t>The treatment duration used in the financial analysis was shorter than the modelled treatment duration used in the economic evaluation (19.2 cycles).</w:t>
            </w:r>
          </w:p>
        </w:tc>
      </w:tr>
      <w:tr w:rsidR="00242C20" w:rsidRPr="00EA3127" w:rsidTr="00242C20">
        <w:tc>
          <w:tcPr>
            <w:tcW w:w="2122" w:type="dxa"/>
          </w:tcPr>
          <w:p w:rsidR="00242C20" w:rsidRPr="00EA3127" w:rsidRDefault="00242C20" w:rsidP="00242C20">
            <w:pPr>
              <w:pStyle w:val="Tabletext"/>
            </w:pPr>
            <w:r w:rsidRPr="00EA3127">
              <w:t>IV administration cost:</w:t>
            </w:r>
          </w:p>
          <w:p w:rsidR="00242C20" w:rsidRPr="00EA3127" w:rsidRDefault="00242C20" w:rsidP="00242C20">
            <w:pPr>
              <w:pStyle w:val="Tabletext"/>
            </w:pPr>
            <w:r w:rsidRPr="00EA3127">
              <w:t xml:space="preserve">  &lt;1 hour </w:t>
            </w:r>
          </w:p>
          <w:p w:rsidR="00242C20" w:rsidRPr="00EA3127" w:rsidRDefault="00242C20" w:rsidP="00242C20">
            <w:pPr>
              <w:pStyle w:val="Tabletext"/>
            </w:pPr>
            <w:r w:rsidRPr="00EA3127">
              <w:t xml:space="preserve">  1-6 hours</w:t>
            </w:r>
          </w:p>
          <w:p w:rsidR="00242C20" w:rsidRPr="00EA3127" w:rsidRDefault="00242C20" w:rsidP="00242C20">
            <w:pPr>
              <w:pStyle w:val="Tabletext"/>
            </w:pPr>
            <w:r w:rsidRPr="00EA3127">
              <w:t xml:space="preserve">   Pump infuser </w:t>
            </w:r>
          </w:p>
        </w:tc>
        <w:tc>
          <w:tcPr>
            <w:tcW w:w="2268" w:type="dxa"/>
          </w:tcPr>
          <w:p w:rsidR="00242C20" w:rsidRPr="00EA3127" w:rsidRDefault="00242C20" w:rsidP="00242C20">
            <w:pPr>
              <w:pStyle w:val="Tabletext"/>
              <w:ind w:right="-57"/>
            </w:pPr>
          </w:p>
          <w:p w:rsidR="00242C20" w:rsidRPr="00EA3127" w:rsidRDefault="00242C20" w:rsidP="00242C20">
            <w:pPr>
              <w:pStyle w:val="Tabletext"/>
            </w:pPr>
            <w:r w:rsidRPr="00EA3127">
              <w:t>$67.10 (MBS item 13915)</w:t>
            </w:r>
          </w:p>
          <w:p w:rsidR="00242C20" w:rsidRPr="00EA3127" w:rsidRDefault="00242C20" w:rsidP="00242C20">
            <w:pPr>
              <w:pStyle w:val="Tabletext"/>
            </w:pPr>
            <w:r w:rsidRPr="00EA3127">
              <w:t>$101.00 (MBS item 13918)</w:t>
            </w:r>
          </w:p>
          <w:p w:rsidR="00242C20" w:rsidRPr="00EA3127" w:rsidRDefault="00242C20" w:rsidP="00242C20">
            <w:pPr>
              <w:pStyle w:val="Tabletext"/>
              <w:ind w:right="-57"/>
            </w:pPr>
            <w:r w:rsidRPr="00EA3127">
              <w:t>$101.00 (MBS item 13939)</w:t>
            </w:r>
          </w:p>
        </w:tc>
        <w:tc>
          <w:tcPr>
            <w:tcW w:w="4677" w:type="dxa"/>
          </w:tcPr>
          <w:p w:rsidR="00242C20" w:rsidRPr="00EA3127" w:rsidRDefault="00242C20" w:rsidP="009A0D0E">
            <w:pPr>
              <w:pStyle w:val="Tabletext"/>
              <w:rPr>
                <w:i/>
              </w:rPr>
            </w:pPr>
            <w:r w:rsidRPr="00EA3127">
              <w:t xml:space="preserve">MBS. </w:t>
            </w:r>
            <w:r w:rsidRPr="00F71C5B">
              <w:t xml:space="preserve">These chemotherapy administration items have been replaced by the MBS item 13950 ($111.40). </w:t>
            </w:r>
            <w:r w:rsidR="009A0D0E">
              <w:t xml:space="preserve"> Updated in pre-PBAC response </w:t>
            </w:r>
          </w:p>
        </w:tc>
      </w:tr>
    </w:tbl>
    <w:p w:rsidR="00242C20" w:rsidRPr="00EA3127" w:rsidRDefault="00242C20" w:rsidP="00242C20">
      <w:pPr>
        <w:pStyle w:val="TableFooter"/>
      </w:pPr>
      <w:r w:rsidRPr="00EA3127">
        <w:t xml:space="preserve">Source: </w:t>
      </w:r>
      <w:r w:rsidRPr="00F71C5B">
        <w:t xml:space="preserve">Table compiled during the evaluation, </w:t>
      </w:r>
      <w:r w:rsidRPr="00EA3127">
        <w:t>based on information provided in Sections 4.1-4.5, pp154-171 of the submission</w:t>
      </w:r>
    </w:p>
    <w:p w:rsidR="00242C20" w:rsidRDefault="00242C20" w:rsidP="002A36B6">
      <w:pPr>
        <w:pStyle w:val="TableFooter"/>
      </w:pPr>
      <w:r w:rsidRPr="00EA3127">
        <w:t>AIHW = Australian Institute of Health and Welfare; BEV = bevacizumab; CET = cetuximab; mCRC = metastatic colorectal cancer; dMMR = mismatch repair deficiency; DUSC = Drug Utilisation Sub-Committee; NCCI = National Cancer Control Indicator; TRACC = (Australian) Treatment of Recurrent</w:t>
      </w:r>
      <w:r w:rsidR="002A36B6">
        <w:t xml:space="preserve"> and Advanced Colorectal Cancer</w:t>
      </w:r>
    </w:p>
    <w:p w:rsidR="00926E22" w:rsidRPr="00926E22" w:rsidRDefault="00926E22" w:rsidP="002A36B6">
      <w:pPr>
        <w:pStyle w:val="TableFooter"/>
        <w:rPr>
          <w:i/>
        </w:rPr>
      </w:pPr>
      <w:r w:rsidRPr="00926E22">
        <w:rPr>
          <w:i/>
        </w:rPr>
        <w:t>The redacted values correspond to the following ranges:</w:t>
      </w:r>
    </w:p>
    <w:p w:rsidR="00926E22" w:rsidRPr="00926E22" w:rsidRDefault="00926E22" w:rsidP="002A36B6">
      <w:pPr>
        <w:pStyle w:val="TableFooter"/>
        <w:rPr>
          <w:i/>
        </w:rPr>
      </w:pPr>
      <w:r w:rsidRPr="00926E22">
        <w:rPr>
          <w:i/>
          <w:vertAlign w:val="superscript"/>
        </w:rPr>
        <w:t>1</w:t>
      </w:r>
      <w:r w:rsidRPr="00926E22">
        <w:rPr>
          <w:i/>
        </w:rPr>
        <w:t>10,000 to &lt;20,000</w:t>
      </w:r>
    </w:p>
    <w:p w:rsidR="00205961" w:rsidRDefault="00205961">
      <w:pPr>
        <w:jc w:val="left"/>
      </w:pPr>
      <w:r>
        <w:br w:type="page"/>
      </w:r>
    </w:p>
    <w:p w:rsidR="002A36B6" w:rsidRPr="00EA3127" w:rsidRDefault="002A36B6" w:rsidP="002A36B6"/>
    <w:p w:rsidR="00242C20" w:rsidRPr="00EA3127" w:rsidRDefault="00242C20" w:rsidP="00242C20">
      <w:pPr>
        <w:pStyle w:val="3-BodyText"/>
      </w:pPr>
      <w:r w:rsidRPr="00EA3127">
        <w:t>The predicted use of pembrolizumab and financial implications associated with the proposed listing are summarised in the table below.</w:t>
      </w:r>
    </w:p>
    <w:p w:rsidR="00242C20" w:rsidRPr="00EA3127" w:rsidRDefault="00242C20" w:rsidP="00242C20">
      <w:pPr>
        <w:pStyle w:val="Caption"/>
      </w:pPr>
      <w:r w:rsidRPr="00EA3127">
        <w:t xml:space="preserve">Table </w:t>
      </w:r>
      <w:r w:rsidR="009A4847">
        <w:rPr>
          <w:noProof/>
        </w:rPr>
        <w:t>15</w:t>
      </w:r>
      <w:r w:rsidRPr="00EA3127">
        <w:t xml:space="preserve">: </w:t>
      </w:r>
      <w:r w:rsidRPr="00EA3127">
        <w:rPr>
          <w:rStyle w:val="CommentReference"/>
          <w:b/>
          <w:szCs w:val="24"/>
        </w:rPr>
        <w:t>Estimated use and financial implications</w:t>
      </w:r>
      <w:r w:rsidR="009A0D0E">
        <w:rPr>
          <w:rStyle w:val="CommentReference"/>
          <w:b/>
          <w:szCs w:val="24"/>
        </w:rPr>
        <w:t xml:space="preserve"> </w:t>
      </w:r>
      <w:r w:rsidR="004405C0">
        <w:rPr>
          <w:rStyle w:val="CommentReference"/>
          <w:b/>
          <w:szCs w:val="24"/>
        </w:rPr>
        <w:t>(as provided in submission</w:t>
      </w:r>
      <w:r w:rsidR="005339C4">
        <w:rPr>
          <w:rStyle w:val="CommentReference"/>
          <w:b/>
          <w:szCs w:val="24"/>
        </w:rPr>
        <w:t>, using published price for cetuximab</w:t>
      </w:r>
      <w:r w:rsidR="004405C0">
        <w:rPr>
          <w:rStyle w:val="CommentReference"/>
          <w:b/>
          <w:szCs w:val="24"/>
        </w:rPr>
        <w:t>)</w:t>
      </w:r>
      <w:r w:rsidR="009A0D0E">
        <w:rPr>
          <w:rStyle w:val="CommentReference"/>
          <w:b/>
          <w:szCs w:val="24"/>
        </w:rPr>
        <w:t xml:space="preserve"> </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2"/>
        <w:gridCol w:w="1133"/>
        <w:gridCol w:w="1278"/>
        <w:gridCol w:w="1274"/>
        <w:gridCol w:w="1276"/>
        <w:gridCol w:w="1276"/>
        <w:gridCol w:w="1274"/>
      </w:tblGrid>
      <w:tr w:rsidR="0047136C" w:rsidRPr="00EA3127" w:rsidTr="0047136C">
        <w:trPr>
          <w:tblHeader/>
        </w:trPr>
        <w:tc>
          <w:tcPr>
            <w:tcW w:w="1044" w:type="pct"/>
            <w:shd w:val="clear" w:color="auto" w:fill="auto"/>
            <w:vAlign w:val="center"/>
          </w:tcPr>
          <w:p w:rsidR="00242C20" w:rsidRPr="00EA3127" w:rsidRDefault="00242C20" w:rsidP="00242C20">
            <w:pPr>
              <w:pStyle w:val="In-tableHeading"/>
              <w:jc w:val="center"/>
            </w:pPr>
          </w:p>
        </w:tc>
        <w:tc>
          <w:tcPr>
            <w:tcW w:w="597" w:type="pct"/>
            <w:shd w:val="clear" w:color="auto" w:fill="auto"/>
            <w:vAlign w:val="center"/>
          </w:tcPr>
          <w:p w:rsidR="00242C20" w:rsidRPr="00EA3127" w:rsidRDefault="00242C20" w:rsidP="00242C20">
            <w:pPr>
              <w:pStyle w:val="In-tableHeading"/>
              <w:jc w:val="center"/>
            </w:pPr>
            <w:r w:rsidRPr="00EA3127">
              <w:t>Year 1</w:t>
            </w:r>
          </w:p>
        </w:tc>
        <w:tc>
          <w:tcPr>
            <w:tcW w:w="673" w:type="pct"/>
            <w:shd w:val="clear" w:color="auto" w:fill="auto"/>
            <w:vAlign w:val="center"/>
          </w:tcPr>
          <w:p w:rsidR="00242C20" w:rsidRPr="00EA3127" w:rsidRDefault="00242C20" w:rsidP="00242C20">
            <w:pPr>
              <w:pStyle w:val="In-tableHeading"/>
              <w:jc w:val="center"/>
            </w:pPr>
            <w:r w:rsidRPr="00EA3127">
              <w:t>Year 2</w:t>
            </w:r>
          </w:p>
        </w:tc>
        <w:tc>
          <w:tcPr>
            <w:tcW w:w="671" w:type="pct"/>
            <w:shd w:val="clear" w:color="auto" w:fill="auto"/>
            <w:vAlign w:val="center"/>
          </w:tcPr>
          <w:p w:rsidR="00242C20" w:rsidRPr="00EA3127" w:rsidRDefault="00242C20" w:rsidP="00242C20">
            <w:pPr>
              <w:pStyle w:val="In-tableHeading"/>
              <w:jc w:val="center"/>
            </w:pPr>
            <w:r w:rsidRPr="00EA3127">
              <w:t>Year 3</w:t>
            </w:r>
          </w:p>
        </w:tc>
        <w:tc>
          <w:tcPr>
            <w:tcW w:w="672" w:type="pct"/>
            <w:shd w:val="clear" w:color="auto" w:fill="auto"/>
            <w:vAlign w:val="center"/>
          </w:tcPr>
          <w:p w:rsidR="00242C20" w:rsidRPr="00EA3127" w:rsidRDefault="00242C20" w:rsidP="00242C20">
            <w:pPr>
              <w:pStyle w:val="In-tableHeading"/>
              <w:jc w:val="center"/>
            </w:pPr>
            <w:r w:rsidRPr="00EA3127">
              <w:t>Year 4</w:t>
            </w:r>
          </w:p>
        </w:tc>
        <w:tc>
          <w:tcPr>
            <w:tcW w:w="672" w:type="pct"/>
            <w:shd w:val="clear" w:color="auto" w:fill="auto"/>
            <w:vAlign w:val="center"/>
          </w:tcPr>
          <w:p w:rsidR="00242C20" w:rsidRPr="00EA3127" w:rsidRDefault="00242C20" w:rsidP="00242C20">
            <w:pPr>
              <w:pStyle w:val="In-tableHeading"/>
              <w:jc w:val="center"/>
            </w:pPr>
            <w:r w:rsidRPr="00EA3127">
              <w:t>Year 5</w:t>
            </w:r>
          </w:p>
        </w:tc>
        <w:tc>
          <w:tcPr>
            <w:tcW w:w="672" w:type="pct"/>
          </w:tcPr>
          <w:p w:rsidR="00242C20" w:rsidRPr="00EA3127" w:rsidRDefault="00242C20" w:rsidP="00242C20">
            <w:pPr>
              <w:pStyle w:val="In-tableHeading"/>
              <w:jc w:val="center"/>
            </w:pPr>
            <w:r w:rsidRPr="00EA3127">
              <w:t>Year 6</w:t>
            </w:r>
          </w:p>
        </w:tc>
      </w:tr>
      <w:tr w:rsidR="00242C20" w:rsidRPr="00EA3127" w:rsidTr="0047136C">
        <w:tc>
          <w:tcPr>
            <w:tcW w:w="5000" w:type="pct"/>
            <w:gridSpan w:val="7"/>
            <w:shd w:val="clear" w:color="auto" w:fill="auto"/>
            <w:vAlign w:val="center"/>
          </w:tcPr>
          <w:p w:rsidR="00242C20" w:rsidRPr="00EA3127" w:rsidRDefault="00242C20" w:rsidP="00242C20">
            <w:pPr>
              <w:pStyle w:val="In-tableHeading"/>
              <w:rPr>
                <w:bCs/>
                <w:color w:val="000000"/>
              </w:rPr>
            </w:pPr>
            <w:r w:rsidRPr="00EA3127">
              <w:rPr>
                <w:bCs/>
                <w:color w:val="000000"/>
              </w:rPr>
              <w:t>Estimated extent of use</w:t>
            </w:r>
          </w:p>
        </w:tc>
      </w:tr>
      <w:tr w:rsidR="0047136C" w:rsidRPr="00EA3127" w:rsidTr="0047136C">
        <w:tc>
          <w:tcPr>
            <w:tcW w:w="1044" w:type="pct"/>
            <w:tcBorders>
              <w:bottom w:val="single" w:sz="4" w:space="0" w:color="auto"/>
            </w:tcBorders>
            <w:shd w:val="clear" w:color="auto" w:fill="auto"/>
            <w:vAlign w:val="center"/>
          </w:tcPr>
          <w:p w:rsidR="00242C20" w:rsidRPr="00EA3127" w:rsidRDefault="00242C20" w:rsidP="00242C20">
            <w:pPr>
              <w:pStyle w:val="TableText0"/>
              <w:rPr>
                <w:rFonts w:ascii="Times" w:hAnsi="Times"/>
              </w:rPr>
            </w:pPr>
            <w:r w:rsidRPr="00EA3127">
              <w:t>Number of patients treated</w:t>
            </w:r>
          </w:p>
        </w:tc>
        <w:tc>
          <w:tcPr>
            <w:tcW w:w="597" w:type="pct"/>
            <w:tcBorders>
              <w:bottom w:val="single" w:sz="4" w:space="0" w:color="auto"/>
            </w:tcBorders>
            <w:shd w:val="clear" w:color="auto" w:fill="auto"/>
          </w:tcPr>
          <w:p w:rsidR="00242C20" w:rsidRPr="0047136C" w:rsidRDefault="0047136C" w:rsidP="00242C20">
            <w:pPr>
              <w:pStyle w:val="TableText0"/>
              <w:jc w:val="center"/>
              <w:rPr>
                <w:color w:val="000000"/>
              </w:rPr>
            </w:pPr>
            <w:r>
              <w:rPr>
                <w:noProof/>
                <w:color w:val="000000"/>
                <w:highlight w:val="black"/>
              </w:rPr>
              <w:t>''''''''</w:t>
            </w:r>
            <w:r w:rsidR="00C96BB3">
              <w:rPr>
                <w:vertAlign w:val="superscript"/>
              </w:rPr>
              <w:t>1</w:t>
            </w:r>
          </w:p>
        </w:tc>
        <w:tc>
          <w:tcPr>
            <w:tcW w:w="673" w:type="pct"/>
            <w:tcBorders>
              <w:bottom w:val="single" w:sz="4" w:space="0" w:color="auto"/>
            </w:tcBorders>
            <w:shd w:val="clear" w:color="auto" w:fill="auto"/>
          </w:tcPr>
          <w:p w:rsidR="00242C20" w:rsidRPr="0047136C" w:rsidRDefault="0047136C" w:rsidP="00242C20">
            <w:pPr>
              <w:pStyle w:val="TableText0"/>
              <w:jc w:val="center"/>
              <w:rPr>
                <w:color w:val="000000"/>
              </w:rPr>
            </w:pPr>
            <w:r>
              <w:rPr>
                <w:noProof/>
                <w:color w:val="000000"/>
                <w:highlight w:val="black"/>
              </w:rPr>
              <w:t>''''''''</w:t>
            </w:r>
            <w:r w:rsidR="00C96BB3">
              <w:rPr>
                <w:vertAlign w:val="superscript"/>
              </w:rPr>
              <w:t>1</w:t>
            </w:r>
          </w:p>
        </w:tc>
        <w:tc>
          <w:tcPr>
            <w:tcW w:w="671" w:type="pct"/>
            <w:tcBorders>
              <w:bottom w:val="single" w:sz="4" w:space="0" w:color="auto"/>
            </w:tcBorders>
            <w:shd w:val="clear" w:color="auto" w:fill="auto"/>
          </w:tcPr>
          <w:p w:rsidR="00242C20" w:rsidRPr="0047136C" w:rsidRDefault="0047136C" w:rsidP="00242C20">
            <w:pPr>
              <w:pStyle w:val="TableText0"/>
              <w:jc w:val="center"/>
              <w:rPr>
                <w:color w:val="000000"/>
              </w:rPr>
            </w:pPr>
            <w:r>
              <w:rPr>
                <w:noProof/>
                <w:color w:val="000000"/>
                <w:highlight w:val="black"/>
              </w:rPr>
              <w:t>'''''''''</w:t>
            </w:r>
            <w:r w:rsidR="00C96BB3">
              <w:rPr>
                <w:vertAlign w:val="superscript"/>
              </w:rPr>
              <w:t>1</w:t>
            </w:r>
          </w:p>
        </w:tc>
        <w:tc>
          <w:tcPr>
            <w:tcW w:w="672" w:type="pct"/>
            <w:tcBorders>
              <w:bottom w:val="single" w:sz="4" w:space="0" w:color="auto"/>
            </w:tcBorders>
            <w:shd w:val="clear" w:color="auto" w:fill="auto"/>
          </w:tcPr>
          <w:p w:rsidR="00242C20" w:rsidRPr="0047136C" w:rsidRDefault="0047136C" w:rsidP="00242C20">
            <w:pPr>
              <w:pStyle w:val="TableText0"/>
              <w:jc w:val="center"/>
              <w:rPr>
                <w:color w:val="000000"/>
              </w:rPr>
            </w:pPr>
            <w:r>
              <w:rPr>
                <w:noProof/>
                <w:color w:val="000000"/>
                <w:highlight w:val="black"/>
              </w:rPr>
              <w:t>'''''''''</w:t>
            </w:r>
            <w:r w:rsidR="00C96BB3">
              <w:rPr>
                <w:vertAlign w:val="superscript"/>
              </w:rPr>
              <w:t>1</w:t>
            </w:r>
          </w:p>
        </w:tc>
        <w:tc>
          <w:tcPr>
            <w:tcW w:w="672" w:type="pct"/>
            <w:tcBorders>
              <w:bottom w:val="single" w:sz="4" w:space="0" w:color="auto"/>
            </w:tcBorders>
            <w:shd w:val="clear" w:color="auto" w:fill="auto"/>
          </w:tcPr>
          <w:p w:rsidR="00242C20" w:rsidRPr="0047136C" w:rsidRDefault="0047136C" w:rsidP="00242C20">
            <w:pPr>
              <w:pStyle w:val="TableText0"/>
              <w:jc w:val="center"/>
              <w:rPr>
                <w:color w:val="000000"/>
              </w:rPr>
            </w:pPr>
            <w:r>
              <w:rPr>
                <w:noProof/>
                <w:color w:val="000000"/>
                <w:highlight w:val="black"/>
              </w:rPr>
              <w:t>''''''''''</w:t>
            </w:r>
            <w:r w:rsidR="00C96BB3">
              <w:rPr>
                <w:vertAlign w:val="superscript"/>
              </w:rPr>
              <w:t>1</w:t>
            </w:r>
          </w:p>
        </w:tc>
        <w:tc>
          <w:tcPr>
            <w:tcW w:w="672" w:type="pct"/>
            <w:tcBorders>
              <w:bottom w:val="single" w:sz="4" w:space="0" w:color="auto"/>
            </w:tcBorders>
          </w:tcPr>
          <w:p w:rsidR="00242C20" w:rsidRPr="0047136C" w:rsidRDefault="0047136C" w:rsidP="00242C20">
            <w:pPr>
              <w:pStyle w:val="TableText0"/>
              <w:jc w:val="center"/>
              <w:rPr>
                <w:color w:val="000000"/>
              </w:rPr>
            </w:pPr>
            <w:r>
              <w:rPr>
                <w:noProof/>
                <w:color w:val="000000"/>
                <w:highlight w:val="black"/>
              </w:rPr>
              <w:t>'''''''''</w:t>
            </w:r>
            <w:r w:rsidR="00C96BB3">
              <w:rPr>
                <w:vertAlign w:val="superscript"/>
              </w:rPr>
              <w:t>1</w:t>
            </w:r>
          </w:p>
        </w:tc>
      </w:tr>
      <w:tr w:rsidR="0047136C" w:rsidRPr="00EA3127" w:rsidTr="0047136C">
        <w:tc>
          <w:tcPr>
            <w:tcW w:w="1044" w:type="pct"/>
            <w:tcBorders>
              <w:bottom w:val="nil"/>
            </w:tcBorders>
            <w:shd w:val="clear" w:color="auto" w:fill="auto"/>
            <w:vAlign w:val="center"/>
          </w:tcPr>
          <w:p w:rsidR="00242C20" w:rsidRPr="00EA3127" w:rsidRDefault="00242C20" w:rsidP="00242C20">
            <w:pPr>
              <w:pStyle w:val="TableText0"/>
              <w:rPr>
                <w:rFonts w:ascii="Times" w:hAnsi="Times"/>
              </w:rPr>
            </w:pPr>
            <w:r w:rsidRPr="00EA3127">
              <w:t>Number of scripts dispensed</w:t>
            </w:r>
            <w:r w:rsidRPr="00EA3127">
              <w:rPr>
                <w:vertAlign w:val="superscript"/>
              </w:rPr>
              <w:t>a</w:t>
            </w:r>
          </w:p>
        </w:tc>
        <w:tc>
          <w:tcPr>
            <w:tcW w:w="597" w:type="pct"/>
            <w:tcBorders>
              <w:bottom w:val="nil"/>
            </w:tcBorders>
            <w:shd w:val="clear" w:color="auto" w:fill="auto"/>
          </w:tcPr>
          <w:p w:rsidR="00242C20" w:rsidRPr="0047136C" w:rsidRDefault="0047136C" w:rsidP="00242C20">
            <w:pPr>
              <w:pStyle w:val="TableText0"/>
              <w:jc w:val="center"/>
              <w:rPr>
                <w:color w:val="000000"/>
              </w:rPr>
            </w:pPr>
            <w:r>
              <w:rPr>
                <w:noProof/>
                <w:color w:val="000000"/>
                <w:highlight w:val="black"/>
              </w:rPr>
              <w:t>''''''''''''''</w:t>
            </w:r>
            <w:r w:rsidR="00C96BB3">
              <w:rPr>
                <w:vertAlign w:val="superscript"/>
              </w:rPr>
              <w:t>2</w:t>
            </w:r>
            <w:r>
              <w:rPr>
                <w:noProof/>
                <w:color w:val="000000"/>
                <w:highlight w:val="black"/>
              </w:rPr>
              <w:t xml:space="preserve"> </w:t>
            </w:r>
          </w:p>
        </w:tc>
        <w:tc>
          <w:tcPr>
            <w:tcW w:w="673" w:type="pct"/>
            <w:tcBorders>
              <w:bottom w:val="nil"/>
            </w:tcBorders>
            <w:shd w:val="clear" w:color="auto" w:fill="auto"/>
          </w:tcPr>
          <w:p w:rsidR="00242C20" w:rsidRPr="0047136C" w:rsidRDefault="0047136C" w:rsidP="00242C20">
            <w:pPr>
              <w:pStyle w:val="TableText0"/>
              <w:jc w:val="center"/>
              <w:rPr>
                <w:color w:val="000000"/>
              </w:rPr>
            </w:pPr>
            <w:r>
              <w:rPr>
                <w:noProof/>
                <w:color w:val="000000"/>
                <w:highlight w:val="black"/>
              </w:rPr>
              <w:t>'''''''''''''</w:t>
            </w:r>
            <w:r w:rsidR="00C96BB3">
              <w:rPr>
                <w:vertAlign w:val="superscript"/>
              </w:rPr>
              <w:t>2</w:t>
            </w:r>
            <w:r>
              <w:rPr>
                <w:noProof/>
                <w:color w:val="000000"/>
                <w:highlight w:val="black"/>
              </w:rPr>
              <w:t xml:space="preserve"> </w:t>
            </w:r>
          </w:p>
        </w:tc>
        <w:tc>
          <w:tcPr>
            <w:tcW w:w="671" w:type="pct"/>
            <w:tcBorders>
              <w:bottom w:val="nil"/>
            </w:tcBorders>
            <w:shd w:val="clear" w:color="auto" w:fill="auto"/>
          </w:tcPr>
          <w:p w:rsidR="00242C20" w:rsidRPr="0047136C" w:rsidRDefault="0047136C" w:rsidP="00242C20">
            <w:pPr>
              <w:pStyle w:val="TableText0"/>
              <w:jc w:val="center"/>
              <w:rPr>
                <w:color w:val="000000"/>
              </w:rPr>
            </w:pPr>
            <w:r>
              <w:rPr>
                <w:noProof/>
                <w:color w:val="000000"/>
                <w:highlight w:val="black"/>
              </w:rPr>
              <w:t>'''''''''''''</w:t>
            </w:r>
            <w:r w:rsidR="00C96BB3">
              <w:rPr>
                <w:vertAlign w:val="superscript"/>
              </w:rPr>
              <w:t>2</w:t>
            </w:r>
            <w:r>
              <w:rPr>
                <w:noProof/>
                <w:color w:val="000000"/>
                <w:highlight w:val="black"/>
              </w:rPr>
              <w:t xml:space="preserve"> </w:t>
            </w:r>
          </w:p>
        </w:tc>
        <w:tc>
          <w:tcPr>
            <w:tcW w:w="672" w:type="pct"/>
            <w:tcBorders>
              <w:bottom w:val="nil"/>
            </w:tcBorders>
            <w:shd w:val="clear" w:color="auto" w:fill="auto"/>
          </w:tcPr>
          <w:p w:rsidR="00242C20" w:rsidRPr="0047136C" w:rsidRDefault="0047136C" w:rsidP="00242C20">
            <w:pPr>
              <w:pStyle w:val="TableText0"/>
              <w:jc w:val="center"/>
              <w:rPr>
                <w:color w:val="000000"/>
              </w:rPr>
            </w:pPr>
            <w:r>
              <w:rPr>
                <w:noProof/>
                <w:color w:val="000000"/>
                <w:highlight w:val="black"/>
              </w:rPr>
              <w:t>''''''''''''</w:t>
            </w:r>
            <w:r w:rsidR="00C96BB3">
              <w:rPr>
                <w:vertAlign w:val="superscript"/>
              </w:rPr>
              <w:t>2</w:t>
            </w:r>
            <w:r>
              <w:rPr>
                <w:noProof/>
                <w:color w:val="000000"/>
                <w:highlight w:val="black"/>
              </w:rPr>
              <w:t xml:space="preserve"> </w:t>
            </w:r>
          </w:p>
        </w:tc>
        <w:tc>
          <w:tcPr>
            <w:tcW w:w="672" w:type="pct"/>
            <w:tcBorders>
              <w:bottom w:val="nil"/>
            </w:tcBorders>
            <w:shd w:val="clear" w:color="auto" w:fill="auto"/>
          </w:tcPr>
          <w:p w:rsidR="00242C20" w:rsidRPr="0047136C" w:rsidRDefault="0047136C" w:rsidP="00242C20">
            <w:pPr>
              <w:pStyle w:val="TableText0"/>
              <w:jc w:val="center"/>
              <w:rPr>
                <w:color w:val="000000"/>
              </w:rPr>
            </w:pPr>
            <w:r>
              <w:rPr>
                <w:noProof/>
                <w:color w:val="000000"/>
                <w:highlight w:val="black"/>
              </w:rPr>
              <w:t>''''''''''''</w:t>
            </w:r>
            <w:r w:rsidR="00C96BB3">
              <w:rPr>
                <w:vertAlign w:val="superscript"/>
              </w:rPr>
              <w:t>2</w:t>
            </w:r>
            <w:r>
              <w:rPr>
                <w:noProof/>
                <w:color w:val="000000"/>
                <w:highlight w:val="black"/>
              </w:rPr>
              <w:t xml:space="preserve"> </w:t>
            </w:r>
          </w:p>
        </w:tc>
        <w:tc>
          <w:tcPr>
            <w:tcW w:w="672" w:type="pct"/>
            <w:tcBorders>
              <w:bottom w:val="nil"/>
            </w:tcBorders>
          </w:tcPr>
          <w:p w:rsidR="00242C20" w:rsidRPr="0047136C" w:rsidRDefault="0047136C" w:rsidP="00242C20">
            <w:pPr>
              <w:pStyle w:val="TableText0"/>
              <w:jc w:val="center"/>
              <w:rPr>
                <w:color w:val="000000"/>
              </w:rPr>
            </w:pPr>
            <w:r>
              <w:rPr>
                <w:rFonts w:cs="Times New Roman"/>
                <w:noProof/>
                <w:color w:val="000000"/>
                <w:szCs w:val="20"/>
                <w:highlight w:val="black"/>
                <w:lang w:val="en-US"/>
              </w:rPr>
              <w:t>''''''''''''''</w:t>
            </w:r>
            <w:r w:rsidR="00C96BB3">
              <w:rPr>
                <w:vertAlign w:val="superscript"/>
              </w:rPr>
              <w:t>2</w:t>
            </w:r>
          </w:p>
        </w:tc>
      </w:tr>
      <w:tr w:rsidR="00242C20" w:rsidRPr="00EA3127" w:rsidTr="0047136C">
        <w:tc>
          <w:tcPr>
            <w:tcW w:w="5000" w:type="pct"/>
            <w:gridSpan w:val="7"/>
            <w:shd w:val="clear" w:color="auto" w:fill="auto"/>
            <w:vAlign w:val="center"/>
          </w:tcPr>
          <w:p w:rsidR="00242C20" w:rsidRPr="00EA3127" w:rsidRDefault="00242C20" w:rsidP="00242C20">
            <w:pPr>
              <w:pStyle w:val="In-tableHeading"/>
            </w:pPr>
            <w:r w:rsidRPr="00EA3127">
              <w:t>Estimated financial implications of pembrolizumab</w:t>
            </w:r>
          </w:p>
        </w:tc>
      </w:tr>
      <w:tr w:rsidR="0047136C" w:rsidRPr="00EA3127" w:rsidTr="0047136C">
        <w:tc>
          <w:tcPr>
            <w:tcW w:w="1044" w:type="pct"/>
            <w:tcBorders>
              <w:bottom w:val="nil"/>
            </w:tcBorders>
            <w:shd w:val="clear" w:color="auto" w:fill="auto"/>
            <w:vAlign w:val="center"/>
          </w:tcPr>
          <w:p w:rsidR="00242C20" w:rsidRPr="00EA3127" w:rsidRDefault="00242C20" w:rsidP="00242C20">
            <w:pPr>
              <w:pStyle w:val="TableText0"/>
              <w:rPr>
                <w:sz w:val="19"/>
                <w:szCs w:val="19"/>
              </w:rPr>
            </w:pPr>
            <w:r w:rsidRPr="00EA3127">
              <w:rPr>
                <w:sz w:val="19"/>
                <w:szCs w:val="19"/>
              </w:rPr>
              <w:t>Cost to PBS/RPBS less copayments</w:t>
            </w:r>
          </w:p>
        </w:tc>
        <w:tc>
          <w:tcPr>
            <w:tcW w:w="597" w:type="pct"/>
            <w:tcBorders>
              <w:bottom w:val="nil"/>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3</w:t>
            </w:r>
          </w:p>
        </w:tc>
        <w:tc>
          <w:tcPr>
            <w:tcW w:w="673" w:type="pct"/>
            <w:tcBorders>
              <w:bottom w:val="nil"/>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4</w:t>
            </w:r>
          </w:p>
        </w:tc>
        <w:tc>
          <w:tcPr>
            <w:tcW w:w="671" w:type="pct"/>
            <w:tcBorders>
              <w:bottom w:val="nil"/>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4</w:t>
            </w:r>
          </w:p>
        </w:tc>
        <w:tc>
          <w:tcPr>
            <w:tcW w:w="672" w:type="pct"/>
            <w:tcBorders>
              <w:bottom w:val="nil"/>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4</w:t>
            </w:r>
          </w:p>
        </w:tc>
        <w:tc>
          <w:tcPr>
            <w:tcW w:w="672" w:type="pct"/>
            <w:tcBorders>
              <w:bottom w:val="nil"/>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4</w:t>
            </w:r>
          </w:p>
        </w:tc>
        <w:tc>
          <w:tcPr>
            <w:tcW w:w="672" w:type="pct"/>
            <w:tcBorders>
              <w:bottom w:val="nil"/>
            </w:tcBorders>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4</w:t>
            </w:r>
          </w:p>
        </w:tc>
      </w:tr>
      <w:tr w:rsidR="00242C20" w:rsidRPr="00DA1B95" w:rsidTr="0047136C">
        <w:tc>
          <w:tcPr>
            <w:tcW w:w="5000" w:type="pct"/>
            <w:gridSpan w:val="7"/>
            <w:shd w:val="clear" w:color="auto" w:fill="auto"/>
            <w:vAlign w:val="center"/>
          </w:tcPr>
          <w:p w:rsidR="00242C20" w:rsidRPr="00DA1B95" w:rsidRDefault="00242C20" w:rsidP="00242C20">
            <w:pPr>
              <w:pStyle w:val="TableText0"/>
              <w:rPr>
                <w:b/>
              </w:rPr>
            </w:pPr>
            <w:r w:rsidRPr="00DA1B95">
              <w:rPr>
                <w:b/>
              </w:rPr>
              <w:t>Estimated financial implications for FOLFOX, with or without bevacizumab or cetuximab</w:t>
            </w:r>
          </w:p>
        </w:tc>
      </w:tr>
      <w:tr w:rsidR="0047136C" w:rsidRPr="00EA3127" w:rsidTr="0047136C">
        <w:tc>
          <w:tcPr>
            <w:tcW w:w="1044" w:type="pct"/>
            <w:shd w:val="clear" w:color="auto" w:fill="auto"/>
            <w:vAlign w:val="center"/>
          </w:tcPr>
          <w:p w:rsidR="00242C20" w:rsidRPr="00EA3127" w:rsidRDefault="00242C20" w:rsidP="00242C20">
            <w:pPr>
              <w:pStyle w:val="TableText0"/>
              <w:rPr>
                <w:sz w:val="19"/>
                <w:szCs w:val="19"/>
              </w:rPr>
            </w:pPr>
            <w:r w:rsidRPr="00EA3127">
              <w:rPr>
                <w:sz w:val="19"/>
                <w:szCs w:val="19"/>
              </w:rPr>
              <w:t>Cost to PBS/RPBS less copayments</w:t>
            </w:r>
          </w:p>
        </w:tc>
        <w:tc>
          <w:tcPr>
            <w:tcW w:w="597" w:type="pct"/>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5</w:t>
            </w:r>
          </w:p>
        </w:tc>
        <w:tc>
          <w:tcPr>
            <w:tcW w:w="673" w:type="pct"/>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5</w:t>
            </w:r>
          </w:p>
        </w:tc>
        <w:tc>
          <w:tcPr>
            <w:tcW w:w="671" w:type="pct"/>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5</w:t>
            </w:r>
          </w:p>
        </w:tc>
        <w:tc>
          <w:tcPr>
            <w:tcW w:w="672" w:type="pct"/>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5</w:t>
            </w:r>
          </w:p>
        </w:tc>
        <w:tc>
          <w:tcPr>
            <w:tcW w:w="672" w:type="pct"/>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5</w:t>
            </w:r>
          </w:p>
        </w:tc>
        <w:tc>
          <w:tcPr>
            <w:tcW w:w="672" w:type="pct"/>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5</w:t>
            </w:r>
          </w:p>
        </w:tc>
      </w:tr>
      <w:tr w:rsidR="00242C20" w:rsidRPr="00EA3127" w:rsidTr="0047136C">
        <w:tc>
          <w:tcPr>
            <w:tcW w:w="5000" w:type="pct"/>
            <w:gridSpan w:val="7"/>
            <w:tcBorders>
              <w:bottom w:val="single" w:sz="4" w:space="0" w:color="auto"/>
            </w:tcBorders>
            <w:shd w:val="clear" w:color="auto" w:fill="auto"/>
            <w:vAlign w:val="center"/>
          </w:tcPr>
          <w:p w:rsidR="00242C20" w:rsidRPr="00EA3127" w:rsidRDefault="00242C20" w:rsidP="00242C20">
            <w:pPr>
              <w:pStyle w:val="In-tableHeading"/>
            </w:pPr>
            <w:r w:rsidRPr="00EA3127">
              <w:t>Net financial implications</w:t>
            </w:r>
          </w:p>
        </w:tc>
      </w:tr>
      <w:tr w:rsidR="0047136C" w:rsidRPr="00EA3127" w:rsidTr="0047136C">
        <w:tc>
          <w:tcPr>
            <w:tcW w:w="1044" w:type="pct"/>
            <w:tcBorders>
              <w:bottom w:val="nil"/>
            </w:tcBorders>
            <w:shd w:val="clear" w:color="auto" w:fill="auto"/>
            <w:vAlign w:val="center"/>
          </w:tcPr>
          <w:p w:rsidR="00242C20" w:rsidRPr="00EA3127" w:rsidRDefault="00242C20" w:rsidP="00242C20">
            <w:pPr>
              <w:pStyle w:val="TableText0"/>
              <w:rPr>
                <w:sz w:val="19"/>
                <w:szCs w:val="19"/>
              </w:rPr>
            </w:pPr>
            <w:r w:rsidRPr="00EA3127">
              <w:rPr>
                <w:sz w:val="19"/>
                <w:szCs w:val="19"/>
              </w:rPr>
              <w:t>Net cost to PBS/RPBS</w:t>
            </w:r>
          </w:p>
        </w:tc>
        <w:tc>
          <w:tcPr>
            <w:tcW w:w="597" w:type="pct"/>
            <w:tcBorders>
              <w:bottom w:val="nil"/>
            </w:tcBorders>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c>
          <w:tcPr>
            <w:tcW w:w="673" w:type="pct"/>
            <w:tcBorders>
              <w:bottom w:val="nil"/>
            </w:tcBorders>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c>
          <w:tcPr>
            <w:tcW w:w="671" w:type="pct"/>
            <w:tcBorders>
              <w:bottom w:val="nil"/>
            </w:tcBorders>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c>
          <w:tcPr>
            <w:tcW w:w="672" w:type="pct"/>
            <w:tcBorders>
              <w:bottom w:val="nil"/>
            </w:tcBorders>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c>
          <w:tcPr>
            <w:tcW w:w="672" w:type="pct"/>
            <w:tcBorders>
              <w:bottom w:val="nil"/>
            </w:tcBorders>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c>
          <w:tcPr>
            <w:tcW w:w="672" w:type="pct"/>
            <w:tcBorders>
              <w:bottom w:val="nil"/>
            </w:tcBorders>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r>
      <w:tr w:rsidR="0047136C" w:rsidRPr="00EA3127" w:rsidTr="0047136C">
        <w:tc>
          <w:tcPr>
            <w:tcW w:w="1044" w:type="pct"/>
            <w:tcBorders>
              <w:top w:val="single" w:sz="4" w:space="0" w:color="auto"/>
              <w:bottom w:val="single" w:sz="4" w:space="0" w:color="auto"/>
            </w:tcBorders>
            <w:shd w:val="clear" w:color="auto" w:fill="auto"/>
            <w:vAlign w:val="center"/>
          </w:tcPr>
          <w:p w:rsidR="00242C20" w:rsidRPr="00EA3127" w:rsidRDefault="00242C20" w:rsidP="00242C20">
            <w:pPr>
              <w:pStyle w:val="TableText0"/>
              <w:rPr>
                <w:rFonts w:ascii="Times" w:hAnsi="Times"/>
              </w:rPr>
            </w:pPr>
            <w:r w:rsidRPr="00EA3127">
              <w:rPr>
                <w:sz w:val="19"/>
                <w:szCs w:val="19"/>
              </w:rPr>
              <w:t>Net cost to MBS</w:t>
            </w:r>
          </w:p>
        </w:tc>
        <w:tc>
          <w:tcPr>
            <w:tcW w:w="597" w:type="pct"/>
            <w:tcBorders>
              <w:top w:val="single" w:sz="4" w:space="0" w:color="auto"/>
              <w:bottom w:val="single" w:sz="4" w:space="0" w:color="auto"/>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7</w:t>
            </w:r>
          </w:p>
        </w:tc>
        <w:tc>
          <w:tcPr>
            <w:tcW w:w="673" w:type="pct"/>
            <w:tcBorders>
              <w:top w:val="single" w:sz="4" w:space="0" w:color="auto"/>
              <w:bottom w:val="single" w:sz="4" w:space="0" w:color="auto"/>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7</w:t>
            </w:r>
          </w:p>
        </w:tc>
        <w:tc>
          <w:tcPr>
            <w:tcW w:w="671" w:type="pct"/>
            <w:tcBorders>
              <w:top w:val="single" w:sz="4" w:space="0" w:color="auto"/>
              <w:bottom w:val="single" w:sz="4" w:space="0" w:color="auto"/>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7</w:t>
            </w:r>
          </w:p>
        </w:tc>
        <w:tc>
          <w:tcPr>
            <w:tcW w:w="672" w:type="pct"/>
            <w:tcBorders>
              <w:top w:val="single" w:sz="4" w:space="0" w:color="auto"/>
              <w:bottom w:val="single" w:sz="4" w:space="0" w:color="auto"/>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7</w:t>
            </w:r>
          </w:p>
        </w:tc>
        <w:tc>
          <w:tcPr>
            <w:tcW w:w="672" w:type="pct"/>
            <w:tcBorders>
              <w:top w:val="single" w:sz="4" w:space="0" w:color="auto"/>
              <w:bottom w:val="single" w:sz="4" w:space="0" w:color="auto"/>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7</w:t>
            </w:r>
          </w:p>
        </w:tc>
        <w:tc>
          <w:tcPr>
            <w:tcW w:w="672" w:type="pct"/>
            <w:tcBorders>
              <w:top w:val="single" w:sz="4" w:space="0" w:color="auto"/>
              <w:bottom w:val="single" w:sz="4" w:space="0" w:color="auto"/>
            </w:tcBorders>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7</w:t>
            </w:r>
          </w:p>
        </w:tc>
      </w:tr>
      <w:tr w:rsidR="0047136C" w:rsidRPr="00EA3127" w:rsidTr="0047136C">
        <w:tc>
          <w:tcPr>
            <w:tcW w:w="1044" w:type="pct"/>
            <w:tcBorders>
              <w:bottom w:val="single" w:sz="4" w:space="0" w:color="auto"/>
            </w:tcBorders>
            <w:shd w:val="clear" w:color="auto" w:fill="auto"/>
            <w:vAlign w:val="center"/>
          </w:tcPr>
          <w:p w:rsidR="00242C20" w:rsidRPr="00EA3127" w:rsidRDefault="00242C20" w:rsidP="00242C20">
            <w:pPr>
              <w:pStyle w:val="TableText0"/>
              <w:rPr>
                <w:sz w:val="19"/>
                <w:szCs w:val="19"/>
              </w:rPr>
            </w:pPr>
            <w:r w:rsidRPr="00EA3127">
              <w:rPr>
                <w:sz w:val="19"/>
                <w:szCs w:val="19"/>
              </w:rPr>
              <w:t>Net cost to PBS/RPBS/MBS</w:t>
            </w:r>
          </w:p>
        </w:tc>
        <w:tc>
          <w:tcPr>
            <w:tcW w:w="597" w:type="pct"/>
            <w:tcBorders>
              <w:bottom w:val="single" w:sz="4" w:space="0" w:color="auto"/>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c>
          <w:tcPr>
            <w:tcW w:w="673" w:type="pct"/>
            <w:tcBorders>
              <w:bottom w:val="single" w:sz="4" w:space="0" w:color="auto"/>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c>
          <w:tcPr>
            <w:tcW w:w="671" w:type="pct"/>
            <w:tcBorders>
              <w:bottom w:val="single" w:sz="4" w:space="0" w:color="auto"/>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c>
          <w:tcPr>
            <w:tcW w:w="672" w:type="pct"/>
            <w:tcBorders>
              <w:bottom w:val="single" w:sz="4" w:space="0" w:color="auto"/>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c>
          <w:tcPr>
            <w:tcW w:w="672" w:type="pct"/>
            <w:tcBorders>
              <w:bottom w:val="single" w:sz="4" w:space="0" w:color="auto"/>
            </w:tcBorders>
            <w:shd w:val="clear" w:color="auto" w:fill="auto"/>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c>
          <w:tcPr>
            <w:tcW w:w="672" w:type="pct"/>
            <w:tcBorders>
              <w:bottom w:val="single" w:sz="4" w:space="0" w:color="auto"/>
            </w:tcBorders>
          </w:tcPr>
          <w:p w:rsidR="00242C20" w:rsidRPr="00EA3127" w:rsidRDefault="00242C20" w:rsidP="00242C20">
            <w:pPr>
              <w:pStyle w:val="TableText0"/>
              <w:jc w:val="right"/>
            </w:pPr>
            <w:r w:rsidRPr="00EA3127">
              <w:t>$</w:t>
            </w:r>
            <w:r w:rsidR="0047136C">
              <w:rPr>
                <w:noProof/>
                <w:color w:val="000000"/>
                <w:highlight w:val="black"/>
              </w:rPr>
              <w:t>''''''''''''''''''''''''''</w:t>
            </w:r>
            <w:r w:rsidR="00C96BB3">
              <w:rPr>
                <w:vertAlign w:val="superscript"/>
              </w:rPr>
              <w:t>6</w:t>
            </w:r>
          </w:p>
        </w:tc>
      </w:tr>
    </w:tbl>
    <w:p w:rsidR="00242C20" w:rsidRPr="00EA3127" w:rsidRDefault="00242C20" w:rsidP="00242C20">
      <w:pPr>
        <w:pStyle w:val="TableFooter"/>
        <w:rPr>
          <w:rStyle w:val="CommentReference"/>
        </w:rPr>
      </w:pPr>
      <w:r w:rsidRPr="00EA3127">
        <w:t>Source: Table 4.2-2, p159, Table 4.2-4, p161, Table 4.3-6, p164, Table 4.4-7, p171, Table 4.5-1, p171, Table 4.6-3, p173 of the submission.</w:t>
      </w:r>
    </w:p>
    <w:p w:rsidR="00242C20" w:rsidRDefault="00242C20" w:rsidP="00242C20">
      <w:pPr>
        <w:pStyle w:val="TableFooter"/>
      </w:pPr>
      <w:r w:rsidRPr="008342ED">
        <w:rPr>
          <w:vertAlign w:val="superscript"/>
        </w:rPr>
        <w:t>a</w:t>
      </w:r>
      <w:r w:rsidRPr="008342ED">
        <w:t xml:space="preserve"> Assuming 19.23 prescriptions per patient per year. </w:t>
      </w:r>
    </w:p>
    <w:p w:rsidR="00C96BB3" w:rsidRPr="00C96BB3" w:rsidRDefault="00C96BB3" w:rsidP="00242C20">
      <w:pPr>
        <w:pStyle w:val="TableFooter"/>
        <w:rPr>
          <w:i/>
        </w:rPr>
      </w:pPr>
      <w:r w:rsidRPr="00C96BB3">
        <w:rPr>
          <w:i/>
        </w:rPr>
        <w:t>The redacted values correspond to the following ranges:</w:t>
      </w:r>
    </w:p>
    <w:p w:rsidR="00C96BB3" w:rsidRPr="00C96BB3" w:rsidRDefault="00C96BB3" w:rsidP="00242C20">
      <w:pPr>
        <w:pStyle w:val="TableFooter"/>
        <w:rPr>
          <w:i/>
        </w:rPr>
      </w:pPr>
      <w:r w:rsidRPr="00C96BB3">
        <w:rPr>
          <w:i/>
          <w:vertAlign w:val="superscript"/>
        </w:rPr>
        <w:t>1</w:t>
      </w:r>
      <w:r w:rsidRPr="00C96BB3">
        <w:rPr>
          <w:i/>
        </w:rPr>
        <w:t>&lt;500</w:t>
      </w:r>
    </w:p>
    <w:p w:rsidR="00C96BB3" w:rsidRPr="00C96BB3" w:rsidRDefault="00C96BB3" w:rsidP="00242C20">
      <w:pPr>
        <w:pStyle w:val="TableFooter"/>
        <w:rPr>
          <w:i/>
        </w:rPr>
      </w:pPr>
      <w:r w:rsidRPr="00C96BB3">
        <w:rPr>
          <w:i/>
          <w:vertAlign w:val="superscript"/>
        </w:rPr>
        <w:t>2</w:t>
      </w:r>
      <w:r w:rsidRPr="00C96BB3">
        <w:rPr>
          <w:i/>
        </w:rPr>
        <w:t>5,000 to &lt;10,000</w:t>
      </w:r>
    </w:p>
    <w:p w:rsidR="00242C20" w:rsidRPr="00C96BB3" w:rsidRDefault="00C96BB3" w:rsidP="00C96BB3">
      <w:pPr>
        <w:pStyle w:val="TableFooter"/>
        <w:rPr>
          <w:i/>
        </w:rPr>
      </w:pPr>
      <w:r w:rsidRPr="00C96BB3">
        <w:rPr>
          <w:i/>
          <w:vertAlign w:val="superscript"/>
        </w:rPr>
        <w:t>3</w:t>
      </w:r>
      <w:r w:rsidRPr="00C96BB3">
        <w:rPr>
          <w:i/>
        </w:rPr>
        <w:t>$40 million to &lt;$50 million</w:t>
      </w:r>
    </w:p>
    <w:p w:rsidR="00C96BB3" w:rsidRPr="00C96BB3" w:rsidRDefault="00C96BB3" w:rsidP="00C96BB3">
      <w:pPr>
        <w:pStyle w:val="TableFooter"/>
        <w:rPr>
          <w:i/>
        </w:rPr>
      </w:pPr>
      <w:r w:rsidRPr="00C96BB3">
        <w:rPr>
          <w:i/>
          <w:vertAlign w:val="superscript"/>
        </w:rPr>
        <w:t>4</w:t>
      </w:r>
      <w:r w:rsidRPr="00C96BB3">
        <w:rPr>
          <w:i/>
        </w:rPr>
        <w:t>$30 million to &lt;$40 million</w:t>
      </w:r>
    </w:p>
    <w:p w:rsidR="00C96BB3" w:rsidRPr="00C96BB3" w:rsidRDefault="00C96BB3" w:rsidP="00C96BB3">
      <w:pPr>
        <w:pStyle w:val="TableFooter"/>
        <w:rPr>
          <w:i/>
        </w:rPr>
      </w:pPr>
      <w:r w:rsidRPr="00C96BB3">
        <w:rPr>
          <w:i/>
          <w:vertAlign w:val="superscript"/>
        </w:rPr>
        <w:t>5</w:t>
      </w:r>
      <w:r w:rsidRPr="00C96BB3">
        <w:rPr>
          <w:i/>
        </w:rPr>
        <w:t>$10 million to &lt;$20 million</w:t>
      </w:r>
    </w:p>
    <w:p w:rsidR="00C96BB3" w:rsidRPr="00C96BB3" w:rsidRDefault="00C96BB3" w:rsidP="00C96BB3">
      <w:pPr>
        <w:pStyle w:val="TableFooter"/>
        <w:rPr>
          <w:i/>
        </w:rPr>
      </w:pPr>
      <w:r w:rsidRPr="00C96BB3">
        <w:rPr>
          <w:i/>
          <w:vertAlign w:val="superscript"/>
        </w:rPr>
        <w:t>6</w:t>
      </w:r>
      <w:r w:rsidRPr="00C96BB3">
        <w:rPr>
          <w:i/>
        </w:rPr>
        <w:t>$20 million to &lt;$30 million</w:t>
      </w:r>
    </w:p>
    <w:p w:rsidR="00C96BB3" w:rsidRPr="00C96BB3" w:rsidRDefault="00C96BB3" w:rsidP="00C96BB3">
      <w:pPr>
        <w:pStyle w:val="TableFooter"/>
        <w:rPr>
          <w:i/>
        </w:rPr>
      </w:pPr>
      <w:r w:rsidRPr="00C96BB3">
        <w:rPr>
          <w:i/>
          <w:vertAlign w:val="superscript"/>
        </w:rPr>
        <w:t>7</w:t>
      </w:r>
      <w:r w:rsidRPr="00C96BB3">
        <w:rPr>
          <w:i/>
        </w:rPr>
        <w:t>net cost saving</w:t>
      </w:r>
    </w:p>
    <w:p w:rsidR="00E07197" w:rsidRPr="00EA3127" w:rsidRDefault="00E07197" w:rsidP="00242C20">
      <w:pPr>
        <w:pStyle w:val="TableFigureFooter"/>
      </w:pPr>
    </w:p>
    <w:p w:rsidR="009A0D0E" w:rsidRPr="00EA3127" w:rsidRDefault="00242C20" w:rsidP="00185A22">
      <w:pPr>
        <w:pStyle w:val="3-BodyText"/>
      </w:pPr>
      <w:r w:rsidRPr="00EA3127">
        <w:t>The submission estimated that the total cost to the PBS/RPBS</w:t>
      </w:r>
      <w:r w:rsidR="004C30D5">
        <w:t>/MBS</w:t>
      </w:r>
      <w:r w:rsidRPr="00EA3127">
        <w:t xml:space="preserve"> of listing pembrolizumab would be </w:t>
      </w:r>
      <w:r w:rsidR="00BA175D">
        <w:t>$</w:t>
      </w:r>
      <w:r w:rsidR="006B7E44">
        <w:t xml:space="preserve">20 million to &lt;$30 </w:t>
      </w:r>
      <w:r w:rsidRPr="00EA3127">
        <w:t>million in Year 6, with a total of $</w:t>
      </w:r>
      <w:r w:rsidR="006B7E44">
        <w:t xml:space="preserve">100 million to &lt;$200 </w:t>
      </w:r>
      <w:r w:rsidRPr="00EA3127">
        <w:t>million in the first 6 years of listing</w:t>
      </w:r>
      <w:r w:rsidR="004603EE">
        <w:t xml:space="preserve"> (based on the price proposed in the submission)</w:t>
      </w:r>
      <w:r w:rsidRPr="00EA3127">
        <w:t xml:space="preserve">. </w:t>
      </w:r>
      <w:r w:rsidR="009A0D0E">
        <w:t xml:space="preserve"> </w:t>
      </w:r>
    </w:p>
    <w:p w:rsidR="00242C20" w:rsidRPr="00EA3127" w:rsidRDefault="00242C20" w:rsidP="00242C20">
      <w:pPr>
        <w:pStyle w:val="3-BodyText"/>
      </w:pPr>
      <w:r w:rsidRPr="00EA3127">
        <w:t>The</w:t>
      </w:r>
      <w:r w:rsidR="004603EE">
        <w:t xml:space="preserve"> average</w:t>
      </w:r>
      <w:r w:rsidR="00DD3B2A">
        <w:t xml:space="preserve"> </w:t>
      </w:r>
      <w:r w:rsidRPr="00EA3127">
        <w:t>treatment duration of pembrolizumab was 57.7 weeks. The submission calculated the number of pembrolizumab prescriptions per year of listing by multiplying the number of patients likely to be treated per year by the number of prescriptions (administrations) per patient per course (i.e. 19.23)</w:t>
      </w:r>
      <w:r w:rsidRPr="00F71C5B">
        <w:t xml:space="preserve">, by assuming that all pembrolizumab prescriptions would be dispensed in the first treatment year. </w:t>
      </w:r>
      <w:r w:rsidR="00851F7D" w:rsidRPr="009001E7">
        <w:t>The PSCR clarified the financ</w:t>
      </w:r>
      <w:r w:rsidR="006C3FCC" w:rsidRPr="009001E7">
        <w:t>ial model appropriately accounted</w:t>
      </w:r>
      <w:r w:rsidR="00851F7D" w:rsidRPr="009001E7">
        <w:t xml:space="preserve"> for this by converting any treatment beyond one year into an equivalent number of patients that are moved and costed into the second y</w:t>
      </w:r>
      <w:r w:rsidR="00027D04" w:rsidRPr="009001E7">
        <w:t>ear in addition to the incident</w:t>
      </w:r>
      <w:r w:rsidR="00851F7D" w:rsidRPr="009001E7">
        <w:t xml:space="preserve"> patients in that year.</w:t>
      </w:r>
      <w:r w:rsidR="00851F7D" w:rsidRPr="009001E7">
        <w:rPr>
          <w:rFonts w:ascii="Arial" w:hAnsi="Arial"/>
          <w:sz w:val="22"/>
          <w:szCs w:val="22"/>
        </w:rPr>
        <w:t xml:space="preserve">  </w:t>
      </w:r>
      <w:r w:rsidR="00062800" w:rsidRPr="009001E7">
        <w:t xml:space="preserve">  </w:t>
      </w:r>
      <w:r w:rsidR="00743B98">
        <w:t xml:space="preserve">The PBAC </w:t>
      </w:r>
      <w:r w:rsidR="007C68F6">
        <w:t xml:space="preserve">noted the clarification provided in the PSCR </w:t>
      </w:r>
      <w:r w:rsidR="00FF14F6">
        <w:t xml:space="preserve">and noted </w:t>
      </w:r>
      <w:r w:rsidR="007C68F6">
        <w:t xml:space="preserve">the Department will </w:t>
      </w:r>
      <w:r w:rsidR="005339C4">
        <w:t>confirm</w:t>
      </w:r>
      <w:r w:rsidR="007C68F6">
        <w:t xml:space="preserve"> the financial model is appropriately accounting for the duration of treatment.  </w:t>
      </w:r>
    </w:p>
    <w:p w:rsidR="00242C20" w:rsidRPr="00E07197" w:rsidRDefault="00242C20" w:rsidP="00242C20">
      <w:pPr>
        <w:pStyle w:val="3-BodyText"/>
      </w:pPr>
      <w:r w:rsidRPr="00EA3127">
        <w:t xml:space="preserve">The financial analysis estimated the number of patients progressing from an earlier stage of CRC to Stage IV disease, based on an Australian population-based analysis (Luo </w:t>
      </w:r>
      <w:r w:rsidRPr="00F71C5B">
        <w:t xml:space="preserve">et al </w:t>
      </w:r>
      <w:r w:rsidRPr="00EA3127">
        <w:t>2017)</w:t>
      </w:r>
      <w:r w:rsidRPr="00EA3127">
        <w:rPr>
          <w:rStyle w:val="FootnoteReference"/>
        </w:rPr>
        <w:footnoteReference w:id="11"/>
      </w:r>
      <w:r w:rsidRPr="00EA3127">
        <w:t xml:space="preserve">. The weighted 5-year disease progression rate reported in this study (27.5%) was applied to the total incident population of Stage II and Stage III CRC patients who were diagnosed 5 years prior to each of the post listing years of pembrolizumab. </w:t>
      </w:r>
      <w:r w:rsidRPr="00F71C5B">
        <w:t xml:space="preserve">The </w:t>
      </w:r>
      <w:r w:rsidR="00851F7D" w:rsidRPr="009001E7">
        <w:t xml:space="preserve">evaluation considered the </w:t>
      </w:r>
      <w:r w:rsidRPr="009001E7">
        <w:t xml:space="preserve">application of the </w:t>
      </w:r>
      <w:r w:rsidR="00536DE4" w:rsidRPr="009001E7">
        <w:t xml:space="preserve">5-year </w:t>
      </w:r>
      <w:r w:rsidRPr="009001E7">
        <w:t xml:space="preserve">disease progression rate across Stages I-III from the study to the estimated incident patients diagnosed with Stages II-III disease in the Australian setting </w:t>
      </w:r>
      <w:r w:rsidR="00536DE4" w:rsidRPr="009001E7">
        <w:t xml:space="preserve">was not appropriate and the use of lower progression rate </w:t>
      </w:r>
      <w:r w:rsidRPr="009001E7">
        <w:t xml:space="preserve">has underestimated the eligible mCRC population for pembrolizumab. </w:t>
      </w:r>
      <w:r w:rsidR="00851F7D" w:rsidRPr="009001E7">
        <w:t xml:space="preserve">The PSCR addressed this by applying a rate of 37.08% (rather than 27.5%) </w:t>
      </w:r>
      <w:r w:rsidR="00F14E1D" w:rsidRPr="009001E7">
        <w:t xml:space="preserve">to the incident Stage II and III CRC patients who were diagnosed in the previous 5 years </w:t>
      </w:r>
      <w:r w:rsidR="00851F7D" w:rsidRPr="009001E7">
        <w:t xml:space="preserve">and provided revised financial estimates accounting for the higher patient numbers.  </w:t>
      </w:r>
      <w:r w:rsidR="00F14E1D" w:rsidRPr="009001E7">
        <w:t>However, the ESC noted that both rates (27.5% applied in the base case, and 37.08% applied in the PSCR) do not account for the reduced risk of prog</w:t>
      </w:r>
      <w:r w:rsidR="00614662" w:rsidRPr="009001E7">
        <w:t>r</w:t>
      </w:r>
      <w:r w:rsidR="00F14E1D" w:rsidRPr="009001E7">
        <w:t>ession from Stage II disease to metastatic disease in dMMR patients (which may be up to 50% lower compared to pMMR patients) which may lead to an overestimation of progressing patients</w:t>
      </w:r>
      <w:r w:rsidR="00F14E1D" w:rsidRPr="009001E7">
        <w:rPr>
          <w:rStyle w:val="FootnoteReference"/>
        </w:rPr>
        <w:footnoteReference w:id="12"/>
      </w:r>
      <w:r w:rsidR="00F14E1D" w:rsidRPr="009001E7">
        <w:t>.</w:t>
      </w:r>
      <w:r w:rsidR="00F14E1D">
        <w:rPr>
          <w:i/>
        </w:rPr>
        <w:t xml:space="preserve">  </w:t>
      </w:r>
      <w:r w:rsidR="00E07197" w:rsidRPr="00E07197">
        <w:t xml:space="preserve">The pre-PBAC response </w:t>
      </w:r>
      <w:r w:rsidR="00E07197">
        <w:t>acknowledged</w:t>
      </w:r>
      <w:r w:rsidR="00E07197" w:rsidRPr="00E07197">
        <w:t xml:space="preserve"> the</w:t>
      </w:r>
      <w:r w:rsidR="00E07197">
        <w:t xml:space="preserve"> concerns raised by the ESC and reduced the rate applied to 18.54% (50% x 37.08%).  </w:t>
      </w:r>
    </w:p>
    <w:p w:rsidR="00242C20" w:rsidRPr="00E07197" w:rsidRDefault="00242C20" w:rsidP="004D6312">
      <w:pPr>
        <w:pStyle w:val="3-BodyText"/>
      </w:pPr>
      <w:r w:rsidRPr="00EA3127">
        <w:t xml:space="preserve">Prevalent patients and grandfathered patients were considered in the first year of listing. The prevalent population who are eligible for pembrolizumab was determined on the basis of Stage IV dMMR patients who were diagnosed in the previous year and still alive. </w:t>
      </w:r>
      <w:r w:rsidRPr="00531ED9">
        <w:t>The AIHW prevalent data as used in the financial analysis relates to the point prevalence as at a specific date, and does not include prevalent patients over the whole calendar year</w:t>
      </w:r>
      <w:r w:rsidR="00541BB5">
        <w:t xml:space="preserve">. </w:t>
      </w:r>
      <w:r w:rsidR="00824045" w:rsidRPr="00E07197">
        <w:t xml:space="preserve">The ESC considered the </w:t>
      </w:r>
      <w:r w:rsidR="00E43A17" w:rsidRPr="00E07197">
        <w:t>submission’s assumption of identical treatment duration of pembrolizumab in the grand</w:t>
      </w:r>
      <w:r w:rsidR="00CC64E3" w:rsidRPr="00E07197">
        <w:t>fa</w:t>
      </w:r>
      <w:r w:rsidR="00E43A17" w:rsidRPr="00E07197">
        <w:t>ther</w:t>
      </w:r>
      <w:r w:rsidR="00CC64E3" w:rsidRPr="00E07197">
        <w:t>ed patients and in the incident</w:t>
      </w:r>
      <w:r w:rsidR="00E43A17" w:rsidRPr="00E07197">
        <w:t>/prevalent patients was not reasonable, as the grandfathered patients should have received some cycles of pembrolizumab treatment prior to commencement of PBS-subsidised therapy.</w:t>
      </w:r>
      <w:r w:rsidR="006C4158">
        <w:t xml:space="preserve"> The pre-PBAC response stated an appropriate duration of treatment for grandfathered patients would be </w:t>
      </w:r>
      <w:r w:rsidR="00FF14F6">
        <w:t xml:space="preserve">finalised </w:t>
      </w:r>
      <w:r w:rsidR="006C4158">
        <w:t xml:space="preserve">with the Department of Health upon receipt of a recommendation to list. </w:t>
      </w:r>
      <w:r w:rsidR="002E16D1" w:rsidRPr="002E16D1">
        <w:t xml:space="preserve"> </w:t>
      </w:r>
      <w:r w:rsidR="002E16D1">
        <w:t xml:space="preserve">The PBAC was of the view that in accordance with the </w:t>
      </w:r>
      <w:r w:rsidR="00FF14F6">
        <w:t>average</w:t>
      </w:r>
      <w:r w:rsidR="002E16D1">
        <w:t xml:space="preserve"> treatment duration, it was likely that a significant part of treatment would have elapsed at time of listing for grandfathered patien</w:t>
      </w:r>
      <w:r w:rsidR="004603EE">
        <w:t>t</w:t>
      </w:r>
      <w:r w:rsidR="002E16D1">
        <w:t>s, only half the course should be accounted for in the financial estimates.</w:t>
      </w:r>
    </w:p>
    <w:p w:rsidR="004405C0" w:rsidRDefault="00242C20" w:rsidP="00531ED9">
      <w:pPr>
        <w:pStyle w:val="3-BodyText"/>
      </w:pPr>
      <w:r>
        <w:t>The prevalence of dMMR used in the financial analysis was sourced from the Australian TRACC registry</w:t>
      </w:r>
      <w:r>
        <w:rPr>
          <w:rStyle w:val="FootnoteReference"/>
        </w:rPr>
        <w:footnoteReference w:id="13"/>
      </w:r>
      <w:r>
        <w:t xml:space="preserve"> (6.9%). </w:t>
      </w:r>
      <w:r w:rsidRPr="00F71C5B">
        <w:t xml:space="preserve">The previous submission of pembrolizumab as later-line therapy for treatment of dMMR mCRC assumed a prevalence of 4% based on expert opinion. </w:t>
      </w:r>
      <w:r w:rsidR="00FB5BCA">
        <w:t xml:space="preserve"> </w:t>
      </w:r>
      <w:r w:rsidR="00FB5BCA" w:rsidRPr="00E07197">
        <w:t xml:space="preserve">The PSCR stated that previous estimates of the proportion of dMMR in mCRC varied but was mostly taken from older studies and were not conducted in Australia.  </w:t>
      </w:r>
      <w:r w:rsidR="00134B97" w:rsidRPr="00E07197">
        <w:t>The PSCR stated that o</w:t>
      </w:r>
      <w:r w:rsidR="00FB5BCA" w:rsidRPr="00E07197">
        <w:t>ver the last decade, testing has become routine, and as a result, it is plausible for the proportion of dMMR patients to increase. Therefore, the sponsor maintains that the 6.9% prevalence of dMMR mCRC from the TRACC registry is the most accurate, objective estimate available.</w:t>
      </w:r>
      <w:r w:rsidR="00270CD2" w:rsidRPr="00E07197">
        <w:t xml:space="preserve"> The ESC noted 6.9% was based on Australian </w:t>
      </w:r>
      <w:r w:rsidR="00614662" w:rsidRPr="00E07197">
        <w:t>registry</w:t>
      </w:r>
      <w:r w:rsidR="00270CD2" w:rsidRPr="00E07197">
        <w:t xml:space="preserve"> data and considered it may be reasonable</w:t>
      </w:r>
      <w:r w:rsidR="00531ED9">
        <w:t>.</w:t>
      </w:r>
    </w:p>
    <w:p w:rsidR="004405C0" w:rsidRDefault="004405C0" w:rsidP="00531ED9">
      <w:pPr>
        <w:pStyle w:val="3-BodyText"/>
      </w:pPr>
      <w:r>
        <w:t>The pre-PBAC response provided revised financials with the following changes:</w:t>
      </w:r>
    </w:p>
    <w:p w:rsidR="004405C0" w:rsidRDefault="004405C0" w:rsidP="00253541">
      <w:pPr>
        <w:pStyle w:val="3-BodyText"/>
        <w:numPr>
          <w:ilvl w:val="0"/>
          <w:numId w:val="14"/>
        </w:numPr>
      </w:pPr>
      <w:r>
        <w:t>Reduced progression rate for Stage II patients to 18.54% (paragraph 6.66);</w:t>
      </w:r>
    </w:p>
    <w:p w:rsidR="004405C0" w:rsidRDefault="004405C0" w:rsidP="00253541">
      <w:pPr>
        <w:pStyle w:val="3-BodyText"/>
        <w:numPr>
          <w:ilvl w:val="0"/>
          <w:numId w:val="14"/>
        </w:numPr>
      </w:pPr>
      <w:r>
        <w:t>Removed the statutory price reduction for bevacizumab (paragraph 6.47);</w:t>
      </w:r>
    </w:p>
    <w:p w:rsidR="004405C0" w:rsidRDefault="004405C0" w:rsidP="00253541">
      <w:pPr>
        <w:pStyle w:val="3-BodyText"/>
        <w:numPr>
          <w:ilvl w:val="0"/>
          <w:numId w:val="14"/>
        </w:numPr>
      </w:pPr>
      <w:r>
        <w:t>Assumed 50% of remaining prevalent patients would be suitable for first line pembrolizumab (Table 14);</w:t>
      </w:r>
    </w:p>
    <w:p w:rsidR="00185A22" w:rsidRDefault="00185A22" w:rsidP="00253541">
      <w:pPr>
        <w:pStyle w:val="3-BodyText"/>
        <w:numPr>
          <w:ilvl w:val="0"/>
          <w:numId w:val="14"/>
        </w:numPr>
      </w:pPr>
      <w:r>
        <w:t>Assumed 10% of mFOL</w:t>
      </w:r>
      <w:r w:rsidR="005339C4">
        <w:t>FO</w:t>
      </w:r>
      <w:r>
        <w:t>X used would be in combination with cetuximab (Table 14)</w:t>
      </w:r>
      <w:r w:rsidR="00404AEB">
        <w:t>;</w:t>
      </w:r>
    </w:p>
    <w:p w:rsidR="00404AEB" w:rsidRDefault="00185A22" w:rsidP="00253541">
      <w:pPr>
        <w:pStyle w:val="3-BodyText"/>
        <w:numPr>
          <w:ilvl w:val="0"/>
          <w:numId w:val="14"/>
        </w:numPr>
      </w:pPr>
      <w:r>
        <w:t>Utilised MBS Item 13950 for administration costs (Table 14)</w:t>
      </w:r>
      <w:r w:rsidR="00404AEB">
        <w:t xml:space="preserve"> and</w:t>
      </w:r>
    </w:p>
    <w:p w:rsidR="00185A22" w:rsidRDefault="00E208AC" w:rsidP="00253541">
      <w:pPr>
        <w:pStyle w:val="3-BodyText"/>
        <w:numPr>
          <w:ilvl w:val="0"/>
          <w:numId w:val="14"/>
        </w:numPr>
      </w:pPr>
      <w:r>
        <w:t xml:space="preserve">Using the </w:t>
      </w:r>
      <w:r w:rsidR="00404AEB">
        <w:t>revised AEMP ($</w:t>
      </w:r>
      <w:r w:rsidR="0047136C">
        <w:rPr>
          <w:noProof/>
          <w:color w:val="000000"/>
          <w:highlight w:val="black"/>
        </w:rPr>
        <w:t>''''''''''''''''</w:t>
      </w:r>
      <w:r w:rsidR="00404AEB">
        <w:t xml:space="preserve"> per 100 mg vial).</w:t>
      </w:r>
    </w:p>
    <w:p w:rsidR="00531ED9" w:rsidRPr="00F71C5B" w:rsidRDefault="00185A22" w:rsidP="00185A22">
      <w:pPr>
        <w:pStyle w:val="3-BodyText"/>
        <w:numPr>
          <w:ilvl w:val="0"/>
          <w:numId w:val="0"/>
        </w:numPr>
        <w:ind w:left="720"/>
      </w:pPr>
      <w:r w:rsidRPr="00185A22">
        <w:t xml:space="preserve">The </w:t>
      </w:r>
      <w:r>
        <w:t xml:space="preserve">financial estimates provided in the pre-PBAC response estimated </w:t>
      </w:r>
      <w:r w:rsidRPr="00185A22">
        <w:t xml:space="preserve">the total </w:t>
      </w:r>
      <w:r w:rsidR="004C30D5">
        <w:t xml:space="preserve">net </w:t>
      </w:r>
      <w:r w:rsidRPr="00185A22">
        <w:t>cost to the PBS/RPBS</w:t>
      </w:r>
      <w:r w:rsidR="004C30D5">
        <w:t>/MBS</w:t>
      </w:r>
      <w:r w:rsidRPr="00185A22">
        <w:t xml:space="preserve"> of listing pemb</w:t>
      </w:r>
      <w:r w:rsidR="004C30D5">
        <w:t>rolizumab would be $</w:t>
      </w:r>
      <w:r w:rsidR="006B7E44">
        <w:t xml:space="preserve">10 million to &lt;$20 million </w:t>
      </w:r>
      <w:r w:rsidRPr="00185A22">
        <w:t>i</w:t>
      </w:r>
      <w:r w:rsidR="004C30D5">
        <w:t>n Year 6, with a total of $</w:t>
      </w:r>
      <w:r w:rsidR="006B7E44">
        <w:t>100 million to &lt;$200 million</w:t>
      </w:r>
      <w:r>
        <w:t xml:space="preserve"> </w:t>
      </w:r>
      <w:r w:rsidRPr="00185A22">
        <w:t>in the first 6 years of listing.</w:t>
      </w:r>
      <w:r>
        <w:t xml:space="preserve"> These estimates have not been evaluated. </w:t>
      </w:r>
    </w:p>
    <w:p w:rsidR="00242C20" w:rsidRPr="00F71C5B" w:rsidRDefault="00242C20" w:rsidP="00242C20">
      <w:pPr>
        <w:pStyle w:val="3-BodyText"/>
      </w:pPr>
      <w:r w:rsidRPr="00F71C5B">
        <w:t xml:space="preserve">Uncertainty remained regarding the change in the SoC costs to the PBS/RPBS, as the financial analysis did not consider the cost implications relating to the change in use of subsequent SoC therapies as a result of listing of first-line pembrolizumab. </w:t>
      </w:r>
    </w:p>
    <w:p w:rsidR="00242C20" w:rsidRPr="00EA3127" w:rsidRDefault="00242C20" w:rsidP="00242C20">
      <w:pPr>
        <w:pStyle w:val="4-SubsectionHeading"/>
      </w:pPr>
      <w:bookmarkStart w:id="31" w:name="_Toc22897648"/>
      <w:bookmarkStart w:id="32" w:name="_Toc62027411"/>
      <w:r w:rsidRPr="00EA3127">
        <w:t>Quality Use of Medicines</w:t>
      </w:r>
      <w:bookmarkEnd w:id="31"/>
      <w:bookmarkEnd w:id="32"/>
    </w:p>
    <w:p w:rsidR="00242C20" w:rsidRPr="00EA3127" w:rsidRDefault="00242C20" w:rsidP="00242C20">
      <w:pPr>
        <w:pStyle w:val="3-BodyText"/>
      </w:pPr>
      <w:r w:rsidRPr="00EA3127">
        <w:t>The submission detailed a number of activities relating to the quality use of medicines, including the development of education materials, education programs and a 1800 medical information telephone service to respond to questions from patients, careers and health care professionals about all of their medicines.</w:t>
      </w:r>
    </w:p>
    <w:p w:rsidR="00242C20" w:rsidRPr="00EA3127" w:rsidRDefault="00242C20" w:rsidP="00242C20">
      <w:pPr>
        <w:pStyle w:val="4-SubsectionHeading"/>
      </w:pPr>
      <w:bookmarkStart w:id="33" w:name="_Toc22897649"/>
      <w:bookmarkStart w:id="34" w:name="_Toc62027412"/>
      <w:r w:rsidRPr="00EA3127">
        <w:t>Financial Management – Risk Sharing Arrangements</w:t>
      </w:r>
      <w:bookmarkEnd w:id="33"/>
      <w:bookmarkEnd w:id="34"/>
    </w:p>
    <w:p w:rsidR="00295970" w:rsidRDefault="00242C20" w:rsidP="001823E1">
      <w:pPr>
        <w:pStyle w:val="3-BodyText"/>
      </w:pPr>
      <w:r w:rsidRPr="00EA3127">
        <w:t xml:space="preserve">The submission stated that the sponsor is willing to enter into a Risk-Sharing Arrangement (RSA) with the Commonwealth. For the purpose of the RSA, the sponsor agrees to reimburse the </w:t>
      </w:r>
      <w:r w:rsidRPr="00E07197">
        <w:t>Commonwealth with a proportion of the treatment costs of pembrolizumab, should use exceed the subsidisation cap in that year. Following</w:t>
      </w:r>
      <w:r w:rsidRPr="00EA3127">
        <w:t xml:space="preserve"> a positive recommendation, the submission stated that the sponsor is committed to working with the Commonwealth to finalise the specific parameters for inclusion in the RSA including the rebate proportion to be paid.</w:t>
      </w:r>
    </w:p>
    <w:p w:rsidR="00295970" w:rsidRDefault="00295970">
      <w:pPr>
        <w:jc w:val="left"/>
        <w:rPr>
          <w:rFonts w:asciiTheme="minorHAnsi" w:hAnsiTheme="minorHAnsi"/>
          <w:snapToGrid w:val="0"/>
        </w:rPr>
      </w:pPr>
      <w:r>
        <w:br w:type="page"/>
      </w:r>
    </w:p>
    <w:p w:rsidR="00D03403" w:rsidRDefault="00D03403" w:rsidP="00D03403">
      <w:pPr>
        <w:pStyle w:val="2-SectionHeading"/>
      </w:pPr>
      <w:bookmarkStart w:id="35" w:name="_Toc62027414"/>
      <w:bookmarkEnd w:id="25"/>
      <w:r>
        <w:t>PBAC outcome</w:t>
      </w:r>
    </w:p>
    <w:p w:rsidR="00AB7FA3" w:rsidRDefault="00200C61" w:rsidP="0014002D">
      <w:pPr>
        <w:pStyle w:val="3-BodyText"/>
      </w:pPr>
      <w:r w:rsidRPr="00200C61">
        <w:t xml:space="preserve">The PBAC recommended the </w:t>
      </w:r>
      <w:r w:rsidRPr="00B24C99">
        <w:t>Section 100 (Efficient Funding of Chemotherapy – Public and Private Hospital) A</w:t>
      </w:r>
      <w:r>
        <w:t>uthority Required (</w:t>
      </w:r>
      <w:r w:rsidR="004B00C9">
        <w:t>Telephone</w:t>
      </w:r>
      <w:r>
        <w:t>)</w:t>
      </w:r>
      <w:r w:rsidRPr="00200C61">
        <w:t xml:space="preserve"> lis</w:t>
      </w:r>
      <w:r>
        <w:t xml:space="preserve">ting of pembrolizumab </w:t>
      </w:r>
      <w:r w:rsidRPr="00200C61">
        <w:t>for the first line tre</w:t>
      </w:r>
      <w:r w:rsidR="001A584E">
        <w:t xml:space="preserve">atment of unresectable </w:t>
      </w:r>
      <w:r w:rsidR="00991453">
        <w:t>or</w:t>
      </w:r>
      <w:r w:rsidR="001A584E">
        <w:t xml:space="preserve"> </w:t>
      </w:r>
      <w:r w:rsidR="001A584E" w:rsidRPr="00200C61">
        <w:t xml:space="preserve">metastatic (Stage IV) </w:t>
      </w:r>
      <w:r w:rsidRPr="00200C61">
        <w:t>mismatch repair deficient (dMMR) colorectal cancer (mCRC).</w:t>
      </w:r>
      <w:r w:rsidR="00AB7FA3">
        <w:t xml:space="preserve"> </w:t>
      </w:r>
      <w:r w:rsidR="0014002D" w:rsidRPr="0014002D">
        <w:t xml:space="preserve">The PBAC considered </w:t>
      </w:r>
      <w:r w:rsidR="0014002D">
        <w:t>a revision</w:t>
      </w:r>
      <w:r w:rsidR="0014002D" w:rsidRPr="0014002D">
        <w:t xml:space="preserve"> to the</w:t>
      </w:r>
      <w:r w:rsidR="0014002D">
        <w:t xml:space="preserve"> time horizon of the economic model was </w:t>
      </w:r>
      <w:r w:rsidR="0014002D" w:rsidRPr="0014002D">
        <w:t xml:space="preserve">required to account for the uncertain gain in overall survival, and that with the revised model </w:t>
      </w:r>
      <w:r w:rsidR="0014002D" w:rsidRPr="00532510">
        <w:t>pembrolizumab would be cost effective with an ICER</w:t>
      </w:r>
      <w:r w:rsidR="004761F0" w:rsidRPr="00532510">
        <w:t xml:space="preserve"> </w:t>
      </w:r>
      <w:r w:rsidR="000A4B18">
        <w:t xml:space="preserve">closer to </w:t>
      </w:r>
      <w:r w:rsidR="00E722B9" w:rsidRPr="00532510">
        <w:t xml:space="preserve">what was presented as </w:t>
      </w:r>
      <w:r w:rsidR="00E032B5">
        <w:t xml:space="preserve">the </w:t>
      </w:r>
      <w:r w:rsidR="00E722B9" w:rsidRPr="00532510">
        <w:t>base case in the submission.</w:t>
      </w:r>
      <w:r w:rsidR="0014002D" w:rsidRPr="00200C61" w:rsidDel="0014002D">
        <w:t xml:space="preserve"> </w:t>
      </w:r>
      <w:r w:rsidRPr="00200C61">
        <w:t xml:space="preserve">The PBAC considered a risk share arrangement was required to manage the uncertainty associated with the </w:t>
      </w:r>
      <w:r w:rsidR="00F16617">
        <w:t>overall cost to the PBS</w:t>
      </w:r>
      <w:r w:rsidRPr="00200C61">
        <w:t xml:space="preserve">.  </w:t>
      </w:r>
    </w:p>
    <w:p w:rsidR="00AB7FA3" w:rsidRPr="00253541" w:rsidRDefault="00AB7FA3" w:rsidP="00150BE4">
      <w:pPr>
        <w:pStyle w:val="3-BodyText"/>
      </w:pPr>
      <w:r w:rsidRPr="00B24C99">
        <w:t xml:space="preserve">The PBAC is satisfied that </w:t>
      </w:r>
      <w:r>
        <w:t xml:space="preserve">pembrolizumab </w:t>
      </w:r>
      <w:r w:rsidRPr="00B24C99">
        <w:t>provides, for some patients, a significant improvement in efficacy over</w:t>
      </w:r>
      <w:r>
        <w:t xml:space="preserve"> standard of</w:t>
      </w:r>
      <w:r w:rsidR="00150BE4">
        <w:t xml:space="preserve"> care, represented in the submission by a </w:t>
      </w:r>
      <w:r w:rsidR="00150BE4" w:rsidRPr="00253541">
        <w:t xml:space="preserve">FOLFOX </w:t>
      </w:r>
      <w:r w:rsidR="00482E71" w:rsidRPr="00253541">
        <w:t>c</w:t>
      </w:r>
      <w:r w:rsidR="00150BE4" w:rsidRPr="00253541">
        <w:t>hemotherapy regimen with or without cetuximab or bevacizumab</w:t>
      </w:r>
      <w:r w:rsidRPr="00253541">
        <w:t xml:space="preserve">. </w:t>
      </w:r>
    </w:p>
    <w:p w:rsidR="00200C61" w:rsidRDefault="00AC68A8" w:rsidP="00200C61">
      <w:pPr>
        <w:pStyle w:val="3-BodyText"/>
      </w:pPr>
      <w:r w:rsidRPr="00253541">
        <w:t xml:space="preserve">The PBAC noted </w:t>
      </w:r>
      <w:r w:rsidR="00843404" w:rsidRPr="00253541">
        <w:t xml:space="preserve">the consumer comments received for this submission which highlighted the </w:t>
      </w:r>
      <w:r w:rsidRPr="00253541">
        <w:t xml:space="preserve">high clinical need for </w:t>
      </w:r>
      <w:r w:rsidR="00843404" w:rsidRPr="00253541">
        <w:t xml:space="preserve">additional </w:t>
      </w:r>
      <w:r w:rsidRPr="00253541">
        <w:t xml:space="preserve">treatments </w:t>
      </w:r>
      <w:r w:rsidR="00843404" w:rsidRPr="00253541">
        <w:t xml:space="preserve">for </w:t>
      </w:r>
      <w:r w:rsidR="00150BE4" w:rsidRPr="00253541">
        <w:t xml:space="preserve">mCRC </w:t>
      </w:r>
      <w:r w:rsidR="00843404" w:rsidRPr="00253541">
        <w:t>that improve survival and qualify of life.</w:t>
      </w:r>
      <w:r w:rsidR="00253541" w:rsidRPr="00253541">
        <w:t xml:space="preserve"> </w:t>
      </w:r>
    </w:p>
    <w:p w:rsidR="0066636A" w:rsidRPr="00253541" w:rsidRDefault="00945EE2" w:rsidP="00200C61">
      <w:pPr>
        <w:pStyle w:val="3-BodyText"/>
      </w:pPr>
      <w:r>
        <w:t xml:space="preserve">The submission requested listing in patients with </w:t>
      </w:r>
      <w:r w:rsidRPr="00200C61">
        <w:t xml:space="preserve">metastatic </w:t>
      </w:r>
      <w:r>
        <w:t>dMMR CRC. T</w:t>
      </w:r>
      <w:r w:rsidR="003915BA">
        <w:t>he PBAC</w:t>
      </w:r>
      <w:r w:rsidR="0066636A">
        <w:t xml:space="preserve"> </w:t>
      </w:r>
      <w:r>
        <w:t>noted the TGA indicati</w:t>
      </w:r>
      <w:r w:rsidR="003915BA">
        <w:t>on included patients with unresectable disease and considered there was also a clinical need for additional treatments in these patients. The PBAC considered the clinical data in metastatic patients was also relevant to patients with unresectable disease and it was approp</w:t>
      </w:r>
      <w:r w:rsidR="004A03F1">
        <w:t xml:space="preserve">riate to allow PBS- subsidised access for this small group of </w:t>
      </w:r>
      <w:r w:rsidR="003915BA">
        <w:t xml:space="preserve">patients.  </w:t>
      </w:r>
    </w:p>
    <w:p w:rsidR="00843404" w:rsidRDefault="00843404" w:rsidP="00200C61">
      <w:pPr>
        <w:pStyle w:val="3-BodyText"/>
      </w:pPr>
      <w:r>
        <w:t xml:space="preserve">The PBAC noted the submission was based on one </w:t>
      </w:r>
      <w:r w:rsidR="004D7C31">
        <w:t>open-label, randomised, active-controlled trial (n=307) comparing pembrolizumab 200 mg every 3 weeks to FOLFOX with or without cetuximab or bevacizumab in treatment naïve patients with MS</w:t>
      </w:r>
      <w:r w:rsidR="00AB3951">
        <w:t>I-</w:t>
      </w:r>
      <w:r w:rsidR="004D7C31">
        <w:t xml:space="preserve">H/dMMR mCRC. </w:t>
      </w:r>
      <w:r w:rsidR="00283206">
        <w:t>The PBAC noted the</w:t>
      </w:r>
      <w:r w:rsidR="007710BE">
        <w:t xml:space="preserve"> median PFS in the pembrolizumab treatment arm was 16.5 months compared to  8.2 months in the standard care arm [HR 0.60 (95%CI: 0.45, 0.80)]. The PBAC noted </w:t>
      </w:r>
      <w:r w:rsidR="003312F9">
        <w:t>that the current</w:t>
      </w:r>
      <w:r w:rsidR="00026186">
        <w:t>ly available OS</w:t>
      </w:r>
      <w:r w:rsidR="003312F9">
        <w:t xml:space="preserve"> data did not demonstrate a statistically significant </w:t>
      </w:r>
      <w:r w:rsidR="007710BE">
        <w:t xml:space="preserve">OS benefit for pembrolizumab [HR 0.77 (95%CI: 0.54, 1.09)]. </w:t>
      </w:r>
      <w:r w:rsidR="007710BE" w:rsidRPr="007710BE">
        <w:t xml:space="preserve"> </w:t>
      </w:r>
      <w:r w:rsidR="007710BE">
        <w:t>The PBAC noted the OS data is immature (events</w:t>
      </w:r>
      <w:r w:rsidR="004603EE">
        <w:t>in 41% of patients</w:t>
      </w:r>
      <w:r w:rsidR="007710BE">
        <w:t>) and median OS had not been reached in the pembrolizumab arm.  The PBAC noted the</w:t>
      </w:r>
      <w:r w:rsidR="008B632E">
        <w:t xml:space="preserve"> OS results were likely confounded by the </w:t>
      </w:r>
      <w:r w:rsidR="00541BB5">
        <w:t xml:space="preserve">substantial </w:t>
      </w:r>
      <w:r w:rsidR="007710BE">
        <w:t xml:space="preserve">cross over </w:t>
      </w:r>
      <w:r w:rsidR="008B632E">
        <w:t>from the SoC treatment arm to immunotherapy (approximately 60% of all patients randomised). The PBAC noted the OS rates at the 18 month and 24 month time points numerically favoured pembrolizumab (</w:t>
      </w:r>
      <w:r w:rsidR="008B632E" w:rsidRPr="008D0DD7">
        <w:t xml:space="preserve">paragraph </w:t>
      </w:r>
      <w:r w:rsidR="008D0DD7" w:rsidRPr="008D0DD7">
        <w:t>6.11</w:t>
      </w:r>
      <w:r w:rsidR="008B632E" w:rsidRPr="008D0DD7">
        <w:t>). Overall</w:t>
      </w:r>
      <w:r w:rsidR="008B632E">
        <w:t>, the PBAC agreed with the ESC that the PFS benefit observed with pembrolizumab in dMMR mCRC is likely to correlate with an OS benefit (</w:t>
      </w:r>
      <w:r w:rsidR="008B632E" w:rsidRPr="00E208AC">
        <w:t xml:space="preserve">paragraph </w:t>
      </w:r>
      <w:r w:rsidR="00E208AC" w:rsidRPr="00E208AC">
        <w:t>6.37</w:t>
      </w:r>
      <w:r w:rsidR="008B632E" w:rsidRPr="00E208AC">
        <w:t>)</w:t>
      </w:r>
      <w:r w:rsidR="00C032E1" w:rsidRPr="00E208AC">
        <w:t>, although</w:t>
      </w:r>
      <w:r w:rsidR="00C032E1">
        <w:t xml:space="preserve"> the magnitude of the benefit is uncertain</w:t>
      </w:r>
      <w:r w:rsidR="008B632E">
        <w:t xml:space="preserve">.  </w:t>
      </w:r>
    </w:p>
    <w:p w:rsidR="004B2247" w:rsidRDefault="004603EE" w:rsidP="00081AC1">
      <w:pPr>
        <w:pStyle w:val="3-BodyText"/>
      </w:pPr>
      <w:r>
        <w:t xml:space="preserve">The PBAC noted the final analysis of OS was expected early in 2021, however considered that more mature clinical data may not reduce the uncertainty with respect to the magniture of benefit due to the extent of cross over. The PBAC noted ESC considered that of the methods used to adjust for cross-over, the RPFST </w:t>
      </w:r>
      <w:r w:rsidRPr="00BC1EF3">
        <w:t xml:space="preserve">approach (without recensoring) </w:t>
      </w:r>
      <w:r w:rsidRPr="00C83DE5">
        <w:t xml:space="preserve">was </w:t>
      </w:r>
      <w:r>
        <w:t xml:space="preserve">most appropriate </w:t>
      </w:r>
      <w:r w:rsidRPr="00C83DE5">
        <w:t>(</w:t>
      </w:r>
      <w:r w:rsidRPr="00E208AC">
        <w:t>paragraph 6.43)</w:t>
      </w:r>
      <w:r>
        <w:t xml:space="preserve"> and that the likely extent of benefit was greater than predicted by the ITT analysis, although possibly less than predicted by the RPSFT analysis</w:t>
      </w:r>
      <w:r w:rsidR="0014002D">
        <w:t>.</w:t>
      </w:r>
    </w:p>
    <w:p w:rsidR="002A7DA3" w:rsidRPr="00C83DE5" w:rsidRDefault="004B2247" w:rsidP="00081AC1">
      <w:pPr>
        <w:pStyle w:val="3-BodyText"/>
      </w:pPr>
      <w:r w:rsidRPr="00AC0FE5">
        <w:t xml:space="preserve">The PBAC considered the claim of </w:t>
      </w:r>
      <w:r>
        <w:t xml:space="preserve">superior </w:t>
      </w:r>
      <w:r w:rsidRPr="00AC0FE5">
        <w:t>safety compared to</w:t>
      </w:r>
      <w:r>
        <w:t xml:space="preserve"> SoC</w:t>
      </w:r>
      <w:r w:rsidRPr="00AC0FE5">
        <w:t xml:space="preserve"> to be reasonable.</w:t>
      </w:r>
      <w:r>
        <w:t xml:space="preserve"> The PBAC noted the </w:t>
      </w:r>
      <w:r w:rsidRPr="00081AC1">
        <w:t>adverse events observed for pembrolizumab were consistent with its established safety profile and no new safety signals were observed.</w:t>
      </w:r>
    </w:p>
    <w:p w:rsidR="0076300E" w:rsidRDefault="002A73C5" w:rsidP="00E0038F">
      <w:pPr>
        <w:pStyle w:val="3-BodyText"/>
      </w:pPr>
      <w:r w:rsidRPr="00C83DE5">
        <w:t xml:space="preserve">The PBAC noted the submission presented a cost-utility analysis to estimate the cost-effectiveness of pembrolizumab with a base case </w:t>
      </w:r>
      <w:r w:rsidR="001B4C95" w:rsidRPr="00C83DE5">
        <w:t>ICER</w:t>
      </w:r>
      <w:r>
        <w:t xml:space="preserve"> of $</w:t>
      </w:r>
      <w:r w:rsidR="006B7E44">
        <w:t>55,000 to &lt;$75,000</w:t>
      </w:r>
      <w:r w:rsidRPr="002A73C5">
        <w:t xml:space="preserve"> /QALY. </w:t>
      </w:r>
      <w:r w:rsidR="00303CE9">
        <w:t xml:space="preserve">With the revised assumptions </w:t>
      </w:r>
      <w:r w:rsidR="004603EE">
        <w:t xml:space="preserve">provided in the </w:t>
      </w:r>
      <w:r w:rsidR="00303CE9">
        <w:t>pre</w:t>
      </w:r>
      <w:r w:rsidR="004603EE">
        <w:t>-</w:t>
      </w:r>
      <w:r w:rsidR="00303CE9">
        <w:t>PBAC response the ICER increased to $</w:t>
      </w:r>
      <w:r w:rsidR="006B7E44">
        <w:t>75,000 to &lt;$95,000</w:t>
      </w:r>
      <w:r w:rsidR="00303CE9">
        <w:t>/QALY (</w:t>
      </w:r>
      <w:r w:rsidR="00303CE9" w:rsidRPr="00E208AC">
        <w:t xml:space="preserve">paragraph 6.59). </w:t>
      </w:r>
      <w:r w:rsidR="005E4E36" w:rsidRPr="00E208AC">
        <w:t>The</w:t>
      </w:r>
      <w:r w:rsidR="005E4E36">
        <w:t xml:space="preserve"> PBAC</w:t>
      </w:r>
      <w:r w:rsidR="00233D22">
        <w:t xml:space="preserve"> considered</w:t>
      </w:r>
      <w:r w:rsidR="00E0038F">
        <w:t xml:space="preserve"> that, in addition to the changes outlined in </w:t>
      </w:r>
      <w:r w:rsidR="00E0038F" w:rsidRPr="00E208AC">
        <w:t>paragraph 6.59, a time</w:t>
      </w:r>
      <w:r w:rsidR="00E0038F">
        <w:t xml:space="preserve"> horizon of 7.5 years for the economic model was </w:t>
      </w:r>
      <w:r w:rsidR="00233D22">
        <w:t>appropriate</w:t>
      </w:r>
      <w:r w:rsidR="00850055" w:rsidRPr="00850055">
        <w:t xml:space="preserve"> </w:t>
      </w:r>
      <w:r w:rsidR="00850055">
        <w:t>given the immaturity of the data and the uncertainty introduced through use of the RPSFT analysis</w:t>
      </w:r>
      <w:r w:rsidR="00E0038F">
        <w:t xml:space="preserve"> </w:t>
      </w:r>
      <w:r w:rsidR="00E0038F" w:rsidRPr="00E208AC">
        <w:t>(paragraph 6.45).</w:t>
      </w:r>
      <w:r w:rsidR="00E0038F">
        <w:t xml:space="preserve"> </w:t>
      </w:r>
      <w:r w:rsidR="0076300E">
        <w:t xml:space="preserve">The PBAC </w:t>
      </w:r>
      <w:r w:rsidR="0056594F">
        <w:t xml:space="preserve">noted the </w:t>
      </w:r>
      <w:r w:rsidR="001B4C95">
        <w:t>ICER</w:t>
      </w:r>
      <w:r w:rsidR="00E0038F">
        <w:t xml:space="preserve"> with a time horizon of 7.5 years </w:t>
      </w:r>
      <w:r w:rsidR="006745F8">
        <w:t>and applying the effective price proposed in the pre-PBAC response (AEMP $</w:t>
      </w:r>
      <w:r w:rsidR="0047136C">
        <w:rPr>
          <w:noProof/>
          <w:color w:val="000000"/>
          <w:highlight w:val="black"/>
        </w:rPr>
        <w:t>'''''''''''''''''</w:t>
      </w:r>
      <w:r w:rsidR="006745F8">
        <w:t xml:space="preserve"> per 100 mg vial) </w:t>
      </w:r>
      <w:r w:rsidR="001B4C95">
        <w:t>was $</w:t>
      </w:r>
      <w:r w:rsidR="006B7E44">
        <w:t>55,000 to &lt;$75,000</w:t>
      </w:r>
      <w:r w:rsidR="001B4C95">
        <w:t xml:space="preserve"> per QALY. </w:t>
      </w:r>
      <w:r w:rsidR="001B4C95" w:rsidRPr="00532510">
        <w:t>The PBAC considered pembrolizumab would be cost effective with an ICER</w:t>
      </w:r>
      <w:r w:rsidR="004761F0" w:rsidRPr="00532510">
        <w:t xml:space="preserve"> </w:t>
      </w:r>
      <w:r w:rsidR="00825D79">
        <w:t>closer to</w:t>
      </w:r>
      <w:r w:rsidR="004761F0" w:rsidRPr="00532510">
        <w:t xml:space="preserve"> </w:t>
      </w:r>
      <w:r w:rsidR="00E722B9" w:rsidRPr="00532510">
        <w:t>what was presented for the base case in the submission.</w:t>
      </w:r>
      <w:r w:rsidR="00E722B9">
        <w:t xml:space="preserve">  </w:t>
      </w:r>
    </w:p>
    <w:p w:rsidR="00743B98" w:rsidRDefault="002A7DA3" w:rsidP="00743B98">
      <w:pPr>
        <w:pStyle w:val="3-BodyText"/>
      </w:pPr>
      <w:r>
        <w:t>The PBAC considered the</w:t>
      </w:r>
      <w:r w:rsidR="00743B98">
        <w:t xml:space="preserve"> changes made to the financial</w:t>
      </w:r>
      <w:r w:rsidR="0076300E">
        <w:t xml:space="preserve"> estimat</w:t>
      </w:r>
      <w:r w:rsidR="00F76906">
        <w:t>es</w:t>
      </w:r>
      <w:r w:rsidR="00743B98">
        <w:t xml:space="preserve"> in the pre-PBAC response (as outlined in </w:t>
      </w:r>
      <w:r w:rsidR="00743B98" w:rsidRPr="00E208AC">
        <w:t xml:space="preserve">paragraph </w:t>
      </w:r>
      <w:r w:rsidR="007C68F6" w:rsidRPr="00E208AC">
        <w:t>6.69</w:t>
      </w:r>
      <w:r w:rsidR="00743B98" w:rsidRPr="00E208AC">
        <w:t>)</w:t>
      </w:r>
      <w:r w:rsidR="00F76906">
        <w:t xml:space="preserve"> were appropriate</w:t>
      </w:r>
      <w:r w:rsidR="00B620F6">
        <w:t>.</w:t>
      </w:r>
      <w:r w:rsidR="00F76906">
        <w:t xml:space="preserve"> </w:t>
      </w:r>
      <w:r w:rsidR="00B620F6">
        <w:t xml:space="preserve">The PBAC considered the treatment duration for the </w:t>
      </w:r>
      <w:r w:rsidR="008559E2">
        <w:t xml:space="preserve">&lt; </w:t>
      </w:r>
      <w:r w:rsidR="00B620F6">
        <w:t>50</w:t>
      </w:r>
      <w:r w:rsidR="008559E2">
        <w:t>0</w:t>
      </w:r>
      <w:r w:rsidR="00B620F6">
        <w:t xml:space="preserve"> grandfather patients should be less than 57.7 weeks to account for treatment already received prior to accessing PBS-subsidised treatment</w:t>
      </w:r>
      <w:r w:rsidR="002E16D1">
        <w:t>, and that it would be reasonable to only account for half the treatment duration for these patients in the financial estimates</w:t>
      </w:r>
      <w:r w:rsidR="00E208AC">
        <w:t xml:space="preserve">. </w:t>
      </w:r>
      <w:r w:rsidR="00B620F6">
        <w:t>The PBAC considered including access for unresectable patient</w:t>
      </w:r>
      <w:r w:rsidR="00F76906">
        <w:t xml:space="preserve">s </w:t>
      </w:r>
      <w:r w:rsidR="00B620F6">
        <w:t>would increase the number of patients to be treated with pembrolizumab by less than 10%</w:t>
      </w:r>
      <w:r w:rsidR="002B3BFD">
        <w:t xml:space="preserve"> and these should be added to the financial estimates</w:t>
      </w:r>
      <w:r w:rsidR="00B620F6">
        <w:t xml:space="preserve">.  </w:t>
      </w:r>
    </w:p>
    <w:p w:rsidR="00EC5E77" w:rsidRDefault="00EC5E77" w:rsidP="00743B98">
      <w:pPr>
        <w:pStyle w:val="3-BodyText"/>
      </w:pPr>
      <w:r>
        <w:t>The PBAC considered a risk sharing arrangement with expenditure caps based on revised financial estimates (as outlined in paragraph 7.9) would be required</w:t>
      </w:r>
      <w:r w:rsidR="00404AEB">
        <w:t xml:space="preserve"> to manage overall </w:t>
      </w:r>
      <w:r w:rsidR="00552D99">
        <w:t xml:space="preserve">and uncertain </w:t>
      </w:r>
      <w:r w:rsidR="00404AEB">
        <w:t>costs to the PBS</w:t>
      </w:r>
      <w:r>
        <w:t xml:space="preserve">. </w:t>
      </w:r>
      <w:r w:rsidR="008E4B3A">
        <w:t>The PBAC noted the Sponsor is willing to reimburse the Commonwealth a considerable proportion of the pembrolizumab treatment costs above any expenditure cap</w:t>
      </w:r>
      <w:r w:rsidR="000A4B18">
        <w:t xml:space="preserve"> and consider</w:t>
      </w:r>
      <w:r w:rsidR="00E208AC">
        <w:t>e</w:t>
      </w:r>
      <w:r w:rsidR="000A4B18">
        <w:t xml:space="preserve">d a rebate of at least </w:t>
      </w:r>
      <w:r w:rsidR="0047136C">
        <w:rPr>
          <w:noProof/>
          <w:color w:val="000000"/>
          <w:highlight w:val="black"/>
        </w:rPr>
        <w:t>''''''</w:t>
      </w:r>
      <w:r w:rsidR="000A4B18">
        <w:t>% would be required</w:t>
      </w:r>
      <w:r w:rsidR="008E4B3A">
        <w:t xml:space="preserve">.  </w:t>
      </w:r>
      <w:r>
        <w:t xml:space="preserve"> </w:t>
      </w:r>
    </w:p>
    <w:p w:rsidR="005C3876" w:rsidRDefault="005C3876" w:rsidP="0045115B">
      <w:pPr>
        <w:pStyle w:val="3-BodyText"/>
      </w:pPr>
      <w:r>
        <w:t xml:space="preserve">The PBAC considered </w:t>
      </w:r>
      <w:r w:rsidR="0045115B">
        <w:t xml:space="preserve">a grandfather restriction was appropriate to allow the estimated </w:t>
      </w:r>
      <w:r w:rsidR="008559E2">
        <w:t xml:space="preserve">&lt; </w:t>
      </w:r>
      <w:r w:rsidR="0045115B">
        <w:t>50</w:t>
      </w:r>
      <w:r w:rsidR="008559E2">
        <w:t>0</w:t>
      </w:r>
      <w:r w:rsidR="0045115B">
        <w:t xml:space="preserve"> patients being treated with non-PBS subsidised pembrolizumab to transition to PBS-subsidised treatment.</w:t>
      </w:r>
      <w:r w:rsidR="008428BF">
        <w:t xml:space="preserve"> </w:t>
      </w:r>
      <w:r w:rsidR="0045115B" w:rsidRPr="0045115B">
        <w:t>The PBAC recommended that the grandfathering listing could be removed after 12 months.</w:t>
      </w:r>
    </w:p>
    <w:p w:rsidR="005C3876" w:rsidRDefault="005C3876" w:rsidP="005C3876">
      <w:pPr>
        <w:pStyle w:val="3-BodyText"/>
      </w:pPr>
      <w:r w:rsidRPr="00B24C99">
        <w:t xml:space="preserve">The PBAC advised the following changes to the </w:t>
      </w:r>
      <w:r>
        <w:t xml:space="preserve">pembrolizumab </w:t>
      </w:r>
      <w:r w:rsidRPr="00B24C99">
        <w:t>restriction criteria were appropriate:</w:t>
      </w:r>
    </w:p>
    <w:p w:rsidR="005C3876" w:rsidRPr="005773C6" w:rsidRDefault="0045115B" w:rsidP="005C3876">
      <w:pPr>
        <w:pStyle w:val="3-BodyText"/>
        <w:numPr>
          <w:ilvl w:val="0"/>
          <w:numId w:val="27"/>
        </w:numPr>
        <w:ind w:left="993" w:hanging="284"/>
      </w:pPr>
      <w:r w:rsidRPr="005773C6">
        <w:t xml:space="preserve">amend </w:t>
      </w:r>
      <w:r w:rsidR="005C3876" w:rsidRPr="005773C6">
        <w:t xml:space="preserve">all treatment phases (initial, continuing and grandfather) to Authority </w:t>
      </w:r>
      <w:r w:rsidR="005C3876" w:rsidRPr="00E208AC">
        <w:t xml:space="preserve">Required </w:t>
      </w:r>
      <w:r w:rsidR="00DB7F37" w:rsidRPr="00E208AC">
        <w:t>using immediate/real time assessment via telephone/online</w:t>
      </w:r>
      <w:r w:rsidR="00DB7F37" w:rsidRPr="00E208AC" w:rsidDel="00DB7F37">
        <w:t xml:space="preserve"> </w:t>
      </w:r>
      <w:r w:rsidR="005773C6" w:rsidRPr="00E208AC">
        <w:t xml:space="preserve"> (paragraph 3.</w:t>
      </w:r>
      <w:r w:rsidR="003564CD" w:rsidRPr="00E208AC">
        <w:t>8</w:t>
      </w:r>
      <w:r w:rsidR="005773C6" w:rsidRPr="00E208AC">
        <w:t>)</w:t>
      </w:r>
      <w:r w:rsidR="005C3876" w:rsidRPr="00E208AC">
        <w:t>.</w:t>
      </w:r>
    </w:p>
    <w:p w:rsidR="008428BF" w:rsidRPr="005773C6" w:rsidRDefault="005C3876" w:rsidP="008428BF">
      <w:pPr>
        <w:pStyle w:val="3-BodyText"/>
        <w:numPr>
          <w:ilvl w:val="0"/>
          <w:numId w:val="27"/>
        </w:numPr>
        <w:ind w:left="993" w:hanging="284"/>
      </w:pPr>
      <w:r>
        <w:t xml:space="preserve">change the clinical criteria </w:t>
      </w:r>
      <w:r w:rsidRPr="005C3876">
        <w:rPr>
          <w:i/>
        </w:rPr>
        <w:t>“The treatment must not exceed a total of 35 cycles or up to 24 months of treatment under this restriction”</w:t>
      </w:r>
      <w:r>
        <w:t xml:space="preserve"> </w:t>
      </w:r>
      <w:r w:rsidR="00516842">
        <w:t xml:space="preserve">in the continuing treatment phase restriction </w:t>
      </w:r>
      <w:r>
        <w:t xml:space="preserve">to </w:t>
      </w:r>
      <w:r w:rsidRPr="005C3876">
        <w:t xml:space="preserve"> </w:t>
      </w:r>
      <w:r w:rsidRPr="005C3876">
        <w:rPr>
          <w:i/>
        </w:rPr>
        <w:t>“The treatment must not exceed a total of 35 cycles or up to 24 months of treatment in a lifetime for this condition”</w:t>
      </w:r>
      <w:r w:rsidR="008428BF">
        <w:rPr>
          <w:i/>
        </w:rPr>
        <w:t>.</w:t>
      </w:r>
    </w:p>
    <w:p w:rsidR="005773C6" w:rsidRPr="005773C6" w:rsidRDefault="005773C6" w:rsidP="005773C6">
      <w:pPr>
        <w:pStyle w:val="3-BodyText"/>
        <w:numPr>
          <w:ilvl w:val="0"/>
          <w:numId w:val="27"/>
        </w:numPr>
        <w:ind w:left="993"/>
      </w:pPr>
      <w:r>
        <w:t xml:space="preserve">include </w:t>
      </w:r>
      <w:r w:rsidRPr="005773C6">
        <w:t>administration advice</w:t>
      </w:r>
      <w:r>
        <w:t xml:space="preserve"> “</w:t>
      </w:r>
      <w:r w:rsidRPr="005773C6">
        <w:rPr>
          <w:i/>
        </w:rPr>
        <w:t>No increase in the maximum quantity or number of units may be authorised</w:t>
      </w:r>
      <w:r>
        <w:t>” and</w:t>
      </w:r>
      <w:r w:rsidRPr="005773C6">
        <w:t xml:space="preserve"> </w:t>
      </w:r>
      <w:r>
        <w:t>“</w:t>
      </w:r>
      <w:r w:rsidRPr="005773C6">
        <w:rPr>
          <w:i/>
        </w:rPr>
        <w:t>No increase in the maximum number of repeats may be authorised</w:t>
      </w:r>
      <w:r>
        <w:t xml:space="preserve">”. </w:t>
      </w:r>
    </w:p>
    <w:p w:rsidR="00BA6AE1" w:rsidRDefault="00BA6AE1" w:rsidP="008F7CD0">
      <w:pPr>
        <w:widowControl w:val="0"/>
        <w:numPr>
          <w:ilvl w:val="1"/>
          <w:numId w:val="1"/>
        </w:numPr>
        <w:spacing w:after="240"/>
        <w:contextualSpacing/>
        <w:rPr>
          <w:rFonts w:cstheme="minorHAnsi"/>
        </w:rPr>
      </w:pPr>
      <w:r w:rsidRPr="00ED0C48">
        <w:rPr>
          <w:rFonts w:asciiTheme="minorHAnsi" w:hAnsiTheme="minorHAnsi" w:cstheme="minorHAnsi"/>
        </w:rPr>
        <w:t>The PBAC advised flow-on changes were required to the restriction criteria for cetuximab, panitumumab and bevacizumab to allow use after progression on pembrolizumab (</w:t>
      </w:r>
      <w:r w:rsidRPr="00E208AC">
        <w:rPr>
          <w:rFonts w:asciiTheme="minorHAnsi" w:hAnsiTheme="minorHAnsi" w:cstheme="minorHAnsi"/>
        </w:rPr>
        <w:t>paragraph</w:t>
      </w:r>
      <w:r w:rsidR="00081AC1" w:rsidRPr="00E208AC">
        <w:rPr>
          <w:rFonts w:asciiTheme="minorHAnsi" w:hAnsiTheme="minorHAnsi" w:cstheme="minorHAnsi"/>
        </w:rPr>
        <w:t>s</w:t>
      </w:r>
      <w:r w:rsidRPr="00E208AC">
        <w:rPr>
          <w:rFonts w:asciiTheme="minorHAnsi" w:hAnsiTheme="minorHAnsi" w:cstheme="minorHAnsi"/>
        </w:rPr>
        <w:t xml:space="preserve"> </w:t>
      </w:r>
      <w:r w:rsidR="00081AC1" w:rsidRPr="00E208AC">
        <w:rPr>
          <w:rFonts w:asciiTheme="minorHAnsi" w:hAnsiTheme="minorHAnsi" w:cstheme="minorHAnsi"/>
        </w:rPr>
        <w:t xml:space="preserve">3.9 and </w:t>
      </w:r>
      <w:r w:rsidR="00E208AC" w:rsidRPr="00E208AC">
        <w:rPr>
          <w:rFonts w:asciiTheme="minorHAnsi" w:hAnsiTheme="minorHAnsi" w:cstheme="minorHAnsi"/>
        </w:rPr>
        <w:t>6.48</w:t>
      </w:r>
      <w:r w:rsidRPr="00E208AC">
        <w:rPr>
          <w:rFonts w:asciiTheme="minorHAnsi" w:hAnsiTheme="minorHAnsi" w:cstheme="minorHAnsi"/>
        </w:rPr>
        <w:t>).</w:t>
      </w:r>
      <w:r w:rsidRPr="00ED0C48">
        <w:rPr>
          <w:rFonts w:asciiTheme="minorHAnsi" w:hAnsiTheme="minorHAnsi" w:cstheme="minorHAnsi"/>
        </w:rPr>
        <w:t xml:space="preserve"> </w:t>
      </w:r>
      <w:r>
        <w:rPr>
          <w:rFonts w:asciiTheme="minorHAnsi" w:hAnsiTheme="minorHAnsi" w:cstheme="minorHAnsi"/>
        </w:rPr>
        <w:t xml:space="preserve">  </w:t>
      </w:r>
      <w:r>
        <w:rPr>
          <w:rFonts w:cstheme="minorHAnsi"/>
        </w:rPr>
        <w:t xml:space="preserve"> </w:t>
      </w:r>
    </w:p>
    <w:p w:rsidR="00BA6AE1" w:rsidRPr="00ED0C48" w:rsidRDefault="00BA6AE1" w:rsidP="00ED0C48">
      <w:pPr>
        <w:widowControl w:val="0"/>
        <w:spacing w:after="240"/>
        <w:contextualSpacing/>
        <w:rPr>
          <w:rFonts w:asciiTheme="minorHAnsi" w:hAnsiTheme="minorHAnsi" w:cstheme="minorHAnsi"/>
        </w:rPr>
      </w:pPr>
    </w:p>
    <w:p w:rsidR="00497AB5" w:rsidRPr="00E8528D" w:rsidRDefault="00497AB5" w:rsidP="00497AB5">
      <w:pPr>
        <w:widowControl w:val="0"/>
        <w:numPr>
          <w:ilvl w:val="1"/>
          <w:numId w:val="1"/>
        </w:numPr>
        <w:contextualSpacing/>
        <w:rPr>
          <w:rFonts w:asciiTheme="minorHAnsi" w:hAnsiTheme="minorHAnsi" w:cstheme="minorHAnsi"/>
        </w:rPr>
      </w:pPr>
      <w:r w:rsidRPr="00E209B2">
        <w:rPr>
          <w:rFonts w:asciiTheme="minorHAnsi" w:hAnsiTheme="minorHAnsi"/>
          <w:bCs/>
          <w:snapToGrid w:val="0"/>
          <w:lang w:eastAsia="en-US"/>
        </w:rPr>
        <w:t xml:space="preserve">The PBAC found that the criteria prescribed by the </w:t>
      </w:r>
      <w:r w:rsidRPr="00E209B2">
        <w:rPr>
          <w:rFonts w:asciiTheme="minorHAnsi" w:hAnsiTheme="minorHAnsi"/>
          <w:bCs/>
          <w:i/>
          <w:snapToGrid w:val="0"/>
          <w:lang w:eastAsia="en-US"/>
        </w:rPr>
        <w:t>National Health (Pharmaceuticals and Vaccines – Cost Recovery) Regulations 2009</w:t>
      </w:r>
      <w:r w:rsidRPr="00E209B2">
        <w:rPr>
          <w:rFonts w:asciiTheme="minorHAnsi" w:hAnsiTheme="minorHAnsi"/>
          <w:bCs/>
          <w:snapToGrid w:val="0"/>
          <w:lang w:eastAsia="en-US"/>
        </w:rPr>
        <w:t xml:space="preserve"> for Pricing Pathway A were not met. Specifically the PBAC found that in the circumstances of its recommendation for</w:t>
      </w:r>
      <w:r w:rsidR="00E8528D">
        <w:rPr>
          <w:rFonts w:asciiTheme="minorHAnsi" w:hAnsiTheme="minorHAnsi"/>
          <w:bCs/>
          <w:snapToGrid w:val="0"/>
          <w:lang w:eastAsia="en-US"/>
        </w:rPr>
        <w:t xml:space="preserve"> pembrolizumab</w:t>
      </w:r>
      <w:r w:rsidRPr="00E8528D">
        <w:rPr>
          <w:rFonts w:asciiTheme="minorHAnsi" w:hAnsiTheme="minorHAnsi"/>
          <w:bCs/>
          <w:snapToGrid w:val="0"/>
          <w:lang w:eastAsia="en-US"/>
        </w:rPr>
        <w:t>:</w:t>
      </w:r>
    </w:p>
    <w:p w:rsidR="00497AB5" w:rsidRPr="00E8528D" w:rsidRDefault="00497AB5" w:rsidP="00497AB5">
      <w:pPr>
        <w:ind w:left="1440" w:hanging="720"/>
        <w:rPr>
          <w:rFonts w:asciiTheme="minorHAnsi" w:hAnsiTheme="minorHAnsi"/>
          <w:bCs/>
          <w:snapToGrid w:val="0"/>
          <w:lang w:eastAsia="en-US"/>
        </w:rPr>
      </w:pPr>
      <w:r w:rsidRPr="00E8528D">
        <w:rPr>
          <w:rFonts w:asciiTheme="minorHAnsi" w:hAnsiTheme="minorHAnsi"/>
          <w:bCs/>
          <w:snapToGrid w:val="0"/>
          <w:lang w:eastAsia="en-US"/>
        </w:rPr>
        <w:t>a)</w:t>
      </w:r>
      <w:r w:rsidRPr="00E8528D">
        <w:rPr>
          <w:rFonts w:asciiTheme="minorHAnsi" w:hAnsiTheme="minorHAnsi"/>
          <w:bCs/>
          <w:snapToGrid w:val="0"/>
          <w:lang w:eastAsia="en-US"/>
        </w:rPr>
        <w:tab/>
        <w:t xml:space="preserve">The treatment is expected to provide a substantial and clinically relevant improvement in efficacy over </w:t>
      </w:r>
      <w:r w:rsidR="00E8528D" w:rsidRPr="00E8528D">
        <w:rPr>
          <w:rFonts w:asciiTheme="minorHAnsi" w:hAnsiTheme="minorHAnsi"/>
          <w:bCs/>
          <w:snapToGrid w:val="0"/>
          <w:lang w:eastAsia="en-US"/>
        </w:rPr>
        <w:t>SoC</w:t>
      </w:r>
      <w:r w:rsidRPr="00E8528D">
        <w:rPr>
          <w:rFonts w:asciiTheme="minorHAnsi" w:hAnsiTheme="minorHAnsi"/>
          <w:bCs/>
          <w:snapToGrid w:val="0"/>
          <w:lang w:eastAsia="en-US"/>
        </w:rPr>
        <w:t xml:space="preserve">; </w:t>
      </w:r>
    </w:p>
    <w:p w:rsidR="00497AB5" w:rsidRPr="00E8528D" w:rsidRDefault="00497AB5" w:rsidP="00497AB5">
      <w:pPr>
        <w:ind w:left="1440" w:hanging="720"/>
        <w:rPr>
          <w:rFonts w:asciiTheme="minorHAnsi" w:hAnsiTheme="minorHAnsi"/>
          <w:bCs/>
          <w:snapToGrid w:val="0"/>
          <w:lang w:eastAsia="en-US"/>
        </w:rPr>
      </w:pPr>
      <w:r w:rsidRPr="00E8528D">
        <w:rPr>
          <w:rFonts w:asciiTheme="minorHAnsi" w:hAnsiTheme="minorHAnsi"/>
          <w:bCs/>
          <w:snapToGrid w:val="0"/>
          <w:lang w:eastAsia="en-US"/>
        </w:rPr>
        <w:t>b)</w:t>
      </w:r>
      <w:r w:rsidRPr="00E8528D">
        <w:rPr>
          <w:rFonts w:asciiTheme="minorHAnsi" w:hAnsiTheme="minorHAnsi"/>
          <w:bCs/>
          <w:snapToGrid w:val="0"/>
          <w:lang w:eastAsia="en-US"/>
        </w:rPr>
        <w:tab/>
        <w:t>The treatment is not expected to address a high and urgent unmet clinical need because other subsidised therapies are available;</w:t>
      </w:r>
    </w:p>
    <w:p w:rsidR="00497AB5" w:rsidRPr="00E209B2" w:rsidRDefault="00497AB5" w:rsidP="00497AB5">
      <w:pPr>
        <w:spacing w:after="240"/>
        <w:ind w:left="1440" w:hanging="720"/>
        <w:rPr>
          <w:rFonts w:asciiTheme="minorHAnsi" w:hAnsiTheme="minorHAnsi"/>
          <w:bCs/>
          <w:snapToGrid w:val="0"/>
          <w:lang w:eastAsia="en-US"/>
        </w:rPr>
      </w:pPr>
      <w:r w:rsidRPr="00E8528D">
        <w:rPr>
          <w:rFonts w:asciiTheme="minorHAnsi" w:hAnsiTheme="minorHAnsi"/>
          <w:bCs/>
          <w:snapToGrid w:val="0"/>
          <w:lang w:eastAsia="en-US"/>
        </w:rPr>
        <w:t>c)</w:t>
      </w:r>
      <w:r w:rsidRPr="00E8528D">
        <w:rPr>
          <w:rFonts w:asciiTheme="minorHAnsi" w:hAnsiTheme="minorHAnsi"/>
          <w:bCs/>
          <w:snapToGrid w:val="0"/>
          <w:lang w:eastAsia="en-US"/>
        </w:rPr>
        <w:tab/>
        <w:t>It was not necessary to make a finding in relation to whether it would be in the public interest for the subsequent pricing application to be progressed under Pricing Pathway A because one or more of the preceding tests had failed.</w:t>
      </w:r>
    </w:p>
    <w:p w:rsidR="00713E43" w:rsidRPr="00713E43" w:rsidRDefault="00497AB5" w:rsidP="00713E43">
      <w:pPr>
        <w:widowControl w:val="0"/>
        <w:numPr>
          <w:ilvl w:val="1"/>
          <w:numId w:val="1"/>
        </w:numPr>
        <w:spacing w:after="120"/>
      </w:pPr>
      <w:r w:rsidRPr="00E209B2">
        <w:rPr>
          <w:rFonts w:asciiTheme="minorHAnsi" w:hAnsiTheme="minorHAnsi"/>
          <w:bCs/>
          <w:snapToGrid w:val="0"/>
        </w:rPr>
        <w:t>The PBAC noted that this submission is not eligible for an Independent Review as it received a positive recommendation.</w:t>
      </w:r>
    </w:p>
    <w:p w:rsidR="00713E43" w:rsidRPr="00713E43" w:rsidRDefault="00713E43" w:rsidP="00713E43">
      <w:pPr>
        <w:widowControl w:val="0"/>
        <w:spacing w:after="120"/>
        <w:rPr>
          <w:rFonts w:asciiTheme="minorHAnsi" w:hAnsiTheme="minorHAnsi"/>
          <w:b/>
          <w:bCs/>
          <w:snapToGrid w:val="0"/>
        </w:rPr>
      </w:pPr>
      <w:r w:rsidRPr="00713E43">
        <w:rPr>
          <w:rFonts w:asciiTheme="minorHAnsi" w:hAnsiTheme="minorHAnsi"/>
          <w:b/>
          <w:bCs/>
          <w:snapToGrid w:val="0"/>
        </w:rPr>
        <w:t>Outcome:</w:t>
      </w:r>
    </w:p>
    <w:p w:rsidR="00713E43" w:rsidRDefault="00713E43" w:rsidP="00713E43">
      <w:pPr>
        <w:widowControl w:val="0"/>
        <w:spacing w:after="120"/>
        <w:rPr>
          <w:rFonts w:asciiTheme="minorHAnsi" w:hAnsiTheme="minorHAnsi"/>
          <w:bCs/>
          <w:snapToGrid w:val="0"/>
        </w:rPr>
      </w:pPr>
      <w:r>
        <w:rPr>
          <w:rFonts w:asciiTheme="minorHAnsi" w:hAnsiTheme="minorHAnsi"/>
          <w:bCs/>
          <w:snapToGrid w:val="0"/>
        </w:rPr>
        <w:t>Recommended.</w:t>
      </w:r>
    </w:p>
    <w:p w:rsidR="008D0DD7" w:rsidRDefault="008D0DD7">
      <w:pPr>
        <w:jc w:val="left"/>
        <w:rPr>
          <w:rFonts w:asciiTheme="minorHAnsi" w:hAnsiTheme="minorHAnsi"/>
          <w:snapToGrid w:val="0"/>
        </w:rPr>
      </w:pPr>
      <w:r>
        <w:br w:type="page"/>
      </w:r>
    </w:p>
    <w:p w:rsidR="00B61BE4" w:rsidRPr="00E8528D" w:rsidRDefault="00E8528D" w:rsidP="00B61BE4">
      <w:pPr>
        <w:pStyle w:val="2-SectionHeading"/>
      </w:pPr>
      <w:r w:rsidRPr="00E8528D">
        <w:t>Recommended listing</w:t>
      </w:r>
    </w:p>
    <w:p w:rsidR="00B61BE4" w:rsidRPr="00B61BE4" w:rsidRDefault="00E8528D" w:rsidP="00B61BE4">
      <w:pPr>
        <w:pStyle w:val="3-BodyText"/>
      </w:pPr>
      <w:r>
        <w:t>Add new listing:</w:t>
      </w:r>
    </w:p>
    <w:p w:rsidR="00B61BE4" w:rsidRDefault="00B61BE4">
      <w:pPr>
        <w:jc w:val="left"/>
        <w:rPr>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
        <w:gridCol w:w="1715"/>
        <w:gridCol w:w="1275"/>
        <w:gridCol w:w="1276"/>
        <w:gridCol w:w="1418"/>
        <w:gridCol w:w="2409"/>
      </w:tblGrid>
      <w:tr w:rsidR="00B61BE4" w:rsidRPr="009A610D" w:rsidTr="00185A22">
        <w:trPr>
          <w:cantSplit/>
          <w:trHeight w:val="471"/>
        </w:trPr>
        <w:tc>
          <w:tcPr>
            <w:tcW w:w="2689" w:type="dxa"/>
            <w:gridSpan w:val="2"/>
          </w:tcPr>
          <w:p w:rsidR="00B61BE4" w:rsidRPr="009A610D" w:rsidRDefault="00B61BE4" w:rsidP="00185A22">
            <w:pPr>
              <w:keepNext/>
              <w:ind w:left="-57"/>
              <w:rPr>
                <w:rFonts w:ascii="Arial Narrow" w:hAnsi="Arial Narrow"/>
                <w:b/>
                <w:sz w:val="18"/>
                <w:szCs w:val="18"/>
              </w:rPr>
            </w:pPr>
            <w:r>
              <w:rPr>
                <w:rFonts w:ascii="Arial Narrow" w:hAnsi="Arial Narrow"/>
                <w:b/>
                <w:sz w:val="18"/>
                <w:szCs w:val="18"/>
              </w:rPr>
              <w:t xml:space="preserve">MEDICINAL PRODUCT </w:t>
            </w:r>
          </w:p>
          <w:p w:rsidR="00B61BE4" w:rsidRPr="009A610D" w:rsidRDefault="00B61BE4" w:rsidP="00185A22">
            <w:pPr>
              <w:keepNext/>
              <w:ind w:left="-57"/>
              <w:rPr>
                <w:rFonts w:ascii="Arial Narrow" w:hAnsi="Arial Narrow"/>
                <w:b/>
                <w:sz w:val="18"/>
                <w:szCs w:val="18"/>
              </w:rPr>
            </w:pPr>
            <w:r>
              <w:rPr>
                <w:rFonts w:ascii="Arial Narrow" w:hAnsi="Arial Narrow"/>
                <w:b/>
                <w:sz w:val="18"/>
                <w:szCs w:val="18"/>
              </w:rPr>
              <w:t>medicinal product pack</w:t>
            </w:r>
          </w:p>
        </w:tc>
        <w:tc>
          <w:tcPr>
            <w:tcW w:w="1275" w:type="dxa"/>
          </w:tcPr>
          <w:p w:rsidR="00B61BE4" w:rsidRPr="009A610D" w:rsidRDefault="00B61BE4" w:rsidP="00185A22">
            <w:pPr>
              <w:keepNext/>
              <w:ind w:left="-108"/>
              <w:jc w:val="center"/>
              <w:rPr>
                <w:rFonts w:ascii="Arial Narrow" w:hAnsi="Arial Narrow"/>
                <w:b/>
                <w:sz w:val="18"/>
                <w:szCs w:val="18"/>
              </w:rPr>
            </w:pPr>
            <w:r>
              <w:rPr>
                <w:rFonts w:ascii="Arial Narrow" w:hAnsi="Arial Narrow"/>
                <w:b/>
                <w:sz w:val="18"/>
                <w:szCs w:val="18"/>
              </w:rPr>
              <w:t>PBS item code</w:t>
            </w:r>
          </w:p>
        </w:tc>
        <w:tc>
          <w:tcPr>
            <w:tcW w:w="1276" w:type="dxa"/>
          </w:tcPr>
          <w:p w:rsidR="00B61BE4" w:rsidRPr="009A610D" w:rsidRDefault="00B61BE4" w:rsidP="00185A22">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Amount</w:t>
            </w:r>
          </w:p>
        </w:tc>
        <w:tc>
          <w:tcPr>
            <w:tcW w:w="1418" w:type="dxa"/>
          </w:tcPr>
          <w:p w:rsidR="00B61BE4" w:rsidRPr="009A610D" w:rsidRDefault="00B61BE4" w:rsidP="00185A22">
            <w:pPr>
              <w:keepNext/>
              <w:ind w:left="-108"/>
              <w:jc w:val="center"/>
              <w:rPr>
                <w:rFonts w:ascii="Arial Narrow" w:hAnsi="Arial Narrow"/>
                <w:b/>
                <w:sz w:val="18"/>
                <w:szCs w:val="18"/>
              </w:rPr>
            </w:pPr>
            <w:r w:rsidRPr="009A610D">
              <w:rPr>
                <w:rFonts w:ascii="Arial Narrow" w:hAnsi="Arial Narrow"/>
                <w:b/>
                <w:sz w:val="18"/>
                <w:szCs w:val="18"/>
              </w:rPr>
              <w:t>№.of</w:t>
            </w:r>
          </w:p>
          <w:p w:rsidR="00B61BE4" w:rsidRPr="009A610D" w:rsidRDefault="00B61BE4" w:rsidP="00185A22">
            <w:pPr>
              <w:keepNext/>
              <w:ind w:left="-108"/>
              <w:jc w:val="center"/>
              <w:rPr>
                <w:rFonts w:ascii="Arial Narrow" w:hAnsi="Arial Narrow"/>
                <w:b/>
                <w:sz w:val="18"/>
                <w:szCs w:val="18"/>
              </w:rPr>
            </w:pPr>
            <w:r w:rsidRPr="009A610D">
              <w:rPr>
                <w:rFonts w:ascii="Arial Narrow" w:hAnsi="Arial Narrow"/>
                <w:b/>
                <w:sz w:val="18"/>
                <w:szCs w:val="18"/>
              </w:rPr>
              <w:t>Rpts</w:t>
            </w:r>
          </w:p>
        </w:tc>
        <w:tc>
          <w:tcPr>
            <w:tcW w:w="2409" w:type="dxa"/>
          </w:tcPr>
          <w:p w:rsidR="00B61BE4" w:rsidRPr="009A610D" w:rsidRDefault="00B61BE4" w:rsidP="00185A22">
            <w:pPr>
              <w:keepNext/>
              <w:rPr>
                <w:rFonts w:ascii="Arial Narrow" w:hAnsi="Arial Narrow"/>
                <w:b/>
                <w:sz w:val="18"/>
                <w:szCs w:val="18"/>
                <w:lang w:val="fr-FR"/>
              </w:rPr>
            </w:pPr>
            <w:r>
              <w:rPr>
                <w:rFonts w:ascii="Arial Narrow" w:hAnsi="Arial Narrow"/>
                <w:b/>
                <w:sz w:val="18"/>
                <w:szCs w:val="18"/>
              </w:rPr>
              <w:t>Available brands</w:t>
            </w:r>
          </w:p>
        </w:tc>
      </w:tr>
      <w:tr w:rsidR="00B61BE4" w:rsidRPr="00D32806" w:rsidTr="00185A22">
        <w:trPr>
          <w:cantSplit/>
          <w:trHeight w:val="266"/>
        </w:trPr>
        <w:tc>
          <w:tcPr>
            <w:tcW w:w="9067" w:type="dxa"/>
            <w:gridSpan w:val="6"/>
          </w:tcPr>
          <w:p w:rsidR="00B61BE4" w:rsidRPr="00D32806" w:rsidRDefault="00B61BE4" w:rsidP="00185A22">
            <w:pPr>
              <w:keepNext/>
              <w:ind w:left="-57"/>
              <w:rPr>
                <w:rFonts w:ascii="Arial Narrow" w:hAnsi="Arial Narrow"/>
                <w:sz w:val="18"/>
                <w:szCs w:val="18"/>
              </w:rPr>
            </w:pPr>
            <w:r>
              <w:rPr>
                <w:rFonts w:ascii="Arial Narrow" w:hAnsi="Arial Narrow"/>
                <w:sz w:val="18"/>
                <w:szCs w:val="18"/>
              </w:rPr>
              <w:t>PEMBROLIZUMAB</w:t>
            </w:r>
          </w:p>
        </w:tc>
      </w:tr>
      <w:tr w:rsidR="00B61BE4" w:rsidRPr="009A610D" w:rsidTr="00185A22">
        <w:trPr>
          <w:cantSplit/>
          <w:trHeight w:val="413"/>
        </w:trPr>
        <w:tc>
          <w:tcPr>
            <w:tcW w:w="2689" w:type="dxa"/>
            <w:gridSpan w:val="2"/>
          </w:tcPr>
          <w:p w:rsidR="00B61BE4" w:rsidRPr="003803A0" w:rsidRDefault="00B61BE4" w:rsidP="00185A22">
            <w:pPr>
              <w:keepNext/>
              <w:ind w:left="-57"/>
              <w:rPr>
                <w:rFonts w:ascii="Arial Narrow" w:hAnsi="Arial Narrow"/>
                <w:sz w:val="18"/>
                <w:szCs w:val="18"/>
              </w:rPr>
            </w:pPr>
            <w:r>
              <w:rPr>
                <w:rFonts w:ascii="Arial Narrow" w:hAnsi="Arial Narrow"/>
                <w:sz w:val="18"/>
                <w:szCs w:val="18"/>
              </w:rPr>
              <w:t>pembrolizumab injection, 100mg/4ml, 4mL vial</w:t>
            </w:r>
          </w:p>
        </w:tc>
        <w:tc>
          <w:tcPr>
            <w:tcW w:w="1275" w:type="dxa"/>
          </w:tcPr>
          <w:p w:rsidR="00B61BE4" w:rsidRDefault="00B61BE4" w:rsidP="00185A22">
            <w:pPr>
              <w:keepNext/>
              <w:jc w:val="center"/>
              <w:rPr>
                <w:rFonts w:ascii="Arial Narrow" w:hAnsi="Arial Narrow"/>
                <w:sz w:val="18"/>
                <w:szCs w:val="18"/>
              </w:rPr>
            </w:pPr>
            <w:r>
              <w:rPr>
                <w:rFonts w:ascii="Arial Narrow" w:hAnsi="Arial Narrow"/>
                <w:sz w:val="18"/>
                <w:szCs w:val="18"/>
              </w:rPr>
              <w:t>NEW</w:t>
            </w:r>
            <w:r w:rsidR="004B00C9">
              <w:rPr>
                <w:rFonts w:ascii="Arial Narrow" w:hAnsi="Arial Narrow"/>
                <w:sz w:val="18"/>
                <w:szCs w:val="18"/>
              </w:rPr>
              <w:t xml:space="preserve"> (public)</w:t>
            </w:r>
          </w:p>
          <w:p w:rsidR="004B00C9" w:rsidRPr="009A610D" w:rsidRDefault="004B00C9" w:rsidP="00185A22">
            <w:pPr>
              <w:keepNext/>
              <w:jc w:val="center"/>
              <w:rPr>
                <w:rFonts w:ascii="Arial Narrow" w:hAnsi="Arial Narrow"/>
                <w:sz w:val="18"/>
                <w:szCs w:val="18"/>
              </w:rPr>
            </w:pPr>
            <w:r>
              <w:rPr>
                <w:rFonts w:ascii="Arial Narrow" w:hAnsi="Arial Narrow"/>
                <w:sz w:val="18"/>
                <w:szCs w:val="18"/>
              </w:rPr>
              <w:t>NEW (private)</w:t>
            </w:r>
          </w:p>
        </w:tc>
        <w:tc>
          <w:tcPr>
            <w:tcW w:w="1276" w:type="dxa"/>
          </w:tcPr>
          <w:p w:rsidR="00B61BE4" w:rsidRPr="009A610D" w:rsidRDefault="00B61BE4" w:rsidP="00185A22">
            <w:pPr>
              <w:keepNext/>
              <w:jc w:val="center"/>
              <w:rPr>
                <w:rFonts w:ascii="Arial Narrow" w:hAnsi="Arial Narrow"/>
                <w:sz w:val="18"/>
                <w:szCs w:val="18"/>
              </w:rPr>
            </w:pPr>
            <w:r>
              <w:rPr>
                <w:rFonts w:ascii="Arial Narrow" w:hAnsi="Arial Narrow"/>
                <w:sz w:val="18"/>
                <w:szCs w:val="18"/>
              </w:rPr>
              <w:t>200mg</w:t>
            </w:r>
          </w:p>
        </w:tc>
        <w:tc>
          <w:tcPr>
            <w:tcW w:w="1418" w:type="dxa"/>
          </w:tcPr>
          <w:p w:rsidR="00B61BE4" w:rsidRPr="009A610D" w:rsidRDefault="00B61BE4" w:rsidP="00185A22">
            <w:pPr>
              <w:keepNext/>
              <w:tabs>
                <w:tab w:val="left" w:pos="136"/>
                <w:tab w:val="center" w:pos="192"/>
              </w:tabs>
              <w:jc w:val="center"/>
              <w:rPr>
                <w:rFonts w:ascii="Arial Narrow" w:hAnsi="Arial Narrow"/>
                <w:sz w:val="18"/>
                <w:szCs w:val="18"/>
              </w:rPr>
            </w:pPr>
            <w:r>
              <w:rPr>
                <w:rFonts w:ascii="Arial Narrow" w:hAnsi="Arial Narrow"/>
                <w:sz w:val="18"/>
                <w:szCs w:val="18"/>
              </w:rPr>
              <w:t>6</w:t>
            </w:r>
          </w:p>
        </w:tc>
        <w:tc>
          <w:tcPr>
            <w:tcW w:w="2409" w:type="dxa"/>
          </w:tcPr>
          <w:p w:rsidR="00B61BE4" w:rsidRPr="009A610D" w:rsidRDefault="00B61BE4" w:rsidP="00185A22">
            <w:pPr>
              <w:keepNext/>
              <w:rPr>
                <w:rFonts w:ascii="Arial Narrow" w:hAnsi="Arial Narrow"/>
                <w:sz w:val="18"/>
                <w:szCs w:val="18"/>
              </w:rPr>
            </w:pPr>
            <w:r>
              <w:rPr>
                <w:rFonts w:ascii="Arial Narrow" w:hAnsi="Arial Narrow"/>
                <w:sz w:val="18"/>
                <w:szCs w:val="18"/>
              </w:rPr>
              <w:t>Keytruda</w:t>
            </w:r>
          </w:p>
          <w:p w:rsidR="00B61BE4" w:rsidRPr="009A610D" w:rsidRDefault="00B61BE4" w:rsidP="00185A22">
            <w:pPr>
              <w:keepNext/>
              <w:rPr>
                <w:rFonts w:ascii="Arial Narrow" w:hAnsi="Arial Narrow"/>
                <w:sz w:val="18"/>
                <w:szCs w:val="18"/>
              </w:rPr>
            </w:pP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B61BE4" w:rsidRPr="00507253" w:rsidRDefault="00B61BE4" w:rsidP="00185A22">
            <w:pPr>
              <w:ind w:right="70"/>
              <w:rPr>
                <w:rFonts w:ascii="Arial Narrow" w:hAnsi="Arial Narrow"/>
                <w:b/>
                <w:sz w:val="18"/>
                <w:szCs w:val="18"/>
              </w:rPr>
            </w:pP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B61BE4" w:rsidRDefault="00B61BE4" w:rsidP="00185A22">
            <w:pPr>
              <w:ind w:right="70"/>
              <w:rPr>
                <w:rFonts w:ascii="Arial Narrow" w:hAnsi="Arial Narrow"/>
                <w:b/>
                <w:sz w:val="18"/>
                <w:szCs w:val="18"/>
              </w:rPr>
            </w:pPr>
            <w:r w:rsidRPr="00507253">
              <w:rPr>
                <w:rFonts w:ascii="Arial Narrow" w:hAnsi="Arial Narrow"/>
                <w:b/>
                <w:sz w:val="18"/>
                <w:szCs w:val="18"/>
              </w:rPr>
              <w:t>Restriction Summary [new] / Treatment of Concept: [new]</w:t>
            </w:r>
          </w:p>
          <w:p w:rsidR="00B61BE4" w:rsidRPr="00991EA2" w:rsidRDefault="00B61BE4" w:rsidP="00185A22">
            <w:pPr>
              <w:rPr>
                <w:rFonts w:ascii="Arial Narrow" w:hAnsi="Arial Narrow"/>
                <w:b/>
                <w:sz w:val="18"/>
                <w:szCs w:val="18"/>
              </w:rPr>
            </w:pP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Merge w:val="restart"/>
            <w:tcBorders>
              <w:top w:val="single" w:sz="4" w:space="0" w:color="auto"/>
              <w:left w:val="single" w:sz="4" w:space="0" w:color="auto"/>
              <w:right w:val="single" w:sz="4" w:space="0" w:color="auto"/>
            </w:tcBorders>
          </w:tcPr>
          <w:p w:rsidR="00B61BE4" w:rsidRPr="00991EA2" w:rsidRDefault="00B61BE4" w:rsidP="00185A22">
            <w:pPr>
              <w:jc w:val="center"/>
              <w:rPr>
                <w:rFonts w:ascii="Arial Narrow" w:hAnsi="Arial Narrow"/>
                <w:i/>
                <w:sz w:val="18"/>
                <w:szCs w:val="18"/>
              </w:rPr>
            </w:pPr>
          </w:p>
        </w:tc>
        <w:tc>
          <w:tcPr>
            <w:tcW w:w="8093" w:type="dxa"/>
            <w:gridSpan w:val="5"/>
            <w:tcBorders>
              <w:top w:val="single" w:sz="4" w:space="0" w:color="auto"/>
              <w:left w:val="single" w:sz="4" w:space="0" w:color="auto"/>
              <w:bottom w:val="single" w:sz="4" w:space="0" w:color="auto"/>
              <w:right w:val="single" w:sz="4" w:space="0" w:color="auto"/>
            </w:tcBorders>
          </w:tcPr>
          <w:p w:rsidR="00B61BE4" w:rsidRPr="00991EA2" w:rsidRDefault="00B61BE4" w:rsidP="00185A22">
            <w:pPr>
              <w:rPr>
                <w:rFonts w:ascii="Arial Narrow" w:hAnsi="Arial Narrow"/>
                <w:sz w:val="18"/>
                <w:szCs w:val="18"/>
              </w:rPr>
            </w:pPr>
            <w:r w:rsidRPr="00991EA2">
              <w:rPr>
                <w:rFonts w:ascii="Arial Narrow" w:hAnsi="Arial Narrow"/>
                <w:b/>
                <w:sz w:val="18"/>
                <w:szCs w:val="18"/>
              </w:rPr>
              <w:t xml:space="preserve">Category / Program:   </w:t>
            </w:r>
          </w:p>
          <w:p w:rsidR="00B61BE4" w:rsidRPr="00991EA2" w:rsidRDefault="00B61BE4" w:rsidP="004B00C9">
            <w:pPr>
              <w:rPr>
                <w:rFonts w:ascii="Arial Narrow" w:hAnsi="Arial Narrow"/>
                <w:sz w:val="18"/>
                <w:szCs w:val="18"/>
              </w:rPr>
            </w:pPr>
            <w:r w:rsidRPr="00991EA2">
              <w:rPr>
                <w:rFonts w:ascii="Arial Narrow" w:hAnsi="Arial Narrow"/>
                <w:sz w:val="18"/>
                <w:szCs w:val="18"/>
              </w:rPr>
              <w:t xml:space="preserve">Section 100 – </w:t>
            </w:r>
            <w:r w:rsidR="004B00C9">
              <w:rPr>
                <w:rFonts w:ascii="Arial Narrow" w:hAnsi="Arial Narrow"/>
                <w:sz w:val="18"/>
                <w:szCs w:val="18"/>
              </w:rPr>
              <w:t>Efficient Funding of Chemotherapy</w:t>
            </w:r>
            <w:r w:rsidRPr="00991EA2">
              <w:rPr>
                <w:rFonts w:ascii="Arial Narrow" w:hAnsi="Arial Narrow"/>
                <w:sz w:val="18"/>
                <w:szCs w:val="18"/>
              </w:rPr>
              <w:t xml:space="preserve">  </w:t>
            </w:r>
            <w:r>
              <w:rPr>
                <w:rFonts w:ascii="Arial Narrow" w:hAnsi="Arial Narrow"/>
                <w:sz w:val="18"/>
                <w:szCs w:val="18"/>
              </w:rPr>
              <w:t>(Public/Private hospitals code)</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rPr>
          <w:trHeight w:val="240"/>
        </w:trPr>
        <w:tc>
          <w:tcPr>
            <w:tcW w:w="974" w:type="dxa"/>
            <w:vMerge/>
            <w:tcBorders>
              <w:left w:val="single" w:sz="4" w:space="0" w:color="auto"/>
              <w:right w:val="single" w:sz="4" w:space="0" w:color="auto"/>
            </w:tcBorders>
          </w:tcPr>
          <w:p w:rsidR="00B61BE4" w:rsidRPr="00991EA2" w:rsidRDefault="00B61BE4" w:rsidP="00185A22">
            <w:pPr>
              <w:rPr>
                <w:rFonts w:ascii="Arial Narrow" w:hAnsi="Arial Narrow"/>
                <w:sz w:val="18"/>
                <w:szCs w:val="18"/>
              </w:rPr>
            </w:pPr>
          </w:p>
        </w:tc>
        <w:tc>
          <w:tcPr>
            <w:tcW w:w="8093" w:type="dxa"/>
            <w:gridSpan w:val="5"/>
            <w:tcBorders>
              <w:top w:val="single" w:sz="4" w:space="0" w:color="auto"/>
              <w:left w:val="single" w:sz="4" w:space="0" w:color="auto"/>
              <w:bottom w:val="single" w:sz="4" w:space="0" w:color="auto"/>
              <w:right w:val="single" w:sz="4" w:space="0" w:color="auto"/>
            </w:tcBorders>
          </w:tcPr>
          <w:p w:rsidR="00B61BE4" w:rsidRPr="00991EA2" w:rsidRDefault="00B61BE4" w:rsidP="00185A22">
            <w:pPr>
              <w:rPr>
                <w:rFonts w:ascii="Arial Narrow" w:hAnsi="Arial Narrow"/>
                <w:b/>
                <w:sz w:val="18"/>
                <w:szCs w:val="18"/>
              </w:rPr>
            </w:pPr>
            <w:r w:rsidRPr="00991EA2">
              <w:rPr>
                <w:rFonts w:ascii="Arial Narrow" w:hAnsi="Arial Narrow"/>
                <w:b/>
                <w:sz w:val="18"/>
                <w:szCs w:val="18"/>
              </w:rPr>
              <w:t xml:space="preserve">Prescriber type:   </w:t>
            </w:r>
            <w:r w:rsidRPr="00991EA2">
              <w:rPr>
                <w:rFonts w:ascii="Arial Narrow" w:hAnsi="Arial Narrow"/>
                <w:sz w:val="18"/>
                <w:szCs w:val="18"/>
              </w:rPr>
              <w:t xml:space="preserve">    </w:t>
            </w:r>
            <w:r w:rsidRPr="00991EA2">
              <w:rPr>
                <w:rFonts w:ascii="Arial Narrow" w:hAnsi="Arial Narrow"/>
                <w:sz w:val="18"/>
                <w:szCs w:val="18"/>
              </w:rPr>
              <w:fldChar w:fldCharType="begin">
                <w:ffData>
                  <w:name w:val=""/>
                  <w:enabled/>
                  <w:calcOnExit w:val="0"/>
                  <w:checkBox>
                    <w:sizeAuto/>
                    <w:default w:val="1"/>
                  </w:checkBox>
                </w:ffData>
              </w:fldChar>
            </w:r>
            <w:r w:rsidRPr="00991EA2">
              <w:rPr>
                <w:rFonts w:ascii="Arial Narrow" w:hAnsi="Arial Narrow"/>
                <w:sz w:val="18"/>
                <w:szCs w:val="18"/>
              </w:rPr>
              <w:instrText xml:space="preserve"> FORMCHECKBOX </w:instrText>
            </w:r>
            <w:r w:rsidR="00205961">
              <w:rPr>
                <w:rFonts w:ascii="Arial Narrow" w:hAnsi="Arial Narrow"/>
                <w:sz w:val="18"/>
                <w:szCs w:val="18"/>
              </w:rPr>
            </w:r>
            <w:r w:rsidR="00205961">
              <w:rPr>
                <w:rFonts w:ascii="Arial Narrow" w:hAnsi="Arial Narrow"/>
                <w:sz w:val="18"/>
                <w:szCs w:val="18"/>
              </w:rPr>
              <w:fldChar w:fldCharType="separate"/>
            </w:r>
            <w:r w:rsidRPr="00991EA2">
              <w:rPr>
                <w:rFonts w:ascii="Arial Narrow" w:hAnsi="Arial Narrow"/>
                <w:sz w:val="18"/>
                <w:szCs w:val="18"/>
              </w:rPr>
              <w:fldChar w:fldCharType="end"/>
            </w:r>
            <w:r w:rsidRPr="00991EA2">
              <w:rPr>
                <w:rFonts w:ascii="Arial Narrow" w:hAnsi="Arial Narrow"/>
                <w:sz w:val="18"/>
                <w:szCs w:val="18"/>
              </w:rPr>
              <w:t xml:space="preserve">Medical Practitioners    </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Merge/>
            <w:tcBorders>
              <w:left w:val="single" w:sz="4" w:space="0" w:color="auto"/>
              <w:bottom w:val="single" w:sz="4" w:space="0" w:color="auto"/>
              <w:right w:val="single" w:sz="4" w:space="0" w:color="auto"/>
            </w:tcBorders>
          </w:tcPr>
          <w:p w:rsidR="00B61BE4" w:rsidRPr="00991EA2" w:rsidRDefault="00B61BE4" w:rsidP="00185A22">
            <w:pPr>
              <w:rPr>
                <w:rFonts w:ascii="Arial Narrow" w:hAnsi="Arial Narrow"/>
                <w:sz w:val="18"/>
                <w:szCs w:val="18"/>
              </w:rPr>
            </w:pPr>
          </w:p>
        </w:tc>
        <w:tc>
          <w:tcPr>
            <w:tcW w:w="8093" w:type="dxa"/>
            <w:gridSpan w:val="5"/>
            <w:tcBorders>
              <w:top w:val="single" w:sz="4" w:space="0" w:color="auto"/>
              <w:left w:val="single" w:sz="4" w:space="0" w:color="auto"/>
              <w:bottom w:val="single" w:sz="4" w:space="0" w:color="auto"/>
              <w:right w:val="single" w:sz="4" w:space="0" w:color="auto"/>
            </w:tcBorders>
          </w:tcPr>
          <w:p w:rsidR="00B61BE4" w:rsidRPr="00991EA2" w:rsidRDefault="00B61BE4" w:rsidP="00185A22">
            <w:pPr>
              <w:rPr>
                <w:rFonts w:ascii="Arial Narrow" w:hAnsi="Arial Narrow"/>
                <w:b/>
                <w:sz w:val="18"/>
                <w:szCs w:val="18"/>
              </w:rPr>
            </w:pPr>
            <w:r w:rsidRPr="00991EA2">
              <w:rPr>
                <w:rFonts w:ascii="Arial Narrow" w:hAnsi="Arial Narrow"/>
                <w:b/>
                <w:sz w:val="18"/>
                <w:szCs w:val="18"/>
              </w:rPr>
              <w:t xml:space="preserve">Restriction Type </w:t>
            </w:r>
          </w:p>
          <w:p w:rsidR="00B61BE4" w:rsidRPr="00991EA2" w:rsidRDefault="00B61BE4" w:rsidP="00185A22">
            <w:pPr>
              <w:rPr>
                <w:rFonts w:ascii="Arial Narrow" w:eastAsia="Calibri" w:hAnsi="Arial Narrow"/>
                <w:sz w:val="18"/>
                <w:szCs w:val="18"/>
              </w:rPr>
            </w:pPr>
            <w:r w:rsidRPr="00991EA2">
              <w:rPr>
                <w:rFonts w:ascii="Arial Narrow" w:eastAsia="Calibri" w:hAnsi="Arial Narrow"/>
                <w:sz w:val="18"/>
                <w:szCs w:val="18"/>
              </w:rPr>
              <w:fldChar w:fldCharType="begin">
                <w:ffData>
                  <w:name w:val="Check3"/>
                  <w:enabled/>
                  <w:calcOnExit w:val="0"/>
                  <w:checkBox>
                    <w:sizeAuto/>
                    <w:default w:val="1"/>
                  </w:checkBox>
                </w:ffData>
              </w:fldChar>
            </w:r>
            <w:r w:rsidRPr="00991EA2">
              <w:rPr>
                <w:rFonts w:ascii="Arial Narrow" w:eastAsia="Calibri" w:hAnsi="Arial Narrow"/>
                <w:sz w:val="18"/>
                <w:szCs w:val="18"/>
              </w:rPr>
              <w:instrText xml:space="preserve"> FORMCHECKBOX </w:instrText>
            </w:r>
            <w:r w:rsidR="00205961">
              <w:rPr>
                <w:rFonts w:ascii="Arial Narrow" w:eastAsia="Calibri" w:hAnsi="Arial Narrow"/>
                <w:sz w:val="18"/>
                <w:szCs w:val="18"/>
              </w:rPr>
            </w:r>
            <w:r w:rsidR="00205961">
              <w:rPr>
                <w:rFonts w:ascii="Arial Narrow" w:eastAsia="Calibri" w:hAnsi="Arial Narrow"/>
                <w:sz w:val="18"/>
                <w:szCs w:val="18"/>
              </w:rPr>
              <w:fldChar w:fldCharType="separate"/>
            </w:r>
            <w:r w:rsidRPr="00991EA2">
              <w:rPr>
                <w:rFonts w:ascii="Arial Narrow" w:eastAsia="Calibri" w:hAnsi="Arial Narrow"/>
                <w:sz w:val="18"/>
                <w:szCs w:val="18"/>
              </w:rPr>
              <w:fldChar w:fldCharType="end"/>
            </w:r>
            <w:r w:rsidRPr="00991EA2">
              <w:rPr>
                <w:rFonts w:ascii="Arial Narrow" w:eastAsia="Calibri" w:hAnsi="Arial Narrow"/>
                <w:sz w:val="18"/>
                <w:szCs w:val="18"/>
              </w:rPr>
              <w:t>Authority Required – immediate/real time as</w:t>
            </w:r>
            <w:r>
              <w:rPr>
                <w:rFonts w:ascii="Arial Narrow" w:eastAsia="Calibri" w:hAnsi="Arial Narrow"/>
                <w:sz w:val="18"/>
                <w:szCs w:val="18"/>
              </w:rPr>
              <w:t>sessment by Services Australia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bCs/>
                <w:sz w:val="18"/>
                <w:szCs w:val="18"/>
              </w:rPr>
            </w:pPr>
            <w:r>
              <w:rPr>
                <w:rFonts w:ascii="Arial Narrow" w:hAnsi="Arial Narrow"/>
                <w:b/>
                <w:bCs/>
                <w:sz w:val="18"/>
                <w:szCs w:val="18"/>
              </w:rPr>
              <w:t>Episodicity</w:t>
            </w:r>
            <w:r w:rsidRPr="00050820">
              <w:rPr>
                <w:rFonts w:ascii="Arial Narrow" w:hAnsi="Arial Narrow"/>
                <w:bCs/>
                <w:sz w:val="18"/>
                <w:szCs w:val="18"/>
              </w:rPr>
              <w:t>: (blank)</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bCs/>
                <w:sz w:val="18"/>
                <w:szCs w:val="18"/>
              </w:rPr>
            </w:pPr>
            <w:r>
              <w:rPr>
                <w:rFonts w:ascii="Arial Narrow" w:hAnsi="Arial Narrow"/>
                <w:b/>
                <w:bCs/>
                <w:sz w:val="18"/>
                <w:szCs w:val="18"/>
              </w:rPr>
              <w:t xml:space="preserve">Severity: </w:t>
            </w:r>
            <w:r w:rsidRPr="00050820">
              <w:rPr>
                <w:rFonts w:ascii="Arial Narrow" w:hAnsi="Arial Narrow"/>
                <w:sz w:val="20"/>
                <w:szCs w:val="20"/>
              </w:rPr>
              <w:t>unresectable or metastatic</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bCs/>
                <w:sz w:val="18"/>
                <w:szCs w:val="18"/>
              </w:rPr>
            </w:pPr>
            <w:r>
              <w:rPr>
                <w:rFonts w:ascii="Arial Narrow" w:hAnsi="Arial Narrow"/>
                <w:b/>
                <w:bCs/>
                <w:sz w:val="18"/>
                <w:szCs w:val="18"/>
              </w:rPr>
              <w:t xml:space="preserve">Condition: </w:t>
            </w:r>
            <w:r>
              <w:rPr>
                <w:rFonts w:ascii="Arial Narrow" w:hAnsi="Arial Narrow"/>
                <w:sz w:val="20"/>
                <w:szCs w:val="20"/>
              </w:rPr>
              <w:t>deficient mismatch repair c</w:t>
            </w:r>
            <w:r w:rsidRPr="008D781B">
              <w:rPr>
                <w:rFonts w:ascii="Arial Narrow" w:hAnsi="Arial Narrow"/>
                <w:sz w:val="20"/>
                <w:szCs w:val="20"/>
              </w:rPr>
              <w:t>olorectal cancer</w:t>
            </w:r>
          </w:p>
        </w:tc>
      </w:tr>
      <w:tr w:rsidR="00B61BE4" w:rsidRPr="00991EA2" w:rsidTr="00EC1B6C">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C6389E" w:rsidRDefault="00B61BE4" w:rsidP="00185A22">
            <w:pPr>
              <w:rPr>
                <w:rFonts w:ascii="Arial Narrow" w:hAnsi="Arial Narrow"/>
                <w:sz w:val="18"/>
                <w:szCs w:val="18"/>
              </w:rPr>
            </w:pPr>
            <w:r w:rsidRPr="00C6389E">
              <w:rPr>
                <w:rFonts w:ascii="Arial Narrow" w:hAnsi="Arial Narrow"/>
                <w:b/>
                <w:bCs/>
                <w:sz w:val="18"/>
                <w:szCs w:val="18"/>
              </w:rPr>
              <w:t>Indication:</w:t>
            </w:r>
            <w:r w:rsidRPr="00C6389E">
              <w:rPr>
                <w:rFonts w:ascii="Arial Narrow" w:hAnsi="Arial Narrow"/>
                <w:sz w:val="18"/>
                <w:szCs w:val="18"/>
              </w:rPr>
              <w:t xml:space="preserve"> </w:t>
            </w:r>
            <w:r w:rsidRPr="00050820">
              <w:rPr>
                <w:rFonts w:ascii="Arial Narrow" w:hAnsi="Arial Narrow"/>
                <w:sz w:val="20"/>
                <w:szCs w:val="20"/>
              </w:rPr>
              <w:t xml:space="preserve">Unresectable or metastatic </w:t>
            </w:r>
            <w:r w:rsidRPr="008D781B">
              <w:rPr>
                <w:rFonts w:ascii="Arial Narrow" w:hAnsi="Arial Narrow"/>
                <w:sz w:val="20"/>
                <w:szCs w:val="20"/>
              </w:rPr>
              <w:t xml:space="preserve">deficient mismatch repair (dMMR) </w:t>
            </w:r>
            <w:r w:rsidRPr="00050820">
              <w:rPr>
                <w:rFonts w:ascii="Arial Narrow" w:hAnsi="Arial Narrow"/>
                <w:sz w:val="20"/>
                <w:szCs w:val="20"/>
              </w:rPr>
              <w:t>colorectal cancer</w:t>
            </w:r>
          </w:p>
        </w:tc>
      </w:tr>
      <w:tr w:rsidR="00B61BE4" w:rsidRPr="00991EA2" w:rsidTr="00EC1B6C">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7D373E" w:rsidRDefault="00B61BE4" w:rsidP="00185A22">
            <w:pPr>
              <w:rPr>
                <w:rFonts w:ascii="Arial Narrow" w:hAnsi="Arial Narrow"/>
                <w:sz w:val="18"/>
                <w:szCs w:val="18"/>
              </w:rPr>
            </w:pPr>
            <w:r w:rsidRPr="007D373E">
              <w:rPr>
                <w:rFonts w:ascii="Arial Narrow" w:hAnsi="Arial Narrow"/>
                <w:b/>
                <w:bCs/>
                <w:sz w:val="18"/>
                <w:szCs w:val="18"/>
              </w:rPr>
              <w:t>Treatment Phase:</w:t>
            </w:r>
            <w:r w:rsidRPr="007D373E">
              <w:rPr>
                <w:rFonts w:ascii="Arial Narrow" w:hAnsi="Arial Narrow"/>
                <w:sz w:val="18"/>
                <w:szCs w:val="18"/>
              </w:rPr>
              <w:t xml:space="preserve"> </w:t>
            </w:r>
            <w:r w:rsidRPr="00A374C5">
              <w:rPr>
                <w:rFonts w:ascii="Arial Narrow" w:hAnsi="Arial Narrow"/>
                <w:sz w:val="20"/>
                <w:szCs w:val="18"/>
              </w:rPr>
              <w:t>Initial treatment</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991EA2" w:rsidRDefault="00B61BE4" w:rsidP="00185A22">
            <w:pPr>
              <w:rPr>
                <w:rFonts w:ascii="Arial Narrow" w:hAnsi="Arial Narrow"/>
                <w:sz w:val="18"/>
                <w:szCs w:val="18"/>
              </w:rPr>
            </w:pPr>
            <w:r w:rsidRPr="00991EA2">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FF4AEA" w:rsidRDefault="00B61BE4" w:rsidP="00185A22">
            <w:pPr>
              <w:rPr>
                <w:rFonts w:ascii="Arial Narrow" w:hAnsi="Arial Narrow"/>
                <w:sz w:val="20"/>
                <w:szCs w:val="20"/>
              </w:rPr>
            </w:pPr>
            <w:r>
              <w:rPr>
                <w:rFonts w:ascii="Arial Narrow" w:hAnsi="Arial Narrow"/>
                <w:sz w:val="20"/>
                <w:szCs w:val="20"/>
              </w:rPr>
              <w:t>Patient must be untreated for this PBS indication (i.e untreated for each of: (i) unresectable disease, (ii) metastatic disease)</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sz w:val="18"/>
                <w:szCs w:val="18"/>
              </w:rPr>
            </w:pPr>
            <w:r w:rsidRPr="00991EA2">
              <w:rPr>
                <w:rFonts w:ascii="Arial Narrow" w:hAnsi="Arial Narrow"/>
                <w:b/>
                <w:bCs/>
                <w:sz w:val="18"/>
                <w:szCs w:val="18"/>
              </w:rPr>
              <w:t>AND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sz w:val="18"/>
                <w:szCs w:val="18"/>
              </w:rPr>
            </w:pPr>
            <w:r w:rsidRPr="00991EA2">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cs="Arial Narrow"/>
                <w:iCs/>
                <w:sz w:val="18"/>
                <w:szCs w:val="18"/>
              </w:rPr>
            </w:pPr>
            <w:r w:rsidRPr="008D781B">
              <w:rPr>
                <w:rFonts w:ascii="Arial Narrow" w:hAnsi="Arial Narrow"/>
                <w:sz w:val="20"/>
                <w:szCs w:val="20"/>
              </w:rPr>
              <w:t>Patient must not have received prior treatment with a programmed cell death-1 (PD-1) inhibitor or a programmed cell death ligand-1 (PD-L1) inhibitor for colorectal cancer</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sz w:val="18"/>
                <w:szCs w:val="18"/>
              </w:rPr>
            </w:pPr>
            <w:r w:rsidRPr="00991EA2">
              <w:rPr>
                <w:rFonts w:ascii="Arial Narrow" w:hAnsi="Arial Narrow"/>
                <w:b/>
                <w:bCs/>
                <w:sz w:val="18"/>
                <w:szCs w:val="18"/>
              </w:rPr>
              <w:t>AND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sz w:val="18"/>
                <w:szCs w:val="18"/>
              </w:rPr>
            </w:pPr>
            <w:r w:rsidRPr="00991EA2">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cs="Arial Narrow"/>
                <w:iCs/>
                <w:sz w:val="18"/>
                <w:szCs w:val="18"/>
              </w:rPr>
            </w:pPr>
            <w:r>
              <w:rPr>
                <w:rFonts w:ascii="Arial Narrow" w:hAnsi="Arial Narrow"/>
                <w:sz w:val="20"/>
                <w:szCs w:val="20"/>
              </w:rPr>
              <w:t>P</w:t>
            </w:r>
            <w:r w:rsidRPr="008D781B">
              <w:rPr>
                <w:rFonts w:ascii="Arial Narrow" w:hAnsi="Arial Narrow"/>
                <w:sz w:val="20"/>
                <w:szCs w:val="20"/>
              </w:rPr>
              <w:t>atient must have a WHO performance status of 0 or 1</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cstheme="minorHAnsi"/>
                <w:iCs/>
              </w:rPr>
            </w:pPr>
            <w:r w:rsidRPr="00991EA2">
              <w:rPr>
                <w:rFonts w:ascii="Arial Narrow" w:hAnsi="Arial Narrow"/>
                <w:b/>
                <w:bCs/>
                <w:sz w:val="18"/>
                <w:szCs w:val="18"/>
              </w:rPr>
              <w:t>AND</w:t>
            </w:r>
          </w:p>
        </w:tc>
      </w:tr>
      <w:tr w:rsidR="00B61BE4" w:rsidRPr="00BA2866"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BA2866" w:rsidRDefault="00B61BE4" w:rsidP="00185A22">
            <w:pPr>
              <w:jc w:val="center"/>
              <w:rPr>
                <w:rFonts w:ascii="Arial Narrow" w:hAnsi="Arial Narrow"/>
                <w:sz w:val="18"/>
                <w:szCs w:val="18"/>
              </w:rPr>
            </w:pPr>
          </w:p>
        </w:tc>
        <w:tc>
          <w:tcPr>
            <w:tcW w:w="8093" w:type="dxa"/>
            <w:gridSpan w:val="5"/>
            <w:vAlign w:val="center"/>
          </w:tcPr>
          <w:p w:rsidR="00B61BE4" w:rsidRPr="00BA2866" w:rsidRDefault="00B61BE4" w:rsidP="00185A22">
            <w:pPr>
              <w:rPr>
                <w:rFonts w:ascii="Arial Narrow" w:hAnsi="Arial Narrow"/>
                <w:sz w:val="18"/>
                <w:szCs w:val="18"/>
              </w:rPr>
            </w:pPr>
            <w:r w:rsidRPr="00BA2866">
              <w:rPr>
                <w:rFonts w:ascii="Arial Narrow" w:hAnsi="Arial Narrow"/>
                <w:b/>
                <w:bCs/>
                <w:sz w:val="18"/>
                <w:szCs w:val="18"/>
              </w:rPr>
              <w:t>Clinical criteria:</w:t>
            </w:r>
          </w:p>
        </w:tc>
      </w:tr>
      <w:tr w:rsidR="00B61BE4" w:rsidRPr="00BA2866"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BA2866" w:rsidRDefault="00B61BE4" w:rsidP="00185A22">
            <w:pPr>
              <w:jc w:val="center"/>
              <w:rPr>
                <w:rFonts w:ascii="Arial Narrow" w:hAnsi="Arial Narrow"/>
                <w:sz w:val="18"/>
                <w:szCs w:val="18"/>
              </w:rPr>
            </w:pPr>
          </w:p>
        </w:tc>
        <w:tc>
          <w:tcPr>
            <w:tcW w:w="8093" w:type="dxa"/>
            <w:gridSpan w:val="5"/>
            <w:vAlign w:val="center"/>
          </w:tcPr>
          <w:p w:rsidR="00B61BE4" w:rsidRPr="00BA2866" w:rsidRDefault="00B61BE4" w:rsidP="00185A22">
            <w:pPr>
              <w:rPr>
                <w:rFonts w:ascii="Arial Narrow" w:hAnsi="Arial Narrow" w:cs="Arial Narrow"/>
                <w:iCs/>
                <w:sz w:val="18"/>
                <w:szCs w:val="18"/>
              </w:rPr>
            </w:pPr>
            <w:r w:rsidRPr="008D781B">
              <w:rPr>
                <w:rFonts w:ascii="Arial Narrow" w:hAnsi="Arial Narrow"/>
                <w:sz w:val="20"/>
                <w:szCs w:val="20"/>
              </w:rPr>
              <w:t>Patient must have deficient mismatch repair (dMMR) colorectal cancer, as determined by immunohistochemistry test</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991EA2" w:rsidRDefault="00B61BE4" w:rsidP="00185A22">
            <w:pPr>
              <w:rPr>
                <w:rFonts w:ascii="Arial Narrow" w:hAnsi="Arial Narrow"/>
                <w:sz w:val="18"/>
                <w:szCs w:val="18"/>
              </w:rPr>
            </w:pPr>
            <w:r>
              <w:rPr>
                <w:rFonts w:ascii="Arial Narrow" w:hAnsi="Arial Narrow" w:cs="Arial Narrow"/>
                <w:b/>
                <w:iCs/>
                <w:sz w:val="20"/>
                <w:szCs w:val="20"/>
              </w:rPr>
              <w:t>AND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2A2B9B" w:rsidRDefault="00B61BE4" w:rsidP="00185A22">
            <w:pPr>
              <w:autoSpaceDE w:val="0"/>
              <w:autoSpaceDN w:val="0"/>
              <w:adjustRightInd w:val="0"/>
              <w:rPr>
                <w:rFonts w:ascii="Arial Narrow" w:hAnsi="Arial Narrow" w:cs="Arial Narrow"/>
                <w:b/>
                <w:iCs/>
                <w:sz w:val="20"/>
                <w:szCs w:val="20"/>
              </w:rPr>
            </w:pPr>
            <w:r>
              <w:rPr>
                <w:rFonts w:ascii="Arial Narrow" w:hAnsi="Arial Narrow"/>
                <w:b/>
                <w:bCs/>
                <w:sz w:val="18"/>
                <w:szCs w:val="18"/>
              </w:rPr>
              <w:t>Clinical</w:t>
            </w:r>
            <w:r w:rsidRPr="00991EA2">
              <w:rPr>
                <w:rFonts w:ascii="Arial Narrow" w:hAnsi="Arial Narrow"/>
                <w:b/>
                <w:bCs/>
                <w:sz w:val="18"/>
                <w:szCs w:val="18"/>
              </w:rPr>
              <w:t xml:space="preserve">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C6389E"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sz w:val="18"/>
                <w:szCs w:val="18"/>
              </w:rPr>
            </w:pPr>
            <w:r w:rsidRPr="00AF59D9">
              <w:rPr>
                <w:rFonts w:ascii="Arial Narrow" w:hAnsi="Arial Narrow"/>
                <w:sz w:val="20"/>
                <w:szCs w:val="20"/>
              </w:rPr>
              <w:t>The treatment must not exceed a total of 7 doses under this restriction</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C6389E"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sz w:val="18"/>
                <w:szCs w:val="18"/>
              </w:rPr>
            </w:pPr>
            <w:r w:rsidRPr="00C6389E">
              <w:rPr>
                <w:rFonts w:ascii="Arial Narrow" w:hAnsi="Arial Narrow"/>
                <w:b/>
                <w:bCs/>
                <w:sz w:val="18"/>
                <w:szCs w:val="18"/>
              </w:rPr>
              <w:t xml:space="preserve">Administrative Advice: </w:t>
            </w:r>
            <w:r w:rsidRPr="00AF59D9">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C6389E"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sz w:val="18"/>
                <w:szCs w:val="18"/>
              </w:rPr>
            </w:pPr>
            <w:r w:rsidRPr="00C6389E">
              <w:rPr>
                <w:rFonts w:ascii="Arial Narrow" w:hAnsi="Arial Narrow"/>
                <w:b/>
                <w:bCs/>
                <w:sz w:val="18"/>
                <w:szCs w:val="18"/>
              </w:rPr>
              <w:t xml:space="preserve">Administrative Advice: </w:t>
            </w:r>
            <w:r w:rsidRPr="002A2B9B">
              <w:rPr>
                <w:rFonts w:ascii="Arial Narrow" w:hAnsi="Arial Narrow"/>
                <w:sz w:val="20"/>
                <w:szCs w:val="20"/>
              </w:rPr>
              <w:t>No increase in the maximum quantity or number of units may be authorised</w:t>
            </w:r>
            <w:r>
              <w:rPr>
                <w:rFonts w:ascii="Arial Narrow" w:hAnsi="Arial Narrow"/>
                <w:sz w:val="20"/>
                <w:szCs w:val="20"/>
              </w:rPr>
              <w:t>.</w:t>
            </w:r>
          </w:p>
        </w:tc>
      </w:tr>
      <w:tr w:rsidR="00B61BE4" w:rsidRPr="00991EA2" w:rsidTr="00EC1B6C">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C6389E" w:rsidRDefault="00B61BE4" w:rsidP="00185A22">
            <w:pPr>
              <w:jc w:val="center"/>
              <w:rPr>
                <w:rFonts w:ascii="Arial Narrow" w:hAnsi="Arial Narrow"/>
                <w:sz w:val="18"/>
                <w:szCs w:val="18"/>
              </w:rPr>
            </w:pPr>
          </w:p>
        </w:tc>
        <w:tc>
          <w:tcPr>
            <w:tcW w:w="8093" w:type="dxa"/>
            <w:gridSpan w:val="5"/>
            <w:vAlign w:val="center"/>
            <w:hideMark/>
          </w:tcPr>
          <w:p w:rsidR="00B61BE4" w:rsidRPr="00C6389E" w:rsidRDefault="00B61BE4" w:rsidP="00185A22">
            <w:pPr>
              <w:rPr>
                <w:rFonts w:ascii="Arial Narrow" w:hAnsi="Arial Narrow"/>
                <w:sz w:val="18"/>
                <w:szCs w:val="18"/>
              </w:rPr>
            </w:pPr>
            <w:r w:rsidRPr="00C6389E">
              <w:rPr>
                <w:rFonts w:ascii="Arial Narrow" w:hAnsi="Arial Narrow"/>
                <w:b/>
                <w:bCs/>
                <w:sz w:val="18"/>
                <w:szCs w:val="18"/>
              </w:rPr>
              <w:t xml:space="preserve">Administrative Advice: </w:t>
            </w:r>
            <w:r w:rsidRPr="002A2B9B">
              <w:rPr>
                <w:rFonts w:ascii="Arial Narrow" w:hAnsi="Arial Narrow"/>
                <w:sz w:val="20"/>
                <w:szCs w:val="20"/>
              </w:rPr>
              <w:t>No increase in the maximum number of repeats may be authorised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rPr>
          <w:trHeight w:val="573"/>
        </w:trPr>
        <w:tc>
          <w:tcPr>
            <w:tcW w:w="974" w:type="dxa"/>
            <w:vAlign w:val="center"/>
          </w:tcPr>
          <w:p w:rsidR="00B61BE4"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bCs/>
                <w:sz w:val="18"/>
                <w:szCs w:val="18"/>
              </w:rPr>
            </w:pPr>
            <w:r w:rsidRPr="00C6389E">
              <w:rPr>
                <w:rFonts w:ascii="Arial Narrow" w:hAnsi="Arial Narrow"/>
                <w:b/>
                <w:bCs/>
                <w:sz w:val="18"/>
                <w:szCs w:val="18"/>
              </w:rPr>
              <w:t>Administrative Advice</w:t>
            </w:r>
            <w:r w:rsidRPr="00A86B90">
              <w:rPr>
                <w:rFonts w:ascii="Arial Narrow" w:hAnsi="Arial Narrow"/>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B61BE4" w:rsidRDefault="00B61BE4" w:rsidP="00185A22">
            <w:pPr>
              <w:ind w:right="70"/>
              <w:rPr>
                <w:rFonts w:ascii="Arial Narrow" w:hAnsi="Arial Narrow"/>
                <w:b/>
                <w:sz w:val="18"/>
                <w:szCs w:val="18"/>
              </w:rPr>
            </w:pPr>
          </w:p>
          <w:p w:rsidR="00B61BE4" w:rsidRPr="00507253" w:rsidRDefault="00B61BE4" w:rsidP="00185A22">
            <w:pPr>
              <w:ind w:right="70"/>
              <w:rPr>
                <w:rFonts w:ascii="Arial Narrow" w:hAnsi="Arial Narrow"/>
                <w:b/>
                <w:sz w:val="18"/>
                <w:szCs w:val="18"/>
              </w:rPr>
            </w:pP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B61BE4" w:rsidRDefault="00B61BE4" w:rsidP="00185A22">
            <w:pPr>
              <w:ind w:right="70"/>
              <w:rPr>
                <w:rFonts w:ascii="Arial Narrow" w:hAnsi="Arial Narrow"/>
                <w:b/>
                <w:sz w:val="18"/>
                <w:szCs w:val="18"/>
              </w:rPr>
            </w:pPr>
            <w:r w:rsidRPr="00507253">
              <w:rPr>
                <w:rFonts w:ascii="Arial Narrow" w:hAnsi="Arial Narrow"/>
                <w:b/>
                <w:sz w:val="18"/>
                <w:szCs w:val="18"/>
              </w:rPr>
              <w:t>Restriction Summary [new] / Treatment of Concept: [new]</w:t>
            </w:r>
          </w:p>
          <w:p w:rsidR="00B61BE4" w:rsidRPr="00991EA2" w:rsidRDefault="00B61BE4" w:rsidP="00185A22">
            <w:pPr>
              <w:rPr>
                <w:rFonts w:ascii="Arial Narrow" w:hAnsi="Arial Narrow"/>
                <w:b/>
                <w:sz w:val="18"/>
                <w:szCs w:val="18"/>
              </w:rPr>
            </w:pP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Merge w:val="restart"/>
            <w:tcBorders>
              <w:top w:val="single" w:sz="4" w:space="0" w:color="auto"/>
              <w:left w:val="single" w:sz="4" w:space="0" w:color="auto"/>
              <w:right w:val="single" w:sz="4" w:space="0" w:color="auto"/>
            </w:tcBorders>
          </w:tcPr>
          <w:p w:rsidR="00B61BE4" w:rsidRPr="00991EA2" w:rsidRDefault="00B61BE4" w:rsidP="00185A22">
            <w:pPr>
              <w:jc w:val="center"/>
              <w:rPr>
                <w:rFonts w:ascii="Arial Narrow" w:hAnsi="Arial Narrow"/>
                <w:i/>
                <w:sz w:val="18"/>
                <w:szCs w:val="18"/>
              </w:rPr>
            </w:pPr>
          </w:p>
        </w:tc>
        <w:tc>
          <w:tcPr>
            <w:tcW w:w="8093" w:type="dxa"/>
            <w:gridSpan w:val="5"/>
            <w:tcBorders>
              <w:top w:val="single" w:sz="4" w:space="0" w:color="auto"/>
              <w:left w:val="single" w:sz="4" w:space="0" w:color="auto"/>
              <w:bottom w:val="single" w:sz="4" w:space="0" w:color="auto"/>
              <w:right w:val="single" w:sz="4" w:space="0" w:color="auto"/>
            </w:tcBorders>
          </w:tcPr>
          <w:p w:rsidR="00B61BE4" w:rsidRPr="00991EA2" w:rsidRDefault="00B61BE4" w:rsidP="00185A22">
            <w:pPr>
              <w:rPr>
                <w:rFonts w:ascii="Arial Narrow" w:hAnsi="Arial Narrow"/>
                <w:sz w:val="18"/>
                <w:szCs w:val="18"/>
              </w:rPr>
            </w:pPr>
            <w:r w:rsidRPr="00991EA2">
              <w:rPr>
                <w:rFonts w:ascii="Arial Narrow" w:hAnsi="Arial Narrow"/>
                <w:b/>
                <w:sz w:val="18"/>
                <w:szCs w:val="18"/>
              </w:rPr>
              <w:t xml:space="preserve">Category / Program:   </w:t>
            </w:r>
          </w:p>
          <w:p w:rsidR="00B61BE4" w:rsidRPr="00991EA2" w:rsidRDefault="00B61BE4" w:rsidP="004B00C9">
            <w:pPr>
              <w:rPr>
                <w:rFonts w:ascii="Arial Narrow" w:hAnsi="Arial Narrow"/>
                <w:sz w:val="18"/>
                <w:szCs w:val="18"/>
              </w:rPr>
            </w:pPr>
            <w:r w:rsidRPr="00991EA2">
              <w:rPr>
                <w:rFonts w:ascii="Arial Narrow" w:hAnsi="Arial Narrow"/>
                <w:sz w:val="18"/>
                <w:szCs w:val="18"/>
              </w:rPr>
              <w:t xml:space="preserve">Section 100 – </w:t>
            </w:r>
            <w:r w:rsidR="004B00C9">
              <w:rPr>
                <w:rFonts w:ascii="Arial Narrow" w:hAnsi="Arial Narrow"/>
                <w:sz w:val="18"/>
                <w:szCs w:val="18"/>
              </w:rPr>
              <w:t>Efficient Funding of Chemotherapy</w:t>
            </w:r>
            <w:r w:rsidRPr="00991EA2">
              <w:rPr>
                <w:rFonts w:ascii="Arial Narrow" w:hAnsi="Arial Narrow"/>
                <w:sz w:val="18"/>
                <w:szCs w:val="18"/>
              </w:rPr>
              <w:t xml:space="preserve">  </w:t>
            </w:r>
            <w:r>
              <w:rPr>
                <w:rFonts w:ascii="Arial Narrow" w:hAnsi="Arial Narrow"/>
                <w:sz w:val="18"/>
                <w:szCs w:val="18"/>
              </w:rPr>
              <w:t>(Public/Private hospitals code)</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rPr>
          <w:trHeight w:val="240"/>
        </w:trPr>
        <w:tc>
          <w:tcPr>
            <w:tcW w:w="974" w:type="dxa"/>
            <w:vMerge/>
            <w:tcBorders>
              <w:left w:val="single" w:sz="4" w:space="0" w:color="auto"/>
              <w:right w:val="single" w:sz="4" w:space="0" w:color="auto"/>
            </w:tcBorders>
          </w:tcPr>
          <w:p w:rsidR="00B61BE4" w:rsidRPr="00991EA2" w:rsidRDefault="00B61BE4" w:rsidP="00185A22">
            <w:pPr>
              <w:rPr>
                <w:rFonts w:ascii="Arial Narrow" w:hAnsi="Arial Narrow"/>
                <w:sz w:val="18"/>
                <w:szCs w:val="18"/>
              </w:rPr>
            </w:pPr>
          </w:p>
        </w:tc>
        <w:tc>
          <w:tcPr>
            <w:tcW w:w="8093" w:type="dxa"/>
            <w:gridSpan w:val="5"/>
            <w:tcBorders>
              <w:top w:val="single" w:sz="4" w:space="0" w:color="auto"/>
              <w:left w:val="single" w:sz="4" w:space="0" w:color="auto"/>
              <w:bottom w:val="single" w:sz="4" w:space="0" w:color="auto"/>
              <w:right w:val="single" w:sz="4" w:space="0" w:color="auto"/>
            </w:tcBorders>
          </w:tcPr>
          <w:p w:rsidR="00B61BE4" w:rsidRPr="00991EA2" w:rsidRDefault="00B61BE4" w:rsidP="00185A22">
            <w:pPr>
              <w:rPr>
                <w:rFonts w:ascii="Arial Narrow" w:hAnsi="Arial Narrow"/>
                <w:b/>
                <w:sz w:val="18"/>
                <w:szCs w:val="18"/>
              </w:rPr>
            </w:pPr>
            <w:r w:rsidRPr="00991EA2">
              <w:rPr>
                <w:rFonts w:ascii="Arial Narrow" w:hAnsi="Arial Narrow"/>
                <w:b/>
                <w:sz w:val="18"/>
                <w:szCs w:val="18"/>
              </w:rPr>
              <w:t xml:space="preserve">Prescriber type:   </w:t>
            </w:r>
            <w:r w:rsidRPr="00991EA2">
              <w:rPr>
                <w:rFonts w:ascii="Arial Narrow" w:hAnsi="Arial Narrow"/>
                <w:sz w:val="18"/>
                <w:szCs w:val="18"/>
              </w:rPr>
              <w:t xml:space="preserve">    </w:t>
            </w:r>
            <w:r w:rsidRPr="00991EA2">
              <w:rPr>
                <w:rFonts w:ascii="Arial Narrow" w:hAnsi="Arial Narrow"/>
                <w:sz w:val="18"/>
                <w:szCs w:val="18"/>
              </w:rPr>
              <w:fldChar w:fldCharType="begin">
                <w:ffData>
                  <w:name w:val=""/>
                  <w:enabled/>
                  <w:calcOnExit w:val="0"/>
                  <w:checkBox>
                    <w:sizeAuto/>
                    <w:default w:val="1"/>
                  </w:checkBox>
                </w:ffData>
              </w:fldChar>
            </w:r>
            <w:r w:rsidRPr="00991EA2">
              <w:rPr>
                <w:rFonts w:ascii="Arial Narrow" w:hAnsi="Arial Narrow"/>
                <w:sz w:val="18"/>
                <w:szCs w:val="18"/>
              </w:rPr>
              <w:instrText xml:space="preserve"> FORMCHECKBOX </w:instrText>
            </w:r>
            <w:r w:rsidR="00205961">
              <w:rPr>
                <w:rFonts w:ascii="Arial Narrow" w:hAnsi="Arial Narrow"/>
                <w:sz w:val="18"/>
                <w:szCs w:val="18"/>
              </w:rPr>
            </w:r>
            <w:r w:rsidR="00205961">
              <w:rPr>
                <w:rFonts w:ascii="Arial Narrow" w:hAnsi="Arial Narrow"/>
                <w:sz w:val="18"/>
                <w:szCs w:val="18"/>
              </w:rPr>
              <w:fldChar w:fldCharType="separate"/>
            </w:r>
            <w:r w:rsidRPr="00991EA2">
              <w:rPr>
                <w:rFonts w:ascii="Arial Narrow" w:hAnsi="Arial Narrow"/>
                <w:sz w:val="18"/>
                <w:szCs w:val="18"/>
              </w:rPr>
              <w:fldChar w:fldCharType="end"/>
            </w:r>
            <w:r w:rsidRPr="00991EA2">
              <w:rPr>
                <w:rFonts w:ascii="Arial Narrow" w:hAnsi="Arial Narrow"/>
                <w:sz w:val="18"/>
                <w:szCs w:val="18"/>
              </w:rPr>
              <w:t xml:space="preserve">Medical Practitioners    </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Merge/>
            <w:tcBorders>
              <w:left w:val="single" w:sz="4" w:space="0" w:color="auto"/>
              <w:bottom w:val="single" w:sz="4" w:space="0" w:color="auto"/>
              <w:right w:val="single" w:sz="4" w:space="0" w:color="auto"/>
            </w:tcBorders>
          </w:tcPr>
          <w:p w:rsidR="00B61BE4" w:rsidRPr="00991EA2" w:rsidRDefault="00B61BE4" w:rsidP="00185A22">
            <w:pPr>
              <w:rPr>
                <w:rFonts w:ascii="Arial Narrow" w:hAnsi="Arial Narrow"/>
                <w:sz w:val="18"/>
                <w:szCs w:val="18"/>
              </w:rPr>
            </w:pPr>
          </w:p>
        </w:tc>
        <w:tc>
          <w:tcPr>
            <w:tcW w:w="8093" w:type="dxa"/>
            <w:gridSpan w:val="5"/>
            <w:tcBorders>
              <w:top w:val="single" w:sz="4" w:space="0" w:color="auto"/>
              <w:left w:val="single" w:sz="4" w:space="0" w:color="auto"/>
              <w:bottom w:val="single" w:sz="4" w:space="0" w:color="auto"/>
              <w:right w:val="single" w:sz="4" w:space="0" w:color="auto"/>
            </w:tcBorders>
          </w:tcPr>
          <w:p w:rsidR="00B61BE4" w:rsidRPr="00991EA2" w:rsidRDefault="00B61BE4" w:rsidP="00185A22">
            <w:pPr>
              <w:rPr>
                <w:rFonts w:ascii="Arial Narrow" w:hAnsi="Arial Narrow"/>
                <w:b/>
                <w:sz w:val="18"/>
                <w:szCs w:val="18"/>
              </w:rPr>
            </w:pPr>
            <w:r w:rsidRPr="00991EA2">
              <w:rPr>
                <w:rFonts w:ascii="Arial Narrow" w:hAnsi="Arial Narrow"/>
                <w:b/>
                <w:sz w:val="18"/>
                <w:szCs w:val="18"/>
              </w:rPr>
              <w:t xml:space="preserve">Restriction Type </w:t>
            </w:r>
          </w:p>
          <w:p w:rsidR="00B61BE4" w:rsidRPr="00991EA2" w:rsidRDefault="00B61BE4" w:rsidP="00185A22">
            <w:pPr>
              <w:rPr>
                <w:rFonts w:ascii="Arial Narrow" w:eastAsia="Calibri" w:hAnsi="Arial Narrow"/>
                <w:sz w:val="18"/>
                <w:szCs w:val="18"/>
              </w:rPr>
            </w:pPr>
            <w:r w:rsidRPr="00991EA2">
              <w:rPr>
                <w:rFonts w:ascii="Arial Narrow" w:eastAsia="Calibri" w:hAnsi="Arial Narrow"/>
                <w:sz w:val="18"/>
                <w:szCs w:val="18"/>
              </w:rPr>
              <w:fldChar w:fldCharType="begin">
                <w:ffData>
                  <w:name w:val="Check3"/>
                  <w:enabled/>
                  <w:calcOnExit w:val="0"/>
                  <w:checkBox>
                    <w:sizeAuto/>
                    <w:default w:val="1"/>
                  </w:checkBox>
                </w:ffData>
              </w:fldChar>
            </w:r>
            <w:r w:rsidRPr="00991EA2">
              <w:rPr>
                <w:rFonts w:ascii="Arial Narrow" w:eastAsia="Calibri" w:hAnsi="Arial Narrow"/>
                <w:sz w:val="18"/>
                <w:szCs w:val="18"/>
              </w:rPr>
              <w:instrText xml:space="preserve"> FORMCHECKBOX </w:instrText>
            </w:r>
            <w:r w:rsidR="00205961">
              <w:rPr>
                <w:rFonts w:ascii="Arial Narrow" w:eastAsia="Calibri" w:hAnsi="Arial Narrow"/>
                <w:sz w:val="18"/>
                <w:szCs w:val="18"/>
              </w:rPr>
            </w:r>
            <w:r w:rsidR="00205961">
              <w:rPr>
                <w:rFonts w:ascii="Arial Narrow" w:eastAsia="Calibri" w:hAnsi="Arial Narrow"/>
                <w:sz w:val="18"/>
                <w:szCs w:val="18"/>
              </w:rPr>
              <w:fldChar w:fldCharType="separate"/>
            </w:r>
            <w:r w:rsidRPr="00991EA2">
              <w:rPr>
                <w:rFonts w:ascii="Arial Narrow" w:eastAsia="Calibri" w:hAnsi="Arial Narrow"/>
                <w:sz w:val="18"/>
                <w:szCs w:val="18"/>
              </w:rPr>
              <w:fldChar w:fldCharType="end"/>
            </w:r>
            <w:r w:rsidRPr="00991EA2">
              <w:rPr>
                <w:rFonts w:ascii="Arial Narrow" w:eastAsia="Calibri" w:hAnsi="Arial Narrow"/>
                <w:sz w:val="18"/>
                <w:szCs w:val="18"/>
              </w:rPr>
              <w:t>Authority Required – immediate/real time a</w:t>
            </w:r>
            <w:r>
              <w:rPr>
                <w:rFonts w:ascii="Arial Narrow" w:eastAsia="Calibri" w:hAnsi="Arial Narrow"/>
                <w:sz w:val="18"/>
                <w:szCs w:val="18"/>
              </w:rPr>
              <w:t>ssessment by Services Australia</w:t>
            </w:r>
          </w:p>
        </w:tc>
      </w:tr>
      <w:tr w:rsidR="00B61BE4" w:rsidRPr="00991EA2" w:rsidTr="00EC1B6C">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C6389E" w:rsidRDefault="00B61BE4" w:rsidP="00185A22">
            <w:pPr>
              <w:rPr>
                <w:rFonts w:ascii="Arial Narrow" w:hAnsi="Arial Narrow"/>
                <w:sz w:val="18"/>
                <w:szCs w:val="18"/>
              </w:rPr>
            </w:pPr>
            <w:r w:rsidRPr="00C6389E">
              <w:rPr>
                <w:rFonts w:ascii="Arial Narrow" w:hAnsi="Arial Narrow"/>
                <w:b/>
                <w:bCs/>
                <w:sz w:val="18"/>
                <w:szCs w:val="18"/>
              </w:rPr>
              <w:t>Indication:</w:t>
            </w:r>
            <w:r w:rsidRPr="00C6389E">
              <w:rPr>
                <w:rFonts w:ascii="Arial Narrow" w:hAnsi="Arial Narrow"/>
                <w:sz w:val="18"/>
                <w:szCs w:val="18"/>
              </w:rPr>
              <w:t xml:space="preserve"> </w:t>
            </w:r>
            <w:r w:rsidRPr="00050820">
              <w:rPr>
                <w:rFonts w:ascii="Arial Narrow" w:hAnsi="Arial Narrow"/>
                <w:sz w:val="20"/>
                <w:szCs w:val="20"/>
              </w:rPr>
              <w:t xml:space="preserve">Unresectable or metastatic </w:t>
            </w:r>
            <w:r w:rsidRPr="008D781B">
              <w:rPr>
                <w:rFonts w:ascii="Arial Narrow" w:hAnsi="Arial Narrow"/>
                <w:sz w:val="20"/>
                <w:szCs w:val="20"/>
              </w:rPr>
              <w:t xml:space="preserve">deficient mismatch repair (dMMR) </w:t>
            </w:r>
            <w:r w:rsidRPr="00050820">
              <w:rPr>
                <w:rFonts w:ascii="Arial Narrow" w:hAnsi="Arial Narrow"/>
                <w:sz w:val="20"/>
                <w:szCs w:val="20"/>
              </w:rPr>
              <w:t>colorectal cancer</w:t>
            </w:r>
          </w:p>
        </w:tc>
      </w:tr>
      <w:tr w:rsidR="00B61BE4" w:rsidRPr="00991EA2" w:rsidTr="00EC1B6C">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7D373E" w:rsidRDefault="00B61BE4" w:rsidP="00185A22">
            <w:pPr>
              <w:rPr>
                <w:rFonts w:ascii="Arial Narrow" w:hAnsi="Arial Narrow"/>
                <w:sz w:val="18"/>
                <w:szCs w:val="18"/>
              </w:rPr>
            </w:pPr>
            <w:r w:rsidRPr="007D373E">
              <w:rPr>
                <w:rFonts w:ascii="Arial Narrow" w:hAnsi="Arial Narrow"/>
                <w:b/>
                <w:bCs/>
                <w:sz w:val="18"/>
                <w:szCs w:val="18"/>
              </w:rPr>
              <w:t>Treatment Phase:</w:t>
            </w:r>
            <w:r w:rsidRPr="007D373E">
              <w:rPr>
                <w:rFonts w:ascii="Arial Narrow" w:hAnsi="Arial Narrow"/>
                <w:sz w:val="18"/>
                <w:szCs w:val="18"/>
              </w:rPr>
              <w:t xml:space="preserve"> </w:t>
            </w:r>
            <w:r w:rsidRPr="001942F9">
              <w:rPr>
                <w:rFonts w:ascii="Arial Narrow" w:hAnsi="Arial Narrow"/>
                <w:bCs/>
                <w:sz w:val="20"/>
                <w:szCs w:val="18"/>
              </w:rPr>
              <w:t>Transitioning from non-PBS to PBS subsided treatment – ‘Grandfather’ treatment</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991EA2" w:rsidRDefault="00B61BE4" w:rsidP="00185A22">
            <w:pPr>
              <w:rPr>
                <w:rFonts w:ascii="Arial Narrow" w:hAnsi="Arial Narrow"/>
                <w:sz w:val="18"/>
                <w:szCs w:val="18"/>
              </w:rPr>
            </w:pPr>
            <w:r w:rsidRPr="00991EA2">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991EA2" w:rsidRDefault="00B61BE4" w:rsidP="00B61BE4">
            <w:pPr>
              <w:rPr>
                <w:rFonts w:ascii="Arial Narrow" w:hAnsi="Arial Narrow" w:cs="Arial Narrow"/>
                <w:iCs/>
                <w:sz w:val="18"/>
                <w:szCs w:val="18"/>
              </w:rPr>
            </w:pPr>
            <w:r w:rsidRPr="00FD4A9E">
              <w:rPr>
                <w:rFonts w:ascii="Arial Narrow" w:hAnsi="Arial Narrow"/>
                <w:sz w:val="20"/>
                <w:szCs w:val="20"/>
              </w:rPr>
              <w:t>Patient must have received non-PBS subsidised treatment with this drug for this condition prior to [PBS listing date]</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sz w:val="18"/>
                <w:szCs w:val="18"/>
              </w:rPr>
            </w:pPr>
            <w:r w:rsidRPr="00991EA2">
              <w:rPr>
                <w:rFonts w:ascii="Arial Narrow" w:hAnsi="Arial Narrow"/>
                <w:b/>
                <w:bCs/>
                <w:sz w:val="18"/>
                <w:szCs w:val="18"/>
              </w:rPr>
              <w:t>AND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sz w:val="18"/>
                <w:szCs w:val="18"/>
              </w:rPr>
            </w:pPr>
            <w:r w:rsidRPr="00991EA2">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FD4A9E" w:rsidRDefault="00B61BE4" w:rsidP="00185A22">
            <w:pPr>
              <w:rPr>
                <w:rFonts w:ascii="Arial Narrow" w:hAnsi="Arial Narrow" w:cs="Times New Roman"/>
                <w:color w:val="333333"/>
                <w:sz w:val="20"/>
                <w:szCs w:val="20"/>
              </w:rPr>
            </w:pPr>
            <w:r w:rsidRPr="00CA5692">
              <w:rPr>
                <w:rFonts w:ascii="Arial Narrow" w:hAnsi="Arial Narrow" w:cs="Times New Roman"/>
                <w:color w:val="333333"/>
                <w:sz w:val="20"/>
                <w:szCs w:val="20"/>
              </w:rPr>
              <w:t>Patient must not have received prior PBS funded treatment with a programmed cell death-1 (PD-1) inhibitor or a programmed cell death ligand-1 (PD-L1) inhibitor for colorectal cancer</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sz w:val="18"/>
                <w:szCs w:val="18"/>
              </w:rPr>
            </w:pPr>
            <w:r w:rsidRPr="00991EA2">
              <w:rPr>
                <w:rFonts w:ascii="Arial Narrow" w:hAnsi="Arial Narrow"/>
                <w:b/>
                <w:bCs/>
                <w:sz w:val="18"/>
                <w:szCs w:val="18"/>
              </w:rPr>
              <w:t>AND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sz w:val="18"/>
                <w:szCs w:val="18"/>
              </w:rPr>
            </w:pPr>
            <w:r w:rsidRPr="00991EA2">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FD4A9E" w:rsidRDefault="00B61BE4" w:rsidP="00185A22">
            <w:pPr>
              <w:rPr>
                <w:rFonts w:ascii="Arial Narrow" w:hAnsi="Arial Narrow" w:cs="Times New Roman"/>
                <w:bCs/>
                <w:color w:val="333333"/>
                <w:sz w:val="20"/>
                <w:szCs w:val="20"/>
              </w:rPr>
            </w:pPr>
            <w:r>
              <w:rPr>
                <w:rFonts w:ascii="Arial Narrow" w:hAnsi="Arial Narrow" w:cs="Times New Roman"/>
                <w:bCs/>
                <w:color w:val="333333"/>
                <w:sz w:val="20"/>
                <w:szCs w:val="20"/>
              </w:rPr>
              <w:t xml:space="preserve">Patient must have </w:t>
            </w:r>
            <w:r w:rsidRPr="00CA5692">
              <w:rPr>
                <w:rFonts w:ascii="Arial Narrow" w:hAnsi="Arial Narrow" w:cs="Times New Roman"/>
                <w:bCs/>
                <w:color w:val="333333"/>
                <w:sz w:val="20"/>
                <w:szCs w:val="20"/>
              </w:rPr>
              <w:t xml:space="preserve">been </w:t>
            </w:r>
            <w:r>
              <w:rPr>
                <w:rFonts w:ascii="Arial Narrow" w:hAnsi="Arial Narrow" w:cs="Times New Roman"/>
                <w:bCs/>
                <w:color w:val="333333"/>
                <w:sz w:val="20"/>
                <w:szCs w:val="20"/>
              </w:rPr>
              <w:t>un</w:t>
            </w:r>
            <w:r w:rsidRPr="00CA5692">
              <w:rPr>
                <w:rFonts w:ascii="Arial Narrow" w:hAnsi="Arial Narrow" w:cs="Times New Roman"/>
                <w:bCs/>
                <w:color w:val="333333"/>
                <w:sz w:val="20"/>
                <w:szCs w:val="20"/>
              </w:rPr>
              <w:t>treate</w:t>
            </w:r>
            <w:r>
              <w:rPr>
                <w:rFonts w:ascii="Arial Narrow" w:hAnsi="Arial Narrow" w:cs="Times New Roman"/>
                <w:bCs/>
                <w:color w:val="333333"/>
                <w:sz w:val="20"/>
                <w:szCs w:val="20"/>
              </w:rPr>
              <w:t xml:space="preserve">d for </w:t>
            </w:r>
            <w:r w:rsidRPr="00CA5692">
              <w:rPr>
                <w:rFonts w:ascii="Arial Narrow" w:hAnsi="Arial Narrow" w:cs="Times New Roman"/>
                <w:bCs/>
                <w:color w:val="333333"/>
                <w:sz w:val="20"/>
                <w:szCs w:val="20"/>
              </w:rPr>
              <w:t xml:space="preserve">this </w:t>
            </w:r>
            <w:r>
              <w:rPr>
                <w:rFonts w:ascii="Arial Narrow" w:hAnsi="Arial Narrow" w:cs="Times New Roman"/>
                <w:bCs/>
                <w:color w:val="333333"/>
                <w:sz w:val="20"/>
                <w:szCs w:val="20"/>
              </w:rPr>
              <w:t>indication</w:t>
            </w:r>
            <w:r w:rsidRPr="00CA5692">
              <w:rPr>
                <w:rFonts w:ascii="Arial Narrow" w:hAnsi="Arial Narrow" w:cs="Times New Roman"/>
                <w:bCs/>
                <w:color w:val="333333"/>
                <w:sz w:val="20"/>
                <w:szCs w:val="20"/>
              </w:rPr>
              <w:t xml:space="preserve"> </w:t>
            </w:r>
            <w:r>
              <w:rPr>
                <w:rFonts w:ascii="Arial Narrow" w:hAnsi="Arial Narrow"/>
                <w:sz w:val="20"/>
                <w:szCs w:val="20"/>
              </w:rPr>
              <w:t xml:space="preserve">(i.e untreated for each of: (i) unresectable disease, (ii) metastatic disease), </w:t>
            </w:r>
            <w:r w:rsidRPr="00CA5692">
              <w:rPr>
                <w:rFonts w:ascii="Arial Narrow" w:hAnsi="Arial Narrow" w:cs="Times New Roman"/>
                <w:bCs/>
                <w:color w:val="333333"/>
                <w:sz w:val="20"/>
                <w:szCs w:val="20"/>
              </w:rPr>
              <w:t>prior to initiating treatment</w:t>
            </w:r>
            <w:r>
              <w:rPr>
                <w:rFonts w:ascii="Arial Narrow" w:hAnsi="Arial Narrow" w:cs="Times New Roman"/>
                <w:bCs/>
                <w:color w:val="333333"/>
                <w:sz w:val="20"/>
                <w:szCs w:val="20"/>
              </w:rPr>
              <w:t xml:space="preserve"> with this drug</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cstheme="minorHAnsi"/>
                <w:iCs/>
              </w:rPr>
            </w:pPr>
            <w:r w:rsidRPr="00991EA2">
              <w:rPr>
                <w:rFonts w:ascii="Arial Narrow" w:hAnsi="Arial Narrow"/>
                <w:b/>
                <w:bCs/>
                <w:sz w:val="18"/>
                <w:szCs w:val="18"/>
              </w:rPr>
              <w:t>AND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BA2866" w:rsidRDefault="00B61BE4" w:rsidP="00185A22">
            <w:pPr>
              <w:rPr>
                <w:rFonts w:ascii="Arial Narrow" w:hAnsi="Arial Narrow"/>
                <w:sz w:val="18"/>
                <w:szCs w:val="18"/>
              </w:rPr>
            </w:pPr>
            <w:r w:rsidRPr="00BA2866">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CA5692" w:rsidRDefault="00B61BE4" w:rsidP="00185A22">
            <w:pPr>
              <w:rPr>
                <w:rFonts w:ascii="Arial Narrow" w:hAnsi="Arial Narrow" w:cs="Times New Roman"/>
                <w:bCs/>
                <w:color w:val="333333"/>
                <w:sz w:val="20"/>
                <w:szCs w:val="20"/>
              </w:rPr>
            </w:pPr>
            <w:r w:rsidRPr="00CA5692">
              <w:rPr>
                <w:rFonts w:ascii="Arial Narrow" w:hAnsi="Arial Narrow" w:cs="Times New Roman"/>
                <w:bCs/>
                <w:color w:val="333333"/>
                <w:sz w:val="20"/>
                <w:szCs w:val="20"/>
              </w:rPr>
              <w:t>Patient must have stable or responding disease,</w:t>
            </w:r>
          </w:p>
          <w:p w:rsidR="00B61BE4" w:rsidRPr="00991EA2" w:rsidRDefault="00B61BE4" w:rsidP="00185A22">
            <w:pPr>
              <w:rPr>
                <w:rFonts w:ascii="Arial Narrow" w:hAnsi="Arial Narrow"/>
                <w:b/>
                <w:bCs/>
                <w:sz w:val="18"/>
                <w:szCs w:val="18"/>
              </w:rPr>
            </w:pP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cstheme="minorHAnsi"/>
                <w:iCs/>
              </w:rPr>
            </w:pPr>
            <w:r w:rsidRPr="00991EA2">
              <w:rPr>
                <w:rFonts w:ascii="Arial Narrow" w:hAnsi="Arial Narrow"/>
                <w:b/>
                <w:bCs/>
                <w:sz w:val="18"/>
                <w:szCs w:val="18"/>
              </w:rPr>
              <w:t>AND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BA2866" w:rsidRDefault="00B61BE4" w:rsidP="00185A22">
            <w:pPr>
              <w:rPr>
                <w:rFonts w:ascii="Arial Narrow" w:hAnsi="Arial Narrow"/>
                <w:sz w:val="18"/>
                <w:szCs w:val="18"/>
              </w:rPr>
            </w:pPr>
            <w:r w:rsidRPr="00BA2866">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b/>
                <w:bCs/>
                <w:sz w:val="18"/>
                <w:szCs w:val="18"/>
              </w:rPr>
            </w:pPr>
            <w:r w:rsidRPr="00CA5692">
              <w:rPr>
                <w:rFonts w:ascii="Arial Narrow" w:hAnsi="Arial Narrow" w:cs="Times New Roman"/>
                <w:color w:val="333333"/>
                <w:sz w:val="20"/>
                <w:szCs w:val="20"/>
              </w:rPr>
              <w:t>Patient must have a WHO performance status of 0 or 1</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cstheme="minorHAnsi"/>
                <w:iCs/>
              </w:rPr>
            </w:pPr>
            <w:r w:rsidRPr="00991EA2">
              <w:rPr>
                <w:rFonts w:ascii="Arial Narrow" w:hAnsi="Arial Narrow"/>
                <w:b/>
                <w:bCs/>
                <w:sz w:val="18"/>
                <w:szCs w:val="18"/>
              </w:rPr>
              <w:t>AND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BA2866" w:rsidRDefault="00B61BE4" w:rsidP="00185A22">
            <w:pPr>
              <w:rPr>
                <w:rFonts w:ascii="Arial Narrow" w:hAnsi="Arial Narrow"/>
                <w:sz w:val="18"/>
                <w:szCs w:val="18"/>
              </w:rPr>
            </w:pPr>
            <w:r w:rsidRPr="00BA2866">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b/>
                <w:bCs/>
                <w:sz w:val="18"/>
                <w:szCs w:val="18"/>
              </w:rPr>
            </w:pPr>
            <w:r w:rsidRPr="00CA5692">
              <w:rPr>
                <w:rFonts w:ascii="Arial Narrow" w:hAnsi="Arial Narrow" w:cs="Times New Roman"/>
                <w:color w:val="333333"/>
                <w:sz w:val="20"/>
                <w:szCs w:val="20"/>
              </w:rPr>
              <w:t>Patient must have deficient mismatch repair (dMMR) colorectal cancer, as determined by immunohistochemistry test</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cstheme="minorHAnsi"/>
                <w:iCs/>
              </w:rPr>
            </w:pPr>
            <w:r w:rsidRPr="00991EA2">
              <w:rPr>
                <w:rFonts w:ascii="Arial Narrow" w:hAnsi="Arial Narrow"/>
                <w:b/>
                <w:bCs/>
                <w:sz w:val="18"/>
                <w:szCs w:val="18"/>
              </w:rPr>
              <w:t>AND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BA2866" w:rsidRDefault="00B61BE4" w:rsidP="00185A22">
            <w:pPr>
              <w:rPr>
                <w:rFonts w:ascii="Arial Narrow" w:hAnsi="Arial Narrow"/>
                <w:sz w:val="18"/>
                <w:szCs w:val="18"/>
              </w:rPr>
            </w:pPr>
            <w:r w:rsidRPr="00BA2866">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991EA2" w:rsidRDefault="00B61BE4" w:rsidP="00083571">
            <w:pPr>
              <w:rPr>
                <w:rFonts w:ascii="Arial Narrow" w:hAnsi="Arial Narrow"/>
                <w:sz w:val="18"/>
                <w:szCs w:val="18"/>
              </w:rPr>
            </w:pPr>
            <w:r w:rsidRPr="00CA5692">
              <w:rPr>
                <w:rFonts w:ascii="Arial Narrow" w:hAnsi="Arial Narrow"/>
                <w:sz w:val="20"/>
                <w:szCs w:val="20"/>
              </w:rPr>
              <w:t xml:space="preserve">The treatment must not exceed a total of 35 cycles or up to 24 months of treatment </w:t>
            </w:r>
            <w:r w:rsidR="00083571">
              <w:rPr>
                <w:rFonts w:ascii="Arial Narrow" w:hAnsi="Arial Narrow"/>
                <w:sz w:val="20"/>
                <w:szCs w:val="20"/>
              </w:rPr>
              <w:t>in a lifetime for this condition</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1942F9" w:rsidRDefault="00B61BE4" w:rsidP="00185A22">
            <w:pPr>
              <w:jc w:val="center"/>
              <w:rPr>
                <w:rFonts w:ascii="Arial Narrow" w:hAnsi="Arial Narrow"/>
                <w:sz w:val="20"/>
                <w:szCs w:val="18"/>
              </w:rPr>
            </w:pPr>
          </w:p>
        </w:tc>
        <w:tc>
          <w:tcPr>
            <w:tcW w:w="8093" w:type="dxa"/>
            <w:gridSpan w:val="5"/>
            <w:vAlign w:val="center"/>
          </w:tcPr>
          <w:p w:rsidR="00B61BE4" w:rsidRPr="001942F9" w:rsidRDefault="00B61BE4" w:rsidP="00185A22">
            <w:pPr>
              <w:rPr>
                <w:rFonts w:ascii="Arial Narrow" w:hAnsi="Arial Narrow"/>
                <w:b/>
                <w:bCs/>
                <w:sz w:val="20"/>
                <w:szCs w:val="18"/>
              </w:rPr>
            </w:pPr>
            <w:r w:rsidRPr="001942F9">
              <w:rPr>
                <w:rFonts w:ascii="Arial Narrow" w:hAnsi="Arial Narrow"/>
                <w:b/>
                <w:sz w:val="18"/>
                <w:szCs w:val="18"/>
              </w:rPr>
              <w:t>Prescribing Instructions</w:t>
            </w:r>
            <w:r w:rsidRPr="001942F9">
              <w:rPr>
                <w:rFonts w:ascii="Arial Narrow" w:hAnsi="Arial Narrow"/>
                <w:b/>
                <w:sz w:val="20"/>
                <w:szCs w:val="18"/>
              </w:rPr>
              <w:t xml:space="preserve">: </w:t>
            </w:r>
            <w:r w:rsidRPr="001942F9">
              <w:rPr>
                <w:rFonts w:ascii="Arial Narrow" w:hAnsi="Arial Narrow"/>
                <w:sz w:val="20"/>
                <w:szCs w:val="18"/>
              </w:rPr>
              <w:t>A patient may qualify for PBS-subsidised treatment under this restriction once only. For continuing PBS-subsidised treatment, a Grandfathered patient must qualify under the Continuing treatment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C6389E"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sz w:val="18"/>
                <w:szCs w:val="18"/>
              </w:rPr>
            </w:pPr>
            <w:r w:rsidRPr="00C6389E">
              <w:rPr>
                <w:rFonts w:ascii="Arial Narrow" w:hAnsi="Arial Narrow"/>
                <w:b/>
                <w:bCs/>
                <w:sz w:val="18"/>
                <w:szCs w:val="18"/>
              </w:rPr>
              <w:t xml:space="preserve">Administrative Advice: </w:t>
            </w:r>
            <w:r w:rsidRPr="001942F9">
              <w:rPr>
                <w:rFonts w:ascii="Arial Narrow" w:hAnsi="Arial Narrow"/>
                <w:sz w:val="20"/>
                <w:szCs w:val="18"/>
              </w:rPr>
              <w:t>This grandfather restriction will cease to operate from 12 months after the date specified in the 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C6389E"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sz w:val="18"/>
                <w:szCs w:val="18"/>
              </w:rPr>
            </w:pPr>
            <w:r w:rsidRPr="00C6389E">
              <w:rPr>
                <w:rFonts w:ascii="Arial Narrow" w:hAnsi="Arial Narrow"/>
                <w:b/>
                <w:bCs/>
                <w:sz w:val="18"/>
                <w:szCs w:val="18"/>
              </w:rPr>
              <w:t xml:space="preserve">Administrative Advice: </w:t>
            </w:r>
            <w:r w:rsidRPr="00AF59D9">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61BE4" w:rsidRPr="00991EA2" w:rsidTr="00EC1B6C">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C6389E" w:rsidRDefault="00B61BE4" w:rsidP="00185A22">
            <w:pPr>
              <w:jc w:val="center"/>
              <w:rPr>
                <w:rFonts w:ascii="Arial Narrow" w:hAnsi="Arial Narrow"/>
                <w:sz w:val="18"/>
                <w:szCs w:val="18"/>
              </w:rPr>
            </w:pPr>
          </w:p>
        </w:tc>
        <w:tc>
          <w:tcPr>
            <w:tcW w:w="8093" w:type="dxa"/>
            <w:gridSpan w:val="5"/>
            <w:vAlign w:val="center"/>
            <w:hideMark/>
          </w:tcPr>
          <w:p w:rsidR="00B61BE4" w:rsidRPr="00C6389E" w:rsidRDefault="00B61BE4" w:rsidP="00185A22">
            <w:pPr>
              <w:rPr>
                <w:rFonts w:ascii="Arial Narrow" w:hAnsi="Arial Narrow"/>
                <w:b/>
                <w:sz w:val="18"/>
                <w:szCs w:val="18"/>
              </w:rPr>
            </w:pPr>
            <w:r w:rsidRPr="00C6389E">
              <w:rPr>
                <w:rFonts w:ascii="Arial Narrow" w:hAnsi="Arial Narrow"/>
                <w:b/>
                <w:bCs/>
                <w:sz w:val="18"/>
                <w:szCs w:val="18"/>
              </w:rPr>
              <w:t xml:space="preserve">Administrative Advice: </w:t>
            </w:r>
            <w:r w:rsidRPr="002A2B9B">
              <w:rPr>
                <w:rFonts w:ascii="Arial Narrow" w:hAnsi="Arial Narrow"/>
                <w:sz w:val="20"/>
                <w:szCs w:val="20"/>
              </w:rPr>
              <w:t>No increase in the maximum quantity or number of units may be authorised</w:t>
            </w:r>
            <w:r>
              <w:rPr>
                <w:rFonts w:ascii="Arial Narrow" w:hAnsi="Arial Narrow"/>
                <w:sz w:val="20"/>
                <w:szCs w:val="20"/>
              </w:rPr>
              <w:t>.</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C6389E"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sz w:val="18"/>
                <w:szCs w:val="18"/>
              </w:rPr>
            </w:pPr>
            <w:r w:rsidRPr="00C6389E">
              <w:rPr>
                <w:rFonts w:ascii="Arial Narrow" w:hAnsi="Arial Narrow"/>
                <w:b/>
                <w:bCs/>
                <w:sz w:val="18"/>
                <w:szCs w:val="18"/>
              </w:rPr>
              <w:t xml:space="preserve">Administrative Advice: </w:t>
            </w:r>
            <w:r w:rsidRPr="002A2B9B">
              <w:rPr>
                <w:rFonts w:ascii="Arial Narrow" w:hAnsi="Arial Narrow"/>
                <w:sz w:val="20"/>
                <w:szCs w:val="20"/>
              </w:rPr>
              <w:t>No increase in the maximum number of repeats may be authorised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bCs/>
                <w:sz w:val="18"/>
                <w:szCs w:val="18"/>
              </w:rPr>
            </w:pPr>
            <w:r w:rsidRPr="00C6389E">
              <w:rPr>
                <w:rFonts w:ascii="Arial Narrow" w:hAnsi="Arial Narrow"/>
                <w:b/>
                <w:bCs/>
                <w:sz w:val="18"/>
                <w:szCs w:val="18"/>
              </w:rPr>
              <w:t>Administrative Advice</w:t>
            </w:r>
            <w:r w:rsidRPr="00A86B90">
              <w:rPr>
                <w:rFonts w:ascii="Arial Narrow" w:hAnsi="Arial Narrow"/>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B61BE4" w:rsidRDefault="00B61BE4" w:rsidP="00185A22">
            <w:pPr>
              <w:ind w:right="70"/>
              <w:rPr>
                <w:rFonts w:ascii="Arial Narrow" w:hAnsi="Arial Narrow"/>
                <w:b/>
                <w:sz w:val="18"/>
                <w:szCs w:val="18"/>
              </w:rPr>
            </w:pPr>
          </w:p>
          <w:p w:rsidR="00B61BE4" w:rsidRPr="00507253" w:rsidRDefault="00B61BE4" w:rsidP="00185A22">
            <w:pPr>
              <w:ind w:right="70"/>
              <w:rPr>
                <w:rFonts w:ascii="Arial Narrow" w:hAnsi="Arial Narrow"/>
                <w:b/>
                <w:sz w:val="18"/>
                <w:szCs w:val="18"/>
              </w:rPr>
            </w:pP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rsidR="00B61BE4" w:rsidRDefault="00B61BE4" w:rsidP="00185A22">
            <w:pPr>
              <w:ind w:right="70"/>
              <w:rPr>
                <w:rFonts w:ascii="Arial Narrow" w:hAnsi="Arial Narrow"/>
                <w:b/>
                <w:sz w:val="18"/>
                <w:szCs w:val="18"/>
              </w:rPr>
            </w:pPr>
            <w:r w:rsidRPr="00507253">
              <w:rPr>
                <w:rFonts w:ascii="Arial Narrow" w:hAnsi="Arial Narrow"/>
                <w:b/>
                <w:sz w:val="18"/>
                <w:szCs w:val="18"/>
              </w:rPr>
              <w:t>Restriction Summary [new] / Treatment of Concept: [new]</w:t>
            </w:r>
          </w:p>
          <w:p w:rsidR="00B61BE4" w:rsidRPr="00991EA2" w:rsidRDefault="00B61BE4" w:rsidP="00185A22">
            <w:pPr>
              <w:rPr>
                <w:rFonts w:ascii="Arial Narrow" w:hAnsi="Arial Narrow"/>
                <w:b/>
                <w:sz w:val="18"/>
                <w:szCs w:val="18"/>
              </w:rPr>
            </w:pP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Merge w:val="restart"/>
            <w:tcBorders>
              <w:top w:val="single" w:sz="4" w:space="0" w:color="auto"/>
              <w:left w:val="single" w:sz="4" w:space="0" w:color="auto"/>
              <w:right w:val="single" w:sz="4" w:space="0" w:color="auto"/>
            </w:tcBorders>
          </w:tcPr>
          <w:p w:rsidR="00B61BE4" w:rsidRPr="00991EA2" w:rsidRDefault="00B61BE4" w:rsidP="00185A22">
            <w:pPr>
              <w:jc w:val="center"/>
              <w:rPr>
                <w:rFonts w:ascii="Arial Narrow" w:hAnsi="Arial Narrow"/>
                <w:i/>
                <w:sz w:val="18"/>
                <w:szCs w:val="18"/>
              </w:rPr>
            </w:pPr>
          </w:p>
        </w:tc>
        <w:tc>
          <w:tcPr>
            <w:tcW w:w="8093" w:type="dxa"/>
            <w:gridSpan w:val="5"/>
            <w:tcBorders>
              <w:top w:val="single" w:sz="4" w:space="0" w:color="auto"/>
              <w:left w:val="single" w:sz="4" w:space="0" w:color="auto"/>
              <w:bottom w:val="single" w:sz="4" w:space="0" w:color="auto"/>
              <w:right w:val="single" w:sz="4" w:space="0" w:color="auto"/>
            </w:tcBorders>
          </w:tcPr>
          <w:p w:rsidR="00B61BE4" w:rsidRPr="00991EA2" w:rsidRDefault="00B61BE4" w:rsidP="00185A22">
            <w:pPr>
              <w:rPr>
                <w:rFonts w:ascii="Arial Narrow" w:hAnsi="Arial Narrow"/>
                <w:sz w:val="18"/>
                <w:szCs w:val="18"/>
              </w:rPr>
            </w:pPr>
            <w:r w:rsidRPr="00991EA2">
              <w:rPr>
                <w:rFonts w:ascii="Arial Narrow" w:hAnsi="Arial Narrow"/>
                <w:b/>
                <w:sz w:val="18"/>
                <w:szCs w:val="18"/>
              </w:rPr>
              <w:t xml:space="preserve">Category / Program:   </w:t>
            </w:r>
          </w:p>
          <w:p w:rsidR="00B61BE4" w:rsidRPr="00991EA2" w:rsidRDefault="00B61BE4" w:rsidP="004B00C9">
            <w:pPr>
              <w:rPr>
                <w:rFonts w:ascii="Arial Narrow" w:hAnsi="Arial Narrow"/>
                <w:sz w:val="18"/>
                <w:szCs w:val="18"/>
              </w:rPr>
            </w:pPr>
            <w:r w:rsidRPr="00991EA2">
              <w:rPr>
                <w:rFonts w:ascii="Arial Narrow" w:hAnsi="Arial Narrow"/>
                <w:sz w:val="18"/>
                <w:szCs w:val="18"/>
              </w:rPr>
              <w:t xml:space="preserve">Section 100 – </w:t>
            </w:r>
            <w:r w:rsidR="004B00C9">
              <w:rPr>
                <w:rFonts w:ascii="Arial Narrow" w:hAnsi="Arial Narrow"/>
                <w:sz w:val="18"/>
                <w:szCs w:val="18"/>
              </w:rPr>
              <w:t>Efficient Funding of Chemotherapy</w:t>
            </w:r>
            <w:r w:rsidRPr="00991EA2">
              <w:rPr>
                <w:rFonts w:ascii="Arial Narrow" w:hAnsi="Arial Narrow"/>
                <w:sz w:val="18"/>
                <w:szCs w:val="18"/>
              </w:rPr>
              <w:t xml:space="preserve">  </w:t>
            </w:r>
            <w:r>
              <w:rPr>
                <w:rFonts w:ascii="Arial Narrow" w:hAnsi="Arial Narrow"/>
                <w:sz w:val="18"/>
                <w:szCs w:val="18"/>
              </w:rPr>
              <w:t>(Public/Private hospitals code)</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rPr>
          <w:trHeight w:val="240"/>
        </w:trPr>
        <w:tc>
          <w:tcPr>
            <w:tcW w:w="974" w:type="dxa"/>
            <w:vMerge/>
            <w:tcBorders>
              <w:left w:val="single" w:sz="4" w:space="0" w:color="auto"/>
              <w:right w:val="single" w:sz="4" w:space="0" w:color="auto"/>
            </w:tcBorders>
          </w:tcPr>
          <w:p w:rsidR="00B61BE4" w:rsidRPr="00991EA2" w:rsidRDefault="00B61BE4" w:rsidP="00185A22">
            <w:pPr>
              <w:rPr>
                <w:rFonts w:ascii="Arial Narrow" w:hAnsi="Arial Narrow"/>
                <w:sz w:val="18"/>
                <w:szCs w:val="18"/>
              </w:rPr>
            </w:pPr>
          </w:p>
        </w:tc>
        <w:tc>
          <w:tcPr>
            <w:tcW w:w="8093" w:type="dxa"/>
            <w:gridSpan w:val="5"/>
            <w:tcBorders>
              <w:top w:val="single" w:sz="4" w:space="0" w:color="auto"/>
              <w:left w:val="single" w:sz="4" w:space="0" w:color="auto"/>
              <w:bottom w:val="single" w:sz="4" w:space="0" w:color="auto"/>
              <w:right w:val="single" w:sz="4" w:space="0" w:color="auto"/>
            </w:tcBorders>
          </w:tcPr>
          <w:p w:rsidR="00B61BE4" w:rsidRPr="00991EA2" w:rsidRDefault="00B61BE4" w:rsidP="00185A22">
            <w:pPr>
              <w:rPr>
                <w:rFonts w:ascii="Arial Narrow" w:hAnsi="Arial Narrow"/>
                <w:b/>
                <w:sz w:val="18"/>
                <w:szCs w:val="18"/>
              </w:rPr>
            </w:pPr>
            <w:r w:rsidRPr="00991EA2">
              <w:rPr>
                <w:rFonts w:ascii="Arial Narrow" w:hAnsi="Arial Narrow"/>
                <w:b/>
                <w:sz w:val="18"/>
                <w:szCs w:val="18"/>
              </w:rPr>
              <w:t xml:space="preserve">Prescriber type:   </w:t>
            </w:r>
            <w:r w:rsidRPr="00991EA2">
              <w:rPr>
                <w:rFonts w:ascii="Arial Narrow" w:hAnsi="Arial Narrow"/>
                <w:sz w:val="18"/>
                <w:szCs w:val="18"/>
              </w:rPr>
              <w:t xml:space="preserve">    </w:t>
            </w:r>
            <w:r w:rsidRPr="00991EA2">
              <w:rPr>
                <w:rFonts w:ascii="Arial Narrow" w:hAnsi="Arial Narrow"/>
                <w:sz w:val="18"/>
                <w:szCs w:val="18"/>
              </w:rPr>
              <w:fldChar w:fldCharType="begin">
                <w:ffData>
                  <w:name w:val=""/>
                  <w:enabled/>
                  <w:calcOnExit w:val="0"/>
                  <w:checkBox>
                    <w:sizeAuto/>
                    <w:default w:val="1"/>
                  </w:checkBox>
                </w:ffData>
              </w:fldChar>
            </w:r>
            <w:r w:rsidRPr="00991EA2">
              <w:rPr>
                <w:rFonts w:ascii="Arial Narrow" w:hAnsi="Arial Narrow"/>
                <w:sz w:val="18"/>
                <w:szCs w:val="18"/>
              </w:rPr>
              <w:instrText xml:space="preserve"> FORMCHECKBOX </w:instrText>
            </w:r>
            <w:r w:rsidR="00205961">
              <w:rPr>
                <w:rFonts w:ascii="Arial Narrow" w:hAnsi="Arial Narrow"/>
                <w:sz w:val="18"/>
                <w:szCs w:val="18"/>
              </w:rPr>
            </w:r>
            <w:r w:rsidR="00205961">
              <w:rPr>
                <w:rFonts w:ascii="Arial Narrow" w:hAnsi="Arial Narrow"/>
                <w:sz w:val="18"/>
                <w:szCs w:val="18"/>
              </w:rPr>
              <w:fldChar w:fldCharType="separate"/>
            </w:r>
            <w:r w:rsidRPr="00991EA2">
              <w:rPr>
                <w:rFonts w:ascii="Arial Narrow" w:hAnsi="Arial Narrow"/>
                <w:sz w:val="18"/>
                <w:szCs w:val="18"/>
              </w:rPr>
              <w:fldChar w:fldCharType="end"/>
            </w:r>
            <w:r w:rsidRPr="00991EA2">
              <w:rPr>
                <w:rFonts w:ascii="Arial Narrow" w:hAnsi="Arial Narrow"/>
                <w:sz w:val="18"/>
                <w:szCs w:val="18"/>
              </w:rPr>
              <w:t xml:space="preserve">Medical Practitioners    </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Merge/>
            <w:tcBorders>
              <w:left w:val="single" w:sz="4" w:space="0" w:color="auto"/>
              <w:bottom w:val="single" w:sz="4" w:space="0" w:color="auto"/>
              <w:right w:val="single" w:sz="4" w:space="0" w:color="auto"/>
            </w:tcBorders>
          </w:tcPr>
          <w:p w:rsidR="00B61BE4" w:rsidRPr="00991EA2" w:rsidRDefault="00B61BE4" w:rsidP="00185A22">
            <w:pPr>
              <w:rPr>
                <w:rFonts w:ascii="Arial Narrow" w:hAnsi="Arial Narrow"/>
                <w:sz w:val="18"/>
                <w:szCs w:val="18"/>
              </w:rPr>
            </w:pPr>
          </w:p>
        </w:tc>
        <w:tc>
          <w:tcPr>
            <w:tcW w:w="8093" w:type="dxa"/>
            <w:gridSpan w:val="5"/>
            <w:tcBorders>
              <w:top w:val="single" w:sz="4" w:space="0" w:color="auto"/>
              <w:left w:val="single" w:sz="4" w:space="0" w:color="auto"/>
              <w:bottom w:val="single" w:sz="4" w:space="0" w:color="auto"/>
              <w:right w:val="single" w:sz="4" w:space="0" w:color="auto"/>
            </w:tcBorders>
          </w:tcPr>
          <w:p w:rsidR="00B61BE4" w:rsidRPr="00991EA2" w:rsidRDefault="00B61BE4" w:rsidP="00185A22">
            <w:pPr>
              <w:rPr>
                <w:rFonts w:ascii="Arial Narrow" w:hAnsi="Arial Narrow"/>
                <w:b/>
                <w:sz w:val="18"/>
                <w:szCs w:val="18"/>
              </w:rPr>
            </w:pPr>
            <w:r w:rsidRPr="00991EA2">
              <w:rPr>
                <w:rFonts w:ascii="Arial Narrow" w:hAnsi="Arial Narrow"/>
                <w:b/>
                <w:sz w:val="18"/>
                <w:szCs w:val="18"/>
              </w:rPr>
              <w:t xml:space="preserve">Restriction Type </w:t>
            </w:r>
          </w:p>
          <w:p w:rsidR="00B61BE4" w:rsidRPr="00991EA2" w:rsidRDefault="00B61BE4" w:rsidP="00185A22">
            <w:pPr>
              <w:rPr>
                <w:rFonts w:ascii="Arial Narrow" w:eastAsia="Calibri" w:hAnsi="Arial Narrow"/>
                <w:sz w:val="18"/>
                <w:szCs w:val="18"/>
              </w:rPr>
            </w:pPr>
            <w:r w:rsidRPr="00991EA2">
              <w:rPr>
                <w:rFonts w:ascii="Arial Narrow" w:eastAsia="Calibri" w:hAnsi="Arial Narrow"/>
                <w:sz w:val="18"/>
                <w:szCs w:val="18"/>
              </w:rPr>
              <w:fldChar w:fldCharType="begin">
                <w:ffData>
                  <w:name w:val="Check3"/>
                  <w:enabled/>
                  <w:calcOnExit w:val="0"/>
                  <w:checkBox>
                    <w:sizeAuto/>
                    <w:default w:val="1"/>
                  </w:checkBox>
                </w:ffData>
              </w:fldChar>
            </w:r>
            <w:r w:rsidRPr="00991EA2">
              <w:rPr>
                <w:rFonts w:ascii="Arial Narrow" w:eastAsia="Calibri" w:hAnsi="Arial Narrow"/>
                <w:sz w:val="18"/>
                <w:szCs w:val="18"/>
              </w:rPr>
              <w:instrText xml:space="preserve"> FORMCHECKBOX </w:instrText>
            </w:r>
            <w:r w:rsidR="00205961">
              <w:rPr>
                <w:rFonts w:ascii="Arial Narrow" w:eastAsia="Calibri" w:hAnsi="Arial Narrow"/>
                <w:sz w:val="18"/>
                <w:szCs w:val="18"/>
              </w:rPr>
            </w:r>
            <w:r w:rsidR="00205961">
              <w:rPr>
                <w:rFonts w:ascii="Arial Narrow" w:eastAsia="Calibri" w:hAnsi="Arial Narrow"/>
                <w:sz w:val="18"/>
                <w:szCs w:val="18"/>
              </w:rPr>
              <w:fldChar w:fldCharType="separate"/>
            </w:r>
            <w:r w:rsidRPr="00991EA2">
              <w:rPr>
                <w:rFonts w:ascii="Arial Narrow" w:eastAsia="Calibri" w:hAnsi="Arial Narrow"/>
                <w:sz w:val="18"/>
                <w:szCs w:val="18"/>
              </w:rPr>
              <w:fldChar w:fldCharType="end"/>
            </w:r>
            <w:r w:rsidRPr="00991EA2">
              <w:rPr>
                <w:rFonts w:ascii="Arial Narrow" w:eastAsia="Calibri" w:hAnsi="Arial Narrow"/>
                <w:sz w:val="18"/>
                <w:szCs w:val="18"/>
              </w:rPr>
              <w:t xml:space="preserve">Authority Required – immediate/real time assessment by Services Australia </w:t>
            </w:r>
          </w:p>
        </w:tc>
      </w:tr>
      <w:tr w:rsidR="00B61BE4" w:rsidRPr="00991EA2" w:rsidTr="00EC1B6C">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C6389E" w:rsidRDefault="00B61BE4" w:rsidP="00185A22">
            <w:pPr>
              <w:rPr>
                <w:rFonts w:ascii="Arial Narrow" w:hAnsi="Arial Narrow"/>
                <w:sz w:val="18"/>
                <w:szCs w:val="18"/>
              </w:rPr>
            </w:pPr>
            <w:r w:rsidRPr="00C6389E">
              <w:rPr>
                <w:rFonts w:ascii="Arial Narrow" w:hAnsi="Arial Narrow"/>
                <w:b/>
                <w:bCs/>
                <w:sz w:val="18"/>
                <w:szCs w:val="18"/>
              </w:rPr>
              <w:t>Indication:</w:t>
            </w:r>
            <w:r w:rsidRPr="00C6389E">
              <w:rPr>
                <w:rFonts w:ascii="Arial Narrow" w:hAnsi="Arial Narrow"/>
                <w:sz w:val="18"/>
                <w:szCs w:val="18"/>
              </w:rPr>
              <w:t xml:space="preserve"> </w:t>
            </w:r>
            <w:r w:rsidRPr="00050820">
              <w:rPr>
                <w:rFonts w:ascii="Arial Narrow" w:hAnsi="Arial Narrow"/>
                <w:sz w:val="20"/>
                <w:szCs w:val="20"/>
              </w:rPr>
              <w:t xml:space="preserve">Unresectable or metastatic </w:t>
            </w:r>
            <w:r w:rsidRPr="008D781B">
              <w:rPr>
                <w:rFonts w:ascii="Arial Narrow" w:hAnsi="Arial Narrow"/>
                <w:sz w:val="20"/>
                <w:szCs w:val="20"/>
              </w:rPr>
              <w:t xml:space="preserve">deficient mismatch repair (dMMR) </w:t>
            </w:r>
            <w:r w:rsidRPr="00050820">
              <w:rPr>
                <w:rFonts w:ascii="Arial Narrow" w:hAnsi="Arial Narrow"/>
                <w:sz w:val="20"/>
                <w:szCs w:val="20"/>
              </w:rPr>
              <w:t>colorectal cancer</w:t>
            </w:r>
          </w:p>
        </w:tc>
      </w:tr>
      <w:tr w:rsidR="00B61BE4" w:rsidRPr="00991EA2" w:rsidTr="00EC1B6C">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7D373E" w:rsidRDefault="00B61BE4" w:rsidP="00185A22">
            <w:pPr>
              <w:rPr>
                <w:rFonts w:ascii="Arial Narrow" w:hAnsi="Arial Narrow"/>
                <w:sz w:val="18"/>
                <w:szCs w:val="18"/>
              </w:rPr>
            </w:pPr>
            <w:r w:rsidRPr="007D373E">
              <w:rPr>
                <w:rFonts w:ascii="Arial Narrow" w:hAnsi="Arial Narrow"/>
                <w:b/>
                <w:bCs/>
                <w:sz w:val="18"/>
                <w:szCs w:val="18"/>
              </w:rPr>
              <w:t>Treatment Phase:</w:t>
            </w:r>
            <w:r w:rsidRPr="007D373E">
              <w:rPr>
                <w:rFonts w:ascii="Arial Narrow" w:hAnsi="Arial Narrow"/>
                <w:sz w:val="18"/>
                <w:szCs w:val="18"/>
              </w:rPr>
              <w:t xml:space="preserve"> </w:t>
            </w:r>
            <w:r w:rsidRPr="001942F9">
              <w:rPr>
                <w:rFonts w:ascii="Arial Narrow" w:hAnsi="Arial Narrow"/>
                <w:bCs/>
                <w:sz w:val="20"/>
                <w:szCs w:val="18"/>
              </w:rPr>
              <w:t>Continuing treatment</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991EA2" w:rsidRDefault="00B61BE4" w:rsidP="00185A22">
            <w:pPr>
              <w:rPr>
                <w:rFonts w:ascii="Arial Narrow" w:hAnsi="Arial Narrow"/>
                <w:sz w:val="18"/>
                <w:szCs w:val="18"/>
              </w:rPr>
            </w:pPr>
            <w:r w:rsidRPr="00991EA2">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681863" w:rsidRDefault="00B61BE4" w:rsidP="00185A22">
            <w:pPr>
              <w:rPr>
                <w:rFonts w:ascii="Arial Narrow" w:hAnsi="Arial Narrow"/>
                <w:sz w:val="20"/>
                <w:szCs w:val="20"/>
              </w:rPr>
            </w:pPr>
            <w:r w:rsidRPr="00673A45">
              <w:rPr>
                <w:rFonts w:ascii="Arial Narrow" w:hAnsi="Arial Narrow"/>
                <w:sz w:val="20"/>
                <w:szCs w:val="20"/>
              </w:rPr>
              <w:t>Patient must have previously received PBS-subsidised treatment wi</w:t>
            </w:r>
            <w:r>
              <w:rPr>
                <w:rFonts w:ascii="Arial Narrow" w:hAnsi="Arial Narrow"/>
                <w:sz w:val="20"/>
                <w:szCs w:val="20"/>
              </w:rPr>
              <w:t>th this drug for this condition</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sz w:val="18"/>
                <w:szCs w:val="18"/>
              </w:rPr>
            </w:pPr>
            <w:r w:rsidRPr="00991EA2">
              <w:rPr>
                <w:rFonts w:ascii="Arial Narrow" w:hAnsi="Arial Narrow"/>
                <w:b/>
                <w:bCs/>
                <w:sz w:val="18"/>
                <w:szCs w:val="18"/>
              </w:rPr>
              <w:t>AND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sz w:val="18"/>
                <w:szCs w:val="18"/>
              </w:rPr>
            </w:pPr>
            <w:r w:rsidRPr="00991EA2">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681863" w:rsidRDefault="00B61BE4" w:rsidP="00185A22">
            <w:pPr>
              <w:rPr>
                <w:rFonts w:ascii="Arial Narrow" w:hAnsi="Arial Narrow"/>
                <w:sz w:val="20"/>
                <w:szCs w:val="20"/>
              </w:rPr>
            </w:pPr>
            <w:r w:rsidRPr="00673A45">
              <w:rPr>
                <w:rFonts w:ascii="Arial Narrow" w:hAnsi="Arial Narrow"/>
                <w:sz w:val="20"/>
                <w:szCs w:val="20"/>
              </w:rPr>
              <w:t>Patient must not have progressive disease while receiving PBS-subsidised treatment wit</w:t>
            </w:r>
            <w:r>
              <w:rPr>
                <w:rFonts w:ascii="Arial Narrow" w:hAnsi="Arial Narrow"/>
                <w:sz w:val="20"/>
                <w:szCs w:val="20"/>
              </w:rPr>
              <w:t>h this drug for this condition.</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991EA2" w:rsidRDefault="00B61BE4" w:rsidP="00185A22">
            <w:pPr>
              <w:rPr>
                <w:rFonts w:ascii="Arial Narrow" w:hAnsi="Arial Narrow" w:cstheme="minorHAnsi"/>
                <w:iCs/>
              </w:rPr>
            </w:pPr>
            <w:r w:rsidRPr="00991EA2">
              <w:rPr>
                <w:rFonts w:ascii="Arial Narrow" w:hAnsi="Arial Narrow"/>
                <w:b/>
                <w:bCs/>
                <w:sz w:val="18"/>
                <w:szCs w:val="18"/>
              </w:rPr>
              <w:t>AND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tcPr>
          <w:p w:rsidR="00B61BE4" w:rsidRPr="00BA2866" w:rsidRDefault="00B61BE4" w:rsidP="00185A22">
            <w:pPr>
              <w:rPr>
                <w:rFonts w:ascii="Arial Narrow" w:hAnsi="Arial Narrow"/>
                <w:sz w:val="18"/>
                <w:szCs w:val="18"/>
              </w:rPr>
            </w:pPr>
            <w:r w:rsidRPr="00BA2866">
              <w:rPr>
                <w:rFonts w:ascii="Arial Narrow" w:hAnsi="Arial Narrow"/>
                <w:b/>
                <w:bCs/>
                <w:sz w:val="18"/>
                <w:szCs w:val="18"/>
              </w:rPr>
              <w:t>Clinical criteria:</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991EA2" w:rsidRDefault="00B61BE4" w:rsidP="00185A22">
            <w:pPr>
              <w:jc w:val="center"/>
              <w:rPr>
                <w:rFonts w:ascii="Arial Narrow" w:hAnsi="Arial Narrow"/>
                <w:sz w:val="18"/>
                <w:szCs w:val="18"/>
              </w:rPr>
            </w:pPr>
          </w:p>
        </w:tc>
        <w:tc>
          <w:tcPr>
            <w:tcW w:w="8093" w:type="dxa"/>
            <w:gridSpan w:val="5"/>
            <w:vAlign w:val="center"/>
            <w:hideMark/>
          </w:tcPr>
          <w:p w:rsidR="00B61BE4" w:rsidRPr="00991EA2" w:rsidRDefault="00B61BE4" w:rsidP="00083571">
            <w:pPr>
              <w:rPr>
                <w:rFonts w:ascii="Arial Narrow" w:hAnsi="Arial Narrow"/>
                <w:sz w:val="18"/>
                <w:szCs w:val="18"/>
              </w:rPr>
            </w:pPr>
            <w:r w:rsidRPr="00CA5692">
              <w:rPr>
                <w:rFonts w:ascii="Arial Narrow" w:hAnsi="Arial Narrow"/>
                <w:sz w:val="20"/>
                <w:szCs w:val="20"/>
              </w:rPr>
              <w:t xml:space="preserve">The treatment must not exceed a total of 35 cycles or up to 24 months of treatment </w:t>
            </w:r>
            <w:r w:rsidR="00083571">
              <w:rPr>
                <w:rFonts w:ascii="Arial Narrow" w:hAnsi="Arial Narrow"/>
                <w:sz w:val="20"/>
                <w:szCs w:val="20"/>
              </w:rPr>
              <w:t>in a lifetime for this condition</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C6389E"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sz w:val="18"/>
                <w:szCs w:val="18"/>
              </w:rPr>
            </w:pPr>
            <w:r w:rsidRPr="00C6389E">
              <w:rPr>
                <w:rFonts w:ascii="Arial Narrow" w:hAnsi="Arial Narrow"/>
                <w:b/>
                <w:bCs/>
                <w:sz w:val="18"/>
                <w:szCs w:val="18"/>
              </w:rPr>
              <w:t xml:space="preserve">Administrative Advice: </w:t>
            </w:r>
            <w:r w:rsidRPr="00AF59D9">
              <w:rPr>
                <w:rFonts w:ascii="Arial Narrow" w:hAnsi="Arial Narrow"/>
                <w:sz w:val="20"/>
                <w:szCs w:val="20"/>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B61BE4" w:rsidRPr="00991EA2" w:rsidTr="00EC1B6C">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C6389E" w:rsidRDefault="00B61BE4" w:rsidP="00185A22">
            <w:pPr>
              <w:jc w:val="center"/>
              <w:rPr>
                <w:rFonts w:ascii="Arial Narrow" w:hAnsi="Arial Narrow"/>
                <w:sz w:val="18"/>
                <w:szCs w:val="18"/>
              </w:rPr>
            </w:pPr>
          </w:p>
        </w:tc>
        <w:tc>
          <w:tcPr>
            <w:tcW w:w="8093" w:type="dxa"/>
            <w:gridSpan w:val="5"/>
            <w:vAlign w:val="center"/>
            <w:hideMark/>
          </w:tcPr>
          <w:p w:rsidR="00B61BE4" w:rsidRPr="00C6389E" w:rsidRDefault="00B61BE4" w:rsidP="00185A22">
            <w:pPr>
              <w:rPr>
                <w:rFonts w:ascii="Arial Narrow" w:hAnsi="Arial Narrow"/>
                <w:b/>
                <w:sz w:val="18"/>
                <w:szCs w:val="18"/>
              </w:rPr>
            </w:pPr>
            <w:r w:rsidRPr="00C6389E">
              <w:rPr>
                <w:rFonts w:ascii="Arial Narrow" w:hAnsi="Arial Narrow"/>
                <w:b/>
                <w:bCs/>
                <w:sz w:val="18"/>
                <w:szCs w:val="18"/>
              </w:rPr>
              <w:t xml:space="preserve">Administrative Advice: </w:t>
            </w:r>
            <w:r w:rsidRPr="002A2B9B">
              <w:rPr>
                <w:rFonts w:ascii="Arial Narrow" w:hAnsi="Arial Narrow"/>
                <w:sz w:val="20"/>
                <w:szCs w:val="20"/>
              </w:rPr>
              <w:t>No increase in the maximum quantity or number of units may be authorised</w:t>
            </w:r>
            <w:r>
              <w:rPr>
                <w:rFonts w:ascii="Arial Narrow" w:hAnsi="Arial Narrow"/>
                <w:sz w:val="20"/>
                <w:szCs w:val="20"/>
              </w:rPr>
              <w:t>.</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Pr="00C6389E"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sz w:val="18"/>
                <w:szCs w:val="18"/>
              </w:rPr>
            </w:pPr>
            <w:r w:rsidRPr="00C6389E">
              <w:rPr>
                <w:rFonts w:ascii="Arial Narrow" w:hAnsi="Arial Narrow"/>
                <w:b/>
                <w:bCs/>
                <w:sz w:val="18"/>
                <w:szCs w:val="18"/>
              </w:rPr>
              <w:t xml:space="preserve">Administrative Advice: </w:t>
            </w:r>
            <w:r w:rsidRPr="002A2B9B">
              <w:rPr>
                <w:rFonts w:ascii="Arial Narrow" w:hAnsi="Arial Narrow"/>
                <w:sz w:val="20"/>
                <w:szCs w:val="20"/>
              </w:rPr>
              <w:t>No increase in the maximum number of repeats may be authorised</w:t>
            </w:r>
          </w:p>
        </w:tc>
      </w:tr>
      <w:tr w:rsidR="00B61BE4" w:rsidRPr="00991EA2" w:rsidTr="00185A22">
        <w:tblPrEx>
          <w:tblCellMar>
            <w:top w:w="15" w:type="dxa"/>
            <w:left w:w="15" w:type="dxa"/>
            <w:bottom w:w="15" w:type="dxa"/>
            <w:right w:w="15" w:type="dxa"/>
          </w:tblCellMar>
          <w:tblLook w:val="04A0" w:firstRow="1" w:lastRow="0" w:firstColumn="1" w:lastColumn="0" w:noHBand="0" w:noVBand="1"/>
        </w:tblPrEx>
        <w:tc>
          <w:tcPr>
            <w:tcW w:w="974" w:type="dxa"/>
            <w:vAlign w:val="center"/>
          </w:tcPr>
          <w:p w:rsidR="00B61BE4" w:rsidRDefault="00B61BE4" w:rsidP="00185A22">
            <w:pPr>
              <w:jc w:val="center"/>
              <w:rPr>
                <w:rFonts w:ascii="Arial Narrow" w:hAnsi="Arial Narrow"/>
                <w:sz w:val="18"/>
                <w:szCs w:val="18"/>
              </w:rPr>
            </w:pPr>
          </w:p>
        </w:tc>
        <w:tc>
          <w:tcPr>
            <w:tcW w:w="8093" w:type="dxa"/>
            <w:gridSpan w:val="5"/>
            <w:vAlign w:val="center"/>
          </w:tcPr>
          <w:p w:rsidR="00B61BE4" w:rsidRPr="00C6389E" w:rsidRDefault="00B61BE4" w:rsidP="00185A22">
            <w:pPr>
              <w:rPr>
                <w:rFonts w:ascii="Arial Narrow" w:hAnsi="Arial Narrow"/>
                <w:b/>
                <w:bCs/>
                <w:sz w:val="18"/>
                <w:szCs w:val="18"/>
              </w:rPr>
            </w:pPr>
            <w:r w:rsidRPr="00C6389E">
              <w:rPr>
                <w:rFonts w:ascii="Arial Narrow" w:hAnsi="Arial Narrow"/>
                <w:b/>
                <w:bCs/>
                <w:sz w:val="18"/>
                <w:szCs w:val="18"/>
              </w:rPr>
              <w:t>Administrative Advice</w:t>
            </w:r>
            <w:r w:rsidRPr="00A86B90">
              <w:rPr>
                <w:rFonts w:ascii="Arial Narrow" w:hAnsi="Arial Narrow"/>
                <w:sz w:val="20"/>
                <w:szCs w:val="20"/>
              </w:rPr>
              <w:t xml:space="preserve"> Applications for authorisation under this restriction may be made in real time using the Online PBS Authorities system (see www.servicesaustralia.gov.au/HPOS) or by telephone by contacting Services Australia on 1800 888 333</w:t>
            </w:r>
          </w:p>
        </w:tc>
      </w:tr>
    </w:tbl>
    <w:p w:rsidR="00B61BE4" w:rsidRDefault="00B61BE4">
      <w:pPr>
        <w:jc w:val="left"/>
        <w:rPr>
          <w:u w:val="single"/>
        </w:rPr>
      </w:pPr>
    </w:p>
    <w:p w:rsidR="00083571" w:rsidRPr="00083571" w:rsidRDefault="00B61BE4" w:rsidP="0001545C">
      <w:pPr>
        <w:pStyle w:val="3-BodyText"/>
      </w:pPr>
      <w:r w:rsidRPr="00083571">
        <w:t xml:space="preserve">Flow on changes to </w:t>
      </w:r>
      <w:r w:rsidR="00083571" w:rsidRPr="00083571">
        <w:t>cetuximab, panitumumab and bevacizumab</w:t>
      </w:r>
      <w:r w:rsidR="004B00C9">
        <w:t xml:space="preserve"> to allow use after pembrolizumab for dMMR CRC patients</w:t>
      </w:r>
      <w:r w:rsidR="00083571" w:rsidRPr="00083571">
        <w:t>.</w:t>
      </w:r>
      <w:r w:rsidR="00724EA7">
        <w:t xml:space="preserve"> Restrictions to be finalised. </w:t>
      </w:r>
    </w:p>
    <w:p w:rsidR="002B3BFD" w:rsidRDefault="002B3BFD" w:rsidP="0001545C">
      <w:pPr>
        <w:rPr>
          <w:u w:val="single"/>
        </w:rPr>
      </w:pPr>
    </w:p>
    <w:p w:rsidR="004C5470" w:rsidRDefault="008428BF">
      <w:pPr>
        <w:jc w:val="left"/>
        <w:rPr>
          <w:rFonts w:asciiTheme="minorHAnsi" w:eastAsiaTheme="majorEastAsia" w:hAnsiTheme="minorHAnsi" w:cstheme="majorBidi"/>
          <w:b/>
          <w:color w:val="000000" w:themeColor="text1"/>
          <w:u w:val="single"/>
        </w:rPr>
      </w:pPr>
      <w:r>
        <w:rPr>
          <w:rFonts w:ascii="Segoe UI" w:hAnsi="Segoe UI" w:cs="Segoe UI"/>
          <w:b/>
          <w:bCs/>
          <w:i/>
          <w:iCs/>
          <w:color w:val="000000"/>
          <w:sz w:val="21"/>
          <w:szCs w:val="21"/>
          <w:shd w:val="clear" w:color="auto" w:fill="FFFFFF"/>
        </w:rPr>
        <w:t>These restrictions may be subject to further review. Should there be any changes made to the restriction the Sponsor will be informed.</w:t>
      </w:r>
      <w:r w:rsidDel="00D03403">
        <w:rPr>
          <w:u w:val="single"/>
        </w:rPr>
        <w:t xml:space="preserve"> </w:t>
      </w:r>
    </w:p>
    <w:bookmarkEnd w:id="35"/>
    <w:p w:rsidR="00D6221A" w:rsidRDefault="00D6221A" w:rsidP="004E570B">
      <w:pPr>
        <w:rPr>
          <w:b/>
        </w:rPr>
      </w:pPr>
    </w:p>
    <w:p w:rsidR="00141B52" w:rsidRPr="00141B52" w:rsidRDefault="00141B52" w:rsidP="00141B52">
      <w:pPr>
        <w:pStyle w:val="2-SectionHeading"/>
      </w:pPr>
      <w:r w:rsidRPr="00C07617">
        <w:t>Context for Decision</w:t>
      </w:r>
    </w:p>
    <w:p w:rsidR="00141B52" w:rsidRPr="007129F2" w:rsidRDefault="00141B52" w:rsidP="00141B52">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41B52" w:rsidRPr="00141B52" w:rsidRDefault="00141B52" w:rsidP="00141B52">
      <w:pPr>
        <w:pStyle w:val="2-SectionHeading"/>
      </w:pPr>
      <w:r>
        <w:t>Sponsor’s Comment</w:t>
      </w:r>
    </w:p>
    <w:p w:rsidR="00A21967" w:rsidRPr="00A21967" w:rsidRDefault="00A21967" w:rsidP="00A21967">
      <w:pPr>
        <w:pStyle w:val="2-SectionHeading"/>
        <w:numPr>
          <w:ilvl w:val="0"/>
          <w:numId w:val="0"/>
        </w:numPr>
        <w:ind w:left="720"/>
        <w:rPr>
          <w:b w:val="0"/>
          <w:sz w:val="24"/>
          <w:szCs w:val="24"/>
        </w:rPr>
      </w:pPr>
      <w:r w:rsidRPr="00A21967">
        <w:rPr>
          <w:b w:val="0"/>
          <w:sz w:val="24"/>
          <w:szCs w:val="24"/>
        </w:rPr>
        <w:t>MSD is pleased that Australian colorectal cancer patients with deficient mismatch repair (dMMR) will be among the first in the world to receive reimbursed access to Keytruda. For these patients, Keytruda not only improves survival, but also provides significant quality of life advantages over the current standard of care.</w:t>
      </w:r>
    </w:p>
    <w:p w:rsidR="00A21967" w:rsidRPr="00A21967" w:rsidRDefault="00A21967" w:rsidP="00A21967">
      <w:pPr>
        <w:pStyle w:val="2-SectionHeading"/>
        <w:numPr>
          <w:ilvl w:val="0"/>
          <w:numId w:val="0"/>
        </w:numPr>
        <w:ind w:left="720"/>
        <w:rPr>
          <w:b w:val="0"/>
          <w:sz w:val="24"/>
          <w:szCs w:val="24"/>
        </w:rPr>
      </w:pPr>
      <w:r w:rsidRPr="00A21967">
        <w:rPr>
          <w:b w:val="0"/>
          <w:sz w:val="24"/>
          <w:szCs w:val="24"/>
        </w:rPr>
        <w:t xml:space="preserve">We are working with the Department of Health to ensure that listing on the PBS occurs as soon as possible. Importantly, this positive outcome for patients was only possible due to a first-time PBAC recommendation. </w:t>
      </w:r>
    </w:p>
    <w:p w:rsidR="004E570B" w:rsidRPr="00E970ED" w:rsidRDefault="004E570B" w:rsidP="004E570B">
      <w:pPr>
        <w:pStyle w:val="ListBullet"/>
        <w:numPr>
          <w:ilvl w:val="0"/>
          <w:numId w:val="0"/>
        </w:numPr>
        <w:ind w:left="360" w:hanging="360"/>
        <w:rPr>
          <w:rFonts w:eastAsia="Calibri"/>
          <w:lang w:eastAsia="en-US"/>
        </w:rPr>
      </w:pPr>
    </w:p>
    <w:p w:rsidR="004E570B" w:rsidRPr="00E970ED" w:rsidRDefault="004E570B" w:rsidP="004E570B">
      <w:pPr>
        <w:spacing w:after="160" w:line="259" w:lineRule="auto"/>
        <w:jc w:val="left"/>
        <w:rPr>
          <w:rFonts w:ascii="Times New Roman" w:eastAsia="Calibri" w:hAnsi="Times New Roman" w:cs="Times New Roman"/>
          <w:lang w:eastAsia="en-US"/>
        </w:rPr>
      </w:pPr>
    </w:p>
    <w:p w:rsidR="004E570B" w:rsidRDefault="004E570B" w:rsidP="004E570B">
      <w:pPr>
        <w:jc w:val="left"/>
        <w:rPr>
          <w:color w:val="3366FF"/>
        </w:rPr>
      </w:pPr>
    </w:p>
    <w:sectPr w:rsidR="004E570B" w:rsidSect="002A6017">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D5EAC" w16cex:dateUtc="2021-02-21T12:05:00Z"/>
  <w16cex:commentExtensible w16cex:durableId="23DDFF84" w16cex:dateUtc="2021-02-21T23:01:00Z"/>
  <w16cex:commentExtensible w16cex:durableId="23C691E3" w16cex:dateUtc="2021-02-04T04:31:00Z"/>
  <w16cex:commentExtensible w16cex:durableId="23DCCC09" w16cex:dateUtc="2021-02-21T01:09:00Z"/>
  <w16cex:commentExtensible w16cex:durableId="23DCCC84" w16cex:dateUtc="2021-02-21T01:11:00Z"/>
  <w16cex:commentExtensible w16cex:durableId="23DCCE0C" w16cex:dateUtc="2021-02-21T01:18:00Z"/>
  <w16cex:commentExtensible w16cex:durableId="23DE00E2" w16cex:dateUtc="2021-02-21T23:07:00Z"/>
  <w16cex:commentExtensible w16cex:durableId="23DE1E70" w16cex:dateUtc="2021-02-22T01:13:00Z"/>
  <w16cex:commentExtensible w16cex:durableId="23DD61A5" w16cex:dateUtc="2021-02-21T12:18:00Z"/>
  <w16cex:commentExtensible w16cex:durableId="23DCD359" w16cex:dateUtc="2021-02-21T01:40:00Z"/>
  <w16cex:commentExtensible w16cex:durableId="23DD6469" w16cex:dateUtc="2021-02-21T12:29:00Z"/>
  <w16cex:commentExtensible w16cex:durableId="23DCD41F" w16cex:dateUtc="2021-02-21T01:44:00Z"/>
  <w16cex:commentExtensible w16cex:durableId="23C69263" w16cex:dateUtc="2021-02-04T04:33:00Z"/>
  <w16cex:commentExtensible w16cex:durableId="23DCD4DB" w16cex:dateUtc="2021-02-21T01:47:00Z"/>
  <w16cex:commentExtensible w16cex:durableId="23DCD617" w16cex:dateUtc="2021-02-21T0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5017DB" w16cid:durableId="23DD5EAC"/>
  <w16cid:commentId w16cid:paraId="4F2C4C90" w16cid:durableId="23DDFF84"/>
  <w16cid:commentId w16cid:paraId="6B4CD938" w16cid:durableId="23C691E3"/>
  <w16cid:commentId w16cid:paraId="1EE196FC" w16cid:durableId="23DCC70E"/>
  <w16cid:commentId w16cid:paraId="21DF1376" w16cid:durableId="23DCCC09"/>
  <w16cid:commentId w16cid:paraId="5EA2A6DA" w16cid:durableId="23DCC70F"/>
  <w16cid:commentId w16cid:paraId="5D21E50F" w16cid:durableId="23DCCC84"/>
  <w16cid:commentId w16cid:paraId="53B7A62E" w16cid:durableId="23DCC710"/>
  <w16cid:commentId w16cid:paraId="030AEC8F" w16cid:durableId="23DCCE0C"/>
  <w16cid:commentId w16cid:paraId="79068FFE" w16cid:durableId="23DE00E2"/>
  <w16cid:commentId w16cid:paraId="20D93BA6" w16cid:durableId="23DCC711"/>
  <w16cid:commentId w16cid:paraId="5A33CE4A" w16cid:durableId="23DCC712"/>
  <w16cid:commentId w16cid:paraId="152FC300" w16cid:durableId="23DE1E70"/>
  <w16cid:commentId w16cid:paraId="2EDDAE90" w16cid:durableId="23DCC713"/>
  <w16cid:commentId w16cid:paraId="2D1F0568" w16cid:durableId="23DD61A5"/>
  <w16cid:commentId w16cid:paraId="4A8D9FF0" w16cid:durableId="23DCC714"/>
  <w16cid:commentId w16cid:paraId="3AF0ADA6" w16cid:durableId="23DCC715"/>
  <w16cid:commentId w16cid:paraId="26FFE09D" w16cid:durableId="23DCD359"/>
  <w16cid:commentId w16cid:paraId="66BEBB29" w16cid:durableId="23DD6469"/>
  <w16cid:commentId w16cid:paraId="52F250D3" w16cid:durableId="23DCC716"/>
  <w16cid:commentId w16cid:paraId="66294721" w16cid:durableId="23DCD41F"/>
  <w16cid:commentId w16cid:paraId="55368FB3" w16cid:durableId="23C69263"/>
  <w16cid:commentId w16cid:paraId="70F308D0" w16cid:durableId="23DCC718"/>
  <w16cid:commentId w16cid:paraId="2E8BD285" w16cid:durableId="23DCD4DB"/>
  <w16cid:commentId w16cid:paraId="5FFE88EB" w16cid:durableId="23DCC719"/>
  <w16cid:commentId w16cid:paraId="49FD5911" w16cid:durableId="23DCC71A"/>
  <w16cid:commentId w16cid:paraId="7F99DD68" w16cid:durableId="23DCD6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961" w:rsidRDefault="00205961" w:rsidP="00124A51">
      <w:r>
        <w:separator/>
      </w:r>
    </w:p>
    <w:p w:rsidR="00205961" w:rsidRDefault="00205961"/>
  </w:endnote>
  <w:endnote w:type="continuationSeparator" w:id="0">
    <w:p w:rsidR="00205961" w:rsidRDefault="00205961" w:rsidP="00124A51">
      <w:r>
        <w:continuationSeparator/>
      </w:r>
    </w:p>
    <w:p w:rsidR="00205961" w:rsidRDefault="00205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Italic">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61" w:rsidRDefault="00205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61" w:rsidRDefault="00205961">
    <w:pPr>
      <w:pStyle w:val="Footer"/>
    </w:pPr>
  </w:p>
  <w:p w:rsidR="00205961" w:rsidRPr="007A30AB" w:rsidRDefault="00205961" w:rsidP="00407BCC">
    <w:pPr>
      <w:pStyle w:val="Footer"/>
      <w:jc w:val="center"/>
      <w:rPr>
        <w:b/>
      </w:rPr>
    </w:pPr>
    <w:r w:rsidRPr="007A30AB">
      <w:rPr>
        <w:b/>
      </w:rPr>
      <w:fldChar w:fldCharType="begin"/>
    </w:r>
    <w:r w:rsidRPr="007A30AB">
      <w:rPr>
        <w:b/>
      </w:rPr>
      <w:instrText xml:space="preserve"> PAGE   \* MERGEFORMAT </w:instrText>
    </w:r>
    <w:r w:rsidRPr="007A30AB">
      <w:rPr>
        <w:b/>
      </w:rPr>
      <w:fldChar w:fldCharType="separate"/>
    </w:r>
    <w:r w:rsidR="00BF2FBB">
      <w:rPr>
        <w:b/>
        <w:noProof/>
      </w:rPr>
      <w:t>24</w:t>
    </w:r>
    <w:r w:rsidRPr="007A30AB">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61" w:rsidRDefault="0020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961" w:rsidRDefault="00205961">
      <w:r>
        <w:separator/>
      </w:r>
    </w:p>
  </w:footnote>
  <w:footnote w:type="continuationSeparator" w:id="0">
    <w:p w:rsidR="00205961" w:rsidRDefault="00205961">
      <w:r>
        <w:continuationSeparator/>
      </w:r>
    </w:p>
  </w:footnote>
  <w:footnote w:id="1">
    <w:p w:rsidR="00205961" w:rsidRDefault="00205961">
      <w:pPr>
        <w:pStyle w:val="FootnoteText"/>
      </w:pPr>
      <w:r>
        <w:rPr>
          <w:rStyle w:val="FootnoteReference"/>
        </w:rPr>
        <w:footnoteRef/>
      </w:r>
      <w:r w:rsidRPr="000E569E">
        <w:t>Australian Institute of Health and Welfare 2018. Colorectal and other digestive-tract cancers. Cancer series no. 114. Cat. no. CAN 117. Canberra: AIHW</w:t>
      </w:r>
      <w:r>
        <w:t>.</w:t>
      </w:r>
    </w:p>
  </w:footnote>
  <w:footnote w:id="2">
    <w:p w:rsidR="00205961" w:rsidRDefault="00205961" w:rsidP="00217B96">
      <w:pPr>
        <w:pStyle w:val="FootnoteText"/>
      </w:pPr>
      <w:r>
        <w:rPr>
          <w:rStyle w:val="FootnoteReference"/>
        </w:rPr>
        <w:footnoteRef/>
      </w:r>
      <w:r w:rsidRPr="00017623">
        <w:rPr>
          <w:lang w:val="fr-FR"/>
        </w:rPr>
        <w:t xml:space="preserve"> Dudley JC, Lin M-T, Le DT, Eshleman JR. </w:t>
      </w:r>
      <w:r w:rsidRPr="00372BE6">
        <w:t>Microsatellite instability as a biomarker for PD-1 blockade. Clinical Cancer Research. 2016;22(4):813-20</w:t>
      </w:r>
      <w:r>
        <w:t>.</w:t>
      </w:r>
    </w:p>
  </w:footnote>
  <w:footnote w:id="3">
    <w:p w:rsidR="00205961" w:rsidRDefault="00205961" w:rsidP="00BB4046">
      <w:pPr>
        <w:pStyle w:val="FootnoteText"/>
      </w:pPr>
      <w:r>
        <w:rPr>
          <w:rStyle w:val="FootnoteReference"/>
        </w:rPr>
        <w:footnoteRef/>
      </w:r>
      <w:r>
        <w:t xml:space="preserve"> </w:t>
      </w:r>
      <w:r w:rsidRPr="000D1F33">
        <w:t>Wong HJ, J; et al. Impact of mismatch repair deficiency on treatment and outcomes in advanced colorectal cancer. Melbourne, Australia: The Walter and Eliza Hall Institute for Medical Research, 2017.</w:t>
      </w:r>
    </w:p>
  </w:footnote>
  <w:footnote w:id="4">
    <w:p w:rsidR="00205961" w:rsidRDefault="00205961" w:rsidP="00BB4046">
      <w:pPr>
        <w:pStyle w:val="FootnoteText"/>
      </w:pPr>
      <w:r>
        <w:rPr>
          <w:rStyle w:val="FootnoteReference"/>
        </w:rPr>
        <w:footnoteRef/>
      </w:r>
      <w:r>
        <w:t xml:space="preserve"> </w:t>
      </w:r>
      <w:r w:rsidRPr="00E2393D">
        <w:t>Venderbosch S, Nagtegaal ID, Maughan TS, Smith CG, Cheadle JP, Fisher D, et al. Mismatch repair status and BRAF mutation status in metastatic colorectal cancer patients: a pooled analysis of the CAIRO, CAIRO2, COIN and FOCUS studies. Clinical Cancer Research. 2014:clincanres. 0332.2014</w:t>
      </w:r>
      <w:r>
        <w:t>.</w:t>
      </w:r>
    </w:p>
  </w:footnote>
  <w:footnote w:id="5">
    <w:p w:rsidR="00205961" w:rsidRDefault="00205961" w:rsidP="003B2F77">
      <w:pPr>
        <w:pStyle w:val="FootnoteText"/>
      </w:pPr>
      <w:r>
        <w:rPr>
          <w:rStyle w:val="FootnoteReference"/>
          <w:rFonts w:eastAsiaTheme="majorEastAsia"/>
        </w:rPr>
        <w:footnoteRef/>
      </w:r>
      <w:r>
        <w:t xml:space="preserve"> </w:t>
      </w:r>
      <w:r w:rsidRPr="007E53DB">
        <w:t>Cherny NI, Dafni U, Bogaerts J, et al: ESMO-Magnitude of Clinical Benefit Scale version 1.1. Annals of Oncology 28:2340-2366, 2017</w:t>
      </w:r>
    </w:p>
  </w:footnote>
  <w:footnote w:id="6">
    <w:p w:rsidR="00205961" w:rsidRDefault="00205961" w:rsidP="000E4ED7">
      <w:pPr>
        <w:pStyle w:val="FootnoteText"/>
      </w:pPr>
      <w:r>
        <w:rPr>
          <w:rStyle w:val="FootnoteReference"/>
        </w:rPr>
        <w:footnoteRef/>
      </w:r>
      <w:r>
        <w:t xml:space="preserve"> </w:t>
      </w:r>
      <w:r w:rsidRPr="005339C4">
        <w:t>Based on the KN177 protocol-specified multiplicity strategy, if ORR was not significant at IA1, ORR at IA1 could be tested following a statistically significant PFS or OS hypothesis test at IA2 or FA. Because PFS was statistically significant at IA2, ORR at IA1 was formally tested and statistical significance was not demonstrated, as the p-value of 0.0582 for ORR at IA1 was above the p-value boundary of 0.000125</w:t>
      </w:r>
    </w:p>
  </w:footnote>
  <w:footnote w:id="7">
    <w:p w:rsidR="00205961" w:rsidRDefault="00205961" w:rsidP="00242C20">
      <w:pPr>
        <w:pStyle w:val="FootnoteText"/>
      </w:pPr>
      <w:r>
        <w:rPr>
          <w:rStyle w:val="FootnoteReference"/>
        </w:rPr>
        <w:footnoteRef/>
      </w:r>
      <w:r>
        <w:t xml:space="preserve"> </w:t>
      </w:r>
      <w:r w:rsidRPr="008973EF">
        <w:t xml:space="preserve">Kok PS, Cho D, et al. Validation of progression-free survival rate at 6 months and objective response for estimating overall survival in immune checkpoint inhibitor trials: a systematic review and meta-analysis. </w:t>
      </w:r>
      <w:r w:rsidRPr="008973EF">
        <w:rPr>
          <w:i/>
        </w:rPr>
        <w:t>JAMA network open</w:t>
      </w:r>
      <w:r w:rsidRPr="008973EF">
        <w:t>. 2020;3(9):e2011809</w:t>
      </w:r>
    </w:p>
  </w:footnote>
  <w:footnote w:id="8">
    <w:p w:rsidR="00205961" w:rsidRDefault="00205961" w:rsidP="00242C20">
      <w:pPr>
        <w:pStyle w:val="FootnoteText"/>
      </w:pPr>
      <w:r>
        <w:rPr>
          <w:rStyle w:val="FootnoteReference"/>
        </w:rPr>
        <w:footnoteRef/>
      </w:r>
      <w:r>
        <w:t xml:space="preserve"> </w:t>
      </w:r>
      <w:r w:rsidRPr="002E10D9">
        <w:t xml:space="preserve">Viney R, Norman R, </w:t>
      </w:r>
      <w:r w:rsidRPr="002E10D9">
        <w:rPr>
          <w:i/>
        </w:rPr>
        <w:t>et al</w:t>
      </w:r>
      <w:r w:rsidRPr="002E10D9">
        <w:t xml:space="preserve">. Time trade-off derived EQ-5D weights for Australia. </w:t>
      </w:r>
      <w:r w:rsidRPr="002E10D9">
        <w:rPr>
          <w:i/>
        </w:rPr>
        <w:t>Value Health</w:t>
      </w:r>
      <w:r w:rsidRPr="002E10D9">
        <w:t>. 2011;14(6):928-36.</w:t>
      </w:r>
    </w:p>
  </w:footnote>
  <w:footnote w:id="9">
    <w:p w:rsidR="00205961" w:rsidRDefault="00205961">
      <w:pPr>
        <w:pStyle w:val="FootnoteText"/>
      </w:pPr>
      <w:r>
        <w:rPr>
          <w:rStyle w:val="FootnoteReference"/>
        </w:rPr>
        <w:footnoteRef/>
      </w:r>
      <w:r>
        <w:t xml:space="preserve"> Gray J, Sullivan T, Latimer NR et al. Extrapolation of survival curves using standard parametric models and flexible parametric spline models: comparisons in large registry cohorts with advanced cancer. Medical Decision Making 2021; 41(2), 179-193. </w:t>
      </w:r>
    </w:p>
  </w:footnote>
  <w:footnote w:id="10">
    <w:p w:rsidR="00205961" w:rsidRDefault="00205961">
      <w:pPr>
        <w:pStyle w:val="FootnoteText"/>
      </w:pPr>
      <w:r>
        <w:rPr>
          <w:rStyle w:val="FootnoteReference"/>
        </w:rPr>
        <w:footnoteRef/>
      </w:r>
      <w:r>
        <w:t xml:space="preserve"> Includes correction to SoC costs</w:t>
      </w:r>
    </w:p>
  </w:footnote>
  <w:footnote w:id="11">
    <w:p w:rsidR="00205961" w:rsidRDefault="00205961" w:rsidP="00242C20">
      <w:pPr>
        <w:pStyle w:val="FootnoteText"/>
      </w:pPr>
      <w:r>
        <w:rPr>
          <w:rStyle w:val="FootnoteReference"/>
        </w:rPr>
        <w:footnoteRef/>
      </w:r>
      <w:r>
        <w:t xml:space="preserve"> </w:t>
      </w:r>
      <w:r w:rsidRPr="00FA5B4A">
        <w:t xml:space="preserve">Luo Q, O'Connell DL, Kahn C, Yu XQ. Colorectal cancer metastatic disease progression in Australia: A population-based analysis. </w:t>
      </w:r>
      <w:r w:rsidRPr="00FA5B4A">
        <w:rPr>
          <w:i/>
        </w:rPr>
        <w:t>Cancer epidemiology</w:t>
      </w:r>
      <w:r w:rsidRPr="00FA5B4A">
        <w:t>. 2017;49:92-100.</w:t>
      </w:r>
    </w:p>
  </w:footnote>
  <w:footnote w:id="12">
    <w:p w:rsidR="00205961" w:rsidRPr="008342ED" w:rsidRDefault="00205961">
      <w:pPr>
        <w:pStyle w:val="FootnoteText"/>
        <w:rPr>
          <w:i/>
        </w:rPr>
      </w:pPr>
      <w:r w:rsidRPr="008342ED">
        <w:rPr>
          <w:rStyle w:val="FootnoteReference"/>
          <w:i/>
        </w:rPr>
        <w:footnoteRef/>
      </w:r>
      <w:r w:rsidRPr="008342ED">
        <w:rPr>
          <w:i/>
        </w:rPr>
        <w:t xml:space="preserve"> </w:t>
      </w:r>
      <w:r w:rsidRPr="00FF14F6">
        <w:t xml:space="preserve">Sargent D, Marsoni S, Monges G et al. Defective mismatch repair as a predictive marker for lack of efficacy of fluoroural-based adjuvant therapy in colon caner. </w:t>
      </w:r>
      <w:hyperlink r:id="rId1" w:history="1">
        <w:r w:rsidRPr="00FF14F6">
          <w:t>J Clin Oncol.</w:t>
        </w:r>
      </w:hyperlink>
      <w:r w:rsidRPr="00FF14F6">
        <w:t> 2010 Jul 10; 28(20): 3219–3226.</w:t>
      </w:r>
    </w:p>
  </w:footnote>
  <w:footnote w:id="13">
    <w:p w:rsidR="00205961" w:rsidRDefault="00205961" w:rsidP="00242C20">
      <w:pPr>
        <w:pStyle w:val="FootnoteText"/>
      </w:pPr>
      <w:r>
        <w:rPr>
          <w:rStyle w:val="FootnoteReference"/>
        </w:rPr>
        <w:footnoteRef/>
      </w:r>
      <w:r>
        <w:t xml:space="preserve"> </w:t>
      </w:r>
      <w:r w:rsidRPr="00C842ED">
        <w:t>Wong HJ, J; et al. Impact of mismatch repair deficiency on treatment and outcomes in advanced colorectal cancer. Melbourne, Australia: The Walter and Eliza Hall Institute for Medical Research,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61" w:rsidRDefault="00205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61" w:rsidRPr="00407BCC" w:rsidRDefault="00205961" w:rsidP="00407BCC">
    <w:pPr>
      <w:tabs>
        <w:tab w:val="left" w:pos="142"/>
        <w:tab w:val="right" w:pos="9027"/>
      </w:tabs>
      <w:jc w:val="center"/>
      <w:rPr>
        <w:i/>
      </w:rPr>
    </w:pPr>
    <w:r>
      <w:rPr>
        <w:i/>
      </w:rPr>
      <w:t>Public Summary Document</w:t>
    </w:r>
    <w:r w:rsidRPr="00407BCC">
      <w:rPr>
        <w:i/>
      </w:rPr>
      <w:t xml:space="preserve"> – March 2021 PBAC Meeting</w:t>
    </w:r>
  </w:p>
  <w:p w:rsidR="00205961" w:rsidRDefault="0020596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961" w:rsidRDefault="00205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B38A6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512CD"/>
    <w:multiLevelType w:val="hybridMultilevel"/>
    <w:tmpl w:val="D80AB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15611E"/>
    <w:multiLevelType w:val="hybridMultilevel"/>
    <w:tmpl w:val="085AB304"/>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3" w15:restartNumberingAfterBreak="0">
    <w:nsid w:val="0A7B52E8"/>
    <w:multiLevelType w:val="hybridMultilevel"/>
    <w:tmpl w:val="942CD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1C1C3B"/>
    <w:multiLevelType w:val="hybridMultilevel"/>
    <w:tmpl w:val="7CD8DA70"/>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 w15:restartNumberingAfterBreak="0">
    <w:nsid w:val="2B9F3656"/>
    <w:multiLevelType w:val="multilevel"/>
    <w:tmpl w:val="79A09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7342F"/>
    <w:multiLevelType w:val="multilevel"/>
    <w:tmpl w:val="445E1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642FA"/>
    <w:multiLevelType w:val="multilevel"/>
    <w:tmpl w:val="45D8E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E3860"/>
    <w:multiLevelType w:val="hybridMultilevel"/>
    <w:tmpl w:val="049E6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376C72"/>
    <w:multiLevelType w:val="hybridMultilevel"/>
    <w:tmpl w:val="C3289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77700B"/>
    <w:multiLevelType w:val="multilevel"/>
    <w:tmpl w:val="384877E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F22102"/>
    <w:multiLevelType w:val="multilevel"/>
    <w:tmpl w:val="12D6E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378F3"/>
    <w:multiLevelType w:val="multilevel"/>
    <w:tmpl w:val="BC98B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465AB"/>
    <w:multiLevelType w:val="hybridMultilevel"/>
    <w:tmpl w:val="53067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59288A"/>
    <w:multiLevelType w:val="multilevel"/>
    <w:tmpl w:val="E57C6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D3B65"/>
    <w:multiLevelType w:val="hybridMultilevel"/>
    <w:tmpl w:val="A13AD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0445F4"/>
    <w:multiLevelType w:val="hybridMultilevel"/>
    <w:tmpl w:val="2EB0A30E"/>
    <w:styleLink w:val="Lists"/>
    <w:lvl w:ilvl="0" w:tplc="4B100A4A">
      <w:start w:val="1"/>
      <w:numFmt w:val="none"/>
      <w:suff w:val="nothing"/>
      <w:lvlText w:val="%1"/>
      <w:lvlJc w:val="left"/>
      <w:pPr>
        <w:ind w:left="0" w:firstLine="0"/>
      </w:pPr>
      <w:rPr>
        <w:rFonts w:hint="default"/>
      </w:rPr>
    </w:lvl>
    <w:lvl w:ilvl="1" w:tplc="357406A8">
      <w:start w:val="1"/>
      <w:numFmt w:val="decimal"/>
      <w:lvlText w:val="%2."/>
      <w:lvlJc w:val="left"/>
      <w:pPr>
        <w:tabs>
          <w:tab w:val="num" w:pos="357"/>
        </w:tabs>
        <w:ind w:left="357" w:hanging="357"/>
      </w:pPr>
      <w:rPr>
        <w:rFonts w:hint="default"/>
      </w:rPr>
    </w:lvl>
    <w:lvl w:ilvl="2" w:tplc="C9C87716">
      <w:start w:val="1"/>
      <w:numFmt w:val="lowerLetter"/>
      <w:lvlText w:val="%3."/>
      <w:lvlJc w:val="left"/>
      <w:pPr>
        <w:tabs>
          <w:tab w:val="num" w:pos="720"/>
        </w:tabs>
        <w:ind w:left="720" w:hanging="363"/>
      </w:pPr>
      <w:rPr>
        <w:rFonts w:hint="default"/>
      </w:rPr>
    </w:lvl>
    <w:lvl w:ilvl="3" w:tplc="1F6244A0">
      <w:start w:val="1"/>
      <w:numFmt w:val="lowerRoman"/>
      <w:lvlText w:val="%4."/>
      <w:lvlJc w:val="left"/>
      <w:pPr>
        <w:tabs>
          <w:tab w:val="num" w:pos="1077"/>
        </w:tabs>
        <w:ind w:left="1077" w:hanging="357"/>
      </w:pPr>
      <w:rPr>
        <w:rFonts w:hint="default"/>
      </w:rPr>
    </w:lvl>
    <w:lvl w:ilvl="4" w:tplc="2FFE8592">
      <w:start w:val="1"/>
      <w:numFmt w:val="decimal"/>
      <w:lvlText w:val="%5)"/>
      <w:lvlJc w:val="left"/>
      <w:pPr>
        <w:tabs>
          <w:tab w:val="num" w:pos="1435"/>
        </w:tabs>
        <w:ind w:left="1435" w:hanging="358"/>
      </w:pPr>
      <w:rPr>
        <w:rFonts w:hint="default"/>
      </w:rPr>
    </w:lvl>
    <w:lvl w:ilvl="5" w:tplc="D4C40002">
      <w:start w:val="1"/>
      <w:numFmt w:val="none"/>
      <w:suff w:val="nothing"/>
      <w:lvlText w:val="%6"/>
      <w:lvlJc w:val="left"/>
      <w:pPr>
        <w:ind w:left="0" w:firstLine="0"/>
      </w:pPr>
      <w:rPr>
        <w:rFonts w:hint="default"/>
      </w:rPr>
    </w:lvl>
    <w:lvl w:ilvl="6" w:tplc="9AE253DC">
      <w:start w:val="1"/>
      <w:numFmt w:val="none"/>
      <w:suff w:val="nothing"/>
      <w:lvlText w:val=""/>
      <w:lvlJc w:val="left"/>
      <w:pPr>
        <w:ind w:left="0" w:firstLine="0"/>
      </w:pPr>
      <w:rPr>
        <w:rFonts w:hint="default"/>
      </w:rPr>
    </w:lvl>
    <w:lvl w:ilvl="7" w:tplc="7D663420">
      <w:start w:val="1"/>
      <w:numFmt w:val="none"/>
      <w:suff w:val="nothing"/>
      <w:lvlText w:val=""/>
      <w:lvlJc w:val="left"/>
      <w:pPr>
        <w:ind w:left="0" w:firstLine="0"/>
      </w:pPr>
      <w:rPr>
        <w:rFonts w:hint="default"/>
      </w:rPr>
    </w:lvl>
    <w:lvl w:ilvl="8" w:tplc="129C5C34">
      <w:start w:val="1"/>
      <w:numFmt w:val="none"/>
      <w:suff w:val="nothing"/>
      <w:lvlText w:val="%9"/>
      <w:lvlJc w:val="left"/>
      <w:pPr>
        <w:ind w:left="0" w:firstLine="0"/>
      </w:pPr>
      <w:rPr>
        <w:rFonts w:hint="default"/>
      </w:rPr>
    </w:lvl>
  </w:abstractNum>
  <w:abstractNum w:abstractNumId="19" w15:restartNumberingAfterBreak="0">
    <w:nsid w:val="4CA76CB0"/>
    <w:multiLevelType w:val="hybridMultilevel"/>
    <w:tmpl w:val="EF5895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2710042"/>
    <w:multiLevelType w:val="multilevel"/>
    <w:tmpl w:val="452E5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E3547"/>
    <w:multiLevelType w:val="multilevel"/>
    <w:tmpl w:val="44D2B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FE35F9"/>
    <w:multiLevelType w:val="hybridMultilevel"/>
    <w:tmpl w:val="7DD83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65931ED"/>
    <w:multiLevelType w:val="multilevel"/>
    <w:tmpl w:val="0A5E1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A371FB"/>
    <w:multiLevelType w:val="hybridMultilevel"/>
    <w:tmpl w:val="F32CA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D61B64"/>
    <w:multiLevelType w:val="hybridMultilevel"/>
    <w:tmpl w:val="218EBF90"/>
    <w:lvl w:ilvl="0" w:tplc="B9B6E9CE">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6" w15:restartNumberingAfterBreak="0">
    <w:nsid w:val="784D033C"/>
    <w:multiLevelType w:val="multilevel"/>
    <w:tmpl w:val="DE6216B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6D6582"/>
    <w:multiLevelType w:val="multilevel"/>
    <w:tmpl w:val="FDCC1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1"/>
  </w:num>
  <w:num w:numId="3">
    <w:abstractNumId w:val="12"/>
  </w:num>
  <w:num w:numId="4">
    <w:abstractNumId w:val="0"/>
  </w:num>
  <w:num w:numId="5">
    <w:abstractNumId w:val="27"/>
  </w:num>
  <w:num w:numId="6">
    <w:abstractNumId w:val="9"/>
  </w:num>
  <w:num w:numId="7">
    <w:abstractNumId w:val="25"/>
  </w:num>
  <w:num w:numId="8">
    <w:abstractNumId w:val="3"/>
  </w:num>
  <w:num w:numId="9">
    <w:abstractNumId w:val="18"/>
  </w:num>
  <w:num w:numId="10">
    <w:abstractNumId w:val="19"/>
  </w:num>
  <w:num w:numId="11">
    <w:abstractNumId w:val="4"/>
  </w:num>
  <w:num w:numId="12">
    <w:abstractNumId w:val="1"/>
  </w:num>
  <w:num w:numId="13">
    <w:abstractNumId w:val="15"/>
  </w:num>
  <w:num w:numId="14">
    <w:abstractNumId w:val="22"/>
  </w:num>
  <w:num w:numId="15">
    <w:abstractNumId w:val="2"/>
  </w:num>
  <w:num w:numId="16">
    <w:abstractNumId w:val="10"/>
  </w:num>
  <w:num w:numId="17">
    <w:abstractNumId w:val="6"/>
  </w:num>
  <w:num w:numId="18">
    <w:abstractNumId w:val="13"/>
  </w:num>
  <w:num w:numId="19">
    <w:abstractNumId w:val="14"/>
  </w:num>
  <w:num w:numId="20">
    <w:abstractNumId w:val="5"/>
  </w:num>
  <w:num w:numId="21">
    <w:abstractNumId w:val="28"/>
  </w:num>
  <w:num w:numId="22">
    <w:abstractNumId w:val="21"/>
  </w:num>
  <w:num w:numId="23">
    <w:abstractNumId w:val="20"/>
  </w:num>
  <w:num w:numId="24">
    <w:abstractNumId w:val="23"/>
  </w:num>
  <w:num w:numId="25">
    <w:abstractNumId w:val="16"/>
  </w:num>
  <w:num w:numId="26">
    <w:abstractNumId w:val="7"/>
  </w:num>
  <w:num w:numId="27">
    <w:abstractNumId w:val="8"/>
  </w:num>
  <w:num w:numId="28">
    <w:abstractNumId w:val="17"/>
  </w:num>
  <w:num w:numId="29">
    <w:abstractNumId w:val="24"/>
  </w:num>
  <w:num w:numId="30">
    <w:abstractNumId w:val="26"/>
  </w:num>
  <w:num w:numId="31">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hideSpelling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s20rtp7apx5iedza9p9vau2rrdtf2exx00&quot;&gt;Pembrolizumab mCRC&lt;record-ids&gt;&lt;item&gt;1&lt;/item&gt;&lt;item&gt;3&lt;/item&gt;&lt;item&gt;5&lt;/item&gt;&lt;item&gt;8&lt;/item&gt;&lt;item&gt;10&lt;/item&gt;&lt;item&gt;11&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6&lt;/item&gt;&lt;item&gt;37&lt;/item&gt;&lt;item&gt;38&lt;/item&gt;&lt;item&gt;46&lt;/item&gt;&lt;item&gt;49&lt;/item&gt;&lt;item&gt;55&lt;/item&gt;&lt;item&gt;64&lt;/item&gt;&lt;item&gt;69&lt;/item&gt;&lt;item&gt;70&lt;/item&gt;&lt;item&gt;91&lt;/item&gt;&lt;item&gt;95&lt;/item&gt;&lt;item&gt;98&lt;/item&gt;&lt;item&gt;99&lt;/item&gt;&lt;item&gt;100&lt;/item&gt;&lt;item&gt;101&lt;/item&gt;&lt;item&gt;102&lt;/item&gt;&lt;item&gt;103&lt;/item&gt;&lt;item&gt;104&lt;/item&gt;&lt;item&gt;107&lt;/item&gt;&lt;item&gt;108&lt;/item&gt;&lt;item&gt;109&lt;/item&gt;&lt;item&gt;110&lt;/item&gt;&lt;item&gt;111&lt;/item&gt;&lt;item&gt;112&lt;/item&gt;&lt;item&gt;113&lt;/item&gt;&lt;item&gt;114&lt;/item&gt;&lt;item&gt;115&lt;/item&gt;&lt;item&gt;116&lt;/item&gt;&lt;item&gt;117&lt;/item&gt;&lt;/record-ids&gt;&lt;/item&gt;&lt;/Libraries&gt;"/>
  </w:docVars>
  <w:rsids>
    <w:rsidRoot w:val="00E65E79"/>
    <w:rsid w:val="00000790"/>
    <w:rsid w:val="0000110B"/>
    <w:rsid w:val="00002D17"/>
    <w:rsid w:val="00003499"/>
    <w:rsid w:val="0000388C"/>
    <w:rsid w:val="000039B7"/>
    <w:rsid w:val="0000551A"/>
    <w:rsid w:val="00005540"/>
    <w:rsid w:val="0000639A"/>
    <w:rsid w:val="0001000F"/>
    <w:rsid w:val="00010517"/>
    <w:rsid w:val="00011A46"/>
    <w:rsid w:val="0001285E"/>
    <w:rsid w:val="000131A8"/>
    <w:rsid w:val="00013247"/>
    <w:rsid w:val="000142F8"/>
    <w:rsid w:val="00015096"/>
    <w:rsid w:val="0001545C"/>
    <w:rsid w:val="00015886"/>
    <w:rsid w:val="00016059"/>
    <w:rsid w:val="000162EF"/>
    <w:rsid w:val="00020198"/>
    <w:rsid w:val="000202FC"/>
    <w:rsid w:val="00020678"/>
    <w:rsid w:val="000207C9"/>
    <w:rsid w:val="00020E05"/>
    <w:rsid w:val="000214F1"/>
    <w:rsid w:val="000219BF"/>
    <w:rsid w:val="00021E75"/>
    <w:rsid w:val="0002225F"/>
    <w:rsid w:val="000231C5"/>
    <w:rsid w:val="00023763"/>
    <w:rsid w:val="00023946"/>
    <w:rsid w:val="00024286"/>
    <w:rsid w:val="00024B54"/>
    <w:rsid w:val="00025329"/>
    <w:rsid w:val="00025362"/>
    <w:rsid w:val="000255F4"/>
    <w:rsid w:val="00026186"/>
    <w:rsid w:val="000266B4"/>
    <w:rsid w:val="000271B2"/>
    <w:rsid w:val="000274B8"/>
    <w:rsid w:val="00027D04"/>
    <w:rsid w:val="00030A51"/>
    <w:rsid w:val="00033497"/>
    <w:rsid w:val="00033863"/>
    <w:rsid w:val="0003398D"/>
    <w:rsid w:val="00033C17"/>
    <w:rsid w:val="0003415D"/>
    <w:rsid w:val="00034BFB"/>
    <w:rsid w:val="00035440"/>
    <w:rsid w:val="00035DC0"/>
    <w:rsid w:val="00036829"/>
    <w:rsid w:val="00037600"/>
    <w:rsid w:val="00040895"/>
    <w:rsid w:val="00040995"/>
    <w:rsid w:val="0004123C"/>
    <w:rsid w:val="00041A16"/>
    <w:rsid w:val="000425B4"/>
    <w:rsid w:val="000435EE"/>
    <w:rsid w:val="00043C37"/>
    <w:rsid w:val="00044CF8"/>
    <w:rsid w:val="00044D1C"/>
    <w:rsid w:val="00045017"/>
    <w:rsid w:val="00045A2B"/>
    <w:rsid w:val="0004698F"/>
    <w:rsid w:val="00047C43"/>
    <w:rsid w:val="000539D0"/>
    <w:rsid w:val="00053BB7"/>
    <w:rsid w:val="00054621"/>
    <w:rsid w:val="000546D7"/>
    <w:rsid w:val="00054AD9"/>
    <w:rsid w:val="000568BB"/>
    <w:rsid w:val="00056ECF"/>
    <w:rsid w:val="00056F56"/>
    <w:rsid w:val="000572EA"/>
    <w:rsid w:val="000604DF"/>
    <w:rsid w:val="00060DA8"/>
    <w:rsid w:val="00062800"/>
    <w:rsid w:val="0006415E"/>
    <w:rsid w:val="00064A61"/>
    <w:rsid w:val="00064B4F"/>
    <w:rsid w:val="000653B5"/>
    <w:rsid w:val="00066360"/>
    <w:rsid w:val="00066AF8"/>
    <w:rsid w:val="00066EE8"/>
    <w:rsid w:val="000670BF"/>
    <w:rsid w:val="00067302"/>
    <w:rsid w:val="00067948"/>
    <w:rsid w:val="00071248"/>
    <w:rsid w:val="00071A18"/>
    <w:rsid w:val="000720B9"/>
    <w:rsid w:val="000737F7"/>
    <w:rsid w:val="00073B87"/>
    <w:rsid w:val="00074B64"/>
    <w:rsid w:val="0007672F"/>
    <w:rsid w:val="00076B54"/>
    <w:rsid w:val="00076C06"/>
    <w:rsid w:val="000774F0"/>
    <w:rsid w:val="00080909"/>
    <w:rsid w:val="000812CA"/>
    <w:rsid w:val="00081AC1"/>
    <w:rsid w:val="00081E63"/>
    <w:rsid w:val="00082158"/>
    <w:rsid w:val="0008258D"/>
    <w:rsid w:val="00083571"/>
    <w:rsid w:val="00083E99"/>
    <w:rsid w:val="00084FA8"/>
    <w:rsid w:val="000856C5"/>
    <w:rsid w:val="00085C31"/>
    <w:rsid w:val="0008768C"/>
    <w:rsid w:val="000902D9"/>
    <w:rsid w:val="00090C7E"/>
    <w:rsid w:val="00091979"/>
    <w:rsid w:val="00092600"/>
    <w:rsid w:val="0009262B"/>
    <w:rsid w:val="00093310"/>
    <w:rsid w:val="0009445C"/>
    <w:rsid w:val="00094E00"/>
    <w:rsid w:val="00095200"/>
    <w:rsid w:val="00095FE5"/>
    <w:rsid w:val="00096284"/>
    <w:rsid w:val="000A10F0"/>
    <w:rsid w:val="000A1BC0"/>
    <w:rsid w:val="000A4B18"/>
    <w:rsid w:val="000A5DDF"/>
    <w:rsid w:val="000A6039"/>
    <w:rsid w:val="000A63F4"/>
    <w:rsid w:val="000A7453"/>
    <w:rsid w:val="000A7D08"/>
    <w:rsid w:val="000B0121"/>
    <w:rsid w:val="000B0670"/>
    <w:rsid w:val="000B0E75"/>
    <w:rsid w:val="000B2DCB"/>
    <w:rsid w:val="000B2EF1"/>
    <w:rsid w:val="000B3784"/>
    <w:rsid w:val="000B55DF"/>
    <w:rsid w:val="000B5CE0"/>
    <w:rsid w:val="000B661B"/>
    <w:rsid w:val="000B6CAC"/>
    <w:rsid w:val="000B7612"/>
    <w:rsid w:val="000B78AE"/>
    <w:rsid w:val="000C1A2A"/>
    <w:rsid w:val="000C250F"/>
    <w:rsid w:val="000C2D3B"/>
    <w:rsid w:val="000C2E9D"/>
    <w:rsid w:val="000C3DF9"/>
    <w:rsid w:val="000C519D"/>
    <w:rsid w:val="000C5514"/>
    <w:rsid w:val="000C625E"/>
    <w:rsid w:val="000C6713"/>
    <w:rsid w:val="000C6C25"/>
    <w:rsid w:val="000C7291"/>
    <w:rsid w:val="000D06DF"/>
    <w:rsid w:val="000D1345"/>
    <w:rsid w:val="000D1BFC"/>
    <w:rsid w:val="000D1D5D"/>
    <w:rsid w:val="000D1F33"/>
    <w:rsid w:val="000D281A"/>
    <w:rsid w:val="000D2848"/>
    <w:rsid w:val="000D2DA3"/>
    <w:rsid w:val="000D326A"/>
    <w:rsid w:val="000D51FB"/>
    <w:rsid w:val="000D6C3D"/>
    <w:rsid w:val="000D6DF6"/>
    <w:rsid w:val="000E0640"/>
    <w:rsid w:val="000E0864"/>
    <w:rsid w:val="000E0F67"/>
    <w:rsid w:val="000E135D"/>
    <w:rsid w:val="000E2684"/>
    <w:rsid w:val="000E2E7B"/>
    <w:rsid w:val="000E4ED7"/>
    <w:rsid w:val="000E569E"/>
    <w:rsid w:val="000E7118"/>
    <w:rsid w:val="000F00BA"/>
    <w:rsid w:val="000F0C76"/>
    <w:rsid w:val="000F1576"/>
    <w:rsid w:val="000F25C7"/>
    <w:rsid w:val="000F2D1B"/>
    <w:rsid w:val="000F316A"/>
    <w:rsid w:val="000F3734"/>
    <w:rsid w:val="000F3C74"/>
    <w:rsid w:val="000F4BB8"/>
    <w:rsid w:val="000F4FA9"/>
    <w:rsid w:val="000F53FB"/>
    <w:rsid w:val="000F7127"/>
    <w:rsid w:val="000F7B54"/>
    <w:rsid w:val="00100248"/>
    <w:rsid w:val="00100F8A"/>
    <w:rsid w:val="001014C5"/>
    <w:rsid w:val="0010452E"/>
    <w:rsid w:val="00105AE2"/>
    <w:rsid w:val="00106000"/>
    <w:rsid w:val="001060C6"/>
    <w:rsid w:val="00106B80"/>
    <w:rsid w:val="00107F61"/>
    <w:rsid w:val="0011032E"/>
    <w:rsid w:val="0011348B"/>
    <w:rsid w:val="0011507D"/>
    <w:rsid w:val="00115982"/>
    <w:rsid w:val="00116C53"/>
    <w:rsid w:val="00116D93"/>
    <w:rsid w:val="0011776D"/>
    <w:rsid w:val="00121799"/>
    <w:rsid w:val="001222FC"/>
    <w:rsid w:val="0012247B"/>
    <w:rsid w:val="00123902"/>
    <w:rsid w:val="00124A51"/>
    <w:rsid w:val="00125574"/>
    <w:rsid w:val="00126048"/>
    <w:rsid w:val="0012624E"/>
    <w:rsid w:val="00126621"/>
    <w:rsid w:val="001267F5"/>
    <w:rsid w:val="00126B1D"/>
    <w:rsid w:val="00126B2C"/>
    <w:rsid w:val="001276F8"/>
    <w:rsid w:val="001301E9"/>
    <w:rsid w:val="00131D82"/>
    <w:rsid w:val="00132A12"/>
    <w:rsid w:val="00132B22"/>
    <w:rsid w:val="00133D36"/>
    <w:rsid w:val="00134B97"/>
    <w:rsid w:val="00137645"/>
    <w:rsid w:val="0014002D"/>
    <w:rsid w:val="0014015A"/>
    <w:rsid w:val="00140E99"/>
    <w:rsid w:val="00141B52"/>
    <w:rsid w:val="00142B3B"/>
    <w:rsid w:val="00142D23"/>
    <w:rsid w:val="00143F67"/>
    <w:rsid w:val="001448AB"/>
    <w:rsid w:val="0014507D"/>
    <w:rsid w:val="00145540"/>
    <w:rsid w:val="001456B0"/>
    <w:rsid w:val="00150BE4"/>
    <w:rsid w:val="00152680"/>
    <w:rsid w:val="0015270D"/>
    <w:rsid w:val="00154644"/>
    <w:rsid w:val="00154C47"/>
    <w:rsid w:val="001559C7"/>
    <w:rsid w:val="00155F79"/>
    <w:rsid w:val="00156869"/>
    <w:rsid w:val="00156F8F"/>
    <w:rsid w:val="00157130"/>
    <w:rsid w:val="00157284"/>
    <w:rsid w:val="001576B1"/>
    <w:rsid w:val="00157FC6"/>
    <w:rsid w:val="0016047B"/>
    <w:rsid w:val="00160A4C"/>
    <w:rsid w:val="0016169B"/>
    <w:rsid w:val="00161BEB"/>
    <w:rsid w:val="00162913"/>
    <w:rsid w:val="001632BE"/>
    <w:rsid w:val="00163EFF"/>
    <w:rsid w:val="00163F66"/>
    <w:rsid w:val="0016497B"/>
    <w:rsid w:val="00164D44"/>
    <w:rsid w:val="001654E5"/>
    <w:rsid w:val="001661FB"/>
    <w:rsid w:val="001671A0"/>
    <w:rsid w:val="0016767F"/>
    <w:rsid w:val="00170E50"/>
    <w:rsid w:val="0017155C"/>
    <w:rsid w:val="00172501"/>
    <w:rsid w:val="00173565"/>
    <w:rsid w:val="00173B07"/>
    <w:rsid w:val="001742E4"/>
    <w:rsid w:val="00174576"/>
    <w:rsid w:val="00174A5F"/>
    <w:rsid w:val="001751FA"/>
    <w:rsid w:val="001759D4"/>
    <w:rsid w:val="00175CC8"/>
    <w:rsid w:val="00176C01"/>
    <w:rsid w:val="00181D9C"/>
    <w:rsid w:val="001823E1"/>
    <w:rsid w:val="00184B0E"/>
    <w:rsid w:val="00184DB4"/>
    <w:rsid w:val="00185A22"/>
    <w:rsid w:val="0018739C"/>
    <w:rsid w:val="0018752F"/>
    <w:rsid w:val="00192534"/>
    <w:rsid w:val="00192F5A"/>
    <w:rsid w:val="00193838"/>
    <w:rsid w:val="001945AA"/>
    <w:rsid w:val="00194AD8"/>
    <w:rsid w:val="00195222"/>
    <w:rsid w:val="00195278"/>
    <w:rsid w:val="001975D8"/>
    <w:rsid w:val="00197BE0"/>
    <w:rsid w:val="001A0F55"/>
    <w:rsid w:val="001A178E"/>
    <w:rsid w:val="001A43FA"/>
    <w:rsid w:val="001A47C5"/>
    <w:rsid w:val="001A53FF"/>
    <w:rsid w:val="001A584E"/>
    <w:rsid w:val="001A59FB"/>
    <w:rsid w:val="001A5E9E"/>
    <w:rsid w:val="001A6354"/>
    <w:rsid w:val="001A6366"/>
    <w:rsid w:val="001A7696"/>
    <w:rsid w:val="001A7AE8"/>
    <w:rsid w:val="001B204E"/>
    <w:rsid w:val="001B2372"/>
    <w:rsid w:val="001B3443"/>
    <w:rsid w:val="001B3EDF"/>
    <w:rsid w:val="001B4C95"/>
    <w:rsid w:val="001B4D20"/>
    <w:rsid w:val="001B4E03"/>
    <w:rsid w:val="001B533B"/>
    <w:rsid w:val="001B533F"/>
    <w:rsid w:val="001B62D1"/>
    <w:rsid w:val="001C0628"/>
    <w:rsid w:val="001C1EA0"/>
    <w:rsid w:val="001C24E7"/>
    <w:rsid w:val="001C25D3"/>
    <w:rsid w:val="001C26F5"/>
    <w:rsid w:val="001C2A9B"/>
    <w:rsid w:val="001C4299"/>
    <w:rsid w:val="001C4874"/>
    <w:rsid w:val="001C5E6E"/>
    <w:rsid w:val="001C5F94"/>
    <w:rsid w:val="001C6193"/>
    <w:rsid w:val="001C6E66"/>
    <w:rsid w:val="001C78E4"/>
    <w:rsid w:val="001D1100"/>
    <w:rsid w:val="001D118F"/>
    <w:rsid w:val="001D1391"/>
    <w:rsid w:val="001D1748"/>
    <w:rsid w:val="001D1B46"/>
    <w:rsid w:val="001D1F11"/>
    <w:rsid w:val="001D2138"/>
    <w:rsid w:val="001D25D7"/>
    <w:rsid w:val="001D3856"/>
    <w:rsid w:val="001D50B2"/>
    <w:rsid w:val="001D7645"/>
    <w:rsid w:val="001D78AB"/>
    <w:rsid w:val="001E1E86"/>
    <w:rsid w:val="001E238E"/>
    <w:rsid w:val="001E2483"/>
    <w:rsid w:val="001E2B1E"/>
    <w:rsid w:val="001E2CFF"/>
    <w:rsid w:val="001E2F24"/>
    <w:rsid w:val="001E30D4"/>
    <w:rsid w:val="001E34DF"/>
    <w:rsid w:val="001E481A"/>
    <w:rsid w:val="001E52EB"/>
    <w:rsid w:val="001E61D2"/>
    <w:rsid w:val="001E6B72"/>
    <w:rsid w:val="001E740C"/>
    <w:rsid w:val="001F1235"/>
    <w:rsid w:val="001F1CB3"/>
    <w:rsid w:val="001F2585"/>
    <w:rsid w:val="001F3181"/>
    <w:rsid w:val="001F38B5"/>
    <w:rsid w:val="001F3E5B"/>
    <w:rsid w:val="001F4081"/>
    <w:rsid w:val="001F4355"/>
    <w:rsid w:val="001F5393"/>
    <w:rsid w:val="001F6867"/>
    <w:rsid w:val="001F7361"/>
    <w:rsid w:val="001F7C8F"/>
    <w:rsid w:val="00200904"/>
    <w:rsid w:val="00200C61"/>
    <w:rsid w:val="002011B0"/>
    <w:rsid w:val="00203181"/>
    <w:rsid w:val="00203783"/>
    <w:rsid w:val="0020385F"/>
    <w:rsid w:val="0020560A"/>
    <w:rsid w:val="00205961"/>
    <w:rsid w:val="00205D01"/>
    <w:rsid w:val="002068A0"/>
    <w:rsid w:val="00207021"/>
    <w:rsid w:val="0020732F"/>
    <w:rsid w:val="00207A33"/>
    <w:rsid w:val="00207D00"/>
    <w:rsid w:val="002105C1"/>
    <w:rsid w:val="00210677"/>
    <w:rsid w:val="00213EF5"/>
    <w:rsid w:val="00216BF5"/>
    <w:rsid w:val="00217B96"/>
    <w:rsid w:val="00217D4B"/>
    <w:rsid w:val="00222371"/>
    <w:rsid w:val="00223B49"/>
    <w:rsid w:val="00223D5A"/>
    <w:rsid w:val="0022461C"/>
    <w:rsid w:val="00224DD4"/>
    <w:rsid w:val="0022632F"/>
    <w:rsid w:val="002278A0"/>
    <w:rsid w:val="002307EC"/>
    <w:rsid w:val="002308AA"/>
    <w:rsid w:val="002309CC"/>
    <w:rsid w:val="0023209F"/>
    <w:rsid w:val="0023287E"/>
    <w:rsid w:val="00232C04"/>
    <w:rsid w:val="00232C59"/>
    <w:rsid w:val="00233C01"/>
    <w:rsid w:val="00233D22"/>
    <w:rsid w:val="0023413C"/>
    <w:rsid w:val="002346F0"/>
    <w:rsid w:val="002360D7"/>
    <w:rsid w:val="0023629D"/>
    <w:rsid w:val="0023697A"/>
    <w:rsid w:val="00237255"/>
    <w:rsid w:val="0024077A"/>
    <w:rsid w:val="00241682"/>
    <w:rsid w:val="00241C88"/>
    <w:rsid w:val="00242311"/>
    <w:rsid w:val="002424AF"/>
    <w:rsid w:val="00242C20"/>
    <w:rsid w:val="002436C7"/>
    <w:rsid w:val="002437A1"/>
    <w:rsid w:val="002439DC"/>
    <w:rsid w:val="002441D2"/>
    <w:rsid w:val="00244DC8"/>
    <w:rsid w:val="002458BA"/>
    <w:rsid w:val="00245CE9"/>
    <w:rsid w:val="0024636C"/>
    <w:rsid w:val="00247925"/>
    <w:rsid w:val="002479C0"/>
    <w:rsid w:val="0025004D"/>
    <w:rsid w:val="00250E1F"/>
    <w:rsid w:val="00251006"/>
    <w:rsid w:val="002524D5"/>
    <w:rsid w:val="00252511"/>
    <w:rsid w:val="00253541"/>
    <w:rsid w:val="00253B1D"/>
    <w:rsid w:val="00254DCF"/>
    <w:rsid w:val="0025534B"/>
    <w:rsid w:val="00255516"/>
    <w:rsid w:val="00255BB7"/>
    <w:rsid w:val="0025618A"/>
    <w:rsid w:val="00256BCE"/>
    <w:rsid w:val="00257125"/>
    <w:rsid w:val="00257541"/>
    <w:rsid w:val="00257A39"/>
    <w:rsid w:val="00257AC4"/>
    <w:rsid w:val="00257B6B"/>
    <w:rsid w:val="00261725"/>
    <w:rsid w:val="00261EEF"/>
    <w:rsid w:val="00262A1A"/>
    <w:rsid w:val="00262A87"/>
    <w:rsid w:val="002632D8"/>
    <w:rsid w:val="00263689"/>
    <w:rsid w:val="00263A7A"/>
    <w:rsid w:val="002640B1"/>
    <w:rsid w:val="00264D26"/>
    <w:rsid w:val="002666D7"/>
    <w:rsid w:val="00267642"/>
    <w:rsid w:val="00267921"/>
    <w:rsid w:val="00267949"/>
    <w:rsid w:val="00267AEA"/>
    <w:rsid w:val="002700E6"/>
    <w:rsid w:val="0027064C"/>
    <w:rsid w:val="00270CD2"/>
    <w:rsid w:val="0027294B"/>
    <w:rsid w:val="00273EB4"/>
    <w:rsid w:val="00274682"/>
    <w:rsid w:val="0027498C"/>
    <w:rsid w:val="00275C5A"/>
    <w:rsid w:val="002779A4"/>
    <w:rsid w:val="00281014"/>
    <w:rsid w:val="00282549"/>
    <w:rsid w:val="00282815"/>
    <w:rsid w:val="00283206"/>
    <w:rsid w:val="00283643"/>
    <w:rsid w:val="00284833"/>
    <w:rsid w:val="00285191"/>
    <w:rsid w:val="00286006"/>
    <w:rsid w:val="0028665D"/>
    <w:rsid w:val="002871AA"/>
    <w:rsid w:val="00287D89"/>
    <w:rsid w:val="0029287A"/>
    <w:rsid w:val="00295970"/>
    <w:rsid w:val="00296F79"/>
    <w:rsid w:val="00297A7E"/>
    <w:rsid w:val="002A0B10"/>
    <w:rsid w:val="002A14AB"/>
    <w:rsid w:val="002A2ADE"/>
    <w:rsid w:val="002A2F50"/>
    <w:rsid w:val="002A36B6"/>
    <w:rsid w:val="002A3767"/>
    <w:rsid w:val="002A4FFC"/>
    <w:rsid w:val="002A6017"/>
    <w:rsid w:val="002A73C5"/>
    <w:rsid w:val="002A7DA3"/>
    <w:rsid w:val="002B0214"/>
    <w:rsid w:val="002B05A1"/>
    <w:rsid w:val="002B09A4"/>
    <w:rsid w:val="002B1C1F"/>
    <w:rsid w:val="002B38DD"/>
    <w:rsid w:val="002B3BFD"/>
    <w:rsid w:val="002B432F"/>
    <w:rsid w:val="002B62B3"/>
    <w:rsid w:val="002B6754"/>
    <w:rsid w:val="002B6CCE"/>
    <w:rsid w:val="002B7A29"/>
    <w:rsid w:val="002C154A"/>
    <w:rsid w:val="002C2510"/>
    <w:rsid w:val="002C2775"/>
    <w:rsid w:val="002C27C1"/>
    <w:rsid w:val="002C2892"/>
    <w:rsid w:val="002C3221"/>
    <w:rsid w:val="002C5099"/>
    <w:rsid w:val="002C5889"/>
    <w:rsid w:val="002C6FE5"/>
    <w:rsid w:val="002C71CE"/>
    <w:rsid w:val="002D08F8"/>
    <w:rsid w:val="002D1A13"/>
    <w:rsid w:val="002D2DEC"/>
    <w:rsid w:val="002D4159"/>
    <w:rsid w:val="002D577C"/>
    <w:rsid w:val="002E1071"/>
    <w:rsid w:val="002E15B9"/>
    <w:rsid w:val="002E16D1"/>
    <w:rsid w:val="002E1D61"/>
    <w:rsid w:val="002E2158"/>
    <w:rsid w:val="002E4A2D"/>
    <w:rsid w:val="002E4F02"/>
    <w:rsid w:val="002E5612"/>
    <w:rsid w:val="002E665E"/>
    <w:rsid w:val="002E7722"/>
    <w:rsid w:val="002F07BA"/>
    <w:rsid w:val="002F0DA9"/>
    <w:rsid w:val="002F1014"/>
    <w:rsid w:val="002F1246"/>
    <w:rsid w:val="002F643C"/>
    <w:rsid w:val="002F71C0"/>
    <w:rsid w:val="002F74F1"/>
    <w:rsid w:val="002F7A0E"/>
    <w:rsid w:val="00301017"/>
    <w:rsid w:val="0030155F"/>
    <w:rsid w:val="00303CE9"/>
    <w:rsid w:val="0030587B"/>
    <w:rsid w:val="00306D98"/>
    <w:rsid w:val="00306E1B"/>
    <w:rsid w:val="0030786C"/>
    <w:rsid w:val="00310013"/>
    <w:rsid w:val="0031031A"/>
    <w:rsid w:val="00310981"/>
    <w:rsid w:val="00311632"/>
    <w:rsid w:val="003124D9"/>
    <w:rsid w:val="00312594"/>
    <w:rsid w:val="003127D2"/>
    <w:rsid w:val="003132D2"/>
    <w:rsid w:val="0031402E"/>
    <w:rsid w:val="00315498"/>
    <w:rsid w:val="00316474"/>
    <w:rsid w:val="00317775"/>
    <w:rsid w:val="003209A8"/>
    <w:rsid w:val="00320FFA"/>
    <w:rsid w:val="00322107"/>
    <w:rsid w:val="00322355"/>
    <w:rsid w:val="00322846"/>
    <w:rsid w:val="00323031"/>
    <w:rsid w:val="00324791"/>
    <w:rsid w:val="0032568D"/>
    <w:rsid w:val="00326755"/>
    <w:rsid w:val="00326DA7"/>
    <w:rsid w:val="003270E4"/>
    <w:rsid w:val="00330DAA"/>
    <w:rsid w:val="00330F5C"/>
    <w:rsid w:val="003312F9"/>
    <w:rsid w:val="003315AA"/>
    <w:rsid w:val="003325B9"/>
    <w:rsid w:val="0033330B"/>
    <w:rsid w:val="00335AF1"/>
    <w:rsid w:val="003366C9"/>
    <w:rsid w:val="003371B0"/>
    <w:rsid w:val="0034085F"/>
    <w:rsid w:val="00340DF1"/>
    <w:rsid w:val="00347B34"/>
    <w:rsid w:val="003507F0"/>
    <w:rsid w:val="003517F9"/>
    <w:rsid w:val="00351B11"/>
    <w:rsid w:val="00351BA9"/>
    <w:rsid w:val="00352547"/>
    <w:rsid w:val="003525D3"/>
    <w:rsid w:val="0035434F"/>
    <w:rsid w:val="00354F64"/>
    <w:rsid w:val="00355B7B"/>
    <w:rsid w:val="0035620E"/>
    <w:rsid w:val="003564CD"/>
    <w:rsid w:val="00360345"/>
    <w:rsid w:val="00361349"/>
    <w:rsid w:val="003615C3"/>
    <w:rsid w:val="00361A05"/>
    <w:rsid w:val="003624C4"/>
    <w:rsid w:val="00362B6C"/>
    <w:rsid w:val="00363B00"/>
    <w:rsid w:val="00364098"/>
    <w:rsid w:val="00364F7F"/>
    <w:rsid w:val="003654AC"/>
    <w:rsid w:val="00365FE0"/>
    <w:rsid w:val="00366B73"/>
    <w:rsid w:val="0036766F"/>
    <w:rsid w:val="003710CF"/>
    <w:rsid w:val="0037358A"/>
    <w:rsid w:val="00374256"/>
    <w:rsid w:val="003750F6"/>
    <w:rsid w:val="00375EF1"/>
    <w:rsid w:val="003760FC"/>
    <w:rsid w:val="003801BC"/>
    <w:rsid w:val="0038030E"/>
    <w:rsid w:val="0038365C"/>
    <w:rsid w:val="0038369B"/>
    <w:rsid w:val="00383B78"/>
    <w:rsid w:val="003842B0"/>
    <w:rsid w:val="00385A9D"/>
    <w:rsid w:val="003902B1"/>
    <w:rsid w:val="003915BA"/>
    <w:rsid w:val="0039179C"/>
    <w:rsid w:val="00391A06"/>
    <w:rsid w:val="00395428"/>
    <w:rsid w:val="00396108"/>
    <w:rsid w:val="00396896"/>
    <w:rsid w:val="00396FD0"/>
    <w:rsid w:val="00397E4C"/>
    <w:rsid w:val="003A1A7A"/>
    <w:rsid w:val="003A2392"/>
    <w:rsid w:val="003A2831"/>
    <w:rsid w:val="003A3501"/>
    <w:rsid w:val="003A3CB6"/>
    <w:rsid w:val="003A3ED1"/>
    <w:rsid w:val="003A44DB"/>
    <w:rsid w:val="003A4530"/>
    <w:rsid w:val="003A5823"/>
    <w:rsid w:val="003A5954"/>
    <w:rsid w:val="003A656C"/>
    <w:rsid w:val="003B15E8"/>
    <w:rsid w:val="003B2F77"/>
    <w:rsid w:val="003B3971"/>
    <w:rsid w:val="003B4F40"/>
    <w:rsid w:val="003B5018"/>
    <w:rsid w:val="003B55D1"/>
    <w:rsid w:val="003B5B61"/>
    <w:rsid w:val="003B5E18"/>
    <w:rsid w:val="003B6A2E"/>
    <w:rsid w:val="003B6FD6"/>
    <w:rsid w:val="003B7700"/>
    <w:rsid w:val="003C1654"/>
    <w:rsid w:val="003C3B2D"/>
    <w:rsid w:val="003C5542"/>
    <w:rsid w:val="003C7D19"/>
    <w:rsid w:val="003C7D2F"/>
    <w:rsid w:val="003D0D35"/>
    <w:rsid w:val="003D1828"/>
    <w:rsid w:val="003D1DE4"/>
    <w:rsid w:val="003D1E9A"/>
    <w:rsid w:val="003D1FE5"/>
    <w:rsid w:val="003D2422"/>
    <w:rsid w:val="003D39A1"/>
    <w:rsid w:val="003D3FBF"/>
    <w:rsid w:val="003D4A30"/>
    <w:rsid w:val="003D5172"/>
    <w:rsid w:val="003D6EC7"/>
    <w:rsid w:val="003D7452"/>
    <w:rsid w:val="003D79BB"/>
    <w:rsid w:val="003D7C98"/>
    <w:rsid w:val="003D7D9D"/>
    <w:rsid w:val="003E0543"/>
    <w:rsid w:val="003E50A5"/>
    <w:rsid w:val="003E5581"/>
    <w:rsid w:val="003E749E"/>
    <w:rsid w:val="003E74D0"/>
    <w:rsid w:val="003F055E"/>
    <w:rsid w:val="003F4156"/>
    <w:rsid w:val="003F5ADF"/>
    <w:rsid w:val="003F639E"/>
    <w:rsid w:val="003F6DE6"/>
    <w:rsid w:val="00400768"/>
    <w:rsid w:val="00400B29"/>
    <w:rsid w:val="00400F01"/>
    <w:rsid w:val="00402D0B"/>
    <w:rsid w:val="00404237"/>
    <w:rsid w:val="004044C6"/>
    <w:rsid w:val="00404AEB"/>
    <w:rsid w:val="0040504B"/>
    <w:rsid w:val="004050D7"/>
    <w:rsid w:val="004059F4"/>
    <w:rsid w:val="00406FA5"/>
    <w:rsid w:val="00407BCC"/>
    <w:rsid w:val="00407FE5"/>
    <w:rsid w:val="004101B0"/>
    <w:rsid w:val="00410326"/>
    <w:rsid w:val="00410708"/>
    <w:rsid w:val="00410EC7"/>
    <w:rsid w:val="00411445"/>
    <w:rsid w:val="00411516"/>
    <w:rsid w:val="00411B39"/>
    <w:rsid w:val="00411CE9"/>
    <w:rsid w:val="004127A7"/>
    <w:rsid w:val="00413A1E"/>
    <w:rsid w:val="00413F2F"/>
    <w:rsid w:val="00414464"/>
    <w:rsid w:val="00414476"/>
    <w:rsid w:val="00414C2E"/>
    <w:rsid w:val="004151CF"/>
    <w:rsid w:val="0041618F"/>
    <w:rsid w:val="00416364"/>
    <w:rsid w:val="004164D9"/>
    <w:rsid w:val="0042047F"/>
    <w:rsid w:val="00420AA6"/>
    <w:rsid w:val="00420B9F"/>
    <w:rsid w:val="0042179A"/>
    <w:rsid w:val="0042192C"/>
    <w:rsid w:val="00421F2A"/>
    <w:rsid w:val="00422260"/>
    <w:rsid w:val="00422A08"/>
    <w:rsid w:val="00422F92"/>
    <w:rsid w:val="00423840"/>
    <w:rsid w:val="0042413F"/>
    <w:rsid w:val="00427385"/>
    <w:rsid w:val="0042742A"/>
    <w:rsid w:val="00431783"/>
    <w:rsid w:val="004319F8"/>
    <w:rsid w:val="00431E55"/>
    <w:rsid w:val="004321F6"/>
    <w:rsid w:val="00433044"/>
    <w:rsid w:val="00433566"/>
    <w:rsid w:val="00434088"/>
    <w:rsid w:val="004347FA"/>
    <w:rsid w:val="00434BAB"/>
    <w:rsid w:val="004361CB"/>
    <w:rsid w:val="00437467"/>
    <w:rsid w:val="004375B9"/>
    <w:rsid w:val="00437929"/>
    <w:rsid w:val="00440554"/>
    <w:rsid w:val="004405C0"/>
    <w:rsid w:val="00441DFF"/>
    <w:rsid w:val="004428D0"/>
    <w:rsid w:val="00443707"/>
    <w:rsid w:val="00444185"/>
    <w:rsid w:val="004443A7"/>
    <w:rsid w:val="0044442C"/>
    <w:rsid w:val="00445941"/>
    <w:rsid w:val="004464EB"/>
    <w:rsid w:val="00447D26"/>
    <w:rsid w:val="00447D9E"/>
    <w:rsid w:val="00447DFC"/>
    <w:rsid w:val="00450924"/>
    <w:rsid w:val="00450F52"/>
    <w:rsid w:val="0045115B"/>
    <w:rsid w:val="004522A4"/>
    <w:rsid w:val="00453009"/>
    <w:rsid w:val="0045421E"/>
    <w:rsid w:val="00455D45"/>
    <w:rsid w:val="00457C4A"/>
    <w:rsid w:val="004603EE"/>
    <w:rsid w:val="0046067D"/>
    <w:rsid w:val="00463871"/>
    <w:rsid w:val="00463953"/>
    <w:rsid w:val="00464595"/>
    <w:rsid w:val="004658B5"/>
    <w:rsid w:val="004705CD"/>
    <w:rsid w:val="004711D8"/>
    <w:rsid w:val="0047136C"/>
    <w:rsid w:val="00471EA5"/>
    <w:rsid w:val="00472A79"/>
    <w:rsid w:val="0047314E"/>
    <w:rsid w:val="00473F19"/>
    <w:rsid w:val="0047503E"/>
    <w:rsid w:val="00475B51"/>
    <w:rsid w:val="00475E22"/>
    <w:rsid w:val="004761F0"/>
    <w:rsid w:val="004763D2"/>
    <w:rsid w:val="0048088E"/>
    <w:rsid w:val="00480F2B"/>
    <w:rsid w:val="004814C1"/>
    <w:rsid w:val="00482720"/>
    <w:rsid w:val="00482E71"/>
    <w:rsid w:val="004835E7"/>
    <w:rsid w:val="0048360F"/>
    <w:rsid w:val="00485403"/>
    <w:rsid w:val="004867E2"/>
    <w:rsid w:val="004869D9"/>
    <w:rsid w:val="004901FB"/>
    <w:rsid w:val="004907E0"/>
    <w:rsid w:val="00490B17"/>
    <w:rsid w:val="00491412"/>
    <w:rsid w:val="00491B3A"/>
    <w:rsid w:val="00492CFD"/>
    <w:rsid w:val="00493E56"/>
    <w:rsid w:val="00493E96"/>
    <w:rsid w:val="00494207"/>
    <w:rsid w:val="00494DD5"/>
    <w:rsid w:val="004962D2"/>
    <w:rsid w:val="004975B0"/>
    <w:rsid w:val="00497AB5"/>
    <w:rsid w:val="004A03F1"/>
    <w:rsid w:val="004A0D99"/>
    <w:rsid w:val="004A0DA1"/>
    <w:rsid w:val="004A13D6"/>
    <w:rsid w:val="004A324A"/>
    <w:rsid w:val="004A41EE"/>
    <w:rsid w:val="004A44E7"/>
    <w:rsid w:val="004A4725"/>
    <w:rsid w:val="004A4E78"/>
    <w:rsid w:val="004A52E9"/>
    <w:rsid w:val="004A5AA8"/>
    <w:rsid w:val="004A6040"/>
    <w:rsid w:val="004A6597"/>
    <w:rsid w:val="004A7848"/>
    <w:rsid w:val="004A7D92"/>
    <w:rsid w:val="004B00C9"/>
    <w:rsid w:val="004B060C"/>
    <w:rsid w:val="004B1581"/>
    <w:rsid w:val="004B1CB4"/>
    <w:rsid w:val="004B208D"/>
    <w:rsid w:val="004B2247"/>
    <w:rsid w:val="004B2F18"/>
    <w:rsid w:val="004B3201"/>
    <w:rsid w:val="004B3DDB"/>
    <w:rsid w:val="004B44FD"/>
    <w:rsid w:val="004B57B2"/>
    <w:rsid w:val="004B5CFC"/>
    <w:rsid w:val="004B6F79"/>
    <w:rsid w:val="004B707D"/>
    <w:rsid w:val="004B774D"/>
    <w:rsid w:val="004C061C"/>
    <w:rsid w:val="004C0B96"/>
    <w:rsid w:val="004C30D5"/>
    <w:rsid w:val="004C4AED"/>
    <w:rsid w:val="004C5470"/>
    <w:rsid w:val="004C5967"/>
    <w:rsid w:val="004C5B7D"/>
    <w:rsid w:val="004C6280"/>
    <w:rsid w:val="004D2C2D"/>
    <w:rsid w:val="004D6312"/>
    <w:rsid w:val="004D68AD"/>
    <w:rsid w:val="004D69B5"/>
    <w:rsid w:val="004D7227"/>
    <w:rsid w:val="004D747A"/>
    <w:rsid w:val="004D7C31"/>
    <w:rsid w:val="004E0E7F"/>
    <w:rsid w:val="004E0EB8"/>
    <w:rsid w:val="004E18E9"/>
    <w:rsid w:val="004E29A1"/>
    <w:rsid w:val="004E2ADC"/>
    <w:rsid w:val="004E36A3"/>
    <w:rsid w:val="004E3B30"/>
    <w:rsid w:val="004E43B2"/>
    <w:rsid w:val="004E570B"/>
    <w:rsid w:val="004F074E"/>
    <w:rsid w:val="004F0DA6"/>
    <w:rsid w:val="004F1D02"/>
    <w:rsid w:val="004F2679"/>
    <w:rsid w:val="004F2F21"/>
    <w:rsid w:val="004F3A1D"/>
    <w:rsid w:val="004F3DE5"/>
    <w:rsid w:val="004F6913"/>
    <w:rsid w:val="004F765A"/>
    <w:rsid w:val="004F7865"/>
    <w:rsid w:val="005010E3"/>
    <w:rsid w:val="00501166"/>
    <w:rsid w:val="0050174E"/>
    <w:rsid w:val="00501854"/>
    <w:rsid w:val="00501B46"/>
    <w:rsid w:val="0050219B"/>
    <w:rsid w:val="00502321"/>
    <w:rsid w:val="00502514"/>
    <w:rsid w:val="005033B1"/>
    <w:rsid w:val="00503F17"/>
    <w:rsid w:val="005053B2"/>
    <w:rsid w:val="00506928"/>
    <w:rsid w:val="005077EF"/>
    <w:rsid w:val="00507864"/>
    <w:rsid w:val="00511330"/>
    <w:rsid w:val="00511AD5"/>
    <w:rsid w:val="00511DC7"/>
    <w:rsid w:val="0051242A"/>
    <w:rsid w:val="005142C5"/>
    <w:rsid w:val="0051501B"/>
    <w:rsid w:val="005152B5"/>
    <w:rsid w:val="00516842"/>
    <w:rsid w:val="0051721A"/>
    <w:rsid w:val="00517D8B"/>
    <w:rsid w:val="0052123C"/>
    <w:rsid w:val="00521319"/>
    <w:rsid w:val="00522BC8"/>
    <w:rsid w:val="00523C28"/>
    <w:rsid w:val="00523FE0"/>
    <w:rsid w:val="005242A3"/>
    <w:rsid w:val="00524473"/>
    <w:rsid w:val="00524828"/>
    <w:rsid w:val="00527305"/>
    <w:rsid w:val="00527F08"/>
    <w:rsid w:val="0053176B"/>
    <w:rsid w:val="00531ED9"/>
    <w:rsid w:val="00532158"/>
    <w:rsid w:val="00532510"/>
    <w:rsid w:val="005339C4"/>
    <w:rsid w:val="005339E7"/>
    <w:rsid w:val="00534C3A"/>
    <w:rsid w:val="005367F6"/>
    <w:rsid w:val="00536DE4"/>
    <w:rsid w:val="00536F42"/>
    <w:rsid w:val="00537182"/>
    <w:rsid w:val="00537DF3"/>
    <w:rsid w:val="00541BB5"/>
    <w:rsid w:val="00541EDD"/>
    <w:rsid w:val="00542743"/>
    <w:rsid w:val="00542C2D"/>
    <w:rsid w:val="005432C4"/>
    <w:rsid w:val="005450A3"/>
    <w:rsid w:val="00547509"/>
    <w:rsid w:val="005478BD"/>
    <w:rsid w:val="005479E3"/>
    <w:rsid w:val="00551184"/>
    <w:rsid w:val="00551985"/>
    <w:rsid w:val="00552708"/>
    <w:rsid w:val="00552BD3"/>
    <w:rsid w:val="00552D99"/>
    <w:rsid w:val="005532A0"/>
    <w:rsid w:val="00555109"/>
    <w:rsid w:val="00555ED2"/>
    <w:rsid w:val="00556284"/>
    <w:rsid w:val="005563E5"/>
    <w:rsid w:val="00556B35"/>
    <w:rsid w:val="0055741A"/>
    <w:rsid w:val="005611B7"/>
    <w:rsid w:val="005618D4"/>
    <w:rsid w:val="00561B3C"/>
    <w:rsid w:val="00561E2F"/>
    <w:rsid w:val="00561F57"/>
    <w:rsid w:val="0056308A"/>
    <w:rsid w:val="0056594F"/>
    <w:rsid w:val="00565DF0"/>
    <w:rsid w:val="0056696F"/>
    <w:rsid w:val="0057033E"/>
    <w:rsid w:val="00570864"/>
    <w:rsid w:val="00572269"/>
    <w:rsid w:val="0057244A"/>
    <w:rsid w:val="00572F26"/>
    <w:rsid w:val="005750C5"/>
    <w:rsid w:val="005752DE"/>
    <w:rsid w:val="00575D8D"/>
    <w:rsid w:val="00576972"/>
    <w:rsid w:val="005773C6"/>
    <w:rsid w:val="005778C6"/>
    <w:rsid w:val="00582745"/>
    <w:rsid w:val="00583699"/>
    <w:rsid w:val="00585CC0"/>
    <w:rsid w:val="00585CDD"/>
    <w:rsid w:val="00587058"/>
    <w:rsid w:val="005900AD"/>
    <w:rsid w:val="00590140"/>
    <w:rsid w:val="0059120B"/>
    <w:rsid w:val="00591957"/>
    <w:rsid w:val="00592B45"/>
    <w:rsid w:val="00593E2A"/>
    <w:rsid w:val="00597BF9"/>
    <w:rsid w:val="005A309A"/>
    <w:rsid w:val="005A3580"/>
    <w:rsid w:val="005A373D"/>
    <w:rsid w:val="005A37AF"/>
    <w:rsid w:val="005A3A69"/>
    <w:rsid w:val="005A3B1A"/>
    <w:rsid w:val="005A4C06"/>
    <w:rsid w:val="005A6951"/>
    <w:rsid w:val="005B0829"/>
    <w:rsid w:val="005B0B58"/>
    <w:rsid w:val="005B1259"/>
    <w:rsid w:val="005B2A32"/>
    <w:rsid w:val="005B4E53"/>
    <w:rsid w:val="005B4F07"/>
    <w:rsid w:val="005B5772"/>
    <w:rsid w:val="005B5857"/>
    <w:rsid w:val="005B72A6"/>
    <w:rsid w:val="005B7742"/>
    <w:rsid w:val="005C15EB"/>
    <w:rsid w:val="005C1B83"/>
    <w:rsid w:val="005C25FF"/>
    <w:rsid w:val="005C2AD6"/>
    <w:rsid w:val="005C2D55"/>
    <w:rsid w:val="005C33F4"/>
    <w:rsid w:val="005C346B"/>
    <w:rsid w:val="005C3876"/>
    <w:rsid w:val="005C3A59"/>
    <w:rsid w:val="005C4DFD"/>
    <w:rsid w:val="005D044D"/>
    <w:rsid w:val="005D0ABD"/>
    <w:rsid w:val="005D0D56"/>
    <w:rsid w:val="005D17EE"/>
    <w:rsid w:val="005D18AD"/>
    <w:rsid w:val="005D26B4"/>
    <w:rsid w:val="005D4FE7"/>
    <w:rsid w:val="005D7A80"/>
    <w:rsid w:val="005E091D"/>
    <w:rsid w:val="005E328B"/>
    <w:rsid w:val="005E3472"/>
    <w:rsid w:val="005E36B2"/>
    <w:rsid w:val="005E4E36"/>
    <w:rsid w:val="005E56BB"/>
    <w:rsid w:val="005E5AD9"/>
    <w:rsid w:val="005E6CBC"/>
    <w:rsid w:val="005E72FF"/>
    <w:rsid w:val="005E73C0"/>
    <w:rsid w:val="005F2706"/>
    <w:rsid w:val="005F3503"/>
    <w:rsid w:val="005F3A5C"/>
    <w:rsid w:val="005F6A8F"/>
    <w:rsid w:val="005F6BB7"/>
    <w:rsid w:val="005F7588"/>
    <w:rsid w:val="005F75EF"/>
    <w:rsid w:val="00601168"/>
    <w:rsid w:val="00603DB9"/>
    <w:rsid w:val="00605404"/>
    <w:rsid w:val="00606FBA"/>
    <w:rsid w:val="00607669"/>
    <w:rsid w:val="006076F4"/>
    <w:rsid w:val="00607AFD"/>
    <w:rsid w:val="00611164"/>
    <w:rsid w:val="006129A9"/>
    <w:rsid w:val="00612F97"/>
    <w:rsid w:val="0061345D"/>
    <w:rsid w:val="00613CBC"/>
    <w:rsid w:val="006144B7"/>
    <w:rsid w:val="00614662"/>
    <w:rsid w:val="0061549B"/>
    <w:rsid w:val="00615E61"/>
    <w:rsid w:val="00616712"/>
    <w:rsid w:val="00616802"/>
    <w:rsid w:val="00617E12"/>
    <w:rsid w:val="00620C25"/>
    <w:rsid w:val="00621477"/>
    <w:rsid w:val="00621ADA"/>
    <w:rsid w:val="00623F7B"/>
    <w:rsid w:val="0062510E"/>
    <w:rsid w:val="00626772"/>
    <w:rsid w:val="006277CC"/>
    <w:rsid w:val="00630077"/>
    <w:rsid w:val="00630089"/>
    <w:rsid w:val="0063158F"/>
    <w:rsid w:val="00631D6B"/>
    <w:rsid w:val="00632183"/>
    <w:rsid w:val="006330A1"/>
    <w:rsid w:val="00633440"/>
    <w:rsid w:val="0063479F"/>
    <w:rsid w:val="006353F0"/>
    <w:rsid w:val="006357B5"/>
    <w:rsid w:val="006364A1"/>
    <w:rsid w:val="0063678E"/>
    <w:rsid w:val="00637BFD"/>
    <w:rsid w:val="00637D19"/>
    <w:rsid w:val="006401D2"/>
    <w:rsid w:val="0064043A"/>
    <w:rsid w:val="00641C4E"/>
    <w:rsid w:val="00641FB3"/>
    <w:rsid w:val="00642C50"/>
    <w:rsid w:val="0064434C"/>
    <w:rsid w:val="00645DC7"/>
    <w:rsid w:val="006471CC"/>
    <w:rsid w:val="00647A29"/>
    <w:rsid w:val="00647EDA"/>
    <w:rsid w:val="0065079F"/>
    <w:rsid w:val="00650A9D"/>
    <w:rsid w:val="00650D36"/>
    <w:rsid w:val="006525CF"/>
    <w:rsid w:val="00652A28"/>
    <w:rsid w:val="00652BE6"/>
    <w:rsid w:val="0065379F"/>
    <w:rsid w:val="00656188"/>
    <w:rsid w:val="00657099"/>
    <w:rsid w:val="0065715A"/>
    <w:rsid w:val="00660417"/>
    <w:rsid w:val="006610F1"/>
    <w:rsid w:val="00661C6B"/>
    <w:rsid w:val="00663431"/>
    <w:rsid w:val="0066636A"/>
    <w:rsid w:val="00666529"/>
    <w:rsid w:val="00670468"/>
    <w:rsid w:val="006706ED"/>
    <w:rsid w:val="00671004"/>
    <w:rsid w:val="00672646"/>
    <w:rsid w:val="0067266B"/>
    <w:rsid w:val="0067357E"/>
    <w:rsid w:val="00673A45"/>
    <w:rsid w:val="006745F8"/>
    <w:rsid w:val="00674E42"/>
    <w:rsid w:val="00676547"/>
    <w:rsid w:val="00676B47"/>
    <w:rsid w:val="006813F8"/>
    <w:rsid w:val="00681C41"/>
    <w:rsid w:val="00682112"/>
    <w:rsid w:val="00682BA6"/>
    <w:rsid w:val="00683600"/>
    <w:rsid w:val="00686494"/>
    <w:rsid w:val="00686957"/>
    <w:rsid w:val="006872BA"/>
    <w:rsid w:val="00687D8A"/>
    <w:rsid w:val="00690795"/>
    <w:rsid w:val="00691648"/>
    <w:rsid w:val="006917D7"/>
    <w:rsid w:val="00693885"/>
    <w:rsid w:val="0069434C"/>
    <w:rsid w:val="00694F44"/>
    <w:rsid w:val="006954C1"/>
    <w:rsid w:val="006969D3"/>
    <w:rsid w:val="00696F51"/>
    <w:rsid w:val="006979A5"/>
    <w:rsid w:val="006A1068"/>
    <w:rsid w:val="006A3E8F"/>
    <w:rsid w:val="006A48CA"/>
    <w:rsid w:val="006A698D"/>
    <w:rsid w:val="006A6B99"/>
    <w:rsid w:val="006A7E5F"/>
    <w:rsid w:val="006B12A6"/>
    <w:rsid w:val="006B1949"/>
    <w:rsid w:val="006B1F82"/>
    <w:rsid w:val="006B261B"/>
    <w:rsid w:val="006B2C90"/>
    <w:rsid w:val="006B35E6"/>
    <w:rsid w:val="006B39AD"/>
    <w:rsid w:val="006B465A"/>
    <w:rsid w:val="006B6505"/>
    <w:rsid w:val="006B663E"/>
    <w:rsid w:val="006B6DD0"/>
    <w:rsid w:val="006B7C2E"/>
    <w:rsid w:val="006B7E44"/>
    <w:rsid w:val="006C0399"/>
    <w:rsid w:val="006C03EC"/>
    <w:rsid w:val="006C095A"/>
    <w:rsid w:val="006C2A8E"/>
    <w:rsid w:val="006C30F1"/>
    <w:rsid w:val="006C3255"/>
    <w:rsid w:val="006C3F26"/>
    <w:rsid w:val="006C3FCC"/>
    <w:rsid w:val="006C4158"/>
    <w:rsid w:val="006C73CF"/>
    <w:rsid w:val="006D03E1"/>
    <w:rsid w:val="006D0D17"/>
    <w:rsid w:val="006D0F4E"/>
    <w:rsid w:val="006D217A"/>
    <w:rsid w:val="006D3C7D"/>
    <w:rsid w:val="006D4659"/>
    <w:rsid w:val="006D5214"/>
    <w:rsid w:val="006D59CE"/>
    <w:rsid w:val="006D5D5F"/>
    <w:rsid w:val="006D68FB"/>
    <w:rsid w:val="006D69A6"/>
    <w:rsid w:val="006D6F41"/>
    <w:rsid w:val="006E165A"/>
    <w:rsid w:val="006E172F"/>
    <w:rsid w:val="006E1C40"/>
    <w:rsid w:val="006E2868"/>
    <w:rsid w:val="006E3110"/>
    <w:rsid w:val="006E4AD0"/>
    <w:rsid w:val="006E5A65"/>
    <w:rsid w:val="006E6922"/>
    <w:rsid w:val="006F0BC5"/>
    <w:rsid w:val="006F1C31"/>
    <w:rsid w:val="006F306C"/>
    <w:rsid w:val="006F338B"/>
    <w:rsid w:val="006F4C5E"/>
    <w:rsid w:val="006F54CB"/>
    <w:rsid w:val="006F63A5"/>
    <w:rsid w:val="0070142B"/>
    <w:rsid w:val="0070276E"/>
    <w:rsid w:val="00702D61"/>
    <w:rsid w:val="00702F8F"/>
    <w:rsid w:val="00703975"/>
    <w:rsid w:val="00705A19"/>
    <w:rsid w:val="00706756"/>
    <w:rsid w:val="007079FC"/>
    <w:rsid w:val="00710526"/>
    <w:rsid w:val="00711A36"/>
    <w:rsid w:val="0071219D"/>
    <w:rsid w:val="007131F7"/>
    <w:rsid w:val="00713490"/>
    <w:rsid w:val="00713E43"/>
    <w:rsid w:val="00714619"/>
    <w:rsid w:val="00714A61"/>
    <w:rsid w:val="00714ABB"/>
    <w:rsid w:val="00714C26"/>
    <w:rsid w:val="0071529C"/>
    <w:rsid w:val="007155C0"/>
    <w:rsid w:val="007170DA"/>
    <w:rsid w:val="007172AD"/>
    <w:rsid w:val="00720801"/>
    <w:rsid w:val="00721499"/>
    <w:rsid w:val="00722B1B"/>
    <w:rsid w:val="0072416F"/>
    <w:rsid w:val="0072460E"/>
    <w:rsid w:val="00724EA7"/>
    <w:rsid w:val="00725A70"/>
    <w:rsid w:val="00726F87"/>
    <w:rsid w:val="00727C94"/>
    <w:rsid w:val="0073169A"/>
    <w:rsid w:val="00731B0A"/>
    <w:rsid w:val="00731EAE"/>
    <w:rsid w:val="00733073"/>
    <w:rsid w:val="007339CB"/>
    <w:rsid w:val="007340CA"/>
    <w:rsid w:val="00735033"/>
    <w:rsid w:val="00735328"/>
    <w:rsid w:val="0073685B"/>
    <w:rsid w:val="00737835"/>
    <w:rsid w:val="00741794"/>
    <w:rsid w:val="00743B98"/>
    <w:rsid w:val="007444B0"/>
    <w:rsid w:val="007449BF"/>
    <w:rsid w:val="00745A63"/>
    <w:rsid w:val="00745CA4"/>
    <w:rsid w:val="00745F99"/>
    <w:rsid w:val="00746BC0"/>
    <w:rsid w:val="007478CA"/>
    <w:rsid w:val="007502D9"/>
    <w:rsid w:val="007510B4"/>
    <w:rsid w:val="00752142"/>
    <w:rsid w:val="007523F9"/>
    <w:rsid w:val="0075357E"/>
    <w:rsid w:val="007538C1"/>
    <w:rsid w:val="00753B0E"/>
    <w:rsid w:val="007573E8"/>
    <w:rsid w:val="00757C53"/>
    <w:rsid w:val="00760C4E"/>
    <w:rsid w:val="00760F9E"/>
    <w:rsid w:val="007611F4"/>
    <w:rsid w:val="007627BE"/>
    <w:rsid w:val="0076300E"/>
    <w:rsid w:val="00764CE7"/>
    <w:rsid w:val="00764F03"/>
    <w:rsid w:val="007657E6"/>
    <w:rsid w:val="00765B1A"/>
    <w:rsid w:val="00765D64"/>
    <w:rsid w:val="00766C06"/>
    <w:rsid w:val="00767773"/>
    <w:rsid w:val="007710BE"/>
    <w:rsid w:val="00771EFA"/>
    <w:rsid w:val="0077540C"/>
    <w:rsid w:val="00775EB9"/>
    <w:rsid w:val="00777278"/>
    <w:rsid w:val="00777335"/>
    <w:rsid w:val="00780B62"/>
    <w:rsid w:val="00780D40"/>
    <w:rsid w:val="00780F20"/>
    <w:rsid w:val="007811BA"/>
    <w:rsid w:val="007843F2"/>
    <w:rsid w:val="00784DF3"/>
    <w:rsid w:val="00785138"/>
    <w:rsid w:val="00785A9F"/>
    <w:rsid w:val="007906E0"/>
    <w:rsid w:val="00791824"/>
    <w:rsid w:val="0079242E"/>
    <w:rsid w:val="007925DF"/>
    <w:rsid w:val="00793971"/>
    <w:rsid w:val="007958F8"/>
    <w:rsid w:val="007A033D"/>
    <w:rsid w:val="007A08AA"/>
    <w:rsid w:val="007A0A12"/>
    <w:rsid w:val="007A0EAB"/>
    <w:rsid w:val="007A132D"/>
    <w:rsid w:val="007A1345"/>
    <w:rsid w:val="007A2049"/>
    <w:rsid w:val="007A2DDB"/>
    <w:rsid w:val="007A30AB"/>
    <w:rsid w:val="007A3267"/>
    <w:rsid w:val="007A386E"/>
    <w:rsid w:val="007A596B"/>
    <w:rsid w:val="007A70BA"/>
    <w:rsid w:val="007B00A7"/>
    <w:rsid w:val="007B0D68"/>
    <w:rsid w:val="007B0D98"/>
    <w:rsid w:val="007B251D"/>
    <w:rsid w:val="007B49A3"/>
    <w:rsid w:val="007B4EAE"/>
    <w:rsid w:val="007B4F58"/>
    <w:rsid w:val="007B528D"/>
    <w:rsid w:val="007B63CA"/>
    <w:rsid w:val="007B67D9"/>
    <w:rsid w:val="007B6E99"/>
    <w:rsid w:val="007B77D1"/>
    <w:rsid w:val="007C0646"/>
    <w:rsid w:val="007C07C7"/>
    <w:rsid w:val="007C1CD9"/>
    <w:rsid w:val="007C32EF"/>
    <w:rsid w:val="007C361D"/>
    <w:rsid w:val="007C4259"/>
    <w:rsid w:val="007C4B84"/>
    <w:rsid w:val="007C581B"/>
    <w:rsid w:val="007C60F1"/>
    <w:rsid w:val="007C68F6"/>
    <w:rsid w:val="007C6F17"/>
    <w:rsid w:val="007C7028"/>
    <w:rsid w:val="007C70FF"/>
    <w:rsid w:val="007C7C25"/>
    <w:rsid w:val="007D004F"/>
    <w:rsid w:val="007D02EF"/>
    <w:rsid w:val="007D0B38"/>
    <w:rsid w:val="007D2891"/>
    <w:rsid w:val="007D400A"/>
    <w:rsid w:val="007D4DCE"/>
    <w:rsid w:val="007D5440"/>
    <w:rsid w:val="007D607A"/>
    <w:rsid w:val="007D69EB"/>
    <w:rsid w:val="007E009A"/>
    <w:rsid w:val="007E0411"/>
    <w:rsid w:val="007E128F"/>
    <w:rsid w:val="007E228E"/>
    <w:rsid w:val="007E25B7"/>
    <w:rsid w:val="007E35A5"/>
    <w:rsid w:val="007E3875"/>
    <w:rsid w:val="007E6FE0"/>
    <w:rsid w:val="007E6FE9"/>
    <w:rsid w:val="007E7D04"/>
    <w:rsid w:val="007F0F06"/>
    <w:rsid w:val="007F1017"/>
    <w:rsid w:val="007F1E79"/>
    <w:rsid w:val="007F2DD0"/>
    <w:rsid w:val="007F4A3F"/>
    <w:rsid w:val="007F4A61"/>
    <w:rsid w:val="007F50DB"/>
    <w:rsid w:val="007F5255"/>
    <w:rsid w:val="007F56CC"/>
    <w:rsid w:val="007F5BAB"/>
    <w:rsid w:val="007F61C2"/>
    <w:rsid w:val="0080016A"/>
    <w:rsid w:val="008026DE"/>
    <w:rsid w:val="00805142"/>
    <w:rsid w:val="00805D47"/>
    <w:rsid w:val="00805FCE"/>
    <w:rsid w:val="00807A8B"/>
    <w:rsid w:val="00811383"/>
    <w:rsid w:val="00812149"/>
    <w:rsid w:val="00812B65"/>
    <w:rsid w:val="00812CAC"/>
    <w:rsid w:val="008143D1"/>
    <w:rsid w:val="00814BF5"/>
    <w:rsid w:val="00814FE6"/>
    <w:rsid w:val="00816361"/>
    <w:rsid w:val="008166EF"/>
    <w:rsid w:val="00816FEF"/>
    <w:rsid w:val="00820788"/>
    <w:rsid w:val="00820A8C"/>
    <w:rsid w:val="008215FB"/>
    <w:rsid w:val="00821CE3"/>
    <w:rsid w:val="008221B1"/>
    <w:rsid w:val="00822A19"/>
    <w:rsid w:val="00823174"/>
    <w:rsid w:val="00824045"/>
    <w:rsid w:val="00824B11"/>
    <w:rsid w:val="00825751"/>
    <w:rsid w:val="00825D79"/>
    <w:rsid w:val="00825F53"/>
    <w:rsid w:val="00826462"/>
    <w:rsid w:val="008264EB"/>
    <w:rsid w:val="0083322D"/>
    <w:rsid w:val="00833B05"/>
    <w:rsid w:val="008342ED"/>
    <w:rsid w:val="00834E67"/>
    <w:rsid w:val="008362B4"/>
    <w:rsid w:val="008366AB"/>
    <w:rsid w:val="00840CA2"/>
    <w:rsid w:val="00841E17"/>
    <w:rsid w:val="00842065"/>
    <w:rsid w:val="008426F1"/>
    <w:rsid w:val="008428BF"/>
    <w:rsid w:val="00842BC3"/>
    <w:rsid w:val="00843197"/>
    <w:rsid w:val="00843404"/>
    <w:rsid w:val="0084374F"/>
    <w:rsid w:val="00844A22"/>
    <w:rsid w:val="00845116"/>
    <w:rsid w:val="00845968"/>
    <w:rsid w:val="00846902"/>
    <w:rsid w:val="00847372"/>
    <w:rsid w:val="00847703"/>
    <w:rsid w:val="00847DF5"/>
    <w:rsid w:val="00850055"/>
    <w:rsid w:val="00850E20"/>
    <w:rsid w:val="008518A6"/>
    <w:rsid w:val="00851F7D"/>
    <w:rsid w:val="00852E0F"/>
    <w:rsid w:val="00852F71"/>
    <w:rsid w:val="0085309D"/>
    <w:rsid w:val="008559E2"/>
    <w:rsid w:val="00856897"/>
    <w:rsid w:val="00856E9A"/>
    <w:rsid w:val="0085795B"/>
    <w:rsid w:val="0086075D"/>
    <w:rsid w:val="00860E8D"/>
    <w:rsid w:val="00861596"/>
    <w:rsid w:val="00862008"/>
    <w:rsid w:val="00862502"/>
    <w:rsid w:val="00862CC1"/>
    <w:rsid w:val="00864508"/>
    <w:rsid w:val="0086540E"/>
    <w:rsid w:val="00865DE6"/>
    <w:rsid w:val="008660D4"/>
    <w:rsid w:val="00871FA9"/>
    <w:rsid w:val="008728E9"/>
    <w:rsid w:val="008755CA"/>
    <w:rsid w:val="00875658"/>
    <w:rsid w:val="008771F8"/>
    <w:rsid w:val="00882592"/>
    <w:rsid w:val="00882874"/>
    <w:rsid w:val="00882E3C"/>
    <w:rsid w:val="00883787"/>
    <w:rsid w:val="008849AA"/>
    <w:rsid w:val="008855E4"/>
    <w:rsid w:val="008856EC"/>
    <w:rsid w:val="008861A4"/>
    <w:rsid w:val="00886CD2"/>
    <w:rsid w:val="008874DC"/>
    <w:rsid w:val="00891A5D"/>
    <w:rsid w:val="00891E6F"/>
    <w:rsid w:val="0089275D"/>
    <w:rsid w:val="00892A36"/>
    <w:rsid w:val="00893239"/>
    <w:rsid w:val="00894489"/>
    <w:rsid w:val="00894B43"/>
    <w:rsid w:val="00894EF9"/>
    <w:rsid w:val="008963A5"/>
    <w:rsid w:val="00896D5D"/>
    <w:rsid w:val="008A04CB"/>
    <w:rsid w:val="008A2A78"/>
    <w:rsid w:val="008A32E3"/>
    <w:rsid w:val="008A3363"/>
    <w:rsid w:val="008A3371"/>
    <w:rsid w:val="008A3C3E"/>
    <w:rsid w:val="008A3EA9"/>
    <w:rsid w:val="008A3EB3"/>
    <w:rsid w:val="008A79DE"/>
    <w:rsid w:val="008B0AEB"/>
    <w:rsid w:val="008B1757"/>
    <w:rsid w:val="008B25A7"/>
    <w:rsid w:val="008B381F"/>
    <w:rsid w:val="008B4056"/>
    <w:rsid w:val="008B4349"/>
    <w:rsid w:val="008B4444"/>
    <w:rsid w:val="008B5D67"/>
    <w:rsid w:val="008B632E"/>
    <w:rsid w:val="008B6394"/>
    <w:rsid w:val="008B6517"/>
    <w:rsid w:val="008B7992"/>
    <w:rsid w:val="008B7D7E"/>
    <w:rsid w:val="008C33CE"/>
    <w:rsid w:val="008C46D2"/>
    <w:rsid w:val="008C473A"/>
    <w:rsid w:val="008C485F"/>
    <w:rsid w:val="008C5610"/>
    <w:rsid w:val="008C5739"/>
    <w:rsid w:val="008C7ECB"/>
    <w:rsid w:val="008D0DD7"/>
    <w:rsid w:val="008D2786"/>
    <w:rsid w:val="008D3B86"/>
    <w:rsid w:val="008D45EF"/>
    <w:rsid w:val="008D4755"/>
    <w:rsid w:val="008D4C3D"/>
    <w:rsid w:val="008D5662"/>
    <w:rsid w:val="008D64A2"/>
    <w:rsid w:val="008D657F"/>
    <w:rsid w:val="008D67FA"/>
    <w:rsid w:val="008D743C"/>
    <w:rsid w:val="008D781B"/>
    <w:rsid w:val="008D7860"/>
    <w:rsid w:val="008E0D3C"/>
    <w:rsid w:val="008E15F0"/>
    <w:rsid w:val="008E1B9E"/>
    <w:rsid w:val="008E1C11"/>
    <w:rsid w:val="008E1F75"/>
    <w:rsid w:val="008E2E11"/>
    <w:rsid w:val="008E3289"/>
    <w:rsid w:val="008E37C8"/>
    <w:rsid w:val="008E4B3A"/>
    <w:rsid w:val="008E55AB"/>
    <w:rsid w:val="008E7037"/>
    <w:rsid w:val="008E7FE2"/>
    <w:rsid w:val="008F120A"/>
    <w:rsid w:val="008F2371"/>
    <w:rsid w:val="008F27E0"/>
    <w:rsid w:val="008F48EB"/>
    <w:rsid w:val="008F4F0B"/>
    <w:rsid w:val="008F7CD0"/>
    <w:rsid w:val="009001E7"/>
    <w:rsid w:val="0090039E"/>
    <w:rsid w:val="00901807"/>
    <w:rsid w:val="00901DA7"/>
    <w:rsid w:val="0090328B"/>
    <w:rsid w:val="00903CDF"/>
    <w:rsid w:val="009046C4"/>
    <w:rsid w:val="009062A5"/>
    <w:rsid w:val="00906780"/>
    <w:rsid w:val="00907469"/>
    <w:rsid w:val="00910FA7"/>
    <w:rsid w:val="00911272"/>
    <w:rsid w:val="00911379"/>
    <w:rsid w:val="0091234B"/>
    <w:rsid w:val="009135D6"/>
    <w:rsid w:val="009136AE"/>
    <w:rsid w:val="009139B0"/>
    <w:rsid w:val="009145F6"/>
    <w:rsid w:val="00914C77"/>
    <w:rsid w:val="009170BE"/>
    <w:rsid w:val="0092047C"/>
    <w:rsid w:val="00920CB8"/>
    <w:rsid w:val="00921ACB"/>
    <w:rsid w:val="0092369B"/>
    <w:rsid w:val="00925B54"/>
    <w:rsid w:val="00926012"/>
    <w:rsid w:val="00926E22"/>
    <w:rsid w:val="00932420"/>
    <w:rsid w:val="0093286E"/>
    <w:rsid w:val="009330C3"/>
    <w:rsid w:val="00933E98"/>
    <w:rsid w:val="009341FE"/>
    <w:rsid w:val="0093463C"/>
    <w:rsid w:val="00934988"/>
    <w:rsid w:val="00936BBA"/>
    <w:rsid w:val="00937089"/>
    <w:rsid w:val="009378C2"/>
    <w:rsid w:val="00940CF4"/>
    <w:rsid w:val="00941906"/>
    <w:rsid w:val="009422CC"/>
    <w:rsid w:val="009438A3"/>
    <w:rsid w:val="00944F8A"/>
    <w:rsid w:val="00945EE2"/>
    <w:rsid w:val="009510A2"/>
    <w:rsid w:val="00951688"/>
    <w:rsid w:val="00953257"/>
    <w:rsid w:val="009538FD"/>
    <w:rsid w:val="0095474C"/>
    <w:rsid w:val="00954AB1"/>
    <w:rsid w:val="00960879"/>
    <w:rsid w:val="00960FB8"/>
    <w:rsid w:val="009625D7"/>
    <w:rsid w:val="00962CB9"/>
    <w:rsid w:val="009631F6"/>
    <w:rsid w:val="00964312"/>
    <w:rsid w:val="009644CB"/>
    <w:rsid w:val="0096523A"/>
    <w:rsid w:val="00965371"/>
    <w:rsid w:val="00965B8A"/>
    <w:rsid w:val="0097071F"/>
    <w:rsid w:val="009717AC"/>
    <w:rsid w:val="0097287E"/>
    <w:rsid w:val="0097290B"/>
    <w:rsid w:val="0097449C"/>
    <w:rsid w:val="009751C1"/>
    <w:rsid w:val="00975751"/>
    <w:rsid w:val="00980136"/>
    <w:rsid w:val="009811F1"/>
    <w:rsid w:val="00982701"/>
    <w:rsid w:val="00982B83"/>
    <w:rsid w:val="009830E2"/>
    <w:rsid w:val="009832F1"/>
    <w:rsid w:val="00983E57"/>
    <w:rsid w:val="00985DE2"/>
    <w:rsid w:val="00986370"/>
    <w:rsid w:val="0098675D"/>
    <w:rsid w:val="00986953"/>
    <w:rsid w:val="00990180"/>
    <w:rsid w:val="00990AA8"/>
    <w:rsid w:val="00991453"/>
    <w:rsid w:val="009915DA"/>
    <w:rsid w:val="009926E0"/>
    <w:rsid w:val="0099451E"/>
    <w:rsid w:val="00994993"/>
    <w:rsid w:val="0099688A"/>
    <w:rsid w:val="00996B1A"/>
    <w:rsid w:val="00997708"/>
    <w:rsid w:val="00997BFF"/>
    <w:rsid w:val="009A0D0E"/>
    <w:rsid w:val="009A29D1"/>
    <w:rsid w:val="009A2DCC"/>
    <w:rsid w:val="009A4847"/>
    <w:rsid w:val="009A5ABC"/>
    <w:rsid w:val="009A77B3"/>
    <w:rsid w:val="009A7F10"/>
    <w:rsid w:val="009B1272"/>
    <w:rsid w:val="009B3E26"/>
    <w:rsid w:val="009B4947"/>
    <w:rsid w:val="009B6C3D"/>
    <w:rsid w:val="009C0189"/>
    <w:rsid w:val="009C0A3E"/>
    <w:rsid w:val="009C1416"/>
    <w:rsid w:val="009C21EF"/>
    <w:rsid w:val="009C3706"/>
    <w:rsid w:val="009C3A3A"/>
    <w:rsid w:val="009C6CEA"/>
    <w:rsid w:val="009C7B85"/>
    <w:rsid w:val="009C7EED"/>
    <w:rsid w:val="009D0254"/>
    <w:rsid w:val="009D0A1B"/>
    <w:rsid w:val="009D1A64"/>
    <w:rsid w:val="009D5B91"/>
    <w:rsid w:val="009D6AC0"/>
    <w:rsid w:val="009D792E"/>
    <w:rsid w:val="009E00E2"/>
    <w:rsid w:val="009E08B0"/>
    <w:rsid w:val="009E0DFE"/>
    <w:rsid w:val="009E31F6"/>
    <w:rsid w:val="009E444C"/>
    <w:rsid w:val="009E4C07"/>
    <w:rsid w:val="009E551E"/>
    <w:rsid w:val="009E5A3F"/>
    <w:rsid w:val="009E7DDF"/>
    <w:rsid w:val="009F2A3D"/>
    <w:rsid w:val="009F2C65"/>
    <w:rsid w:val="009F601B"/>
    <w:rsid w:val="009F667D"/>
    <w:rsid w:val="009F6E4D"/>
    <w:rsid w:val="00A01184"/>
    <w:rsid w:val="00A01609"/>
    <w:rsid w:val="00A02EBF"/>
    <w:rsid w:val="00A037C2"/>
    <w:rsid w:val="00A03D43"/>
    <w:rsid w:val="00A04228"/>
    <w:rsid w:val="00A04380"/>
    <w:rsid w:val="00A05472"/>
    <w:rsid w:val="00A05A12"/>
    <w:rsid w:val="00A05C32"/>
    <w:rsid w:val="00A0653F"/>
    <w:rsid w:val="00A07748"/>
    <w:rsid w:val="00A11CD0"/>
    <w:rsid w:val="00A1347D"/>
    <w:rsid w:val="00A13667"/>
    <w:rsid w:val="00A13948"/>
    <w:rsid w:val="00A1555B"/>
    <w:rsid w:val="00A155C5"/>
    <w:rsid w:val="00A16AD8"/>
    <w:rsid w:val="00A20530"/>
    <w:rsid w:val="00A20A1F"/>
    <w:rsid w:val="00A21967"/>
    <w:rsid w:val="00A21BB3"/>
    <w:rsid w:val="00A21C95"/>
    <w:rsid w:val="00A21CF3"/>
    <w:rsid w:val="00A22D26"/>
    <w:rsid w:val="00A23176"/>
    <w:rsid w:val="00A24813"/>
    <w:rsid w:val="00A24DC4"/>
    <w:rsid w:val="00A25E78"/>
    <w:rsid w:val="00A26C21"/>
    <w:rsid w:val="00A27AEC"/>
    <w:rsid w:val="00A320DB"/>
    <w:rsid w:val="00A33F4B"/>
    <w:rsid w:val="00A3480E"/>
    <w:rsid w:val="00A34A75"/>
    <w:rsid w:val="00A34D0F"/>
    <w:rsid w:val="00A35D16"/>
    <w:rsid w:val="00A374E8"/>
    <w:rsid w:val="00A37BCD"/>
    <w:rsid w:val="00A40249"/>
    <w:rsid w:val="00A40F50"/>
    <w:rsid w:val="00A41689"/>
    <w:rsid w:val="00A42592"/>
    <w:rsid w:val="00A435DB"/>
    <w:rsid w:val="00A43C59"/>
    <w:rsid w:val="00A44BD7"/>
    <w:rsid w:val="00A50ECD"/>
    <w:rsid w:val="00A50F26"/>
    <w:rsid w:val="00A518F3"/>
    <w:rsid w:val="00A51B96"/>
    <w:rsid w:val="00A52729"/>
    <w:rsid w:val="00A53675"/>
    <w:rsid w:val="00A538EC"/>
    <w:rsid w:val="00A564D7"/>
    <w:rsid w:val="00A56B6A"/>
    <w:rsid w:val="00A578DC"/>
    <w:rsid w:val="00A61054"/>
    <w:rsid w:val="00A62004"/>
    <w:rsid w:val="00A63C3B"/>
    <w:rsid w:val="00A63FBC"/>
    <w:rsid w:val="00A640E2"/>
    <w:rsid w:val="00A64569"/>
    <w:rsid w:val="00A64D65"/>
    <w:rsid w:val="00A6725B"/>
    <w:rsid w:val="00A70605"/>
    <w:rsid w:val="00A72511"/>
    <w:rsid w:val="00A73134"/>
    <w:rsid w:val="00A73A3B"/>
    <w:rsid w:val="00A7443D"/>
    <w:rsid w:val="00A74CE1"/>
    <w:rsid w:val="00A76001"/>
    <w:rsid w:val="00A777B2"/>
    <w:rsid w:val="00A825D4"/>
    <w:rsid w:val="00A828F6"/>
    <w:rsid w:val="00A82B73"/>
    <w:rsid w:val="00A86E8B"/>
    <w:rsid w:val="00A87164"/>
    <w:rsid w:val="00A9096B"/>
    <w:rsid w:val="00A93072"/>
    <w:rsid w:val="00A938BD"/>
    <w:rsid w:val="00A93953"/>
    <w:rsid w:val="00A940B7"/>
    <w:rsid w:val="00A95673"/>
    <w:rsid w:val="00A959D8"/>
    <w:rsid w:val="00A9746B"/>
    <w:rsid w:val="00AA0A71"/>
    <w:rsid w:val="00AA113D"/>
    <w:rsid w:val="00AA2D96"/>
    <w:rsid w:val="00AA33FC"/>
    <w:rsid w:val="00AA41AF"/>
    <w:rsid w:val="00AA5977"/>
    <w:rsid w:val="00AA6874"/>
    <w:rsid w:val="00AA6BD5"/>
    <w:rsid w:val="00AA6BD8"/>
    <w:rsid w:val="00AA6C7D"/>
    <w:rsid w:val="00AA7FD6"/>
    <w:rsid w:val="00AB042A"/>
    <w:rsid w:val="00AB19EF"/>
    <w:rsid w:val="00AB1E3D"/>
    <w:rsid w:val="00AB2B14"/>
    <w:rsid w:val="00AB2D34"/>
    <w:rsid w:val="00AB3430"/>
    <w:rsid w:val="00AB37B9"/>
    <w:rsid w:val="00AB3951"/>
    <w:rsid w:val="00AB4AD1"/>
    <w:rsid w:val="00AB5E07"/>
    <w:rsid w:val="00AB7CFA"/>
    <w:rsid w:val="00AB7FA3"/>
    <w:rsid w:val="00AC0FE5"/>
    <w:rsid w:val="00AC2E35"/>
    <w:rsid w:val="00AC37AE"/>
    <w:rsid w:val="00AC5B48"/>
    <w:rsid w:val="00AC60B6"/>
    <w:rsid w:val="00AC66F0"/>
    <w:rsid w:val="00AC68A8"/>
    <w:rsid w:val="00AC6CCC"/>
    <w:rsid w:val="00AC6D64"/>
    <w:rsid w:val="00AC75FF"/>
    <w:rsid w:val="00AD1450"/>
    <w:rsid w:val="00AD6502"/>
    <w:rsid w:val="00AE0695"/>
    <w:rsid w:val="00AE0DA9"/>
    <w:rsid w:val="00AE14C4"/>
    <w:rsid w:val="00AE170B"/>
    <w:rsid w:val="00AE3739"/>
    <w:rsid w:val="00AE384D"/>
    <w:rsid w:val="00AE3E7E"/>
    <w:rsid w:val="00AE7890"/>
    <w:rsid w:val="00AE7FCB"/>
    <w:rsid w:val="00AF0C94"/>
    <w:rsid w:val="00AF1315"/>
    <w:rsid w:val="00AF19BF"/>
    <w:rsid w:val="00AF27F2"/>
    <w:rsid w:val="00AF2DB7"/>
    <w:rsid w:val="00AF2DC3"/>
    <w:rsid w:val="00AF4104"/>
    <w:rsid w:val="00AF59D9"/>
    <w:rsid w:val="00AF6B0F"/>
    <w:rsid w:val="00B01857"/>
    <w:rsid w:val="00B033E5"/>
    <w:rsid w:val="00B03955"/>
    <w:rsid w:val="00B03A63"/>
    <w:rsid w:val="00B0456F"/>
    <w:rsid w:val="00B05685"/>
    <w:rsid w:val="00B06FC2"/>
    <w:rsid w:val="00B077C8"/>
    <w:rsid w:val="00B10AC2"/>
    <w:rsid w:val="00B14A17"/>
    <w:rsid w:val="00B152D4"/>
    <w:rsid w:val="00B15A09"/>
    <w:rsid w:val="00B16E6E"/>
    <w:rsid w:val="00B201A4"/>
    <w:rsid w:val="00B201D1"/>
    <w:rsid w:val="00B213A6"/>
    <w:rsid w:val="00B22468"/>
    <w:rsid w:val="00B22A4F"/>
    <w:rsid w:val="00B235B0"/>
    <w:rsid w:val="00B2389C"/>
    <w:rsid w:val="00B2446B"/>
    <w:rsid w:val="00B24DF6"/>
    <w:rsid w:val="00B24EEF"/>
    <w:rsid w:val="00B322F4"/>
    <w:rsid w:val="00B34FE2"/>
    <w:rsid w:val="00B35166"/>
    <w:rsid w:val="00B357D8"/>
    <w:rsid w:val="00B360F4"/>
    <w:rsid w:val="00B369BE"/>
    <w:rsid w:val="00B36A00"/>
    <w:rsid w:val="00B37929"/>
    <w:rsid w:val="00B37BFC"/>
    <w:rsid w:val="00B40358"/>
    <w:rsid w:val="00B4119B"/>
    <w:rsid w:val="00B41614"/>
    <w:rsid w:val="00B4192A"/>
    <w:rsid w:val="00B41C4F"/>
    <w:rsid w:val="00B41E01"/>
    <w:rsid w:val="00B427A0"/>
    <w:rsid w:val="00B42851"/>
    <w:rsid w:val="00B42F80"/>
    <w:rsid w:val="00B435CB"/>
    <w:rsid w:val="00B46741"/>
    <w:rsid w:val="00B4719B"/>
    <w:rsid w:val="00B50394"/>
    <w:rsid w:val="00B505C8"/>
    <w:rsid w:val="00B50DB8"/>
    <w:rsid w:val="00B50E98"/>
    <w:rsid w:val="00B53654"/>
    <w:rsid w:val="00B53905"/>
    <w:rsid w:val="00B54B5B"/>
    <w:rsid w:val="00B5562E"/>
    <w:rsid w:val="00B558B4"/>
    <w:rsid w:val="00B55D65"/>
    <w:rsid w:val="00B57000"/>
    <w:rsid w:val="00B60939"/>
    <w:rsid w:val="00B60AFD"/>
    <w:rsid w:val="00B61BE4"/>
    <w:rsid w:val="00B620F6"/>
    <w:rsid w:val="00B62715"/>
    <w:rsid w:val="00B62C01"/>
    <w:rsid w:val="00B63EEE"/>
    <w:rsid w:val="00B64D3E"/>
    <w:rsid w:val="00B65611"/>
    <w:rsid w:val="00B66767"/>
    <w:rsid w:val="00B6683F"/>
    <w:rsid w:val="00B66D8D"/>
    <w:rsid w:val="00B700A1"/>
    <w:rsid w:val="00B7044A"/>
    <w:rsid w:val="00B70E8E"/>
    <w:rsid w:val="00B721E4"/>
    <w:rsid w:val="00B73C6E"/>
    <w:rsid w:val="00B7513B"/>
    <w:rsid w:val="00B75328"/>
    <w:rsid w:val="00B7671F"/>
    <w:rsid w:val="00B76BDC"/>
    <w:rsid w:val="00B76C92"/>
    <w:rsid w:val="00B772A4"/>
    <w:rsid w:val="00B806DA"/>
    <w:rsid w:val="00B8125A"/>
    <w:rsid w:val="00B818A4"/>
    <w:rsid w:val="00B83031"/>
    <w:rsid w:val="00B839A4"/>
    <w:rsid w:val="00B83DAC"/>
    <w:rsid w:val="00B84117"/>
    <w:rsid w:val="00B858F0"/>
    <w:rsid w:val="00B85AA2"/>
    <w:rsid w:val="00B8649C"/>
    <w:rsid w:val="00B8695D"/>
    <w:rsid w:val="00B87F0A"/>
    <w:rsid w:val="00B87FC1"/>
    <w:rsid w:val="00B904FA"/>
    <w:rsid w:val="00B925DA"/>
    <w:rsid w:val="00B92D0B"/>
    <w:rsid w:val="00B94678"/>
    <w:rsid w:val="00B94945"/>
    <w:rsid w:val="00B94DD6"/>
    <w:rsid w:val="00B950B0"/>
    <w:rsid w:val="00B97934"/>
    <w:rsid w:val="00B97C87"/>
    <w:rsid w:val="00BA175D"/>
    <w:rsid w:val="00BA322D"/>
    <w:rsid w:val="00BA3B6B"/>
    <w:rsid w:val="00BA5B19"/>
    <w:rsid w:val="00BA63FA"/>
    <w:rsid w:val="00BA6AE1"/>
    <w:rsid w:val="00BA7751"/>
    <w:rsid w:val="00BB00B3"/>
    <w:rsid w:val="00BB0B41"/>
    <w:rsid w:val="00BB0BDD"/>
    <w:rsid w:val="00BB176C"/>
    <w:rsid w:val="00BB282B"/>
    <w:rsid w:val="00BB2A73"/>
    <w:rsid w:val="00BB3A45"/>
    <w:rsid w:val="00BB4046"/>
    <w:rsid w:val="00BB49DC"/>
    <w:rsid w:val="00BB4ACC"/>
    <w:rsid w:val="00BB6ABC"/>
    <w:rsid w:val="00BB703E"/>
    <w:rsid w:val="00BB72E2"/>
    <w:rsid w:val="00BB732D"/>
    <w:rsid w:val="00BB7405"/>
    <w:rsid w:val="00BC051F"/>
    <w:rsid w:val="00BC1EF3"/>
    <w:rsid w:val="00BC2DA0"/>
    <w:rsid w:val="00BC3631"/>
    <w:rsid w:val="00BC4D6D"/>
    <w:rsid w:val="00BC5691"/>
    <w:rsid w:val="00BC591F"/>
    <w:rsid w:val="00BC71AD"/>
    <w:rsid w:val="00BC7D6D"/>
    <w:rsid w:val="00BD2108"/>
    <w:rsid w:val="00BD332E"/>
    <w:rsid w:val="00BD3340"/>
    <w:rsid w:val="00BD4E4C"/>
    <w:rsid w:val="00BD68A3"/>
    <w:rsid w:val="00BD6938"/>
    <w:rsid w:val="00BD6CF3"/>
    <w:rsid w:val="00BD72DD"/>
    <w:rsid w:val="00BE0858"/>
    <w:rsid w:val="00BE0ECA"/>
    <w:rsid w:val="00BE206C"/>
    <w:rsid w:val="00BE2180"/>
    <w:rsid w:val="00BE21F2"/>
    <w:rsid w:val="00BE34B1"/>
    <w:rsid w:val="00BE4275"/>
    <w:rsid w:val="00BE4F7C"/>
    <w:rsid w:val="00BE6074"/>
    <w:rsid w:val="00BE6AFF"/>
    <w:rsid w:val="00BF06AE"/>
    <w:rsid w:val="00BF0F95"/>
    <w:rsid w:val="00BF2320"/>
    <w:rsid w:val="00BF2433"/>
    <w:rsid w:val="00BF2FBB"/>
    <w:rsid w:val="00BF3FE5"/>
    <w:rsid w:val="00BF61C9"/>
    <w:rsid w:val="00BF6C94"/>
    <w:rsid w:val="00BF7602"/>
    <w:rsid w:val="00BF7CAD"/>
    <w:rsid w:val="00C00424"/>
    <w:rsid w:val="00C021A5"/>
    <w:rsid w:val="00C02952"/>
    <w:rsid w:val="00C032E1"/>
    <w:rsid w:val="00C06C80"/>
    <w:rsid w:val="00C105ED"/>
    <w:rsid w:val="00C11110"/>
    <w:rsid w:val="00C1179F"/>
    <w:rsid w:val="00C1253A"/>
    <w:rsid w:val="00C12C14"/>
    <w:rsid w:val="00C15F04"/>
    <w:rsid w:val="00C179B3"/>
    <w:rsid w:val="00C17E3F"/>
    <w:rsid w:val="00C17FF7"/>
    <w:rsid w:val="00C200AA"/>
    <w:rsid w:val="00C21EAF"/>
    <w:rsid w:val="00C22C63"/>
    <w:rsid w:val="00C237ED"/>
    <w:rsid w:val="00C24632"/>
    <w:rsid w:val="00C25418"/>
    <w:rsid w:val="00C25D9C"/>
    <w:rsid w:val="00C2778B"/>
    <w:rsid w:val="00C27C04"/>
    <w:rsid w:val="00C3101A"/>
    <w:rsid w:val="00C31649"/>
    <w:rsid w:val="00C33898"/>
    <w:rsid w:val="00C33CD8"/>
    <w:rsid w:val="00C3434C"/>
    <w:rsid w:val="00C37E35"/>
    <w:rsid w:val="00C40385"/>
    <w:rsid w:val="00C415C1"/>
    <w:rsid w:val="00C41768"/>
    <w:rsid w:val="00C41BB1"/>
    <w:rsid w:val="00C454FB"/>
    <w:rsid w:val="00C4652B"/>
    <w:rsid w:val="00C475AA"/>
    <w:rsid w:val="00C53C98"/>
    <w:rsid w:val="00C56CAF"/>
    <w:rsid w:val="00C56FCF"/>
    <w:rsid w:val="00C574B9"/>
    <w:rsid w:val="00C57B6C"/>
    <w:rsid w:val="00C628A6"/>
    <w:rsid w:val="00C64344"/>
    <w:rsid w:val="00C64FF2"/>
    <w:rsid w:val="00C65108"/>
    <w:rsid w:val="00C65576"/>
    <w:rsid w:val="00C66165"/>
    <w:rsid w:val="00C663D7"/>
    <w:rsid w:val="00C667AA"/>
    <w:rsid w:val="00C66AB1"/>
    <w:rsid w:val="00C66DFC"/>
    <w:rsid w:val="00C7060A"/>
    <w:rsid w:val="00C70880"/>
    <w:rsid w:val="00C7151A"/>
    <w:rsid w:val="00C717E3"/>
    <w:rsid w:val="00C71C0D"/>
    <w:rsid w:val="00C71CD4"/>
    <w:rsid w:val="00C71F51"/>
    <w:rsid w:val="00C71F60"/>
    <w:rsid w:val="00C72241"/>
    <w:rsid w:val="00C72F46"/>
    <w:rsid w:val="00C750C8"/>
    <w:rsid w:val="00C7560F"/>
    <w:rsid w:val="00C764D6"/>
    <w:rsid w:val="00C80A0E"/>
    <w:rsid w:val="00C80C0B"/>
    <w:rsid w:val="00C8213F"/>
    <w:rsid w:val="00C822A8"/>
    <w:rsid w:val="00C82315"/>
    <w:rsid w:val="00C8268E"/>
    <w:rsid w:val="00C83DE5"/>
    <w:rsid w:val="00C85154"/>
    <w:rsid w:val="00C8797A"/>
    <w:rsid w:val="00C900B8"/>
    <w:rsid w:val="00C90C71"/>
    <w:rsid w:val="00C91FD1"/>
    <w:rsid w:val="00C9299B"/>
    <w:rsid w:val="00C931CF"/>
    <w:rsid w:val="00C938CF"/>
    <w:rsid w:val="00C94053"/>
    <w:rsid w:val="00C96128"/>
    <w:rsid w:val="00C9624D"/>
    <w:rsid w:val="00C96811"/>
    <w:rsid w:val="00C969DA"/>
    <w:rsid w:val="00C96BB3"/>
    <w:rsid w:val="00CA08CD"/>
    <w:rsid w:val="00CA1C4F"/>
    <w:rsid w:val="00CA2C77"/>
    <w:rsid w:val="00CA3D0F"/>
    <w:rsid w:val="00CA444F"/>
    <w:rsid w:val="00CA5245"/>
    <w:rsid w:val="00CA5692"/>
    <w:rsid w:val="00CA5B0A"/>
    <w:rsid w:val="00CA6A2A"/>
    <w:rsid w:val="00CA6BDE"/>
    <w:rsid w:val="00CA71F4"/>
    <w:rsid w:val="00CA7B09"/>
    <w:rsid w:val="00CB12A5"/>
    <w:rsid w:val="00CB1CAC"/>
    <w:rsid w:val="00CB2F2A"/>
    <w:rsid w:val="00CB4AAA"/>
    <w:rsid w:val="00CB4B25"/>
    <w:rsid w:val="00CB5B1A"/>
    <w:rsid w:val="00CB6B22"/>
    <w:rsid w:val="00CB7F5F"/>
    <w:rsid w:val="00CC1B39"/>
    <w:rsid w:val="00CC35EA"/>
    <w:rsid w:val="00CC3848"/>
    <w:rsid w:val="00CC3B5C"/>
    <w:rsid w:val="00CC5876"/>
    <w:rsid w:val="00CC64E3"/>
    <w:rsid w:val="00CD30F2"/>
    <w:rsid w:val="00CD31C4"/>
    <w:rsid w:val="00CD3F77"/>
    <w:rsid w:val="00CD4ECB"/>
    <w:rsid w:val="00CD5FD9"/>
    <w:rsid w:val="00CD6ADC"/>
    <w:rsid w:val="00CD6B9C"/>
    <w:rsid w:val="00CD6D86"/>
    <w:rsid w:val="00CD7193"/>
    <w:rsid w:val="00CE02E7"/>
    <w:rsid w:val="00CE0429"/>
    <w:rsid w:val="00CE0DBB"/>
    <w:rsid w:val="00CE16AB"/>
    <w:rsid w:val="00CE1E4A"/>
    <w:rsid w:val="00CE38C8"/>
    <w:rsid w:val="00CE52D4"/>
    <w:rsid w:val="00CE6274"/>
    <w:rsid w:val="00CE77B6"/>
    <w:rsid w:val="00CF0335"/>
    <w:rsid w:val="00CF097E"/>
    <w:rsid w:val="00CF2218"/>
    <w:rsid w:val="00CF2B8D"/>
    <w:rsid w:val="00CF2FCE"/>
    <w:rsid w:val="00CF456B"/>
    <w:rsid w:val="00CF5A22"/>
    <w:rsid w:val="00D01DF5"/>
    <w:rsid w:val="00D0262E"/>
    <w:rsid w:val="00D0332D"/>
    <w:rsid w:val="00D03403"/>
    <w:rsid w:val="00D05E3D"/>
    <w:rsid w:val="00D060CC"/>
    <w:rsid w:val="00D06139"/>
    <w:rsid w:val="00D07A8C"/>
    <w:rsid w:val="00D110BD"/>
    <w:rsid w:val="00D11466"/>
    <w:rsid w:val="00D13675"/>
    <w:rsid w:val="00D141E1"/>
    <w:rsid w:val="00D15314"/>
    <w:rsid w:val="00D16689"/>
    <w:rsid w:val="00D17D6C"/>
    <w:rsid w:val="00D2155B"/>
    <w:rsid w:val="00D226C8"/>
    <w:rsid w:val="00D23D11"/>
    <w:rsid w:val="00D244B6"/>
    <w:rsid w:val="00D259A4"/>
    <w:rsid w:val="00D25EEF"/>
    <w:rsid w:val="00D26D69"/>
    <w:rsid w:val="00D27542"/>
    <w:rsid w:val="00D2754D"/>
    <w:rsid w:val="00D27561"/>
    <w:rsid w:val="00D27B27"/>
    <w:rsid w:val="00D31BA5"/>
    <w:rsid w:val="00D33BE9"/>
    <w:rsid w:val="00D33F93"/>
    <w:rsid w:val="00D357FF"/>
    <w:rsid w:val="00D37382"/>
    <w:rsid w:val="00D424C7"/>
    <w:rsid w:val="00D42A6F"/>
    <w:rsid w:val="00D437B0"/>
    <w:rsid w:val="00D43B2A"/>
    <w:rsid w:val="00D43D83"/>
    <w:rsid w:val="00D460CE"/>
    <w:rsid w:val="00D46F25"/>
    <w:rsid w:val="00D47575"/>
    <w:rsid w:val="00D47679"/>
    <w:rsid w:val="00D47C1F"/>
    <w:rsid w:val="00D505E0"/>
    <w:rsid w:val="00D51B89"/>
    <w:rsid w:val="00D5243B"/>
    <w:rsid w:val="00D5331A"/>
    <w:rsid w:val="00D533EC"/>
    <w:rsid w:val="00D5627C"/>
    <w:rsid w:val="00D56A19"/>
    <w:rsid w:val="00D56A95"/>
    <w:rsid w:val="00D6221A"/>
    <w:rsid w:val="00D624F7"/>
    <w:rsid w:val="00D637CC"/>
    <w:rsid w:val="00D66F92"/>
    <w:rsid w:val="00D70F16"/>
    <w:rsid w:val="00D718F3"/>
    <w:rsid w:val="00D72F57"/>
    <w:rsid w:val="00D733CF"/>
    <w:rsid w:val="00D73E0F"/>
    <w:rsid w:val="00D75701"/>
    <w:rsid w:val="00D75B87"/>
    <w:rsid w:val="00D76A44"/>
    <w:rsid w:val="00D76BCD"/>
    <w:rsid w:val="00D80938"/>
    <w:rsid w:val="00D815EF"/>
    <w:rsid w:val="00D81F26"/>
    <w:rsid w:val="00D834CD"/>
    <w:rsid w:val="00D8378C"/>
    <w:rsid w:val="00D86231"/>
    <w:rsid w:val="00D86373"/>
    <w:rsid w:val="00D86539"/>
    <w:rsid w:val="00D87C7F"/>
    <w:rsid w:val="00D90935"/>
    <w:rsid w:val="00D9144A"/>
    <w:rsid w:val="00D91923"/>
    <w:rsid w:val="00D93753"/>
    <w:rsid w:val="00D93F3C"/>
    <w:rsid w:val="00D94441"/>
    <w:rsid w:val="00D9564A"/>
    <w:rsid w:val="00DA0C0E"/>
    <w:rsid w:val="00DA0FFE"/>
    <w:rsid w:val="00DA1863"/>
    <w:rsid w:val="00DA1B95"/>
    <w:rsid w:val="00DA237F"/>
    <w:rsid w:val="00DA2A67"/>
    <w:rsid w:val="00DA30C1"/>
    <w:rsid w:val="00DA3167"/>
    <w:rsid w:val="00DA406A"/>
    <w:rsid w:val="00DA4BEB"/>
    <w:rsid w:val="00DA4D38"/>
    <w:rsid w:val="00DA4DC3"/>
    <w:rsid w:val="00DA5BBB"/>
    <w:rsid w:val="00DA5DED"/>
    <w:rsid w:val="00DA6277"/>
    <w:rsid w:val="00DA77A5"/>
    <w:rsid w:val="00DB2113"/>
    <w:rsid w:val="00DB254E"/>
    <w:rsid w:val="00DB3CC0"/>
    <w:rsid w:val="00DB3DBF"/>
    <w:rsid w:val="00DB484F"/>
    <w:rsid w:val="00DB7F37"/>
    <w:rsid w:val="00DC04F6"/>
    <w:rsid w:val="00DC0690"/>
    <w:rsid w:val="00DC14DF"/>
    <w:rsid w:val="00DC1553"/>
    <w:rsid w:val="00DC15A5"/>
    <w:rsid w:val="00DC1D65"/>
    <w:rsid w:val="00DC3272"/>
    <w:rsid w:val="00DC3C57"/>
    <w:rsid w:val="00DC4387"/>
    <w:rsid w:val="00DC5501"/>
    <w:rsid w:val="00DC7154"/>
    <w:rsid w:val="00DC7E8A"/>
    <w:rsid w:val="00DD0435"/>
    <w:rsid w:val="00DD0991"/>
    <w:rsid w:val="00DD0F78"/>
    <w:rsid w:val="00DD273C"/>
    <w:rsid w:val="00DD3ACC"/>
    <w:rsid w:val="00DD3B2A"/>
    <w:rsid w:val="00DD3E98"/>
    <w:rsid w:val="00DD3F28"/>
    <w:rsid w:val="00DD4537"/>
    <w:rsid w:val="00DD4E15"/>
    <w:rsid w:val="00DD5375"/>
    <w:rsid w:val="00DE11DA"/>
    <w:rsid w:val="00DE1940"/>
    <w:rsid w:val="00DE2304"/>
    <w:rsid w:val="00DE3138"/>
    <w:rsid w:val="00DE37F8"/>
    <w:rsid w:val="00DE4FCB"/>
    <w:rsid w:val="00DE5D07"/>
    <w:rsid w:val="00DE6934"/>
    <w:rsid w:val="00DE695F"/>
    <w:rsid w:val="00DE72A7"/>
    <w:rsid w:val="00DE7832"/>
    <w:rsid w:val="00DF18FC"/>
    <w:rsid w:val="00DF1EBC"/>
    <w:rsid w:val="00DF330E"/>
    <w:rsid w:val="00DF576D"/>
    <w:rsid w:val="00DF5853"/>
    <w:rsid w:val="00DF5D2B"/>
    <w:rsid w:val="00E0017A"/>
    <w:rsid w:val="00E0038F"/>
    <w:rsid w:val="00E00E8E"/>
    <w:rsid w:val="00E01ECA"/>
    <w:rsid w:val="00E01ED6"/>
    <w:rsid w:val="00E02233"/>
    <w:rsid w:val="00E02C28"/>
    <w:rsid w:val="00E032B5"/>
    <w:rsid w:val="00E03420"/>
    <w:rsid w:val="00E03BA8"/>
    <w:rsid w:val="00E03EDB"/>
    <w:rsid w:val="00E05630"/>
    <w:rsid w:val="00E0575A"/>
    <w:rsid w:val="00E05E86"/>
    <w:rsid w:val="00E06DBB"/>
    <w:rsid w:val="00E07197"/>
    <w:rsid w:val="00E100DA"/>
    <w:rsid w:val="00E10149"/>
    <w:rsid w:val="00E11340"/>
    <w:rsid w:val="00E11EFC"/>
    <w:rsid w:val="00E122A1"/>
    <w:rsid w:val="00E147AC"/>
    <w:rsid w:val="00E149B2"/>
    <w:rsid w:val="00E1566F"/>
    <w:rsid w:val="00E156AB"/>
    <w:rsid w:val="00E16372"/>
    <w:rsid w:val="00E17444"/>
    <w:rsid w:val="00E208AC"/>
    <w:rsid w:val="00E20E4D"/>
    <w:rsid w:val="00E20ED6"/>
    <w:rsid w:val="00E21358"/>
    <w:rsid w:val="00E21971"/>
    <w:rsid w:val="00E2249B"/>
    <w:rsid w:val="00E22A0D"/>
    <w:rsid w:val="00E238F3"/>
    <w:rsid w:val="00E244F6"/>
    <w:rsid w:val="00E24929"/>
    <w:rsid w:val="00E26498"/>
    <w:rsid w:val="00E2771E"/>
    <w:rsid w:val="00E27C88"/>
    <w:rsid w:val="00E308C2"/>
    <w:rsid w:val="00E30F7B"/>
    <w:rsid w:val="00E311EF"/>
    <w:rsid w:val="00E3155D"/>
    <w:rsid w:val="00E32180"/>
    <w:rsid w:val="00E334B6"/>
    <w:rsid w:val="00E34948"/>
    <w:rsid w:val="00E349E3"/>
    <w:rsid w:val="00E3664C"/>
    <w:rsid w:val="00E37569"/>
    <w:rsid w:val="00E37EA6"/>
    <w:rsid w:val="00E401B2"/>
    <w:rsid w:val="00E40549"/>
    <w:rsid w:val="00E40CB1"/>
    <w:rsid w:val="00E41503"/>
    <w:rsid w:val="00E41E30"/>
    <w:rsid w:val="00E422AA"/>
    <w:rsid w:val="00E42F73"/>
    <w:rsid w:val="00E42F9C"/>
    <w:rsid w:val="00E43A17"/>
    <w:rsid w:val="00E43D70"/>
    <w:rsid w:val="00E43DD9"/>
    <w:rsid w:val="00E466F3"/>
    <w:rsid w:val="00E4703E"/>
    <w:rsid w:val="00E47B2C"/>
    <w:rsid w:val="00E51560"/>
    <w:rsid w:val="00E51699"/>
    <w:rsid w:val="00E516FC"/>
    <w:rsid w:val="00E52DA2"/>
    <w:rsid w:val="00E53FC8"/>
    <w:rsid w:val="00E54347"/>
    <w:rsid w:val="00E5505A"/>
    <w:rsid w:val="00E55424"/>
    <w:rsid w:val="00E55915"/>
    <w:rsid w:val="00E55BB5"/>
    <w:rsid w:val="00E56152"/>
    <w:rsid w:val="00E60249"/>
    <w:rsid w:val="00E6153A"/>
    <w:rsid w:val="00E623E0"/>
    <w:rsid w:val="00E64A88"/>
    <w:rsid w:val="00E65894"/>
    <w:rsid w:val="00E659A3"/>
    <w:rsid w:val="00E65E79"/>
    <w:rsid w:val="00E66567"/>
    <w:rsid w:val="00E666EC"/>
    <w:rsid w:val="00E66BA2"/>
    <w:rsid w:val="00E6716F"/>
    <w:rsid w:val="00E67416"/>
    <w:rsid w:val="00E67B5B"/>
    <w:rsid w:val="00E717B1"/>
    <w:rsid w:val="00E718B6"/>
    <w:rsid w:val="00E722B9"/>
    <w:rsid w:val="00E723BA"/>
    <w:rsid w:val="00E72C32"/>
    <w:rsid w:val="00E72DE3"/>
    <w:rsid w:val="00E72E84"/>
    <w:rsid w:val="00E73581"/>
    <w:rsid w:val="00E7436C"/>
    <w:rsid w:val="00E74F8D"/>
    <w:rsid w:val="00E752D7"/>
    <w:rsid w:val="00E7716E"/>
    <w:rsid w:val="00E775FA"/>
    <w:rsid w:val="00E818F5"/>
    <w:rsid w:val="00E833F7"/>
    <w:rsid w:val="00E83BDF"/>
    <w:rsid w:val="00E8528D"/>
    <w:rsid w:val="00E868FA"/>
    <w:rsid w:val="00E87A1D"/>
    <w:rsid w:val="00E9094A"/>
    <w:rsid w:val="00E911AA"/>
    <w:rsid w:val="00E91D35"/>
    <w:rsid w:val="00E923C5"/>
    <w:rsid w:val="00E926A5"/>
    <w:rsid w:val="00E92D6A"/>
    <w:rsid w:val="00E9450B"/>
    <w:rsid w:val="00E947BD"/>
    <w:rsid w:val="00E95173"/>
    <w:rsid w:val="00E970ED"/>
    <w:rsid w:val="00E976B1"/>
    <w:rsid w:val="00E97BCF"/>
    <w:rsid w:val="00EA0C92"/>
    <w:rsid w:val="00EA17C3"/>
    <w:rsid w:val="00EA20B8"/>
    <w:rsid w:val="00EA2CAA"/>
    <w:rsid w:val="00EA3864"/>
    <w:rsid w:val="00EA435E"/>
    <w:rsid w:val="00EA4F35"/>
    <w:rsid w:val="00EA7811"/>
    <w:rsid w:val="00EA7F1C"/>
    <w:rsid w:val="00EB00BE"/>
    <w:rsid w:val="00EB15B6"/>
    <w:rsid w:val="00EB307A"/>
    <w:rsid w:val="00EB3D06"/>
    <w:rsid w:val="00EB4916"/>
    <w:rsid w:val="00EB51A0"/>
    <w:rsid w:val="00EB5963"/>
    <w:rsid w:val="00EB5988"/>
    <w:rsid w:val="00EB6A8A"/>
    <w:rsid w:val="00EC00C9"/>
    <w:rsid w:val="00EC0DD9"/>
    <w:rsid w:val="00EC1B6C"/>
    <w:rsid w:val="00EC25B7"/>
    <w:rsid w:val="00EC2649"/>
    <w:rsid w:val="00EC2ABE"/>
    <w:rsid w:val="00EC31ED"/>
    <w:rsid w:val="00EC3D76"/>
    <w:rsid w:val="00EC3EDA"/>
    <w:rsid w:val="00EC541E"/>
    <w:rsid w:val="00EC5836"/>
    <w:rsid w:val="00EC5C99"/>
    <w:rsid w:val="00EC5E77"/>
    <w:rsid w:val="00EC688C"/>
    <w:rsid w:val="00ED0C48"/>
    <w:rsid w:val="00ED14E9"/>
    <w:rsid w:val="00ED1768"/>
    <w:rsid w:val="00ED57EA"/>
    <w:rsid w:val="00ED5BD4"/>
    <w:rsid w:val="00ED60B6"/>
    <w:rsid w:val="00EE07D3"/>
    <w:rsid w:val="00EE0F42"/>
    <w:rsid w:val="00EE1996"/>
    <w:rsid w:val="00EE19A4"/>
    <w:rsid w:val="00EE1C01"/>
    <w:rsid w:val="00EE22AF"/>
    <w:rsid w:val="00EE309C"/>
    <w:rsid w:val="00EE4394"/>
    <w:rsid w:val="00EE4E75"/>
    <w:rsid w:val="00EE7B05"/>
    <w:rsid w:val="00EF0171"/>
    <w:rsid w:val="00EF1B25"/>
    <w:rsid w:val="00EF1DA0"/>
    <w:rsid w:val="00EF229A"/>
    <w:rsid w:val="00EF32E8"/>
    <w:rsid w:val="00EF4747"/>
    <w:rsid w:val="00EF4BF8"/>
    <w:rsid w:val="00EF5532"/>
    <w:rsid w:val="00EF6401"/>
    <w:rsid w:val="00F009C2"/>
    <w:rsid w:val="00F02253"/>
    <w:rsid w:val="00F03C2E"/>
    <w:rsid w:val="00F0458E"/>
    <w:rsid w:val="00F04A66"/>
    <w:rsid w:val="00F04B4B"/>
    <w:rsid w:val="00F0516C"/>
    <w:rsid w:val="00F067A2"/>
    <w:rsid w:val="00F07058"/>
    <w:rsid w:val="00F07B9E"/>
    <w:rsid w:val="00F10D38"/>
    <w:rsid w:val="00F10F18"/>
    <w:rsid w:val="00F1116F"/>
    <w:rsid w:val="00F11A36"/>
    <w:rsid w:val="00F11F3A"/>
    <w:rsid w:val="00F1263A"/>
    <w:rsid w:val="00F130E7"/>
    <w:rsid w:val="00F14E1D"/>
    <w:rsid w:val="00F15164"/>
    <w:rsid w:val="00F15855"/>
    <w:rsid w:val="00F15B77"/>
    <w:rsid w:val="00F16617"/>
    <w:rsid w:val="00F169E0"/>
    <w:rsid w:val="00F16B5F"/>
    <w:rsid w:val="00F21997"/>
    <w:rsid w:val="00F2251C"/>
    <w:rsid w:val="00F239D4"/>
    <w:rsid w:val="00F24837"/>
    <w:rsid w:val="00F2575F"/>
    <w:rsid w:val="00F259B6"/>
    <w:rsid w:val="00F26BE0"/>
    <w:rsid w:val="00F27565"/>
    <w:rsid w:val="00F310D4"/>
    <w:rsid w:val="00F31D5A"/>
    <w:rsid w:val="00F33975"/>
    <w:rsid w:val="00F33DE9"/>
    <w:rsid w:val="00F35E6D"/>
    <w:rsid w:val="00F3619A"/>
    <w:rsid w:val="00F40770"/>
    <w:rsid w:val="00F40AAA"/>
    <w:rsid w:val="00F40BA7"/>
    <w:rsid w:val="00F40F9D"/>
    <w:rsid w:val="00F41145"/>
    <w:rsid w:val="00F4150F"/>
    <w:rsid w:val="00F41ACD"/>
    <w:rsid w:val="00F41DBF"/>
    <w:rsid w:val="00F42297"/>
    <w:rsid w:val="00F46CB6"/>
    <w:rsid w:val="00F4756D"/>
    <w:rsid w:val="00F47DE8"/>
    <w:rsid w:val="00F5002F"/>
    <w:rsid w:val="00F52BEC"/>
    <w:rsid w:val="00F52C17"/>
    <w:rsid w:val="00F54023"/>
    <w:rsid w:val="00F54124"/>
    <w:rsid w:val="00F542C1"/>
    <w:rsid w:val="00F55E73"/>
    <w:rsid w:val="00F55EDA"/>
    <w:rsid w:val="00F56C80"/>
    <w:rsid w:val="00F60092"/>
    <w:rsid w:val="00F60DF6"/>
    <w:rsid w:val="00F61C18"/>
    <w:rsid w:val="00F63002"/>
    <w:rsid w:val="00F63451"/>
    <w:rsid w:val="00F63B87"/>
    <w:rsid w:val="00F65F4B"/>
    <w:rsid w:val="00F67A69"/>
    <w:rsid w:val="00F67CD7"/>
    <w:rsid w:val="00F70BFF"/>
    <w:rsid w:val="00F70C9D"/>
    <w:rsid w:val="00F71C5B"/>
    <w:rsid w:val="00F74545"/>
    <w:rsid w:val="00F74C56"/>
    <w:rsid w:val="00F74CD9"/>
    <w:rsid w:val="00F75E6F"/>
    <w:rsid w:val="00F76906"/>
    <w:rsid w:val="00F8040B"/>
    <w:rsid w:val="00F80447"/>
    <w:rsid w:val="00F80A7B"/>
    <w:rsid w:val="00F80E5D"/>
    <w:rsid w:val="00F810E7"/>
    <w:rsid w:val="00F81E78"/>
    <w:rsid w:val="00F83B38"/>
    <w:rsid w:val="00F845B3"/>
    <w:rsid w:val="00F851CE"/>
    <w:rsid w:val="00F87432"/>
    <w:rsid w:val="00F90152"/>
    <w:rsid w:val="00F91219"/>
    <w:rsid w:val="00F92444"/>
    <w:rsid w:val="00F9393E"/>
    <w:rsid w:val="00F9612A"/>
    <w:rsid w:val="00F96200"/>
    <w:rsid w:val="00F96FD0"/>
    <w:rsid w:val="00F97A78"/>
    <w:rsid w:val="00FA0541"/>
    <w:rsid w:val="00FA0B20"/>
    <w:rsid w:val="00FA24E7"/>
    <w:rsid w:val="00FA4478"/>
    <w:rsid w:val="00FA5252"/>
    <w:rsid w:val="00FA5EE6"/>
    <w:rsid w:val="00FA75CC"/>
    <w:rsid w:val="00FA7956"/>
    <w:rsid w:val="00FA7E06"/>
    <w:rsid w:val="00FB2FBA"/>
    <w:rsid w:val="00FB2FCB"/>
    <w:rsid w:val="00FB38BA"/>
    <w:rsid w:val="00FB48C5"/>
    <w:rsid w:val="00FB5BCA"/>
    <w:rsid w:val="00FB6207"/>
    <w:rsid w:val="00FB74C0"/>
    <w:rsid w:val="00FB7C55"/>
    <w:rsid w:val="00FC0F83"/>
    <w:rsid w:val="00FC1074"/>
    <w:rsid w:val="00FC1884"/>
    <w:rsid w:val="00FC371D"/>
    <w:rsid w:val="00FC3C22"/>
    <w:rsid w:val="00FC47BA"/>
    <w:rsid w:val="00FC5A59"/>
    <w:rsid w:val="00FC5F0B"/>
    <w:rsid w:val="00FC6DA6"/>
    <w:rsid w:val="00FC7A61"/>
    <w:rsid w:val="00FD2100"/>
    <w:rsid w:val="00FD436C"/>
    <w:rsid w:val="00FD446D"/>
    <w:rsid w:val="00FD4F2C"/>
    <w:rsid w:val="00FD4FAE"/>
    <w:rsid w:val="00FD5626"/>
    <w:rsid w:val="00FD6394"/>
    <w:rsid w:val="00FD6B5E"/>
    <w:rsid w:val="00FE00F1"/>
    <w:rsid w:val="00FE0E6C"/>
    <w:rsid w:val="00FE1B43"/>
    <w:rsid w:val="00FE1CDC"/>
    <w:rsid w:val="00FE70C3"/>
    <w:rsid w:val="00FF0E58"/>
    <w:rsid w:val="00FF14F6"/>
    <w:rsid w:val="00FF272A"/>
    <w:rsid w:val="00FF277F"/>
    <w:rsid w:val="00FF2AD9"/>
    <w:rsid w:val="00FF331A"/>
    <w:rsid w:val="00FF359F"/>
    <w:rsid w:val="00FF3DCF"/>
    <w:rsid w:val="00FF492C"/>
    <w:rsid w:val="00FF4A21"/>
    <w:rsid w:val="00FF4CB3"/>
    <w:rsid w:val="00FF53D4"/>
    <w:rsid w:val="00FF5AA3"/>
    <w:rsid w:val="00FF5AD8"/>
    <w:rsid w:val="00FF72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B5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5EF"/>
    <w:pPr>
      <w:jc w:val="both"/>
    </w:pPr>
    <w:rPr>
      <w:rFonts w:ascii="Calibri" w:hAnsi="Calibri" w:cs="Arial"/>
      <w:sz w:val="24"/>
      <w:szCs w:val="24"/>
    </w:rPr>
  </w:style>
  <w:style w:type="paragraph" w:styleId="Heading1">
    <w:name w:val="heading 1"/>
    <w:aliases w:val="Char Char Char Char Char Char,Char Char Char Char Char Char Char,Char Char Char Char Char Char Char Char Char Char Char Char Char,Heading 1 Char1,Heading 1 Char2 Char,Heading 1 Char Char Char Char1,Heading 1 Char1 Char Char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uiPriority w:val="9"/>
    <w:qFormat/>
    <w:rsid w:val="00124A51"/>
    <w:pPr>
      <w:spacing w:before="240" w:after="60"/>
      <w:outlineLvl w:val="5"/>
    </w:pPr>
    <w:rPr>
      <w:b/>
      <w:bCs/>
      <w:i/>
    </w:rPr>
  </w:style>
  <w:style w:type="paragraph" w:styleId="Heading7">
    <w:name w:val="heading 7"/>
    <w:aliases w:val="Appendix Heading 2"/>
    <w:basedOn w:val="Normal"/>
    <w:next w:val="Normal"/>
    <w:link w:val="Heading7Char"/>
    <w:uiPriority w:val="9"/>
    <w:qFormat/>
    <w:rsid w:val="00124A51"/>
    <w:pPr>
      <w:keepNext/>
      <w:jc w:val="center"/>
      <w:outlineLvl w:val="6"/>
    </w:pPr>
    <w:rPr>
      <w:b/>
      <w:sz w:val="20"/>
    </w:rPr>
  </w:style>
  <w:style w:type="paragraph" w:styleId="Heading8">
    <w:name w:val="heading 8"/>
    <w:aliases w:val="Appendix Heading 3"/>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aliases w:val="Appendix Heading 2 Char"/>
    <w:basedOn w:val="DefaultParagraphFont"/>
    <w:link w:val="Heading7"/>
    <w:rsid w:val="00124A51"/>
    <w:rPr>
      <w:rFonts w:ascii="Arial" w:hAnsi="Arial"/>
      <w:b/>
      <w:snapToGrid w:val="0"/>
      <w:lang w:eastAsia="en-US"/>
    </w:rPr>
  </w:style>
  <w:style w:type="character" w:customStyle="1" w:styleId="Heading8Char">
    <w:name w:val="Heading 8 Char"/>
    <w:aliases w:val="Appendix Heading 3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nhideWhenUsed/>
    <w:qFormat/>
    <w:rsid w:val="00174A5F"/>
    <w:pPr>
      <w:keepNext/>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rsid w:val="00174A5F"/>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link w:val="BulletpointsChar"/>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99"/>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uiPriority w:val="99"/>
    <w:rsid w:val="00EE1996"/>
    <w:rPr>
      <w:rFonts w:ascii="Arial Narrow" w:eastAsiaTheme="majorEastAsia" w:hAnsi="Arial Narrow" w:cstheme="majorBidi"/>
      <w:bCs/>
      <w:szCs w:val="24"/>
    </w:rPr>
  </w:style>
  <w:style w:type="paragraph" w:styleId="FootnoteText">
    <w:name w:val="footnote text"/>
    <w:basedOn w:val="Normal"/>
    <w:link w:val="FootnoteTextChar"/>
    <w:unhideWhenUsed/>
    <w:rsid w:val="0027064C"/>
    <w:rPr>
      <w:sz w:val="20"/>
      <w:szCs w:val="20"/>
    </w:rPr>
  </w:style>
  <w:style w:type="character" w:customStyle="1" w:styleId="FootnoteTextChar">
    <w:name w:val="Footnote Text Char"/>
    <w:basedOn w:val="DefaultParagraphFont"/>
    <w:link w:val="FootnoteText"/>
    <w:rsid w:val="0027064C"/>
    <w:rPr>
      <w:rFonts w:ascii="Calibri" w:hAnsi="Calibri" w:cs="Arial"/>
    </w:rPr>
  </w:style>
  <w:style w:type="character" w:styleId="FootnoteReference">
    <w:name w:val="footnote reference"/>
    <w:basedOn w:val="DefaultParagraphFont"/>
    <w:unhideWhenUsed/>
    <w:rsid w:val="0027064C"/>
    <w:rPr>
      <w:vertAlign w:val="superscript"/>
    </w:rPr>
  </w:style>
  <w:style w:type="paragraph" w:customStyle="1" w:styleId="TableParagraph">
    <w:name w:val="Table Paragraph"/>
    <w:basedOn w:val="Normal"/>
    <w:uiPriority w:val="1"/>
    <w:qFormat/>
    <w:rsid w:val="004814C1"/>
    <w:pPr>
      <w:widowControl w:val="0"/>
      <w:jc w:val="left"/>
    </w:pPr>
    <w:rPr>
      <w:rFonts w:asciiTheme="minorHAnsi" w:eastAsiaTheme="minorHAnsi" w:hAnsiTheme="minorHAnsi" w:cstheme="minorBidi"/>
      <w:sz w:val="22"/>
      <w:szCs w:val="22"/>
      <w:lang w:val="en-US" w:eastAsia="en-US"/>
    </w:rPr>
  </w:style>
  <w:style w:type="paragraph" w:customStyle="1" w:styleId="Source">
    <w:name w:val="Source"/>
    <w:basedOn w:val="Normal"/>
    <w:uiPriority w:val="35"/>
    <w:qFormat/>
    <w:rsid w:val="00411CE9"/>
    <w:pPr>
      <w:tabs>
        <w:tab w:val="left" w:pos="284"/>
      </w:tabs>
      <w:spacing w:before="60" w:after="240" w:line="360" w:lineRule="auto"/>
      <w:contextualSpacing/>
      <w:jc w:val="left"/>
    </w:pPr>
    <w:rPr>
      <w:rFonts w:ascii="Arial" w:eastAsiaTheme="minorHAnsi" w:hAnsi="Arial" w:cstheme="minorBidi"/>
      <w:sz w:val="18"/>
      <w:szCs w:val="20"/>
      <w:lang w:eastAsia="en-US"/>
    </w:rPr>
  </w:style>
  <w:style w:type="table" w:styleId="ColorfulShading-Accent5">
    <w:name w:val="Colorful Shading Accent 5"/>
    <w:basedOn w:val="TableNormal"/>
    <w:uiPriority w:val="71"/>
    <w:rsid w:val="00282549"/>
    <w:rPr>
      <w:rFonts w:ascii="Arial" w:eastAsiaTheme="minorHAnsi" w:hAnsi="Arial" w:cstheme="minorBidi"/>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MSDAustralia">
    <w:name w:val="MSD Australia"/>
    <w:basedOn w:val="TableGrid"/>
    <w:uiPriority w:val="99"/>
    <w:rsid w:val="00282549"/>
    <w:pPr>
      <w:ind w:left="57" w:right="57"/>
    </w:pPr>
    <w:rPr>
      <w:rFonts w:ascii="Arial" w:eastAsiaTheme="minorHAnsi" w:hAnsi="Arial" w:cstheme="minorBidi"/>
      <w:lang w:eastAsia="en-US"/>
    </w:rPr>
    <w:tblPr>
      <w:tblBorders>
        <w:top w:val="single" w:sz="12" w:space="0" w:color="004540"/>
        <w:left w:val="none" w:sz="0" w:space="0" w:color="auto"/>
        <w:bottom w:val="single" w:sz="12" w:space="0" w:color="004540"/>
        <w:right w:val="none" w:sz="0" w:space="0" w:color="auto"/>
        <w:insideH w:val="single" w:sz="4" w:space="0" w:color="004540"/>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004540"/>
          <w:left w:val="nil"/>
          <w:bottom w:val="single" w:sz="12" w:space="0" w:color="004540"/>
          <w:right w:val="nil"/>
          <w:insideH w:val="nil"/>
          <w:insideV w:val="nil"/>
          <w:tl2br w:val="nil"/>
          <w:tr2bl w:val="nil"/>
        </w:tcBorders>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character" w:customStyle="1" w:styleId="Heading5Char">
    <w:name w:val="Heading 5 Char"/>
    <w:basedOn w:val="DefaultParagraphFont"/>
    <w:link w:val="Heading5"/>
    <w:rsid w:val="0067266B"/>
    <w:rPr>
      <w:rFonts w:ascii="Calibri" w:hAnsi="Calibri" w:cs="Arial"/>
      <w:b/>
      <w:bCs/>
      <w:iCs/>
      <w:sz w:val="26"/>
      <w:szCs w:val="26"/>
    </w:rPr>
  </w:style>
  <w:style w:type="table" w:customStyle="1" w:styleId="ASDTable1">
    <w:name w:val="ASD Table1"/>
    <w:basedOn w:val="TableNormal"/>
    <w:next w:val="TableGrid"/>
    <w:uiPriority w:val="59"/>
    <w:rsid w:val="00485403"/>
    <w:pPr>
      <w:spacing w:after="120" w:line="360" w:lineRule="auto"/>
      <w:ind w:right="57"/>
    </w:pPr>
    <w:rPr>
      <w:rFonts w:ascii="Arial" w:eastAsiaTheme="minorHAnsi" w:hAnsi="Arial" w:cstheme="minorBidi"/>
      <w:lang w:eastAsia="en-US"/>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tblPr/>
      <w:tcPr>
        <w:tcBorders>
          <w:top w:val="nil"/>
          <w:left w:val="nil"/>
          <w:bottom w:val="single" w:sz="12" w:space="0" w:color="4BACC6" w:themeColor="accent5"/>
          <w:right w:val="nil"/>
          <w:insideH w:val="nil"/>
          <w:insideV w:val="nil"/>
          <w:tl2br w:val="nil"/>
          <w:tr2bl w:val="nil"/>
        </w:tcBorders>
      </w:tcPr>
    </w:tblStylePr>
    <w:tblStylePr w:type="firstCol">
      <w:rPr>
        <w:b/>
      </w:rPr>
    </w:tblStylePr>
  </w:style>
  <w:style w:type="character" w:customStyle="1" w:styleId="cit">
    <w:name w:val="cit"/>
    <w:basedOn w:val="DefaultParagraphFont"/>
    <w:rsid w:val="00351B11"/>
  </w:style>
  <w:style w:type="character" w:customStyle="1" w:styleId="fm-vol-iss-date">
    <w:name w:val="fm-vol-iss-date"/>
    <w:basedOn w:val="DefaultParagraphFont"/>
    <w:rsid w:val="00351B11"/>
  </w:style>
  <w:style w:type="character" w:customStyle="1" w:styleId="doi">
    <w:name w:val="doi"/>
    <w:basedOn w:val="DefaultParagraphFont"/>
    <w:rsid w:val="00351B11"/>
  </w:style>
  <w:style w:type="character" w:customStyle="1" w:styleId="fm-citation-ids-label">
    <w:name w:val="fm-citation-ids-label"/>
    <w:basedOn w:val="DefaultParagraphFont"/>
    <w:rsid w:val="00351B11"/>
  </w:style>
  <w:style w:type="table" w:styleId="TableGridLight">
    <w:name w:val="Grid Table Light"/>
    <w:basedOn w:val="TableNormal"/>
    <w:uiPriority w:val="40"/>
    <w:rsid w:val="00C80C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xecSummTable1261">
    <w:name w:val="Exec Summ Table1261"/>
    <w:basedOn w:val="TableNormal"/>
    <w:uiPriority w:val="99"/>
    <w:rsid w:val="002307EC"/>
    <w:pPr>
      <w:ind w:left="57" w:right="57"/>
    </w:pPr>
    <w:rPr>
      <w:rFonts w:ascii="Arial" w:eastAsiaTheme="minorHAnsi" w:hAnsi="Arial" w:cstheme="minorBidi"/>
      <w:sz w:val="18"/>
      <w:lang w:bidi="th-TH"/>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TableGrid11">
    <w:name w:val="MSD Table Grid11"/>
    <w:basedOn w:val="TableNormal"/>
    <w:next w:val="TableGrid"/>
    <w:uiPriority w:val="59"/>
    <w:rsid w:val="00D505E0"/>
    <w:pPr>
      <w:spacing w:before="57" w:after="57" w:line="360" w:lineRule="auto"/>
      <w:ind w:left="108" w:right="108"/>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Number">
    <w:name w:val="List Number"/>
    <w:basedOn w:val="Normal"/>
    <w:uiPriority w:val="16"/>
    <w:qFormat/>
    <w:rsid w:val="00EB5963"/>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2">
    <w:name w:val="List Number 2"/>
    <w:aliases w:val="Char1"/>
    <w:basedOn w:val="Normal"/>
    <w:uiPriority w:val="16"/>
    <w:qFormat/>
    <w:rsid w:val="00EB5963"/>
    <w:pPr>
      <w:tabs>
        <w:tab w:val="num" w:pos="720"/>
      </w:tabs>
      <w:spacing w:after="240" w:line="360" w:lineRule="auto"/>
      <w:ind w:left="720" w:hanging="363"/>
      <w:jc w:val="left"/>
    </w:pPr>
    <w:rPr>
      <w:rFonts w:ascii="Arial" w:eastAsiaTheme="minorHAnsi" w:hAnsi="Arial" w:cstheme="minorBidi"/>
      <w:sz w:val="20"/>
      <w:szCs w:val="20"/>
      <w:lang w:eastAsia="en-US"/>
    </w:rPr>
  </w:style>
  <w:style w:type="numbering" w:customStyle="1" w:styleId="Lists">
    <w:name w:val="Lists"/>
    <w:uiPriority w:val="99"/>
    <w:rsid w:val="00EB5963"/>
    <w:pPr>
      <w:numPr>
        <w:numId w:val="9"/>
      </w:numPr>
    </w:pPr>
  </w:style>
  <w:style w:type="paragraph" w:styleId="ListNumber3">
    <w:name w:val="List Number 3"/>
    <w:aliases w:val="Char"/>
    <w:basedOn w:val="Normal"/>
    <w:uiPriority w:val="16"/>
    <w:qFormat/>
    <w:rsid w:val="00EB5963"/>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EB5963"/>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character" w:customStyle="1" w:styleId="BulletpointsChar">
    <w:name w:val="Bullet points Char"/>
    <w:basedOn w:val="ListParagraphChar"/>
    <w:link w:val="Bulletpoints"/>
    <w:rsid w:val="00EB5963"/>
    <w:rPr>
      <w:rFonts w:asciiTheme="minorHAnsi" w:hAnsiTheme="minorHAnsi" w:cs="Arial"/>
      <w:snapToGrid w:val="0"/>
      <w:sz w:val="24"/>
      <w:szCs w:val="24"/>
    </w:rPr>
  </w:style>
  <w:style w:type="table" w:customStyle="1" w:styleId="ExecSummTable101">
    <w:name w:val="Exec Summ Table101"/>
    <w:basedOn w:val="TableNormal"/>
    <w:uiPriority w:val="99"/>
    <w:rsid w:val="00EB5963"/>
    <w:pPr>
      <w:ind w:left="57" w:right="57"/>
    </w:pPr>
    <w:rPr>
      <w:rFonts w:ascii="Arial" w:eastAsiaTheme="minorHAnsi" w:hAnsi="Arial" w:cstheme="minorBidi"/>
      <w:sz w:val="18"/>
      <w:lang w:bidi="th-TH"/>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TableGrid7">
    <w:name w:val="MSD Table Grid7"/>
    <w:basedOn w:val="TableNormal"/>
    <w:next w:val="TableGrid"/>
    <w:uiPriority w:val="59"/>
    <w:rsid w:val="00EB5963"/>
    <w:pPr>
      <w:spacing w:before="57" w:after="57" w:line="360" w:lineRule="auto"/>
      <w:ind w:left="108" w:right="108"/>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ExecSummTable1011">
    <w:name w:val="Exec Summ Table1011"/>
    <w:basedOn w:val="TableNormal"/>
    <w:uiPriority w:val="99"/>
    <w:rsid w:val="00EB5963"/>
    <w:pPr>
      <w:ind w:left="57" w:right="57"/>
    </w:pPr>
    <w:rPr>
      <w:rFonts w:ascii="Arial" w:eastAsiaTheme="minorHAnsi" w:hAnsi="Arial" w:cstheme="minorBidi"/>
      <w:sz w:val="18"/>
      <w:lang w:bidi="th-TH"/>
    </w:rPr>
    <w:tblPr>
      <w:tblBorders>
        <w:bottom w:val="single" w:sz="12" w:space="0" w:color="4BACC6" w:themeColor="accent5"/>
        <w:insideH w:val="single" w:sz="4"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4">
    <w:name w:val="MSD Australia4"/>
    <w:basedOn w:val="TableGrid"/>
    <w:uiPriority w:val="99"/>
    <w:rsid w:val="00EB5963"/>
    <w:pPr>
      <w:ind w:left="57" w:right="57"/>
    </w:pPr>
    <w:rPr>
      <w:rFonts w:ascii="Arial" w:eastAsiaTheme="minorHAnsi" w:hAnsi="Arial" w:cstheme="minorBidi"/>
      <w:lang w:eastAsia="en-US"/>
    </w:rPr>
    <w:tblPr>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5">
    <w:name w:val="MSD Australia5"/>
    <w:basedOn w:val="TableGrid"/>
    <w:uiPriority w:val="99"/>
    <w:rsid w:val="00EB5963"/>
    <w:pPr>
      <w:ind w:left="57" w:right="57"/>
    </w:pPr>
    <w:rPr>
      <w:rFonts w:ascii="Arial" w:eastAsiaTheme="minorHAnsi" w:hAnsi="Arial" w:cstheme="minorBidi"/>
      <w:lang w:eastAsia="en-US"/>
    </w:rPr>
    <w:tblPr>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6">
    <w:name w:val="MSD Australia6"/>
    <w:basedOn w:val="TableGrid"/>
    <w:uiPriority w:val="99"/>
    <w:rsid w:val="00EB5963"/>
    <w:pPr>
      <w:ind w:left="57" w:right="57"/>
    </w:pPr>
    <w:rPr>
      <w:rFonts w:ascii="Arial" w:eastAsiaTheme="minorHAnsi" w:hAnsi="Arial" w:cstheme="minorBidi"/>
      <w:lang w:eastAsia="en-US"/>
    </w:rPr>
    <w:tblPr>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7">
    <w:name w:val="MSD Australia7"/>
    <w:basedOn w:val="TableGrid"/>
    <w:uiPriority w:val="99"/>
    <w:rsid w:val="00EB5963"/>
    <w:pPr>
      <w:ind w:left="57" w:right="57"/>
    </w:pPr>
    <w:rPr>
      <w:rFonts w:ascii="Arial" w:eastAsiaTheme="minorHAnsi" w:hAnsi="Arial" w:cstheme="minorBidi"/>
      <w:lang w:eastAsia="en-US"/>
    </w:rPr>
    <w:tblPr>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8">
    <w:name w:val="MSD Australia8"/>
    <w:basedOn w:val="TableGrid"/>
    <w:uiPriority w:val="99"/>
    <w:rsid w:val="00EB5963"/>
    <w:pPr>
      <w:ind w:left="57" w:right="57"/>
    </w:pPr>
    <w:rPr>
      <w:rFonts w:ascii="Arial" w:eastAsiaTheme="minorHAnsi" w:hAnsi="Arial" w:cstheme="minorBidi"/>
      <w:lang w:eastAsia="en-US"/>
    </w:rPr>
    <w:tblPr>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MSDAustralia9">
    <w:name w:val="MSD Australia9"/>
    <w:basedOn w:val="TableGrid"/>
    <w:uiPriority w:val="99"/>
    <w:rsid w:val="00EB5963"/>
    <w:pPr>
      <w:ind w:left="57" w:right="57"/>
    </w:pPr>
    <w:rPr>
      <w:rFonts w:ascii="Arial" w:eastAsiaTheme="minorHAnsi" w:hAnsi="Arial" w:cstheme="minorBidi"/>
      <w:lang w:eastAsia="en-US"/>
    </w:rPr>
    <w:tblPr>
      <w:tblBorders>
        <w:top w:val="single" w:sz="12" w:space="0" w:color="4BACC6" w:themeColor="accent5"/>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style>
  <w:style w:type="table" w:customStyle="1" w:styleId="AZTable1">
    <w:name w:val="AZ Table1"/>
    <w:basedOn w:val="TableNormal"/>
    <w:uiPriority w:val="99"/>
    <w:rsid w:val="00EB59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PartHeading">
    <w:name w:val="Part Heading"/>
    <w:basedOn w:val="Normal"/>
    <w:next w:val="Normal"/>
    <w:uiPriority w:val="7"/>
    <w:qFormat/>
    <w:rsid w:val="00EB5963"/>
    <w:pPr>
      <w:pageBreakBefore/>
      <w:spacing w:after="240" w:line="360" w:lineRule="auto"/>
      <w:jc w:val="left"/>
    </w:pPr>
    <w:rPr>
      <w:rFonts w:ascii="Arial" w:eastAsiaTheme="minorHAnsi" w:hAnsi="Arial" w:cstheme="minorBidi"/>
      <w:b/>
      <w:caps/>
      <w:sz w:val="40"/>
      <w:szCs w:val="20"/>
      <w:lang w:eastAsia="en-US"/>
    </w:rPr>
  </w:style>
  <w:style w:type="paragraph" w:customStyle="1" w:styleId="SubSectionHeading1">
    <w:name w:val="Sub Section Heading 1"/>
    <w:basedOn w:val="Heading1"/>
    <w:uiPriority w:val="8"/>
    <w:qFormat/>
    <w:rsid w:val="00EB5963"/>
    <w:pPr>
      <w:keepNext/>
      <w:spacing w:before="240" w:after="240" w:line="360" w:lineRule="auto"/>
      <w:ind w:left="0" w:firstLine="0"/>
      <w:jc w:val="left"/>
    </w:pPr>
    <w:rPr>
      <w:rFonts w:asciiTheme="majorHAnsi" w:eastAsiaTheme="majorEastAsia" w:hAnsiTheme="majorHAnsi" w:cstheme="majorBidi"/>
      <w:bCs/>
      <w:szCs w:val="28"/>
      <w:lang w:eastAsia="en-US"/>
    </w:rPr>
  </w:style>
  <w:style w:type="table" w:customStyle="1" w:styleId="MSDTableGrid12">
    <w:name w:val="MSD Table Grid12"/>
    <w:basedOn w:val="TableNormal"/>
    <w:next w:val="TableGrid"/>
    <w:uiPriority w:val="59"/>
    <w:rsid w:val="00EB5963"/>
    <w:pPr>
      <w:spacing w:before="57" w:after="57" w:line="360" w:lineRule="auto"/>
      <w:ind w:left="108" w:right="108"/>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OutlineHeading2">
    <w:name w:val="Outline Heading 2"/>
    <w:basedOn w:val="Normal"/>
    <w:link w:val="OutlineHeading2Char"/>
    <w:uiPriority w:val="3"/>
    <w:qFormat/>
    <w:rsid w:val="00020E05"/>
    <w:pPr>
      <w:keepNext/>
      <w:keepLines/>
      <w:spacing w:before="360" w:after="120"/>
      <w:jc w:val="left"/>
      <w:outlineLvl w:val="1"/>
    </w:pPr>
    <w:rPr>
      <w:rFonts w:asciiTheme="minorHAnsi" w:eastAsiaTheme="majorEastAsia" w:hAnsiTheme="minorHAnsi" w:cstheme="minorHAnsi"/>
      <w:b/>
      <w:i/>
      <w:snapToGrid w:val="0"/>
      <w:sz w:val="28"/>
      <w:szCs w:val="28"/>
      <w:lang w:eastAsia="en-US"/>
    </w:rPr>
  </w:style>
  <w:style w:type="character" w:customStyle="1" w:styleId="OutlineHeading2Char">
    <w:name w:val="Outline Heading 2 Char"/>
    <w:basedOn w:val="Heading2Char"/>
    <w:link w:val="OutlineHeading2"/>
    <w:uiPriority w:val="3"/>
    <w:rsid w:val="00020E05"/>
    <w:rPr>
      <w:rFonts w:asciiTheme="minorHAnsi" w:eastAsiaTheme="majorEastAsia" w:hAnsiTheme="minorHAnsi" w:cstheme="minorHAnsi"/>
      <w:b/>
      <w:i/>
      <w:snapToGrid w:val="0"/>
      <w:sz w:val="28"/>
      <w:szCs w:val="28"/>
      <w:lang w:eastAsia="en-US"/>
    </w:rPr>
  </w:style>
  <w:style w:type="paragraph" w:customStyle="1" w:styleId="SubHeading">
    <w:name w:val="Sub Heading"/>
    <w:basedOn w:val="Normal"/>
    <w:next w:val="Normal"/>
    <w:uiPriority w:val="9"/>
    <w:qFormat/>
    <w:rsid w:val="00E72E84"/>
    <w:pPr>
      <w:spacing w:before="360" w:line="360" w:lineRule="auto"/>
      <w:jc w:val="left"/>
    </w:pPr>
    <w:rPr>
      <w:rFonts w:ascii="Arial" w:eastAsiaTheme="minorHAnsi" w:hAnsi="Arial" w:cstheme="minorBidi"/>
      <w:b/>
      <w:sz w:val="20"/>
      <w:szCs w:val="20"/>
      <w:lang w:eastAsia="en-US"/>
    </w:rPr>
  </w:style>
  <w:style w:type="table" w:customStyle="1" w:styleId="Summarybox13">
    <w:name w:val="Summary box13"/>
    <w:basedOn w:val="TableNormal"/>
    <w:next w:val="TableGrid"/>
    <w:uiPriority w:val="59"/>
    <w:rsid w:val="00E72E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6">
    <w:name w:val="Summary box16"/>
    <w:basedOn w:val="TableNormal"/>
    <w:next w:val="TableGrid"/>
    <w:uiPriority w:val="59"/>
    <w:rsid w:val="00E72E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E72E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B0AEB"/>
    <w:pPr>
      <w:jc w:val="center"/>
    </w:pPr>
    <w:rPr>
      <w:rFonts w:cs="Calibri"/>
      <w:noProof/>
    </w:rPr>
  </w:style>
  <w:style w:type="character" w:customStyle="1" w:styleId="EndNoteBibliographyTitleChar">
    <w:name w:val="EndNote Bibliography Title Char"/>
    <w:basedOn w:val="3-BodyTextChar"/>
    <w:link w:val="EndNoteBibliographyTitle"/>
    <w:rsid w:val="008B0AEB"/>
    <w:rPr>
      <w:rFonts w:ascii="Calibri" w:hAnsi="Calibri" w:cs="Calibri"/>
      <w:noProof/>
      <w:snapToGrid/>
      <w:sz w:val="24"/>
      <w:szCs w:val="24"/>
    </w:rPr>
  </w:style>
  <w:style w:type="paragraph" w:customStyle="1" w:styleId="EndNoteBibliography">
    <w:name w:val="EndNote Bibliography"/>
    <w:basedOn w:val="Normal"/>
    <w:link w:val="EndNoteBibliographyChar"/>
    <w:rsid w:val="008B0AEB"/>
    <w:rPr>
      <w:rFonts w:cs="Calibri"/>
      <w:noProof/>
    </w:rPr>
  </w:style>
  <w:style w:type="character" w:customStyle="1" w:styleId="EndNoteBibliographyChar">
    <w:name w:val="EndNote Bibliography Char"/>
    <w:basedOn w:val="3-BodyTextChar"/>
    <w:link w:val="EndNoteBibliography"/>
    <w:rsid w:val="008B0AEB"/>
    <w:rPr>
      <w:rFonts w:ascii="Calibri" w:hAnsi="Calibri" w:cs="Calibri"/>
      <w:noProof/>
      <w:snapToGrid/>
      <w:sz w:val="24"/>
      <w:szCs w:val="24"/>
    </w:rPr>
  </w:style>
  <w:style w:type="paragraph" w:customStyle="1" w:styleId="Default">
    <w:name w:val="Default"/>
    <w:rsid w:val="00E238F3"/>
    <w:pPr>
      <w:autoSpaceDE w:val="0"/>
      <w:autoSpaceDN w:val="0"/>
      <w:adjustRightInd w:val="0"/>
    </w:pPr>
    <w:rPr>
      <w:rFonts w:ascii="Cambria" w:hAnsi="Cambria" w:cs="Cambria"/>
      <w:color w:val="000000"/>
      <w:sz w:val="24"/>
      <w:szCs w:val="24"/>
    </w:rPr>
  </w:style>
  <w:style w:type="paragraph" w:customStyle="1" w:styleId="ExecSumBodyText">
    <w:name w:val="Exec Sum Body Text"/>
    <w:basedOn w:val="Normal"/>
    <w:link w:val="ExecSumBodyTextChar"/>
    <w:qFormat/>
    <w:rsid w:val="00497AB5"/>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3B2F77"/>
    <w:rPr>
      <w:rFonts w:asciiTheme="minorHAnsi" w:hAnsiTheme="minorHAnsi" w:cs="Arial"/>
      <w:snapToGrid w:val="0"/>
      <w:sz w:val="24"/>
      <w:szCs w:val="24"/>
    </w:rPr>
  </w:style>
  <w:style w:type="character" w:customStyle="1" w:styleId="normaltextrun">
    <w:name w:val="normaltextrun"/>
    <w:basedOn w:val="DefaultParagraphFont"/>
    <w:rsid w:val="00637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149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8930238">
      <w:bodyDiv w:val="1"/>
      <w:marLeft w:val="0"/>
      <w:marRight w:val="0"/>
      <w:marTop w:val="0"/>
      <w:marBottom w:val="0"/>
      <w:divBdr>
        <w:top w:val="none" w:sz="0" w:space="0" w:color="auto"/>
        <w:left w:val="none" w:sz="0" w:space="0" w:color="auto"/>
        <w:bottom w:val="none" w:sz="0" w:space="0" w:color="auto"/>
        <w:right w:val="none" w:sz="0" w:space="0" w:color="auto"/>
      </w:divBdr>
    </w:div>
    <w:div w:id="226768596">
      <w:bodyDiv w:val="1"/>
      <w:marLeft w:val="0"/>
      <w:marRight w:val="0"/>
      <w:marTop w:val="0"/>
      <w:marBottom w:val="0"/>
      <w:divBdr>
        <w:top w:val="none" w:sz="0" w:space="0" w:color="auto"/>
        <w:left w:val="none" w:sz="0" w:space="0" w:color="auto"/>
        <w:bottom w:val="none" w:sz="0" w:space="0" w:color="auto"/>
        <w:right w:val="none" w:sz="0" w:space="0" w:color="auto"/>
      </w:divBdr>
    </w:div>
    <w:div w:id="22710882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69688786">
      <w:bodyDiv w:val="1"/>
      <w:marLeft w:val="0"/>
      <w:marRight w:val="0"/>
      <w:marTop w:val="0"/>
      <w:marBottom w:val="0"/>
      <w:divBdr>
        <w:top w:val="none" w:sz="0" w:space="0" w:color="auto"/>
        <w:left w:val="none" w:sz="0" w:space="0" w:color="auto"/>
        <w:bottom w:val="none" w:sz="0" w:space="0" w:color="auto"/>
        <w:right w:val="none" w:sz="0" w:space="0" w:color="auto"/>
      </w:divBdr>
    </w:div>
    <w:div w:id="1006057263">
      <w:bodyDiv w:val="1"/>
      <w:marLeft w:val="0"/>
      <w:marRight w:val="0"/>
      <w:marTop w:val="0"/>
      <w:marBottom w:val="0"/>
      <w:divBdr>
        <w:top w:val="none" w:sz="0" w:space="0" w:color="auto"/>
        <w:left w:val="none" w:sz="0" w:space="0" w:color="auto"/>
        <w:bottom w:val="none" w:sz="0" w:space="0" w:color="auto"/>
        <w:right w:val="none" w:sz="0" w:space="0" w:color="auto"/>
      </w:divBdr>
    </w:div>
    <w:div w:id="1043335382">
      <w:bodyDiv w:val="1"/>
      <w:marLeft w:val="0"/>
      <w:marRight w:val="0"/>
      <w:marTop w:val="0"/>
      <w:marBottom w:val="0"/>
      <w:divBdr>
        <w:top w:val="none" w:sz="0" w:space="0" w:color="auto"/>
        <w:left w:val="none" w:sz="0" w:space="0" w:color="auto"/>
        <w:bottom w:val="none" w:sz="0" w:space="0" w:color="auto"/>
        <w:right w:val="none" w:sz="0" w:space="0" w:color="auto"/>
      </w:divBdr>
    </w:div>
    <w:div w:id="114126544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86938">
      <w:bodyDiv w:val="1"/>
      <w:marLeft w:val="0"/>
      <w:marRight w:val="0"/>
      <w:marTop w:val="0"/>
      <w:marBottom w:val="0"/>
      <w:divBdr>
        <w:top w:val="none" w:sz="0" w:space="0" w:color="auto"/>
        <w:left w:val="none" w:sz="0" w:space="0" w:color="auto"/>
        <w:bottom w:val="none" w:sz="0" w:space="0" w:color="auto"/>
        <w:right w:val="none" w:sz="0" w:space="0" w:color="auto"/>
      </w:divBdr>
    </w:div>
    <w:div w:id="1363171579">
      <w:bodyDiv w:val="1"/>
      <w:marLeft w:val="0"/>
      <w:marRight w:val="0"/>
      <w:marTop w:val="0"/>
      <w:marBottom w:val="0"/>
      <w:divBdr>
        <w:top w:val="none" w:sz="0" w:space="0" w:color="auto"/>
        <w:left w:val="none" w:sz="0" w:space="0" w:color="auto"/>
        <w:bottom w:val="none" w:sz="0" w:space="0" w:color="auto"/>
        <w:right w:val="none" w:sz="0" w:space="0" w:color="auto"/>
      </w:divBdr>
      <w:divsChild>
        <w:div w:id="625282678">
          <w:marLeft w:val="0"/>
          <w:marRight w:val="0"/>
          <w:marTop w:val="0"/>
          <w:marBottom w:val="0"/>
          <w:divBdr>
            <w:top w:val="none" w:sz="0" w:space="0" w:color="auto"/>
            <w:left w:val="none" w:sz="0" w:space="0" w:color="auto"/>
            <w:bottom w:val="none" w:sz="0" w:space="0" w:color="auto"/>
            <w:right w:val="none" w:sz="0" w:space="0" w:color="auto"/>
          </w:divBdr>
          <w:divsChild>
            <w:div w:id="1482381049">
              <w:marLeft w:val="0"/>
              <w:marRight w:val="0"/>
              <w:marTop w:val="0"/>
              <w:marBottom w:val="0"/>
              <w:divBdr>
                <w:top w:val="none" w:sz="0" w:space="0" w:color="auto"/>
                <w:left w:val="none" w:sz="0" w:space="0" w:color="auto"/>
                <w:bottom w:val="none" w:sz="0" w:space="0" w:color="auto"/>
                <w:right w:val="none" w:sz="0" w:space="0" w:color="auto"/>
              </w:divBdr>
            </w:div>
          </w:divsChild>
        </w:div>
        <w:div w:id="2014988419">
          <w:marLeft w:val="0"/>
          <w:marRight w:val="0"/>
          <w:marTop w:val="0"/>
          <w:marBottom w:val="0"/>
          <w:divBdr>
            <w:top w:val="none" w:sz="0" w:space="0" w:color="auto"/>
            <w:left w:val="none" w:sz="0" w:space="0" w:color="auto"/>
            <w:bottom w:val="none" w:sz="0" w:space="0" w:color="auto"/>
            <w:right w:val="none" w:sz="0" w:space="0" w:color="auto"/>
          </w:divBdr>
          <w:divsChild>
            <w:div w:id="457340102">
              <w:marLeft w:val="0"/>
              <w:marRight w:val="0"/>
              <w:marTop w:val="0"/>
              <w:marBottom w:val="0"/>
              <w:divBdr>
                <w:top w:val="none" w:sz="0" w:space="0" w:color="auto"/>
                <w:left w:val="none" w:sz="0" w:space="0" w:color="auto"/>
                <w:bottom w:val="none" w:sz="0" w:space="0" w:color="auto"/>
                <w:right w:val="none" w:sz="0" w:space="0" w:color="auto"/>
              </w:divBdr>
              <w:divsChild>
                <w:div w:id="274142827">
                  <w:marLeft w:val="0"/>
                  <w:marRight w:val="0"/>
                  <w:marTop w:val="0"/>
                  <w:marBottom w:val="0"/>
                  <w:divBdr>
                    <w:top w:val="none" w:sz="0" w:space="0" w:color="auto"/>
                    <w:left w:val="none" w:sz="0" w:space="0" w:color="auto"/>
                    <w:bottom w:val="none" w:sz="0" w:space="0" w:color="auto"/>
                    <w:right w:val="none" w:sz="0" w:space="0" w:color="auto"/>
                  </w:divBdr>
                  <w:divsChild>
                    <w:div w:id="1430542829">
                      <w:marLeft w:val="0"/>
                      <w:marRight w:val="0"/>
                      <w:marTop w:val="0"/>
                      <w:marBottom w:val="0"/>
                      <w:divBdr>
                        <w:top w:val="none" w:sz="0" w:space="0" w:color="auto"/>
                        <w:left w:val="none" w:sz="0" w:space="0" w:color="auto"/>
                        <w:bottom w:val="none" w:sz="0" w:space="0" w:color="auto"/>
                        <w:right w:val="none" w:sz="0" w:space="0" w:color="auto"/>
                      </w:divBdr>
                    </w:div>
                    <w:div w:id="18815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7407">
              <w:marLeft w:val="0"/>
              <w:marRight w:val="0"/>
              <w:marTop w:val="0"/>
              <w:marBottom w:val="0"/>
              <w:divBdr>
                <w:top w:val="none" w:sz="0" w:space="0" w:color="auto"/>
                <w:left w:val="none" w:sz="0" w:space="0" w:color="auto"/>
                <w:bottom w:val="none" w:sz="0" w:space="0" w:color="auto"/>
                <w:right w:val="none" w:sz="0" w:space="0" w:color="auto"/>
              </w:divBdr>
              <w:divsChild>
                <w:div w:id="491482933">
                  <w:marLeft w:val="0"/>
                  <w:marRight w:val="0"/>
                  <w:marTop w:val="0"/>
                  <w:marBottom w:val="0"/>
                  <w:divBdr>
                    <w:top w:val="none" w:sz="0" w:space="0" w:color="auto"/>
                    <w:left w:val="none" w:sz="0" w:space="0" w:color="auto"/>
                    <w:bottom w:val="none" w:sz="0" w:space="0" w:color="auto"/>
                    <w:right w:val="none" w:sz="0" w:space="0" w:color="auto"/>
                  </w:divBdr>
                  <w:divsChild>
                    <w:div w:id="1412198585">
                      <w:marLeft w:val="0"/>
                      <w:marRight w:val="0"/>
                      <w:marTop w:val="0"/>
                      <w:marBottom w:val="0"/>
                      <w:divBdr>
                        <w:top w:val="none" w:sz="0" w:space="0" w:color="auto"/>
                        <w:left w:val="none" w:sz="0" w:space="0" w:color="auto"/>
                        <w:bottom w:val="none" w:sz="0" w:space="0" w:color="auto"/>
                        <w:right w:val="none" w:sz="0" w:space="0" w:color="auto"/>
                      </w:divBdr>
                    </w:div>
                    <w:div w:id="20635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92243">
      <w:bodyDiv w:val="1"/>
      <w:marLeft w:val="0"/>
      <w:marRight w:val="0"/>
      <w:marTop w:val="0"/>
      <w:marBottom w:val="0"/>
      <w:divBdr>
        <w:top w:val="none" w:sz="0" w:space="0" w:color="auto"/>
        <w:left w:val="none" w:sz="0" w:space="0" w:color="auto"/>
        <w:bottom w:val="none" w:sz="0" w:space="0" w:color="auto"/>
        <w:right w:val="none" w:sz="0" w:space="0" w:color="auto"/>
      </w:divBdr>
    </w:div>
    <w:div w:id="1417510032">
      <w:bodyDiv w:val="1"/>
      <w:marLeft w:val="0"/>
      <w:marRight w:val="0"/>
      <w:marTop w:val="0"/>
      <w:marBottom w:val="0"/>
      <w:divBdr>
        <w:top w:val="none" w:sz="0" w:space="0" w:color="auto"/>
        <w:left w:val="none" w:sz="0" w:space="0" w:color="auto"/>
        <w:bottom w:val="none" w:sz="0" w:space="0" w:color="auto"/>
        <w:right w:val="none" w:sz="0" w:space="0" w:color="auto"/>
      </w:divBdr>
      <w:divsChild>
        <w:div w:id="2054689090">
          <w:marLeft w:val="547"/>
          <w:marRight w:val="0"/>
          <w:marTop w:val="0"/>
          <w:marBottom w:val="0"/>
          <w:divBdr>
            <w:top w:val="none" w:sz="0" w:space="0" w:color="auto"/>
            <w:left w:val="none" w:sz="0" w:space="0" w:color="auto"/>
            <w:bottom w:val="none" w:sz="0" w:space="0" w:color="auto"/>
            <w:right w:val="none" w:sz="0" w:space="0" w:color="auto"/>
          </w:divBdr>
        </w:div>
        <w:div w:id="248201609">
          <w:marLeft w:val="547"/>
          <w:marRight w:val="0"/>
          <w:marTop w:val="0"/>
          <w:marBottom w:val="0"/>
          <w:divBdr>
            <w:top w:val="none" w:sz="0" w:space="0" w:color="auto"/>
            <w:left w:val="none" w:sz="0" w:space="0" w:color="auto"/>
            <w:bottom w:val="none" w:sz="0" w:space="0" w:color="auto"/>
            <w:right w:val="none" w:sz="0" w:space="0" w:color="auto"/>
          </w:divBdr>
        </w:div>
        <w:div w:id="1741318824">
          <w:marLeft w:val="547"/>
          <w:marRight w:val="0"/>
          <w:marTop w:val="0"/>
          <w:marBottom w:val="0"/>
          <w:divBdr>
            <w:top w:val="none" w:sz="0" w:space="0" w:color="auto"/>
            <w:left w:val="none" w:sz="0" w:space="0" w:color="auto"/>
            <w:bottom w:val="none" w:sz="0" w:space="0" w:color="auto"/>
            <w:right w:val="none" w:sz="0" w:space="0" w:color="auto"/>
          </w:divBdr>
        </w:div>
      </w:divsChild>
    </w:div>
    <w:div w:id="1423993914">
      <w:bodyDiv w:val="1"/>
      <w:marLeft w:val="0"/>
      <w:marRight w:val="0"/>
      <w:marTop w:val="0"/>
      <w:marBottom w:val="0"/>
      <w:divBdr>
        <w:top w:val="none" w:sz="0" w:space="0" w:color="auto"/>
        <w:left w:val="none" w:sz="0" w:space="0" w:color="auto"/>
        <w:bottom w:val="none" w:sz="0" w:space="0" w:color="auto"/>
        <w:right w:val="none" w:sz="0" w:space="0" w:color="auto"/>
      </w:divBdr>
    </w:div>
    <w:div w:id="159609053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9987337">
      <w:bodyDiv w:val="1"/>
      <w:marLeft w:val="0"/>
      <w:marRight w:val="0"/>
      <w:marTop w:val="0"/>
      <w:marBottom w:val="0"/>
      <w:divBdr>
        <w:top w:val="none" w:sz="0" w:space="0" w:color="auto"/>
        <w:left w:val="none" w:sz="0" w:space="0" w:color="auto"/>
        <w:bottom w:val="none" w:sz="0" w:space="0" w:color="auto"/>
        <w:right w:val="none" w:sz="0" w:space="0" w:color="auto"/>
      </w:divBdr>
    </w:div>
    <w:div w:id="2098214103">
      <w:bodyDiv w:val="1"/>
      <w:marLeft w:val="0"/>
      <w:marRight w:val="0"/>
      <w:marTop w:val="0"/>
      <w:marBottom w:val="0"/>
      <w:divBdr>
        <w:top w:val="none" w:sz="0" w:space="0" w:color="auto"/>
        <w:left w:val="none" w:sz="0" w:space="0" w:color="auto"/>
        <w:bottom w:val="none" w:sz="0" w:space="0" w:color="auto"/>
        <w:right w:val="none" w:sz="0" w:space="0" w:color="auto"/>
      </w:divBdr>
    </w:div>
    <w:div w:id="210595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2903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954CF-58C4-40B7-A842-01E85EE0C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14933</Words>
  <Characters>85400</Characters>
  <Application>Microsoft Office Word</Application>
  <DocSecurity>0</DocSecurity>
  <Lines>711</Lines>
  <Paragraphs>200</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6.09	PEMBROLIZUMAB, Solution concentration for I.V. infusion, 100 mg in 4 mL, Ke</vt:lpstr>
      <vt:lpstr>Purpose of submission</vt:lpstr>
      <vt:lpstr>Background</vt:lpstr>
      <vt:lpstr>    Registration status</vt:lpstr>
      <vt:lpstr>    Previous PBAC consideration</vt:lpstr>
      <vt:lpstr>Requested listing</vt:lpstr>
      <vt:lpstr>Population and disease</vt:lpstr>
      <vt:lpstr>Comparator</vt:lpstr>
      <vt:lpstr>Consideration of the evidence</vt:lpstr>
      <vt:lpstr>    Sponsor hearing</vt:lpstr>
      <vt:lpstr>    Consumer comments</vt:lpstr>
      <vt:lpstr>    Clinical trials</vt:lpstr>
      <vt:lpstr>    Comparative effectiveness</vt:lpstr>
      <vt:lpstr>    Comparative harms</vt:lpstr>
      <vt:lpstr>    Benefits/harms</vt:lpstr>
      <vt:lpstr>    Clinical claim</vt:lpstr>
      <vt:lpstr>    Economic analysis </vt:lpstr>
      <vt:lpstr>    Drug cost/patient/course</vt:lpstr>
      <vt:lpstr>    Estimated PBS usage &amp; financial implications</vt:lpstr>
      <vt:lpstr>    Quality Use of Medicines</vt:lpstr>
      <vt:lpstr>    Financial Management – Risk Sharing Arrangements</vt:lpstr>
      <vt:lpstr>PBAC outcome</vt:lpstr>
      <vt:lpstr>Recommended listing</vt:lpstr>
      <vt:lpstr>Context for Decision</vt:lpstr>
      <vt:lpstr>Sponsor’s Comment</vt:lpstr>
      <vt:lpstr>MSD is pleased that Australian colorectal cancer patients with deficient mismatc</vt:lpstr>
    </vt:vector>
  </TitlesOfParts>
  <Company/>
  <LinksUpToDate>false</LinksUpToDate>
  <CharactersWithSpaces>100133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2021-06-30T05:40:00Z</dcterms:created>
  <dcterms:modified xsi:type="dcterms:W3CDTF">2021-06-30T05:45:00Z</dcterms:modified>
</cp:coreProperties>
</file>