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B23" w:rsidRPr="00B24C99" w:rsidRDefault="0029288D" w:rsidP="00C74101">
      <w:pPr>
        <w:pStyle w:val="1-MainHeading"/>
        <w:spacing w:before="0" w:after="0"/>
        <w:outlineLvl w:val="9"/>
        <w:rPr>
          <w:sz w:val="32"/>
          <w:szCs w:val="32"/>
        </w:rPr>
      </w:pPr>
      <w:bookmarkStart w:id="0" w:name="_Toc62036348"/>
      <w:r w:rsidRPr="00B24C99">
        <w:t>6.07</w:t>
      </w:r>
      <w:r w:rsidR="00163F66" w:rsidRPr="00B24C99">
        <w:tab/>
      </w:r>
      <w:r w:rsidR="00264B23" w:rsidRPr="00B24C99">
        <w:t>NIVOLUMAB PLUS IPILIMUMAB</w:t>
      </w:r>
      <w:r w:rsidR="00163F66" w:rsidRPr="00B24C99">
        <w:t>,</w:t>
      </w:r>
      <w:r w:rsidR="00163F66" w:rsidRPr="00B24C99">
        <w:br/>
      </w:r>
      <w:r w:rsidR="00264B23" w:rsidRPr="00B24C99">
        <w:rPr>
          <w:sz w:val="32"/>
          <w:szCs w:val="32"/>
        </w:rPr>
        <w:t>Nivolumab</w:t>
      </w:r>
      <w:r w:rsidR="00630BD8" w:rsidRPr="00B24C99">
        <w:rPr>
          <w:sz w:val="32"/>
          <w:szCs w:val="32"/>
        </w:rPr>
        <w:t>,</w:t>
      </w:r>
      <w:bookmarkEnd w:id="0"/>
    </w:p>
    <w:p w:rsidR="00630BD8" w:rsidRPr="00B24C99" w:rsidRDefault="00264B23" w:rsidP="005715A2">
      <w:pPr>
        <w:pStyle w:val="1-MainHeading"/>
        <w:spacing w:before="0" w:after="0"/>
        <w:ind w:firstLine="0"/>
        <w:outlineLvl w:val="9"/>
        <w:rPr>
          <w:sz w:val="32"/>
          <w:szCs w:val="32"/>
        </w:rPr>
      </w:pPr>
      <w:bookmarkStart w:id="1" w:name="_Toc62036349"/>
      <w:r w:rsidRPr="00B24C99">
        <w:rPr>
          <w:sz w:val="32"/>
          <w:szCs w:val="32"/>
        </w:rPr>
        <w:t xml:space="preserve">Injection concentrate </w:t>
      </w:r>
      <w:r w:rsidR="00630BD8" w:rsidRPr="00B24C99">
        <w:rPr>
          <w:sz w:val="32"/>
          <w:szCs w:val="32"/>
        </w:rPr>
        <w:t>for I.V. infusion 40 mg in 4 mL,</w:t>
      </w:r>
      <w:bookmarkEnd w:id="1"/>
    </w:p>
    <w:p w:rsidR="00264B23" w:rsidRPr="00B24C99" w:rsidRDefault="00264B23" w:rsidP="005715A2">
      <w:pPr>
        <w:pStyle w:val="1-MainHeading"/>
        <w:spacing w:before="0" w:after="0"/>
        <w:ind w:firstLine="0"/>
        <w:outlineLvl w:val="9"/>
        <w:rPr>
          <w:sz w:val="32"/>
          <w:szCs w:val="32"/>
        </w:rPr>
      </w:pPr>
      <w:bookmarkStart w:id="2" w:name="_Toc62036350"/>
      <w:r w:rsidRPr="00B24C99">
        <w:rPr>
          <w:sz w:val="32"/>
          <w:szCs w:val="32"/>
        </w:rPr>
        <w:t>Injection concentrate for I.V. infusion 100 mg in 10 mL</w:t>
      </w:r>
      <w:r w:rsidR="00630BD8" w:rsidRPr="00B24C99">
        <w:rPr>
          <w:sz w:val="32"/>
          <w:szCs w:val="32"/>
        </w:rPr>
        <w:t>,</w:t>
      </w:r>
      <w:bookmarkEnd w:id="2"/>
    </w:p>
    <w:p w:rsidR="00264B23" w:rsidRPr="00B24C99" w:rsidRDefault="00264B23" w:rsidP="005715A2">
      <w:pPr>
        <w:pStyle w:val="1-MainHeading"/>
        <w:spacing w:before="0" w:after="0"/>
        <w:ind w:firstLine="0"/>
        <w:outlineLvl w:val="9"/>
        <w:rPr>
          <w:sz w:val="32"/>
          <w:szCs w:val="32"/>
        </w:rPr>
      </w:pPr>
      <w:bookmarkStart w:id="3" w:name="_Toc62036351"/>
      <w:r w:rsidRPr="00B24C99">
        <w:rPr>
          <w:sz w:val="32"/>
          <w:szCs w:val="32"/>
        </w:rPr>
        <w:t>Opdivo®</w:t>
      </w:r>
      <w:r w:rsidR="00163F66" w:rsidRPr="00B24C99">
        <w:rPr>
          <w:sz w:val="32"/>
          <w:szCs w:val="32"/>
        </w:rPr>
        <w:t>,</w:t>
      </w:r>
      <w:r w:rsidR="00163F66" w:rsidRPr="00B24C99">
        <w:rPr>
          <w:sz w:val="32"/>
          <w:szCs w:val="32"/>
        </w:rPr>
        <w:br/>
      </w:r>
      <w:bookmarkStart w:id="4" w:name="_Toc51147782"/>
      <w:r w:rsidRPr="00B24C99">
        <w:rPr>
          <w:sz w:val="32"/>
          <w:szCs w:val="32"/>
        </w:rPr>
        <w:t>Ipilimumab</w:t>
      </w:r>
      <w:bookmarkEnd w:id="4"/>
      <w:r w:rsidR="00630BD8" w:rsidRPr="00B24C99">
        <w:rPr>
          <w:sz w:val="32"/>
          <w:szCs w:val="32"/>
        </w:rPr>
        <w:t>,</w:t>
      </w:r>
      <w:bookmarkEnd w:id="3"/>
    </w:p>
    <w:p w:rsidR="00264B23" w:rsidRPr="00B24C99" w:rsidRDefault="00264B23" w:rsidP="005715A2">
      <w:pPr>
        <w:pStyle w:val="1-MainHeading"/>
        <w:spacing w:before="0" w:after="0"/>
        <w:ind w:firstLine="0"/>
        <w:outlineLvl w:val="9"/>
        <w:rPr>
          <w:sz w:val="32"/>
          <w:szCs w:val="32"/>
        </w:rPr>
      </w:pPr>
      <w:bookmarkStart w:id="5" w:name="_Toc51147783"/>
      <w:bookmarkStart w:id="6" w:name="_Toc62036352"/>
      <w:r w:rsidRPr="00B24C99">
        <w:rPr>
          <w:sz w:val="32"/>
          <w:szCs w:val="32"/>
        </w:rPr>
        <w:t>Injection concentrate for I.V. infusion 50 mg in 10 mL</w:t>
      </w:r>
      <w:r w:rsidR="00630BD8" w:rsidRPr="00B24C99">
        <w:rPr>
          <w:sz w:val="32"/>
          <w:szCs w:val="32"/>
        </w:rPr>
        <w:t>,</w:t>
      </w:r>
      <w:r w:rsidRPr="00B24C99">
        <w:rPr>
          <w:sz w:val="32"/>
          <w:szCs w:val="32"/>
        </w:rPr>
        <w:t xml:space="preserve"> Yervoy®</w:t>
      </w:r>
      <w:bookmarkEnd w:id="5"/>
      <w:r w:rsidR="00630BD8" w:rsidRPr="00B24C99">
        <w:rPr>
          <w:sz w:val="32"/>
          <w:szCs w:val="32"/>
        </w:rPr>
        <w:t>,</w:t>
      </w:r>
      <w:bookmarkEnd w:id="6"/>
    </w:p>
    <w:p w:rsidR="00264B23" w:rsidRPr="00B24C99" w:rsidRDefault="00264B23" w:rsidP="005715A2">
      <w:pPr>
        <w:pStyle w:val="1-MainHeading"/>
        <w:ind w:firstLine="0"/>
        <w:outlineLvl w:val="9"/>
        <w:rPr>
          <w:sz w:val="32"/>
          <w:szCs w:val="32"/>
        </w:rPr>
      </w:pPr>
      <w:bookmarkStart w:id="7" w:name="_Toc40417023"/>
      <w:bookmarkStart w:id="8" w:name="_Toc51147784"/>
      <w:bookmarkStart w:id="9" w:name="_Toc62036353"/>
      <w:r w:rsidRPr="00B24C99">
        <w:rPr>
          <w:sz w:val="32"/>
          <w:szCs w:val="32"/>
        </w:rPr>
        <w:t>Bristol-Myers Squibb Australia Pty Ltd</w:t>
      </w:r>
      <w:bookmarkEnd w:id="7"/>
      <w:bookmarkEnd w:id="8"/>
      <w:bookmarkEnd w:id="9"/>
    </w:p>
    <w:p w:rsidR="00B50DB8" w:rsidRPr="00B24C99" w:rsidRDefault="00B50DB8" w:rsidP="004A6040">
      <w:pPr>
        <w:pStyle w:val="2-SectionHeading"/>
      </w:pPr>
      <w:bookmarkStart w:id="10" w:name="_Toc62036355"/>
      <w:r w:rsidRPr="00B24C99">
        <w:t xml:space="preserve">Purpose of </w:t>
      </w:r>
      <w:r w:rsidR="00CD7193" w:rsidRPr="00B24C99">
        <w:t>s</w:t>
      </w:r>
      <w:r w:rsidR="00BB3A45" w:rsidRPr="00B24C99">
        <w:t>ubmission</w:t>
      </w:r>
      <w:bookmarkEnd w:id="10"/>
    </w:p>
    <w:p w:rsidR="002C2775" w:rsidRPr="00B24C99" w:rsidRDefault="007170DA" w:rsidP="00E82662">
      <w:pPr>
        <w:pStyle w:val="3-BodyText"/>
      </w:pPr>
      <w:r w:rsidRPr="00B24C99">
        <w:t xml:space="preserve">The submission requested </w:t>
      </w:r>
      <w:r w:rsidR="00DF2E85" w:rsidRPr="00B24C99">
        <w:t xml:space="preserve">a </w:t>
      </w:r>
      <w:r w:rsidR="008B1757" w:rsidRPr="00B24C99">
        <w:t>Section 100</w:t>
      </w:r>
      <w:r w:rsidR="00DF2E85" w:rsidRPr="00B24C99">
        <w:t xml:space="preserve"> (Efficient Funding of Chemotherapy)</w:t>
      </w:r>
      <w:r w:rsidR="008B1757" w:rsidRPr="00B24C99">
        <w:t xml:space="preserve"> listing for </w:t>
      </w:r>
      <w:r w:rsidR="00571BDA" w:rsidRPr="00B24C99">
        <w:t>nivolumab plus ipilimumab (herein referred to as NIVO+IPI)</w:t>
      </w:r>
      <w:r w:rsidR="008B1757" w:rsidRPr="00B24C99">
        <w:t xml:space="preserve"> for </w:t>
      </w:r>
      <w:r w:rsidR="0050174E" w:rsidRPr="00B24C99">
        <w:t xml:space="preserve">the </w:t>
      </w:r>
      <w:r w:rsidR="008B1757" w:rsidRPr="00B24C99">
        <w:t xml:space="preserve">treatment of </w:t>
      </w:r>
      <w:r w:rsidR="00571BDA" w:rsidRPr="00B24C99">
        <w:t>unresectable malignant pleural mesothelioma (MPM). NIVO+IPI is currently PBS listed for malignant melanoma and renal cell carcinoma</w:t>
      </w:r>
      <w:r w:rsidR="00B96F46" w:rsidRPr="00B24C99">
        <w:t xml:space="preserve"> (RCC)</w:t>
      </w:r>
      <w:r w:rsidR="00B42484" w:rsidRPr="00B24C99">
        <w:t>.</w:t>
      </w:r>
      <w:r w:rsidR="00571BDA" w:rsidRPr="00B24C99">
        <w:t xml:space="preserve"> </w:t>
      </w:r>
      <w:r w:rsidR="00620256" w:rsidRPr="00B24C99">
        <w:t>This was</w:t>
      </w:r>
      <w:r w:rsidR="00B96F46" w:rsidRPr="00B24C99">
        <w:t xml:space="preserve"> the first PBAC consideration of NIVO+IPI for MPM.</w:t>
      </w:r>
    </w:p>
    <w:p w:rsidR="00C2778B" w:rsidRPr="00B24C99" w:rsidRDefault="005750C5" w:rsidP="00DB7F32">
      <w:pPr>
        <w:pStyle w:val="3-BodyText"/>
        <w:rPr>
          <w:i/>
        </w:rPr>
      </w:pPr>
      <w:r w:rsidRPr="00B24C99">
        <w:t>Listing was requested on the basis of a cost</w:t>
      </w:r>
      <w:r w:rsidR="00F30C7E" w:rsidRPr="00B24C99">
        <w:t xml:space="preserve">-utility </w:t>
      </w:r>
      <w:r w:rsidRPr="00B24C99">
        <w:t xml:space="preserve">analysis versus </w:t>
      </w:r>
      <w:r w:rsidR="00F30C7E" w:rsidRPr="00B24C99">
        <w:t>pemetrexed plus cisplatin or pemetrexed plus carboplatin (herein referred to as</w:t>
      </w:r>
      <w:r w:rsidR="0045664C" w:rsidRPr="00B24C99">
        <w:t xml:space="preserve"> pemetrexed-based</w:t>
      </w:r>
      <w:r w:rsidR="00F30C7E" w:rsidRPr="00B24C99">
        <w:t xml:space="preserve"> chemotherapy) in the first-line setting</w:t>
      </w:r>
      <w:r w:rsidR="00AD7DF7" w:rsidRPr="00B24C99">
        <w:t xml:space="preserve"> (Table 1)</w:t>
      </w:r>
      <w:r w:rsidRPr="00B24C99">
        <w:t>.</w:t>
      </w:r>
      <w:r w:rsidR="00F30C7E" w:rsidRPr="00B24C99">
        <w:t xml:space="preserve"> The submission did not provide an economic evaluation for the use of NIVO+IPI in the </w:t>
      </w:r>
      <w:bookmarkStart w:id="11" w:name="_Hlk61106379"/>
      <w:r w:rsidR="00F30C7E" w:rsidRPr="00B24C99">
        <w:t>second- or later-line setting</w:t>
      </w:r>
      <w:bookmarkEnd w:id="11"/>
      <w:r w:rsidR="00B24C99">
        <w:t xml:space="preserve">. </w:t>
      </w:r>
      <w:r w:rsidR="00DB7F32" w:rsidRPr="00B24C99">
        <w:t>The ESC considered the economic evaluation presented (in the first-line setting) was not generalisable to the second- or later-line setting, and the ICER was likely to be higher in that setting</w:t>
      </w:r>
      <w:r w:rsidR="00B24C99">
        <w:t xml:space="preserve">. </w:t>
      </w:r>
    </w:p>
    <w:p w:rsidR="00F30C7E" w:rsidRPr="00B24C99" w:rsidRDefault="00F30C7E" w:rsidP="00F30C7E">
      <w:pPr>
        <w:pStyle w:val="TableFigureHeading"/>
        <w:rPr>
          <w:rStyle w:val="CommentReference"/>
        </w:rPr>
      </w:pPr>
      <w:r w:rsidRPr="00B24C99">
        <w:rPr>
          <w:rStyle w:val="CommentReference"/>
          <w:b/>
        </w:rPr>
        <w:t>Table 1: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890"/>
      </w:tblGrid>
      <w:tr w:rsidR="00F30C7E" w:rsidRPr="00B24C99" w:rsidTr="00AD7DF7">
        <w:tc>
          <w:tcPr>
            <w:tcW w:w="617" w:type="pct"/>
            <w:vAlign w:val="center"/>
          </w:tcPr>
          <w:p w:rsidR="00F30C7E" w:rsidRPr="00B24C99" w:rsidRDefault="00F30C7E" w:rsidP="00F30C7E">
            <w:pPr>
              <w:pStyle w:val="In-tableHeading"/>
              <w:rPr>
                <w:szCs w:val="20"/>
                <w:lang w:val="en-AU"/>
              </w:rPr>
            </w:pPr>
            <w:r w:rsidRPr="00B24C99">
              <w:rPr>
                <w:szCs w:val="20"/>
                <w:lang w:val="en-AU"/>
              </w:rPr>
              <w:t>Component</w:t>
            </w:r>
          </w:p>
        </w:tc>
        <w:tc>
          <w:tcPr>
            <w:tcW w:w="4383" w:type="pct"/>
            <w:vAlign w:val="center"/>
          </w:tcPr>
          <w:p w:rsidR="00F30C7E" w:rsidRPr="00B24C99" w:rsidRDefault="00F30C7E" w:rsidP="00F30C7E">
            <w:pPr>
              <w:pStyle w:val="In-tableHeading"/>
              <w:rPr>
                <w:szCs w:val="20"/>
                <w:lang w:val="en-AU"/>
              </w:rPr>
            </w:pPr>
            <w:r w:rsidRPr="00B24C99">
              <w:rPr>
                <w:szCs w:val="20"/>
                <w:lang w:val="en-AU"/>
              </w:rPr>
              <w:t>Description</w:t>
            </w:r>
          </w:p>
        </w:tc>
      </w:tr>
      <w:tr w:rsidR="00F30C7E" w:rsidRPr="00B24C99" w:rsidTr="00AD7DF7">
        <w:tc>
          <w:tcPr>
            <w:tcW w:w="617" w:type="pct"/>
            <w:vAlign w:val="center"/>
          </w:tcPr>
          <w:p w:rsidR="00F30C7E" w:rsidRPr="00B24C99" w:rsidRDefault="00F30C7E" w:rsidP="00F30C7E">
            <w:pPr>
              <w:pStyle w:val="TableText0"/>
              <w:rPr>
                <w:szCs w:val="20"/>
              </w:rPr>
            </w:pPr>
            <w:r w:rsidRPr="00B24C99">
              <w:rPr>
                <w:szCs w:val="20"/>
              </w:rPr>
              <w:t>Population</w:t>
            </w:r>
          </w:p>
        </w:tc>
        <w:tc>
          <w:tcPr>
            <w:tcW w:w="4383" w:type="pct"/>
          </w:tcPr>
          <w:p w:rsidR="00F30C7E" w:rsidRPr="00B24C99" w:rsidRDefault="00F30C7E" w:rsidP="00F30C7E">
            <w:pPr>
              <w:rPr>
                <w:rFonts w:ascii="Arial Narrow" w:hAnsi="Arial Narrow"/>
                <w:sz w:val="20"/>
                <w:szCs w:val="20"/>
              </w:rPr>
            </w:pPr>
            <w:r w:rsidRPr="00B24C99">
              <w:rPr>
                <w:rFonts w:ascii="Arial Narrow" w:hAnsi="Arial Narrow"/>
                <w:sz w:val="20"/>
                <w:szCs w:val="20"/>
              </w:rPr>
              <w:t>Patients with unresectable malignant pleural mesothelioma</w:t>
            </w:r>
          </w:p>
        </w:tc>
      </w:tr>
      <w:tr w:rsidR="00F30C7E" w:rsidRPr="00B24C99" w:rsidTr="00AD7DF7">
        <w:tc>
          <w:tcPr>
            <w:tcW w:w="617" w:type="pct"/>
            <w:vAlign w:val="center"/>
          </w:tcPr>
          <w:p w:rsidR="00F30C7E" w:rsidRPr="00B24C99" w:rsidRDefault="00F30C7E" w:rsidP="00F30C7E">
            <w:pPr>
              <w:pStyle w:val="TableText0"/>
              <w:rPr>
                <w:szCs w:val="20"/>
              </w:rPr>
            </w:pPr>
            <w:r w:rsidRPr="00B24C99">
              <w:rPr>
                <w:szCs w:val="20"/>
              </w:rPr>
              <w:t>Intervention</w:t>
            </w:r>
          </w:p>
        </w:tc>
        <w:tc>
          <w:tcPr>
            <w:tcW w:w="4383" w:type="pct"/>
          </w:tcPr>
          <w:p w:rsidR="00F30C7E" w:rsidRPr="00B24C99" w:rsidRDefault="00F30C7E" w:rsidP="00F30C7E">
            <w:pPr>
              <w:rPr>
                <w:rFonts w:ascii="Arial Narrow" w:hAnsi="Arial Narrow"/>
                <w:sz w:val="20"/>
                <w:szCs w:val="20"/>
              </w:rPr>
            </w:pPr>
            <w:r w:rsidRPr="00B24C99">
              <w:rPr>
                <w:rFonts w:ascii="Arial Narrow" w:hAnsi="Arial Narrow"/>
                <w:sz w:val="20"/>
                <w:szCs w:val="20"/>
              </w:rPr>
              <w:t>Nivolumab plus ipilimumab</w:t>
            </w:r>
          </w:p>
        </w:tc>
      </w:tr>
      <w:tr w:rsidR="00F30C7E" w:rsidRPr="00B24C99" w:rsidTr="00AD7DF7">
        <w:tc>
          <w:tcPr>
            <w:tcW w:w="617" w:type="pct"/>
            <w:vAlign w:val="center"/>
          </w:tcPr>
          <w:p w:rsidR="00F30C7E" w:rsidRPr="00B24C99" w:rsidRDefault="00F30C7E" w:rsidP="00F30C7E">
            <w:pPr>
              <w:pStyle w:val="TableText0"/>
              <w:rPr>
                <w:szCs w:val="20"/>
              </w:rPr>
            </w:pPr>
            <w:r w:rsidRPr="00B24C99">
              <w:rPr>
                <w:szCs w:val="20"/>
              </w:rPr>
              <w:t>Comparator</w:t>
            </w:r>
          </w:p>
        </w:tc>
        <w:tc>
          <w:tcPr>
            <w:tcW w:w="4383" w:type="pct"/>
          </w:tcPr>
          <w:p w:rsidR="00F30C7E" w:rsidRPr="00B24C99" w:rsidRDefault="00F30C7E" w:rsidP="00F30C7E">
            <w:pPr>
              <w:rPr>
                <w:rFonts w:ascii="Arial Narrow" w:hAnsi="Arial Narrow"/>
                <w:sz w:val="20"/>
                <w:szCs w:val="20"/>
              </w:rPr>
            </w:pPr>
            <w:r w:rsidRPr="00B24C99">
              <w:rPr>
                <w:rFonts w:ascii="Arial Narrow" w:hAnsi="Arial Narrow"/>
                <w:sz w:val="20"/>
                <w:szCs w:val="20"/>
              </w:rPr>
              <w:t>Main comparator: pemetrexed-based chemotherapy in the first-line setting. Supplementary comparator: best supportive care (including pemetrexed rechallenge) in the second-line setting</w:t>
            </w:r>
          </w:p>
        </w:tc>
      </w:tr>
      <w:tr w:rsidR="00F30C7E" w:rsidRPr="00B24C99" w:rsidTr="00AD7DF7">
        <w:tc>
          <w:tcPr>
            <w:tcW w:w="617" w:type="pct"/>
            <w:vAlign w:val="center"/>
          </w:tcPr>
          <w:p w:rsidR="00F30C7E" w:rsidRPr="00B24C99" w:rsidRDefault="00F30C7E" w:rsidP="00F30C7E">
            <w:pPr>
              <w:pStyle w:val="TableText0"/>
              <w:rPr>
                <w:szCs w:val="20"/>
              </w:rPr>
            </w:pPr>
            <w:r w:rsidRPr="00B24C99">
              <w:rPr>
                <w:szCs w:val="20"/>
              </w:rPr>
              <w:t>Outcomes</w:t>
            </w:r>
          </w:p>
        </w:tc>
        <w:tc>
          <w:tcPr>
            <w:tcW w:w="4383" w:type="pct"/>
          </w:tcPr>
          <w:p w:rsidR="00F30C7E" w:rsidRPr="00B24C99" w:rsidRDefault="00F30C7E" w:rsidP="00F30C7E">
            <w:pPr>
              <w:rPr>
                <w:rFonts w:ascii="Arial Narrow" w:hAnsi="Arial Narrow"/>
                <w:sz w:val="20"/>
                <w:szCs w:val="20"/>
              </w:rPr>
            </w:pPr>
            <w:r w:rsidRPr="00B24C99">
              <w:rPr>
                <w:rFonts w:ascii="Arial Narrow" w:hAnsi="Arial Narrow"/>
                <w:sz w:val="20"/>
                <w:szCs w:val="20"/>
              </w:rPr>
              <w:t>Overall survival, progression-free survival, objective response rate, duration of response, health-related quality of life, rate and nature of adverse events.</w:t>
            </w:r>
          </w:p>
        </w:tc>
      </w:tr>
      <w:tr w:rsidR="00F30C7E" w:rsidRPr="00B24C99" w:rsidTr="00AD7DF7">
        <w:tc>
          <w:tcPr>
            <w:tcW w:w="617" w:type="pct"/>
            <w:vAlign w:val="center"/>
          </w:tcPr>
          <w:p w:rsidR="00F30C7E" w:rsidRPr="00B24C99" w:rsidRDefault="00F30C7E" w:rsidP="00F30C7E">
            <w:pPr>
              <w:pStyle w:val="TableText0"/>
              <w:rPr>
                <w:szCs w:val="20"/>
              </w:rPr>
            </w:pPr>
            <w:r w:rsidRPr="00B24C99">
              <w:rPr>
                <w:szCs w:val="20"/>
              </w:rPr>
              <w:t>Clinical claim</w:t>
            </w:r>
          </w:p>
        </w:tc>
        <w:tc>
          <w:tcPr>
            <w:tcW w:w="4383" w:type="pct"/>
          </w:tcPr>
          <w:p w:rsidR="00F30C7E" w:rsidRPr="00B24C99" w:rsidRDefault="00F30C7E" w:rsidP="009737D9">
            <w:pPr>
              <w:rPr>
                <w:rFonts w:ascii="Arial Narrow" w:hAnsi="Arial Narrow"/>
                <w:sz w:val="20"/>
                <w:szCs w:val="20"/>
              </w:rPr>
            </w:pPr>
            <w:r w:rsidRPr="00B24C99">
              <w:rPr>
                <w:rFonts w:ascii="Arial Narrow" w:hAnsi="Arial Narrow"/>
                <w:sz w:val="20"/>
                <w:szCs w:val="20"/>
              </w:rPr>
              <w:t>Superior in terms of efficacy with a different and non-inferior safety profile compared with pemetrexed-based chemotherapy.</w:t>
            </w:r>
            <w:r w:rsidR="009737D9" w:rsidRPr="00B24C99">
              <w:rPr>
                <w:rFonts w:ascii="Arial Narrow" w:hAnsi="Arial Narrow"/>
                <w:sz w:val="20"/>
                <w:szCs w:val="20"/>
              </w:rPr>
              <w:t xml:space="preserve"> </w:t>
            </w:r>
            <w:r w:rsidRPr="00B24C99">
              <w:rPr>
                <w:rFonts w:ascii="Arial Narrow" w:hAnsi="Arial Narrow"/>
                <w:sz w:val="20"/>
                <w:szCs w:val="20"/>
              </w:rPr>
              <w:t>Superior in terms of efficacy with a different and non-inferior safety profile compared with best supportive care.</w:t>
            </w:r>
          </w:p>
        </w:tc>
      </w:tr>
    </w:tbl>
    <w:p w:rsidR="00F30C7E" w:rsidRPr="00B24C99" w:rsidRDefault="00F30C7E" w:rsidP="00F30C7E">
      <w:pPr>
        <w:pStyle w:val="TableFigureFooter"/>
      </w:pPr>
      <w:r w:rsidRPr="00B24C99">
        <w:t>Source: Table 1, p17 of the submission.</w:t>
      </w:r>
    </w:p>
    <w:p w:rsidR="00F30C7E" w:rsidRPr="00B24C99" w:rsidRDefault="00F30C7E" w:rsidP="004A6040">
      <w:pPr>
        <w:pStyle w:val="TableFigureFooter"/>
        <w:rPr>
          <w:sz w:val="20"/>
        </w:rPr>
      </w:pPr>
    </w:p>
    <w:p w:rsidR="005C25FF" w:rsidRPr="00B24C99" w:rsidRDefault="005C25FF" w:rsidP="004A6040">
      <w:pPr>
        <w:pStyle w:val="2-SectionHeading"/>
      </w:pPr>
      <w:bookmarkStart w:id="12" w:name="_Toc62036356"/>
      <w:r w:rsidRPr="00B24C99">
        <w:t>Background</w:t>
      </w:r>
      <w:bookmarkEnd w:id="12"/>
    </w:p>
    <w:p w:rsidR="005C25FF" w:rsidRPr="00B24C99" w:rsidRDefault="005C25FF" w:rsidP="004A6040">
      <w:pPr>
        <w:pStyle w:val="4-SubsectionHeading"/>
      </w:pPr>
      <w:bookmarkStart w:id="13" w:name="_Toc22897638"/>
      <w:bookmarkStart w:id="14" w:name="_Toc62036357"/>
      <w:r w:rsidRPr="00B24C99">
        <w:t>Registration status</w:t>
      </w:r>
      <w:bookmarkEnd w:id="13"/>
      <w:bookmarkEnd w:id="14"/>
    </w:p>
    <w:p w:rsidR="00755084" w:rsidRPr="00B24C99" w:rsidRDefault="00755084" w:rsidP="008E351A">
      <w:pPr>
        <w:pStyle w:val="3-BodyText"/>
      </w:pPr>
      <w:r w:rsidRPr="00B24C99">
        <w:rPr>
          <w:rFonts w:ascii="Calibri" w:eastAsia="Calibri" w:hAnsi="Calibri"/>
          <w:b/>
          <w:szCs w:val="22"/>
        </w:rPr>
        <w:t xml:space="preserve">TGA status at time of </w:t>
      </w:r>
      <w:r w:rsidR="0008607F" w:rsidRPr="00B24C99">
        <w:rPr>
          <w:rFonts w:ascii="Calibri" w:eastAsia="Calibri" w:hAnsi="Calibri"/>
          <w:b/>
          <w:szCs w:val="22"/>
        </w:rPr>
        <w:t>PBAC consideration</w:t>
      </w:r>
      <w:r w:rsidRPr="00B24C99">
        <w:rPr>
          <w:rFonts w:ascii="Calibri" w:eastAsia="Calibri" w:hAnsi="Calibri"/>
          <w:szCs w:val="22"/>
        </w:rPr>
        <w:t xml:space="preserve">: </w:t>
      </w:r>
      <w:r w:rsidR="006F2E94" w:rsidRPr="00E853CB">
        <w:rPr>
          <w:rFonts w:ascii="Calibri" w:eastAsia="Calibri" w:hAnsi="Calibri"/>
          <w:szCs w:val="22"/>
        </w:rPr>
        <w:t>not registered.</w:t>
      </w:r>
      <w:r w:rsidR="006F2E94" w:rsidRPr="00B24C99">
        <w:rPr>
          <w:rFonts w:ascii="Calibri" w:eastAsia="Calibri" w:hAnsi="Calibri"/>
          <w:szCs w:val="22"/>
        </w:rPr>
        <w:t xml:space="preserve"> </w:t>
      </w:r>
    </w:p>
    <w:p w:rsidR="008E351A" w:rsidRPr="00B24C99" w:rsidRDefault="00F30C7E" w:rsidP="008E351A">
      <w:pPr>
        <w:pStyle w:val="3-BodyText"/>
      </w:pPr>
      <w:r w:rsidRPr="00B24C99">
        <w:lastRenderedPageBreak/>
        <w:t xml:space="preserve">The submission was made under the parallel TGA/PBAC process for the first-line setting. </w:t>
      </w:r>
      <w:r w:rsidR="008E351A" w:rsidRPr="00B24C99">
        <w:t>No TGA registration was sought for use in the second- or later-line setting. The submission stated that a priority review designation has been granted for the TGA assessment of NIVO+IPI</w:t>
      </w:r>
      <w:r w:rsidR="0008607F" w:rsidRPr="00B24C99">
        <w:t xml:space="preserve">. The TGA Delegate’s Overview was received prior to the PBAC meeting and </w:t>
      </w:r>
      <w:r w:rsidR="00B63F33" w:rsidRPr="00B24C99">
        <w:t xml:space="preserve">the </w:t>
      </w:r>
      <w:r w:rsidR="0008607F" w:rsidRPr="00B24C99">
        <w:t xml:space="preserve">Delegate was supportive of registering nivolumab and ipilimumab for the following indications:  </w:t>
      </w:r>
    </w:p>
    <w:p w:rsidR="008E351A" w:rsidRPr="00B24C99" w:rsidRDefault="008E351A" w:rsidP="008E351A">
      <w:pPr>
        <w:pStyle w:val="3-BodyText"/>
        <w:numPr>
          <w:ilvl w:val="0"/>
          <w:numId w:val="0"/>
        </w:numPr>
        <w:ind w:left="720"/>
      </w:pPr>
      <w:r w:rsidRPr="00B24C99">
        <w:t>“(Nivolumab), in combination with ipilimumab, is indicated for the first-line treatment of patients with unresectable malignant pleural mesothelioma.</w:t>
      </w:r>
    </w:p>
    <w:p w:rsidR="00F30C7E" w:rsidRPr="00B24C99" w:rsidRDefault="008E351A" w:rsidP="008E351A">
      <w:pPr>
        <w:pStyle w:val="3-BodyText"/>
        <w:numPr>
          <w:ilvl w:val="0"/>
          <w:numId w:val="0"/>
        </w:numPr>
        <w:ind w:left="720"/>
      </w:pPr>
      <w:r w:rsidRPr="00B24C99">
        <w:t>(Ipilimumab), in combination with nivolumab, is indicated for the first-line treatment of patients with unresectable malignant pleural mesothelioma.”</w:t>
      </w:r>
    </w:p>
    <w:p w:rsidR="00AD2792" w:rsidRPr="00B24C99" w:rsidRDefault="00AD2792" w:rsidP="004E18E9">
      <w:pPr>
        <w:pStyle w:val="3-BodyText"/>
      </w:pPr>
      <w:r w:rsidRPr="00B24C99">
        <w:t>NIVO+IPI</w:t>
      </w:r>
      <w:r w:rsidR="00B63F33" w:rsidRPr="00B24C99">
        <w:t xml:space="preserve"> </w:t>
      </w:r>
      <w:r w:rsidR="008A7EEB" w:rsidRPr="00B24C99">
        <w:t xml:space="preserve">was </w:t>
      </w:r>
      <w:r w:rsidRPr="00B24C99">
        <w:t>assessed under “Project Orbis” using the FDA Assessment Aid</w:t>
      </w:r>
      <w:r w:rsidR="008A7EEB" w:rsidRPr="00B24C99">
        <w:t xml:space="preserve"> and </w:t>
      </w:r>
      <w:r w:rsidRPr="00B24C99">
        <w:t xml:space="preserve">no TGA </w:t>
      </w:r>
      <w:r w:rsidR="008A7EEB" w:rsidRPr="00B24C99">
        <w:t xml:space="preserve">clinical </w:t>
      </w:r>
      <w:r w:rsidRPr="00B24C99">
        <w:t>evaluation report was available. Project Orbis is an initiative of the FDA Oncology Center of Excellence, which provides a framework for concurrent submission and review of oncology drugs among international partners. The FDA approved NIVO+IPI as first-line treatment for adult patients with unresectable MPM</w:t>
      </w:r>
      <w:r w:rsidR="00B94917" w:rsidRPr="00B24C99">
        <w:t xml:space="preserve"> in Oct 2020</w:t>
      </w:r>
      <w:r w:rsidRPr="00B24C99">
        <w:t>.</w:t>
      </w:r>
    </w:p>
    <w:p w:rsidR="00B60939" w:rsidRPr="00B24C99" w:rsidRDefault="00B50DB8" w:rsidP="004E18E9">
      <w:pPr>
        <w:pStyle w:val="2-SectionHeading"/>
      </w:pPr>
      <w:bookmarkStart w:id="15" w:name="_Toc62036358"/>
      <w:r w:rsidRPr="00B24C99">
        <w:t>Requested listing</w:t>
      </w:r>
      <w:bookmarkEnd w:id="15"/>
    </w:p>
    <w:p w:rsidR="001E1F67" w:rsidRPr="00B24C99" w:rsidRDefault="00BD6A66" w:rsidP="00BD6A66">
      <w:pPr>
        <w:pStyle w:val="3-BodyText"/>
      </w:pPr>
      <w:r w:rsidRPr="00B24C99">
        <w:rPr>
          <w:rFonts w:cs="Calibri"/>
          <w:bCs/>
        </w:rPr>
        <w:t>Suggestions and additions proposed by the Secretariat are added in italics and suggested deletions are crossed out with strikethrough.</w:t>
      </w:r>
      <w:r w:rsidR="00755084" w:rsidRPr="00B24C99">
        <w:rPr>
          <w:rFonts w:cs="Calibri"/>
          <w:bCs/>
        </w:rPr>
        <w:t xml:space="preserve">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864"/>
        <w:gridCol w:w="1307"/>
        <w:gridCol w:w="964"/>
        <w:gridCol w:w="2224"/>
        <w:gridCol w:w="1668"/>
      </w:tblGrid>
      <w:tr w:rsidR="001558C9" w:rsidRPr="00B24C99" w:rsidTr="00BD6A66">
        <w:tc>
          <w:tcPr>
            <w:tcW w:w="1586" w:type="pct"/>
          </w:tcPr>
          <w:p w:rsidR="001558C9" w:rsidRPr="00B24C99" w:rsidRDefault="001558C9" w:rsidP="008D4843">
            <w:pPr>
              <w:jc w:val="left"/>
              <w:rPr>
                <w:rFonts w:ascii="Arial Narrow" w:hAnsi="Arial Narrow"/>
                <w:b/>
                <w:sz w:val="20"/>
                <w:szCs w:val="20"/>
              </w:rPr>
            </w:pPr>
            <w:r w:rsidRPr="00B24C99">
              <w:rPr>
                <w:rFonts w:ascii="Arial Narrow" w:hAnsi="Arial Narrow"/>
                <w:b/>
                <w:sz w:val="20"/>
                <w:szCs w:val="20"/>
              </w:rPr>
              <w:t>Name, restriction, manner of administration, form</w:t>
            </w:r>
          </w:p>
        </w:tc>
        <w:tc>
          <w:tcPr>
            <w:tcW w:w="724" w:type="pct"/>
          </w:tcPr>
          <w:p w:rsidR="001558C9" w:rsidRPr="00B24C99" w:rsidRDefault="001558C9" w:rsidP="008D4843">
            <w:pPr>
              <w:jc w:val="center"/>
              <w:rPr>
                <w:rFonts w:ascii="Arial Narrow" w:hAnsi="Arial Narrow"/>
                <w:b/>
                <w:sz w:val="20"/>
                <w:szCs w:val="20"/>
              </w:rPr>
            </w:pPr>
            <w:r w:rsidRPr="00B24C99">
              <w:rPr>
                <w:rFonts w:ascii="Arial Narrow" w:hAnsi="Arial Narrow"/>
                <w:b/>
                <w:sz w:val="20"/>
                <w:szCs w:val="20"/>
              </w:rPr>
              <w:t>Maximum amount</w:t>
            </w:r>
          </w:p>
        </w:tc>
        <w:tc>
          <w:tcPr>
            <w:tcW w:w="534" w:type="pct"/>
          </w:tcPr>
          <w:p w:rsidR="001558C9" w:rsidRPr="00B24C99" w:rsidRDefault="001558C9" w:rsidP="008D4843">
            <w:pPr>
              <w:jc w:val="center"/>
              <w:rPr>
                <w:rFonts w:ascii="Arial Narrow" w:hAnsi="Arial Narrow"/>
                <w:b/>
                <w:sz w:val="20"/>
                <w:szCs w:val="20"/>
              </w:rPr>
            </w:pPr>
            <w:r w:rsidRPr="00B24C99">
              <w:rPr>
                <w:rFonts w:ascii="Arial Narrow" w:hAnsi="Arial Narrow"/>
                <w:b/>
                <w:sz w:val="20"/>
                <w:szCs w:val="20"/>
              </w:rPr>
              <w:t>No. of repeats</w:t>
            </w:r>
          </w:p>
        </w:tc>
        <w:tc>
          <w:tcPr>
            <w:tcW w:w="1232" w:type="pct"/>
          </w:tcPr>
          <w:p w:rsidR="001558C9" w:rsidRPr="00B24C99" w:rsidRDefault="001558C9" w:rsidP="008D4843">
            <w:pPr>
              <w:jc w:val="left"/>
              <w:rPr>
                <w:rFonts w:ascii="Arial Narrow" w:hAnsi="Arial Narrow"/>
                <w:b/>
                <w:sz w:val="20"/>
                <w:szCs w:val="20"/>
              </w:rPr>
            </w:pPr>
            <w:r w:rsidRPr="00B24C99">
              <w:rPr>
                <w:rFonts w:ascii="Arial Narrow" w:hAnsi="Arial Narrow"/>
                <w:b/>
                <w:sz w:val="20"/>
                <w:szCs w:val="20"/>
              </w:rPr>
              <w:t>Dispensed price for maximum amount</w:t>
            </w:r>
          </w:p>
        </w:tc>
        <w:tc>
          <w:tcPr>
            <w:tcW w:w="924" w:type="pct"/>
          </w:tcPr>
          <w:p w:rsidR="001558C9" w:rsidRPr="00B24C99" w:rsidRDefault="001558C9" w:rsidP="008D4843">
            <w:pPr>
              <w:rPr>
                <w:rFonts w:ascii="Arial Narrow" w:hAnsi="Arial Narrow"/>
                <w:b/>
                <w:sz w:val="20"/>
                <w:szCs w:val="20"/>
              </w:rPr>
            </w:pPr>
            <w:r w:rsidRPr="00B24C99">
              <w:rPr>
                <w:rFonts w:ascii="Arial Narrow" w:hAnsi="Arial Narrow"/>
                <w:b/>
                <w:sz w:val="20"/>
                <w:szCs w:val="20"/>
              </w:rPr>
              <w:t>Proprietary name and manufacturer</w:t>
            </w:r>
          </w:p>
        </w:tc>
      </w:tr>
      <w:tr w:rsidR="001558C9" w:rsidRPr="00B24C99" w:rsidTr="00BD6A66">
        <w:tc>
          <w:tcPr>
            <w:tcW w:w="1586" w:type="pct"/>
            <w:vAlign w:val="center"/>
          </w:tcPr>
          <w:p w:rsidR="001558C9" w:rsidRPr="00B24C99" w:rsidRDefault="001558C9" w:rsidP="008D4843">
            <w:pPr>
              <w:pStyle w:val="TableText0"/>
              <w:rPr>
                <w:smallCaps/>
              </w:rPr>
            </w:pPr>
            <w:r w:rsidRPr="00B24C99">
              <w:rPr>
                <w:smallCaps/>
              </w:rPr>
              <w:t>Nivolumab</w:t>
            </w:r>
          </w:p>
          <w:p w:rsidR="001558C9" w:rsidRPr="00B24C99" w:rsidRDefault="001558C9" w:rsidP="008D4843">
            <w:pPr>
              <w:pStyle w:val="TableText0"/>
            </w:pPr>
            <w:r w:rsidRPr="00B24C99">
              <w:t>100 mg/10 mL injection, 10 mL vial</w:t>
            </w:r>
          </w:p>
          <w:p w:rsidR="001558C9" w:rsidRPr="00B24C99" w:rsidRDefault="001558C9" w:rsidP="008D4843">
            <w:pPr>
              <w:pStyle w:val="Tabletext"/>
            </w:pPr>
            <w:r w:rsidRPr="00B24C99">
              <w:t>40 mg/4 mL injection, 4 mL vial</w:t>
            </w:r>
          </w:p>
        </w:tc>
        <w:tc>
          <w:tcPr>
            <w:tcW w:w="724" w:type="pct"/>
            <w:vAlign w:val="center"/>
          </w:tcPr>
          <w:p w:rsidR="001558C9" w:rsidRPr="00B24C99" w:rsidRDefault="001558C9" w:rsidP="008D4843">
            <w:pPr>
              <w:pStyle w:val="TableText0"/>
              <w:jc w:val="center"/>
            </w:pPr>
            <w:r w:rsidRPr="00B24C99">
              <w:t>360 mg</w:t>
            </w:r>
          </w:p>
        </w:tc>
        <w:tc>
          <w:tcPr>
            <w:tcW w:w="534" w:type="pct"/>
            <w:vAlign w:val="center"/>
          </w:tcPr>
          <w:p w:rsidR="001558C9" w:rsidRPr="00B24C99" w:rsidRDefault="001558C9" w:rsidP="008D4843">
            <w:pPr>
              <w:pStyle w:val="TableText0"/>
              <w:jc w:val="center"/>
            </w:pPr>
            <w:r w:rsidRPr="00B24C99">
              <w:t xml:space="preserve">13 </w:t>
            </w:r>
            <w:r w:rsidRPr="00B24C99">
              <w:rPr>
                <w:strike/>
              </w:rPr>
              <w:t>(initial and continuing treatment)</w:t>
            </w:r>
          </w:p>
        </w:tc>
        <w:tc>
          <w:tcPr>
            <w:tcW w:w="1232" w:type="pct"/>
            <w:vAlign w:val="center"/>
          </w:tcPr>
          <w:p w:rsidR="001558C9" w:rsidRPr="00B24C99" w:rsidRDefault="001558C9" w:rsidP="008D4843">
            <w:pPr>
              <w:pStyle w:val="TableText0"/>
            </w:pPr>
            <w:r w:rsidRPr="00B24C99">
              <w:t>Published price</w:t>
            </w:r>
          </w:p>
          <w:p w:rsidR="001558C9" w:rsidRPr="00B24C99" w:rsidRDefault="001558C9" w:rsidP="008D4843">
            <w:pPr>
              <w:pStyle w:val="TableText0"/>
            </w:pPr>
            <w:r w:rsidRPr="00B24C99">
              <w:t>$7,562.08 public hospital</w:t>
            </w:r>
          </w:p>
          <w:p w:rsidR="001558C9" w:rsidRPr="00B24C99" w:rsidRDefault="001558C9" w:rsidP="008D4843">
            <w:pPr>
              <w:pStyle w:val="TableText0"/>
            </w:pPr>
            <w:r w:rsidRPr="00B24C99">
              <w:t>$7,707.37 private hospital</w:t>
            </w:r>
          </w:p>
          <w:p w:rsidR="001558C9" w:rsidRPr="00B24C99" w:rsidRDefault="001558C9" w:rsidP="008D4843">
            <w:pPr>
              <w:pStyle w:val="TableText0"/>
              <w:rPr>
                <w:vertAlign w:val="superscript"/>
              </w:rPr>
            </w:pPr>
            <w:r w:rsidRPr="00B24C99">
              <w:t>Effective price</w:t>
            </w:r>
          </w:p>
          <w:p w:rsidR="001558C9" w:rsidRPr="00B24C99" w:rsidRDefault="001558C9" w:rsidP="008D4843">
            <w:pPr>
              <w:pStyle w:val="TableText0"/>
            </w:pPr>
            <w:r w:rsidRPr="00B24C99">
              <w:t>$</w:t>
            </w:r>
            <w:r w:rsidR="004E3484">
              <w:rPr>
                <w:noProof/>
                <w:color w:val="000000"/>
                <w:highlight w:val="black"/>
              </w:rPr>
              <w:t>'''''''''''''''''''</w:t>
            </w:r>
            <w:r w:rsidRPr="00B24C99">
              <w:t xml:space="preserve"> public hospital</w:t>
            </w:r>
          </w:p>
          <w:p w:rsidR="001558C9" w:rsidRPr="00B24C99" w:rsidRDefault="001558C9" w:rsidP="008D4843">
            <w:pPr>
              <w:pStyle w:val="Tabletext"/>
            </w:pPr>
            <w:r w:rsidRPr="00B24C99">
              <w:t>$</w:t>
            </w:r>
            <w:r w:rsidR="004E3484">
              <w:rPr>
                <w:noProof/>
                <w:color w:val="000000"/>
                <w:highlight w:val="black"/>
              </w:rPr>
              <w:t>'''''''''''''''''''''</w:t>
            </w:r>
            <w:r w:rsidRPr="00B24C99">
              <w:t xml:space="preserve"> private hospital</w:t>
            </w:r>
          </w:p>
        </w:tc>
        <w:tc>
          <w:tcPr>
            <w:tcW w:w="924" w:type="pct"/>
            <w:vAlign w:val="center"/>
          </w:tcPr>
          <w:p w:rsidR="001558C9" w:rsidRPr="00B24C99" w:rsidRDefault="001558C9" w:rsidP="008D4843">
            <w:pPr>
              <w:pStyle w:val="TableText0"/>
            </w:pPr>
            <w:r w:rsidRPr="00B24C99">
              <w:t>Opdivo</w:t>
            </w:r>
            <w:r w:rsidRPr="00B24C99">
              <w:rPr>
                <w:vertAlign w:val="superscript"/>
              </w:rPr>
              <w:t>®</w:t>
            </w:r>
          </w:p>
          <w:p w:rsidR="001558C9" w:rsidRPr="00B24C99" w:rsidRDefault="001558C9" w:rsidP="008D4843">
            <w:pPr>
              <w:pStyle w:val="Tabletext"/>
            </w:pPr>
            <w:r w:rsidRPr="00B24C99">
              <w:t>Bristol-Myers Squibb Australia Pty Ltd</w:t>
            </w:r>
          </w:p>
        </w:tc>
      </w:tr>
    </w:tbl>
    <w:p w:rsidR="00BD6A66" w:rsidRPr="00B24C99" w:rsidRDefault="00BD6A66" w:rsidP="00BD6A66">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BD6A66" w:rsidRPr="00B24C99" w:rsidTr="00B80806">
        <w:tc>
          <w:tcPr>
            <w:tcW w:w="5000" w:type="pct"/>
            <w:tcBorders>
              <w:top w:val="single" w:sz="4" w:space="0" w:color="auto"/>
              <w:left w:val="single" w:sz="4" w:space="0" w:color="auto"/>
              <w:bottom w:val="single" w:sz="4" w:space="0" w:color="auto"/>
              <w:right w:val="single" w:sz="4" w:space="0" w:color="auto"/>
            </w:tcBorders>
          </w:tcPr>
          <w:p w:rsidR="00BD6A66" w:rsidRPr="00B24C99" w:rsidRDefault="00BD6A66" w:rsidP="00B80806">
            <w:pPr>
              <w:rPr>
                <w:rFonts w:ascii="Arial Narrow" w:hAnsi="Arial Narrow"/>
                <w:sz w:val="18"/>
                <w:szCs w:val="18"/>
              </w:rPr>
            </w:pPr>
            <w:r w:rsidRPr="00B24C99">
              <w:rPr>
                <w:rFonts w:ascii="Arial Narrow" w:hAnsi="Arial Narrow"/>
                <w:b/>
                <w:sz w:val="18"/>
                <w:szCs w:val="18"/>
              </w:rPr>
              <w:t xml:space="preserve">Category / Program:   </w:t>
            </w:r>
            <w:r w:rsidRPr="00B24C99">
              <w:rPr>
                <w:rFonts w:ascii="Arial Narrow" w:hAnsi="Arial Narrow"/>
                <w:sz w:val="18"/>
                <w:szCs w:val="18"/>
              </w:rPr>
              <w:t xml:space="preserve">Section 100 – Efficient Funding of Chemotherapy Public/Private hospitals </w:t>
            </w:r>
          </w:p>
        </w:tc>
      </w:tr>
      <w:tr w:rsidR="00BD6A66" w:rsidRPr="00B24C99" w:rsidTr="00B80806">
        <w:trPr>
          <w:trHeight w:val="240"/>
        </w:trPr>
        <w:tc>
          <w:tcPr>
            <w:tcW w:w="5000" w:type="pct"/>
            <w:tcBorders>
              <w:top w:val="single" w:sz="4" w:space="0" w:color="auto"/>
              <w:left w:val="single" w:sz="4" w:space="0" w:color="auto"/>
              <w:bottom w:val="single" w:sz="4" w:space="0" w:color="auto"/>
              <w:right w:val="single" w:sz="4" w:space="0" w:color="auto"/>
            </w:tcBorders>
          </w:tcPr>
          <w:p w:rsidR="00BD6A66" w:rsidRPr="00B24C99" w:rsidRDefault="00BD6A66" w:rsidP="00B80806">
            <w:pPr>
              <w:rPr>
                <w:rFonts w:ascii="Arial Narrow" w:hAnsi="Arial Narrow"/>
                <w:b/>
                <w:sz w:val="18"/>
                <w:szCs w:val="18"/>
              </w:rPr>
            </w:pPr>
            <w:r w:rsidRPr="00B24C99">
              <w:rPr>
                <w:rFonts w:ascii="Arial Narrow" w:hAnsi="Arial Narrow"/>
                <w:b/>
                <w:sz w:val="18"/>
                <w:szCs w:val="18"/>
              </w:rPr>
              <w:t xml:space="preserve">Prescriber type:   </w:t>
            </w:r>
            <w:r w:rsidRPr="00B24C99">
              <w:rPr>
                <w:rFonts w:ascii="Arial Narrow" w:hAnsi="Arial Narrow"/>
                <w:sz w:val="18"/>
                <w:szCs w:val="18"/>
              </w:rPr>
              <w:fldChar w:fldCharType="begin">
                <w:ffData>
                  <w:name w:val="Check1"/>
                  <w:enabled/>
                  <w:calcOnExit w:val="0"/>
                  <w:checkBox>
                    <w:sizeAuto/>
                    <w:default w:val="0"/>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 xml:space="preserve">Dental    </w:t>
            </w:r>
            <w:r w:rsidRPr="00B24C99">
              <w:rPr>
                <w:rFonts w:ascii="Arial Narrow" w:hAnsi="Arial Narrow"/>
                <w:sz w:val="18"/>
                <w:szCs w:val="18"/>
              </w:rPr>
              <w:fldChar w:fldCharType="begin">
                <w:ffData>
                  <w:name w:val=""/>
                  <w:enabled/>
                  <w:calcOnExit w:val="0"/>
                  <w:checkBox>
                    <w:sizeAuto/>
                    <w:default w:val="1"/>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 xml:space="preserve">Medical Practitioners    </w:t>
            </w:r>
            <w:r w:rsidRPr="00B24C99">
              <w:rPr>
                <w:rFonts w:ascii="Arial Narrow" w:hAnsi="Arial Narrow"/>
                <w:sz w:val="18"/>
                <w:szCs w:val="18"/>
              </w:rPr>
              <w:fldChar w:fldCharType="begin">
                <w:ffData>
                  <w:name w:val="Check3"/>
                  <w:enabled/>
                  <w:calcOnExit w:val="0"/>
                  <w:checkBox>
                    <w:sizeAuto/>
                    <w:default w:val="0"/>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 xml:space="preserve">Nurse practitioners     </w:t>
            </w:r>
            <w:r w:rsidRPr="00B24C99">
              <w:rPr>
                <w:rFonts w:ascii="Arial Narrow" w:hAnsi="Arial Narrow"/>
                <w:sz w:val="18"/>
                <w:szCs w:val="18"/>
              </w:rPr>
              <w:fldChar w:fldCharType="begin">
                <w:ffData>
                  <w:name w:val=""/>
                  <w:enabled/>
                  <w:calcOnExit w:val="0"/>
                  <w:checkBox>
                    <w:sizeAuto/>
                    <w:default w:val="0"/>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 xml:space="preserve">Optometrists    </w:t>
            </w:r>
            <w:r w:rsidRPr="00B24C99">
              <w:rPr>
                <w:rFonts w:ascii="Arial Narrow" w:hAnsi="Arial Narrow"/>
                <w:sz w:val="18"/>
                <w:szCs w:val="18"/>
              </w:rPr>
              <w:fldChar w:fldCharType="begin">
                <w:ffData>
                  <w:name w:val="Check5"/>
                  <w:enabled/>
                  <w:calcOnExit w:val="0"/>
                  <w:checkBox>
                    <w:sizeAuto/>
                    <w:default w:val="0"/>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Midwives</w:t>
            </w:r>
          </w:p>
        </w:tc>
      </w:tr>
      <w:tr w:rsidR="00BD6A66" w:rsidRPr="00B24C99" w:rsidTr="00B80806">
        <w:tc>
          <w:tcPr>
            <w:tcW w:w="5000" w:type="pct"/>
            <w:tcBorders>
              <w:top w:val="single" w:sz="4" w:space="0" w:color="auto"/>
              <w:left w:val="single" w:sz="4" w:space="0" w:color="auto"/>
              <w:bottom w:val="single" w:sz="4" w:space="0" w:color="auto"/>
              <w:right w:val="single" w:sz="4" w:space="0" w:color="auto"/>
            </w:tcBorders>
          </w:tcPr>
          <w:p w:rsidR="00BD6A66" w:rsidRPr="00B24C99" w:rsidRDefault="00BD6A66" w:rsidP="00B80806">
            <w:pPr>
              <w:rPr>
                <w:rFonts w:ascii="Arial Narrow" w:hAnsi="Arial Narrow"/>
                <w:b/>
                <w:sz w:val="18"/>
                <w:szCs w:val="18"/>
              </w:rPr>
            </w:pPr>
            <w:r w:rsidRPr="00B24C99">
              <w:rPr>
                <w:rFonts w:ascii="Arial Narrow" w:hAnsi="Arial Narrow"/>
                <w:b/>
                <w:sz w:val="18"/>
                <w:szCs w:val="18"/>
              </w:rPr>
              <w:t>Restriction Type – assessment time by Medicare – Method of obtaining authority approval (if Authority Required):</w:t>
            </w:r>
          </w:p>
          <w:p w:rsidR="00BD6A66" w:rsidRPr="00B24C99" w:rsidRDefault="00BD6A66" w:rsidP="00B80806">
            <w:pPr>
              <w:rPr>
                <w:rFonts w:ascii="Arial Narrow" w:eastAsia="Calibri" w:hAnsi="Arial Narrow"/>
                <w:sz w:val="18"/>
                <w:szCs w:val="18"/>
              </w:rPr>
            </w:pPr>
            <w:r w:rsidRPr="00B24C99">
              <w:rPr>
                <w:rFonts w:ascii="Arial Narrow" w:eastAsia="Calibri" w:hAnsi="Arial Narrow"/>
                <w:sz w:val="18"/>
                <w:szCs w:val="18"/>
              </w:rPr>
              <w:fldChar w:fldCharType="begin">
                <w:ffData>
                  <w:name w:val=""/>
                  <w:enabled/>
                  <w:calcOnExit w:val="0"/>
                  <w:checkBox>
                    <w:sizeAuto/>
                    <w:default w:val="1"/>
                  </w:checkBox>
                </w:ffData>
              </w:fldChar>
            </w:r>
            <w:r w:rsidRPr="00B24C99">
              <w:rPr>
                <w:rFonts w:ascii="Arial Narrow" w:eastAsia="Calibri" w:hAnsi="Arial Narrow"/>
                <w:sz w:val="18"/>
                <w:szCs w:val="18"/>
              </w:rPr>
              <w:instrText xml:space="preserve"> FORMCHECKBOX </w:instrText>
            </w:r>
            <w:r w:rsidR="006D409D">
              <w:rPr>
                <w:rFonts w:ascii="Arial Narrow" w:eastAsia="Calibri" w:hAnsi="Arial Narrow"/>
                <w:sz w:val="18"/>
                <w:szCs w:val="18"/>
              </w:rPr>
            </w:r>
            <w:r w:rsidR="006D409D">
              <w:rPr>
                <w:rFonts w:ascii="Arial Narrow" w:eastAsia="Calibri" w:hAnsi="Arial Narrow"/>
                <w:sz w:val="18"/>
                <w:szCs w:val="18"/>
              </w:rPr>
              <w:fldChar w:fldCharType="separate"/>
            </w:r>
            <w:r w:rsidRPr="00B24C99">
              <w:rPr>
                <w:rFonts w:ascii="Arial Narrow" w:eastAsia="Calibri" w:hAnsi="Arial Narrow"/>
                <w:sz w:val="18"/>
                <w:szCs w:val="18"/>
              </w:rPr>
              <w:fldChar w:fldCharType="end"/>
            </w:r>
            <w:r w:rsidRPr="00B24C99">
              <w:rPr>
                <w:rFonts w:ascii="Arial Narrow" w:eastAsia="Calibri" w:hAnsi="Arial Narrow"/>
                <w:sz w:val="18"/>
                <w:szCs w:val="18"/>
              </w:rPr>
              <w:t xml:space="preserve">Authority Required – Streamlined [new/existing code] (specification of 4-digit code by prescriber to certify that they have read the PBS restriction; no prior assessment by Medicare; retrospective audit of patient records possible) </w:t>
            </w:r>
          </w:p>
        </w:tc>
      </w:tr>
      <w:tr w:rsidR="00BD6A66" w:rsidRPr="00B24C99" w:rsidTr="00B80806">
        <w:tc>
          <w:tcPr>
            <w:tcW w:w="5000" w:type="pct"/>
            <w:vAlign w:val="center"/>
          </w:tcPr>
          <w:p w:rsidR="00BD6A66" w:rsidRPr="00B24C99" w:rsidRDefault="00BD6A66" w:rsidP="00B80806">
            <w:pPr>
              <w:rPr>
                <w:rFonts w:ascii="Arial Narrow" w:hAnsi="Arial Narrow"/>
                <w:b/>
                <w:bCs/>
                <w:color w:val="333333"/>
                <w:sz w:val="18"/>
                <w:szCs w:val="18"/>
              </w:rPr>
            </w:pPr>
            <w:r w:rsidRPr="00B24C99">
              <w:rPr>
                <w:rFonts w:ascii="Arial Narrow" w:hAnsi="Arial Narrow"/>
                <w:b/>
                <w:bCs/>
                <w:color w:val="000000" w:themeColor="text1"/>
                <w:sz w:val="18"/>
                <w:szCs w:val="18"/>
              </w:rPr>
              <w:t xml:space="preserve">Severity: </w:t>
            </w:r>
            <w:r w:rsidRPr="00B24C99">
              <w:rPr>
                <w:rFonts w:ascii="Arial Narrow" w:hAnsi="Arial Narrow"/>
                <w:bCs/>
                <w:color w:val="000000" w:themeColor="text1"/>
                <w:sz w:val="18"/>
                <w:szCs w:val="18"/>
              </w:rPr>
              <w:t>Unresectable</w:t>
            </w:r>
          </w:p>
        </w:tc>
      </w:tr>
      <w:tr w:rsidR="00BD6A66" w:rsidRPr="00B24C99" w:rsidTr="00B80806">
        <w:tc>
          <w:tcPr>
            <w:tcW w:w="5000" w:type="pct"/>
            <w:vAlign w:val="center"/>
          </w:tcPr>
          <w:p w:rsidR="00BD6A66" w:rsidRPr="00B24C99" w:rsidRDefault="00BD6A66" w:rsidP="00B80806">
            <w:pPr>
              <w:rPr>
                <w:rFonts w:ascii="Arial Narrow" w:hAnsi="Arial Narrow"/>
                <w:b/>
                <w:bCs/>
                <w:color w:val="333333"/>
                <w:sz w:val="18"/>
                <w:szCs w:val="18"/>
              </w:rPr>
            </w:pPr>
            <w:r w:rsidRPr="00B24C99">
              <w:rPr>
                <w:rFonts w:ascii="Arial Narrow" w:hAnsi="Arial Narrow"/>
                <w:b/>
                <w:bCs/>
                <w:color w:val="000000" w:themeColor="text1"/>
                <w:sz w:val="18"/>
                <w:szCs w:val="18"/>
              </w:rPr>
              <w:t xml:space="preserve">Condition: </w:t>
            </w:r>
            <w:r w:rsidRPr="00B24C99">
              <w:rPr>
                <w:rFonts w:ascii="Arial Narrow" w:hAnsi="Arial Narrow"/>
                <w:bCs/>
                <w:color w:val="000000" w:themeColor="text1"/>
                <w:sz w:val="18"/>
                <w:szCs w:val="18"/>
              </w:rPr>
              <w:t>Malignant pleural</w:t>
            </w:r>
            <w:r w:rsidRPr="00B24C99">
              <w:rPr>
                <w:rFonts w:ascii="Arial Narrow" w:hAnsi="Arial Narrow"/>
                <w:b/>
                <w:bCs/>
                <w:color w:val="000000" w:themeColor="text1"/>
                <w:sz w:val="18"/>
                <w:szCs w:val="18"/>
              </w:rPr>
              <w:t xml:space="preserve"> </w:t>
            </w:r>
            <w:r w:rsidRPr="00B24C99">
              <w:rPr>
                <w:rFonts w:ascii="Arial Narrow" w:hAnsi="Arial Narrow"/>
                <w:bCs/>
                <w:color w:val="000000" w:themeColor="text1"/>
                <w:sz w:val="18"/>
                <w:szCs w:val="18"/>
              </w:rPr>
              <w:t>mesothelioma</w:t>
            </w:r>
          </w:p>
        </w:tc>
      </w:tr>
      <w:tr w:rsidR="00BD6A66" w:rsidRPr="00B24C99" w:rsidTr="00B80806">
        <w:tc>
          <w:tcPr>
            <w:tcW w:w="5000" w:type="pct"/>
            <w:vAlign w:val="center"/>
            <w:hideMark/>
          </w:tcPr>
          <w:p w:rsidR="00BD6A66" w:rsidRPr="00B24C99" w:rsidRDefault="00BD6A66" w:rsidP="00B80806">
            <w:pPr>
              <w:rPr>
                <w:rFonts w:ascii="Arial Narrow" w:hAnsi="Arial Narrow"/>
                <w:color w:val="333333"/>
                <w:sz w:val="18"/>
                <w:szCs w:val="18"/>
              </w:rPr>
            </w:pPr>
            <w:r w:rsidRPr="00B24C99">
              <w:rPr>
                <w:rFonts w:ascii="Arial Narrow" w:hAnsi="Arial Narrow"/>
                <w:b/>
                <w:bCs/>
                <w:color w:val="000000" w:themeColor="text1"/>
                <w:sz w:val="18"/>
                <w:szCs w:val="18"/>
              </w:rPr>
              <w:t>Indication:</w:t>
            </w:r>
            <w:r w:rsidRPr="00B24C99">
              <w:rPr>
                <w:rFonts w:ascii="Arial Narrow" w:hAnsi="Arial Narrow"/>
                <w:color w:val="000000" w:themeColor="text1"/>
                <w:sz w:val="18"/>
                <w:szCs w:val="18"/>
              </w:rPr>
              <w:t xml:space="preserve"> Unresectable malignant pleural mesothelioma</w:t>
            </w:r>
          </w:p>
        </w:tc>
      </w:tr>
      <w:tr w:rsidR="00BD6A66" w:rsidRPr="00B24C99" w:rsidTr="00B80806">
        <w:tc>
          <w:tcPr>
            <w:tcW w:w="5000" w:type="pct"/>
            <w:vAlign w:val="center"/>
            <w:hideMark/>
          </w:tcPr>
          <w:p w:rsidR="00BD6A66" w:rsidRPr="00B24C99" w:rsidRDefault="00BD6A66" w:rsidP="00B80806">
            <w:pPr>
              <w:rPr>
                <w:rFonts w:ascii="Arial Narrow" w:hAnsi="Arial Narrow"/>
                <w:color w:val="333333"/>
                <w:sz w:val="18"/>
                <w:szCs w:val="18"/>
              </w:rPr>
            </w:pPr>
            <w:r w:rsidRPr="00B24C99">
              <w:rPr>
                <w:rFonts w:ascii="Arial Narrow" w:hAnsi="Arial Narrow"/>
                <w:b/>
                <w:bCs/>
                <w:color w:val="333333"/>
                <w:sz w:val="18"/>
                <w:szCs w:val="18"/>
              </w:rPr>
              <w:t>Clinical criteria:</w:t>
            </w:r>
          </w:p>
        </w:tc>
      </w:tr>
      <w:tr w:rsidR="00BD6A66" w:rsidRPr="00B24C99" w:rsidTr="00B80806">
        <w:tc>
          <w:tcPr>
            <w:tcW w:w="5000" w:type="pct"/>
            <w:vAlign w:val="center"/>
            <w:hideMark/>
          </w:tcPr>
          <w:p w:rsidR="00BD6A66" w:rsidRPr="00B24C99" w:rsidRDefault="00BD6A66" w:rsidP="00B80806">
            <w:pPr>
              <w:rPr>
                <w:rFonts w:ascii="Arial Narrow" w:hAnsi="Arial Narrow"/>
                <w:strike/>
                <w:color w:val="333333"/>
                <w:sz w:val="18"/>
                <w:szCs w:val="18"/>
              </w:rPr>
            </w:pPr>
            <w:r w:rsidRPr="00B24C99">
              <w:rPr>
                <w:rFonts w:ascii="Arial Narrow" w:hAnsi="Arial Narrow"/>
                <w:strike/>
                <w:color w:val="333333"/>
                <w:sz w:val="18"/>
                <w:szCs w:val="18"/>
              </w:rPr>
              <w:t>Patient must not have received prior treatment with a programmed cell death-1 (PD-1) inhibitor or a programmed cell death ligand-1 (PD-L1) inhibitor for this condition.</w:t>
            </w:r>
          </w:p>
        </w:tc>
      </w:tr>
      <w:tr w:rsidR="00BD6A66" w:rsidRPr="00B24C99" w:rsidTr="00B80806">
        <w:tc>
          <w:tcPr>
            <w:tcW w:w="5000" w:type="pct"/>
            <w:vAlign w:val="center"/>
            <w:hideMark/>
          </w:tcPr>
          <w:p w:rsidR="00BD6A66" w:rsidRPr="00B24C99" w:rsidRDefault="00BD6A66" w:rsidP="00B80806">
            <w:pPr>
              <w:rPr>
                <w:rFonts w:ascii="Arial Narrow" w:hAnsi="Arial Narrow"/>
                <w:strike/>
                <w:color w:val="333333"/>
                <w:sz w:val="18"/>
                <w:szCs w:val="18"/>
              </w:rPr>
            </w:pPr>
            <w:r w:rsidRPr="00B24C99">
              <w:rPr>
                <w:rFonts w:ascii="Arial Narrow" w:hAnsi="Arial Narrow"/>
                <w:b/>
                <w:bCs/>
                <w:strike/>
                <w:color w:val="333333"/>
                <w:sz w:val="18"/>
                <w:szCs w:val="18"/>
              </w:rPr>
              <w:t>AND</w:t>
            </w:r>
          </w:p>
        </w:tc>
      </w:tr>
      <w:tr w:rsidR="00BD6A66" w:rsidRPr="00B24C99" w:rsidTr="00B80806">
        <w:tc>
          <w:tcPr>
            <w:tcW w:w="5000" w:type="pct"/>
            <w:vAlign w:val="center"/>
          </w:tcPr>
          <w:p w:rsidR="00BD6A66" w:rsidRPr="00B24C99" w:rsidRDefault="00BD6A66" w:rsidP="00B80806">
            <w:pPr>
              <w:rPr>
                <w:rFonts w:ascii="Arial Narrow" w:hAnsi="Arial Narrow"/>
                <w:b/>
                <w:bCs/>
                <w:color w:val="333333"/>
                <w:sz w:val="18"/>
                <w:szCs w:val="18"/>
              </w:rPr>
            </w:pPr>
            <w:r w:rsidRPr="00B24C99">
              <w:rPr>
                <w:rFonts w:ascii="Arial Narrow" w:hAnsi="Arial Narrow"/>
                <w:bCs/>
                <w:color w:val="000000" w:themeColor="text1"/>
                <w:sz w:val="18"/>
                <w:szCs w:val="18"/>
              </w:rPr>
              <w:t xml:space="preserve">Patient must have </w:t>
            </w:r>
            <w:r w:rsidRPr="00B24C99">
              <w:rPr>
                <w:rFonts w:ascii="Arial Narrow" w:hAnsi="Arial Narrow"/>
                <w:bCs/>
                <w:strike/>
                <w:color w:val="000000" w:themeColor="text1"/>
                <w:sz w:val="18"/>
                <w:szCs w:val="18"/>
              </w:rPr>
              <w:t>an Eastern Cooperative Oncology Group (ECOG)</w:t>
            </w:r>
            <w:r w:rsidRPr="00B24C99">
              <w:rPr>
                <w:rFonts w:ascii="Arial Narrow" w:hAnsi="Arial Narrow"/>
                <w:bCs/>
                <w:color w:val="000000" w:themeColor="text1"/>
                <w:sz w:val="18"/>
                <w:szCs w:val="18"/>
              </w:rPr>
              <w:t xml:space="preserve"> </w:t>
            </w:r>
            <w:r w:rsidRPr="00B24C99">
              <w:rPr>
                <w:rFonts w:ascii="Arial Narrow" w:hAnsi="Arial Narrow"/>
                <w:bCs/>
                <w:i/>
                <w:color w:val="000000" w:themeColor="text1"/>
                <w:sz w:val="18"/>
                <w:szCs w:val="18"/>
              </w:rPr>
              <w:t>a WHO</w:t>
            </w:r>
            <w:r w:rsidRPr="00B24C99">
              <w:rPr>
                <w:rFonts w:ascii="Arial Narrow" w:hAnsi="Arial Narrow"/>
                <w:bCs/>
                <w:color w:val="000000" w:themeColor="text1"/>
                <w:sz w:val="18"/>
                <w:szCs w:val="18"/>
              </w:rPr>
              <w:t xml:space="preserve"> performance status of 0 or 1.</w:t>
            </w:r>
          </w:p>
        </w:tc>
      </w:tr>
      <w:tr w:rsidR="00BD6A66" w:rsidRPr="00B24C99" w:rsidTr="00B80806">
        <w:tc>
          <w:tcPr>
            <w:tcW w:w="5000" w:type="pct"/>
            <w:vAlign w:val="center"/>
          </w:tcPr>
          <w:p w:rsidR="00BD6A66" w:rsidRPr="00B24C99" w:rsidRDefault="00BD6A66" w:rsidP="00B80806">
            <w:pPr>
              <w:rPr>
                <w:rFonts w:ascii="Arial Narrow" w:hAnsi="Arial Narrow"/>
                <w:bCs/>
                <w:color w:val="000000" w:themeColor="text1"/>
                <w:sz w:val="18"/>
                <w:szCs w:val="18"/>
              </w:rPr>
            </w:pPr>
            <w:r w:rsidRPr="00B24C99">
              <w:rPr>
                <w:rFonts w:ascii="Arial Narrow" w:hAnsi="Arial Narrow"/>
                <w:bCs/>
                <w:color w:val="000000" w:themeColor="text1"/>
                <w:sz w:val="18"/>
                <w:szCs w:val="18"/>
              </w:rPr>
              <w:t>AND</w:t>
            </w:r>
          </w:p>
        </w:tc>
      </w:tr>
      <w:tr w:rsidR="00BD6A66" w:rsidRPr="00B24C99" w:rsidTr="00B80806">
        <w:tc>
          <w:tcPr>
            <w:tcW w:w="5000" w:type="pct"/>
            <w:vAlign w:val="center"/>
          </w:tcPr>
          <w:p w:rsidR="00BD6A66" w:rsidRPr="00B24C99" w:rsidRDefault="00BD6A66" w:rsidP="00B80806">
            <w:pPr>
              <w:rPr>
                <w:rFonts w:ascii="Arial Narrow" w:hAnsi="Arial Narrow"/>
                <w:bCs/>
                <w:i/>
                <w:color w:val="000000" w:themeColor="text1"/>
                <w:sz w:val="18"/>
                <w:szCs w:val="18"/>
              </w:rPr>
            </w:pPr>
            <w:r w:rsidRPr="00B24C99">
              <w:rPr>
                <w:rFonts w:ascii="Arial Narrow" w:hAnsi="Arial Narrow"/>
                <w:bCs/>
                <w:i/>
                <w:color w:val="000000" w:themeColor="text1"/>
                <w:sz w:val="18"/>
                <w:szCs w:val="18"/>
              </w:rPr>
              <w:t>The treatment must be in combination with  PBS-subsidised ipilimumab, unless an intolerance to ipilimumab of a severity necessitating permanent treatment withdrawal of ipilimumab</w:t>
            </w:r>
          </w:p>
        </w:tc>
      </w:tr>
      <w:tr w:rsidR="00BD6A66" w:rsidRPr="00B24C99" w:rsidTr="00B80806">
        <w:tc>
          <w:tcPr>
            <w:tcW w:w="5000" w:type="pct"/>
            <w:vAlign w:val="center"/>
          </w:tcPr>
          <w:p w:rsidR="00BD6A66" w:rsidRPr="00B24C99" w:rsidRDefault="00BD6A66" w:rsidP="00B80806">
            <w:pPr>
              <w:rPr>
                <w:rFonts w:ascii="Arial Narrow" w:hAnsi="Arial Narrow"/>
                <w:bCs/>
                <w:i/>
                <w:color w:val="000000" w:themeColor="text1"/>
                <w:sz w:val="18"/>
                <w:szCs w:val="18"/>
              </w:rPr>
            </w:pPr>
            <w:r w:rsidRPr="00B24C99">
              <w:rPr>
                <w:rFonts w:ascii="Arial Narrow" w:hAnsi="Arial Narrow"/>
                <w:bCs/>
                <w:i/>
                <w:color w:val="000000" w:themeColor="text1"/>
                <w:sz w:val="18"/>
                <w:szCs w:val="18"/>
              </w:rPr>
              <w:t>AND</w:t>
            </w:r>
          </w:p>
        </w:tc>
      </w:tr>
      <w:tr w:rsidR="00BD6A66" w:rsidRPr="00B24C99" w:rsidTr="00B80806">
        <w:tc>
          <w:tcPr>
            <w:tcW w:w="5000" w:type="pct"/>
            <w:vAlign w:val="center"/>
          </w:tcPr>
          <w:p w:rsidR="00BD6A66" w:rsidRPr="00B24C99" w:rsidRDefault="00BD6A66" w:rsidP="00B80806">
            <w:pPr>
              <w:spacing w:before="60" w:after="60"/>
              <w:rPr>
                <w:rFonts w:ascii="Verdana" w:hAnsi="Verdana"/>
                <w:sz w:val="18"/>
                <w:szCs w:val="18"/>
              </w:rPr>
            </w:pPr>
            <w:r w:rsidRPr="00B24C99">
              <w:rPr>
                <w:rFonts w:ascii="Arial Narrow" w:hAnsi="Arial Narrow"/>
                <w:bCs/>
                <w:i/>
                <w:color w:val="000000" w:themeColor="text1"/>
                <w:sz w:val="18"/>
                <w:szCs w:val="18"/>
              </w:rPr>
              <w:lastRenderedPageBreak/>
              <w:t>Patient must not have developed disease progression while being treated with this drug for this condition</w:t>
            </w:r>
          </w:p>
        </w:tc>
      </w:tr>
      <w:tr w:rsidR="00BD6A66" w:rsidRPr="00B24C99" w:rsidTr="00B80806">
        <w:tc>
          <w:tcPr>
            <w:tcW w:w="5000" w:type="pct"/>
            <w:vAlign w:val="center"/>
          </w:tcPr>
          <w:p w:rsidR="00BD6A66" w:rsidRPr="00B24C99" w:rsidRDefault="00BD6A66" w:rsidP="00B80806">
            <w:pPr>
              <w:rPr>
                <w:rFonts w:ascii="Arial Narrow" w:hAnsi="Arial Narrow"/>
                <w:b/>
                <w:bCs/>
                <w:color w:val="000000" w:themeColor="text1"/>
                <w:sz w:val="18"/>
                <w:szCs w:val="18"/>
              </w:rPr>
            </w:pPr>
            <w:r w:rsidRPr="00B24C99">
              <w:rPr>
                <w:rFonts w:ascii="Arial Narrow" w:hAnsi="Arial Narrow"/>
                <w:bCs/>
                <w:i/>
                <w:color w:val="000000" w:themeColor="text1"/>
                <w:sz w:val="18"/>
                <w:szCs w:val="18"/>
              </w:rPr>
              <w:t>AND</w:t>
            </w:r>
          </w:p>
        </w:tc>
      </w:tr>
      <w:tr w:rsidR="00BD6A66" w:rsidRPr="00B24C99" w:rsidTr="00B80806">
        <w:tc>
          <w:tcPr>
            <w:tcW w:w="5000" w:type="pct"/>
            <w:vAlign w:val="center"/>
          </w:tcPr>
          <w:p w:rsidR="00BD6A66" w:rsidRPr="00B24C99" w:rsidRDefault="00BD6A66" w:rsidP="00B80806">
            <w:pPr>
              <w:spacing w:before="60" w:after="60"/>
              <w:rPr>
                <w:rFonts w:ascii="Verdana" w:hAnsi="Verdana"/>
                <w:sz w:val="18"/>
                <w:szCs w:val="18"/>
              </w:rPr>
            </w:pPr>
            <w:r w:rsidRPr="00B24C99">
              <w:rPr>
                <w:rFonts w:ascii="Arial Narrow" w:hAnsi="Arial Narrow"/>
                <w:bCs/>
                <w:i/>
                <w:color w:val="000000" w:themeColor="text1"/>
                <w:sz w:val="18"/>
                <w:szCs w:val="18"/>
              </w:rPr>
              <w:t>The treatment must not exceed a maximum total of 24 months in a lifetime for this condition.</w:t>
            </w:r>
          </w:p>
        </w:tc>
      </w:tr>
      <w:tr w:rsidR="00BD6A66" w:rsidRPr="00B24C99" w:rsidTr="00B80806">
        <w:tc>
          <w:tcPr>
            <w:tcW w:w="5000" w:type="pct"/>
            <w:vAlign w:val="center"/>
          </w:tcPr>
          <w:p w:rsidR="00BD6A66" w:rsidRPr="00B24C99" w:rsidRDefault="00BD6A66" w:rsidP="00B80806">
            <w:pPr>
              <w:rPr>
                <w:rFonts w:ascii="Arial Narrow" w:hAnsi="Arial Narrow"/>
                <w:b/>
                <w:bCs/>
                <w:strike/>
                <w:color w:val="333333"/>
                <w:sz w:val="18"/>
                <w:szCs w:val="18"/>
              </w:rPr>
            </w:pPr>
            <w:r w:rsidRPr="00B24C99">
              <w:rPr>
                <w:rFonts w:ascii="Arial Narrow" w:hAnsi="Arial Narrow"/>
                <w:b/>
                <w:bCs/>
                <w:strike/>
                <w:color w:val="000000" w:themeColor="text1"/>
                <w:sz w:val="18"/>
                <w:szCs w:val="18"/>
              </w:rPr>
              <w:t>Administrative Advice:</w:t>
            </w:r>
            <w:r w:rsidRPr="00B24C99">
              <w:rPr>
                <w:strike/>
              </w:rPr>
              <w:t xml:space="preserve"> </w:t>
            </w:r>
            <w:r w:rsidRPr="00B24C99">
              <w:rPr>
                <w:rFonts w:ascii="Arial Narrow" w:hAnsi="Arial Narrow"/>
                <w:strike/>
                <w:color w:val="000000" w:themeColor="text1"/>
                <w:sz w:val="18"/>
                <w:szCs w:val="18"/>
              </w:rPr>
              <w:t>Patients who have developed intolerance to ipilimumab of a severity necessitating permanent treatment withdrawal are eligible to receive PBS-subsidised nivolumab</w:t>
            </w:r>
          </w:p>
        </w:tc>
      </w:tr>
      <w:tr w:rsidR="00BD6A66" w:rsidRPr="00B24C99" w:rsidTr="00B80806">
        <w:tc>
          <w:tcPr>
            <w:tcW w:w="5000" w:type="pct"/>
            <w:vAlign w:val="center"/>
            <w:hideMark/>
          </w:tcPr>
          <w:p w:rsidR="00BD6A66" w:rsidRPr="00B24C99" w:rsidRDefault="00BD6A66" w:rsidP="00B80806">
            <w:pPr>
              <w:rPr>
                <w:rFonts w:ascii="Arial Narrow" w:hAnsi="Arial Narrow"/>
                <w:color w:val="333333"/>
                <w:sz w:val="18"/>
                <w:szCs w:val="18"/>
              </w:rPr>
            </w:pPr>
            <w:r w:rsidRPr="00B24C99">
              <w:rPr>
                <w:rFonts w:ascii="Arial Narrow" w:hAnsi="Arial Narrow"/>
                <w:b/>
                <w:bCs/>
                <w:color w:val="000000" w:themeColor="text1"/>
                <w:sz w:val="18"/>
                <w:szCs w:val="18"/>
              </w:rPr>
              <w:t>Administrative Advice:</w:t>
            </w:r>
            <w:r w:rsidRPr="00B24C99">
              <w:rPr>
                <w:rFonts w:ascii="Arial Narrow" w:hAnsi="Arial Narrow"/>
                <w:color w:val="000000" w:themeColor="text1"/>
                <w:sz w:val="18"/>
                <w:szCs w:val="18"/>
              </w:rPr>
              <w:t xml:space="preserve"> No increase in the maximum number of repeats may be authorised</w:t>
            </w:r>
          </w:p>
        </w:tc>
      </w:tr>
      <w:tr w:rsidR="00BD6A66" w:rsidRPr="00B24C99" w:rsidTr="00B80806">
        <w:tc>
          <w:tcPr>
            <w:tcW w:w="5000" w:type="pct"/>
            <w:vAlign w:val="center"/>
            <w:hideMark/>
          </w:tcPr>
          <w:p w:rsidR="00BD6A66" w:rsidRPr="00B24C99" w:rsidRDefault="00BD6A66" w:rsidP="00B80806">
            <w:pPr>
              <w:rPr>
                <w:rFonts w:ascii="Arial Narrow" w:hAnsi="Arial Narrow"/>
                <w:color w:val="333333"/>
                <w:sz w:val="18"/>
                <w:szCs w:val="18"/>
              </w:rPr>
            </w:pPr>
            <w:r w:rsidRPr="00B24C99">
              <w:rPr>
                <w:rFonts w:ascii="Arial Narrow" w:hAnsi="Arial Narrow"/>
                <w:b/>
                <w:bCs/>
                <w:color w:val="000000" w:themeColor="text1"/>
                <w:sz w:val="18"/>
                <w:szCs w:val="18"/>
              </w:rPr>
              <w:t xml:space="preserve">Administrative Advice: </w:t>
            </w:r>
            <w:r w:rsidRPr="00B24C99">
              <w:rPr>
                <w:rFonts w:ascii="Arial Narrow" w:hAnsi="Arial Narrow"/>
                <w:bCs/>
                <w:color w:val="000000" w:themeColor="text1"/>
                <w:sz w:val="18"/>
                <w:szCs w:val="18"/>
              </w:rPr>
              <w:t>Special Pricing Arrangements apply</w:t>
            </w:r>
          </w:p>
        </w:tc>
      </w:tr>
      <w:tr w:rsidR="00BD6A66" w:rsidRPr="00B24C99" w:rsidTr="00B80806">
        <w:tc>
          <w:tcPr>
            <w:tcW w:w="5000" w:type="pct"/>
            <w:vAlign w:val="center"/>
            <w:hideMark/>
          </w:tcPr>
          <w:p w:rsidR="00BD6A66" w:rsidRPr="00B24C99" w:rsidRDefault="00BD6A66" w:rsidP="00B80806">
            <w:pPr>
              <w:rPr>
                <w:rFonts w:ascii="Arial Narrow" w:hAnsi="Arial Narrow"/>
                <w:bCs/>
                <w:color w:val="000000" w:themeColor="text1"/>
                <w:sz w:val="18"/>
                <w:szCs w:val="18"/>
              </w:rPr>
            </w:pPr>
            <w:r w:rsidRPr="00B24C99">
              <w:rPr>
                <w:rFonts w:ascii="Arial Narrow" w:hAnsi="Arial Narrow"/>
                <w:b/>
                <w:bCs/>
                <w:color w:val="000000" w:themeColor="text1"/>
                <w:sz w:val="18"/>
                <w:szCs w:val="18"/>
              </w:rPr>
              <w:t>Administrative Advice:</w:t>
            </w:r>
            <w:r w:rsidRPr="00B24C99">
              <w:rPr>
                <w:rFonts w:ascii="Arial Narrow" w:hAnsi="Arial Narrow"/>
                <w:bCs/>
                <w:color w:val="000000" w:themeColor="text1"/>
                <w:sz w:val="18"/>
                <w:szCs w:val="18"/>
              </w:rPr>
              <w:t xml:space="preserve"> In the first few months after start of immunotherapy, some patients can have a transient tumour flare with subsequent disease response. When progression is suspected, this should be confirmed through a confirmatory scan, taken at least 4 weeks later.</w:t>
            </w:r>
          </w:p>
          <w:p w:rsidR="00BD6A66" w:rsidRPr="00B24C99" w:rsidRDefault="00BD6A66" w:rsidP="00B80806">
            <w:pPr>
              <w:rPr>
                <w:rFonts w:ascii="Arial Narrow" w:hAnsi="Arial Narrow"/>
                <w:bCs/>
                <w:color w:val="000000" w:themeColor="text1"/>
                <w:sz w:val="18"/>
                <w:szCs w:val="18"/>
              </w:rPr>
            </w:pPr>
          </w:p>
          <w:p w:rsidR="00BD6A66" w:rsidRPr="00B24C99" w:rsidRDefault="00BD6A66" w:rsidP="00B80806">
            <w:pPr>
              <w:rPr>
                <w:rFonts w:ascii="Arial Narrow" w:hAnsi="Arial Narrow"/>
                <w:color w:val="333333"/>
                <w:sz w:val="18"/>
                <w:szCs w:val="18"/>
              </w:rPr>
            </w:pPr>
            <w:r w:rsidRPr="00B24C99">
              <w:rPr>
                <w:rFonts w:ascii="Arial Narrow" w:hAnsi="Arial Narrow"/>
                <w:color w:val="333333"/>
                <w:sz w:val="18"/>
                <w:szCs w:val="18"/>
              </w:rPr>
              <w:t xml:space="preserve">CAUTION: Combination treatment with ipilimumab and nivolumab is associated with an increased incidence and severity of immune-related adverse reactions compared with monotherapy with these agents. Monitoring at least prior to each dose is recommended. </w:t>
            </w:r>
          </w:p>
          <w:p w:rsidR="00BD6A66" w:rsidRPr="00B24C99" w:rsidRDefault="00BD6A66" w:rsidP="00B80806">
            <w:pPr>
              <w:rPr>
                <w:rFonts w:ascii="Arial Narrow" w:hAnsi="Arial Narrow"/>
                <w:color w:val="333333"/>
                <w:sz w:val="18"/>
                <w:szCs w:val="18"/>
              </w:rPr>
            </w:pPr>
          </w:p>
          <w:p w:rsidR="00BD6A66" w:rsidRPr="00B24C99" w:rsidRDefault="00BD6A66" w:rsidP="00B80806">
            <w:pPr>
              <w:rPr>
                <w:rFonts w:ascii="Arial Narrow" w:hAnsi="Arial Narrow"/>
                <w:color w:val="333333"/>
                <w:sz w:val="18"/>
                <w:szCs w:val="18"/>
              </w:rPr>
            </w:pPr>
            <w:r w:rsidRPr="00B24C99">
              <w:rPr>
                <w:rFonts w:ascii="Arial Narrow" w:hAnsi="Arial Narrow"/>
                <w:color w:val="333333"/>
                <w:sz w:val="18"/>
                <w:szCs w:val="18"/>
              </w:rPr>
              <w:t>No increase in the maximum number of repeats may be authorised.</w:t>
            </w:r>
          </w:p>
        </w:tc>
      </w:tr>
    </w:tbl>
    <w:p w:rsidR="00BD6A66" w:rsidRPr="00B24C99" w:rsidRDefault="00BD6A66" w:rsidP="00BD6A66">
      <w:pPr>
        <w:rPr>
          <w:b/>
          <w:u w:val="single"/>
        </w:rPr>
      </w:pPr>
    </w:p>
    <w:tbl>
      <w:tblPr>
        <w:tblW w:w="5001" w:type="pct"/>
        <w:tblBorders>
          <w:top w:val="single" w:sz="4" w:space="0" w:color="auto"/>
          <w:bottom w:val="single" w:sz="4" w:space="0" w:color="auto"/>
          <w:insideH w:val="single" w:sz="4" w:space="0" w:color="auto"/>
        </w:tblBorders>
        <w:tblLook w:val="04A0" w:firstRow="1" w:lastRow="0" w:firstColumn="1" w:lastColumn="0" w:noHBand="0" w:noVBand="1"/>
      </w:tblPr>
      <w:tblGrid>
        <w:gridCol w:w="2757"/>
        <w:gridCol w:w="973"/>
        <w:gridCol w:w="1241"/>
        <w:gridCol w:w="2344"/>
        <w:gridCol w:w="1714"/>
      </w:tblGrid>
      <w:tr w:rsidR="001558C9" w:rsidRPr="00B24C99" w:rsidTr="00BD6A66">
        <w:tc>
          <w:tcPr>
            <w:tcW w:w="1527" w:type="pct"/>
            <w:tcBorders>
              <w:bottom w:val="single" w:sz="4" w:space="0" w:color="auto"/>
            </w:tcBorders>
          </w:tcPr>
          <w:p w:rsidR="001558C9" w:rsidRPr="00B24C99" w:rsidRDefault="001558C9" w:rsidP="008D4843">
            <w:pPr>
              <w:jc w:val="left"/>
              <w:rPr>
                <w:rFonts w:ascii="Arial Narrow" w:hAnsi="Arial Narrow"/>
                <w:b/>
                <w:sz w:val="20"/>
                <w:szCs w:val="20"/>
              </w:rPr>
            </w:pPr>
            <w:r w:rsidRPr="00B24C99">
              <w:rPr>
                <w:rFonts w:ascii="Arial Narrow" w:hAnsi="Arial Narrow"/>
                <w:b/>
                <w:sz w:val="20"/>
                <w:szCs w:val="20"/>
              </w:rPr>
              <w:t>Name, restriction, manner of administration, form</w:t>
            </w:r>
          </w:p>
        </w:tc>
        <w:tc>
          <w:tcPr>
            <w:tcW w:w="539" w:type="pct"/>
            <w:tcBorders>
              <w:bottom w:val="single" w:sz="4" w:space="0" w:color="auto"/>
            </w:tcBorders>
          </w:tcPr>
          <w:p w:rsidR="001558C9" w:rsidRPr="00B24C99" w:rsidRDefault="001558C9" w:rsidP="008D4843">
            <w:pPr>
              <w:jc w:val="center"/>
              <w:rPr>
                <w:rFonts w:ascii="Arial Narrow" w:hAnsi="Arial Narrow"/>
                <w:b/>
                <w:sz w:val="20"/>
                <w:szCs w:val="20"/>
              </w:rPr>
            </w:pPr>
            <w:r w:rsidRPr="00B24C99">
              <w:rPr>
                <w:rFonts w:ascii="Arial Narrow" w:hAnsi="Arial Narrow"/>
                <w:b/>
                <w:sz w:val="20"/>
                <w:szCs w:val="20"/>
              </w:rPr>
              <w:t>Maximum amount</w:t>
            </w:r>
          </w:p>
        </w:tc>
        <w:tc>
          <w:tcPr>
            <w:tcW w:w="687" w:type="pct"/>
            <w:tcBorders>
              <w:bottom w:val="single" w:sz="4" w:space="0" w:color="auto"/>
            </w:tcBorders>
          </w:tcPr>
          <w:p w:rsidR="001558C9" w:rsidRPr="00B24C99" w:rsidRDefault="001558C9" w:rsidP="008D4843">
            <w:pPr>
              <w:jc w:val="center"/>
              <w:rPr>
                <w:rFonts w:ascii="Arial Narrow" w:hAnsi="Arial Narrow"/>
                <w:b/>
                <w:sz w:val="20"/>
                <w:szCs w:val="20"/>
              </w:rPr>
            </w:pPr>
            <w:r w:rsidRPr="00B24C99">
              <w:rPr>
                <w:rFonts w:ascii="Arial Narrow" w:hAnsi="Arial Narrow"/>
                <w:b/>
                <w:sz w:val="20"/>
                <w:szCs w:val="20"/>
              </w:rPr>
              <w:t>No. of repeats</w:t>
            </w:r>
          </w:p>
        </w:tc>
        <w:tc>
          <w:tcPr>
            <w:tcW w:w="1298" w:type="pct"/>
            <w:tcBorders>
              <w:bottom w:val="single" w:sz="4" w:space="0" w:color="auto"/>
            </w:tcBorders>
          </w:tcPr>
          <w:p w:rsidR="001558C9" w:rsidRPr="00B24C99" w:rsidRDefault="001558C9" w:rsidP="008D4843">
            <w:pPr>
              <w:jc w:val="left"/>
              <w:rPr>
                <w:rFonts w:ascii="Arial Narrow" w:hAnsi="Arial Narrow"/>
                <w:b/>
                <w:sz w:val="20"/>
                <w:szCs w:val="20"/>
              </w:rPr>
            </w:pPr>
            <w:r w:rsidRPr="00B24C99">
              <w:rPr>
                <w:rFonts w:ascii="Arial Narrow" w:hAnsi="Arial Narrow"/>
                <w:b/>
                <w:sz w:val="20"/>
                <w:szCs w:val="20"/>
              </w:rPr>
              <w:t>Dispensed price for maximum amount</w:t>
            </w:r>
          </w:p>
        </w:tc>
        <w:tc>
          <w:tcPr>
            <w:tcW w:w="949" w:type="pct"/>
            <w:tcBorders>
              <w:bottom w:val="single" w:sz="4" w:space="0" w:color="auto"/>
            </w:tcBorders>
          </w:tcPr>
          <w:p w:rsidR="001558C9" w:rsidRPr="00B24C99" w:rsidRDefault="001558C9" w:rsidP="008D4843">
            <w:pPr>
              <w:rPr>
                <w:rFonts w:ascii="Arial Narrow" w:hAnsi="Arial Narrow"/>
                <w:b/>
                <w:sz w:val="20"/>
                <w:szCs w:val="20"/>
              </w:rPr>
            </w:pPr>
            <w:r w:rsidRPr="00B24C99">
              <w:rPr>
                <w:rFonts w:ascii="Arial Narrow" w:hAnsi="Arial Narrow"/>
                <w:b/>
                <w:sz w:val="20"/>
                <w:szCs w:val="20"/>
              </w:rPr>
              <w:t>Proprietary name and manufacturer</w:t>
            </w:r>
          </w:p>
        </w:tc>
      </w:tr>
      <w:tr w:rsidR="001558C9" w:rsidRPr="00B24C99" w:rsidTr="00BD6A66">
        <w:tc>
          <w:tcPr>
            <w:tcW w:w="1527" w:type="pct"/>
            <w:tcBorders>
              <w:bottom w:val="single" w:sz="4" w:space="0" w:color="auto"/>
            </w:tcBorders>
            <w:vAlign w:val="center"/>
          </w:tcPr>
          <w:p w:rsidR="001558C9" w:rsidRPr="00B24C99" w:rsidRDefault="001558C9" w:rsidP="008D4843">
            <w:pPr>
              <w:pStyle w:val="TableText0"/>
              <w:rPr>
                <w:smallCaps/>
              </w:rPr>
            </w:pPr>
            <w:r w:rsidRPr="00B24C99">
              <w:rPr>
                <w:smallCaps/>
              </w:rPr>
              <w:t xml:space="preserve">Ipilimumab </w:t>
            </w:r>
          </w:p>
          <w:p w:rsidR="001558C9" w:rsidRPr="00B24C99" w:rsidRDefault="001558C9" w:rsidP="008D4843">
            <w:pPr>
              <w:pStyle w:val="TableText0"/>
            </w:pPr>
            <w:r w:rsidRPr="00B24C99">
              <w:t>50 mg/10 mL injection, 10 mL vial</w:t>
            </w:r>
          </w:p>
        </w:tc>
        <w:tc>
          <w:tcPr>
            <w:tcW w:w="539" w:type="pct"/>
            <w:tcBorders>
              <w:bottom w:val="single" w:sz="4" w:space="0" w:color="auto"/>
            </w:tcBorders>
            <w:vAlign w:val="center"/>
          </w:tcPr>
          <w:p w:rsidR="001558C9" w:rsidRPr="00B24C99" w:rsidRDefault="001558C9" w:rsidP="008D4843">
            <w:pPr>
              <w:pStyle w:val="TableText0"/>
              <w:jc w:val="center"/>
            </w:pPr>
            <w:r w:rsidRPr="00B24C99">
              <w:t>120 mg</w:t>
            </w:r>
          </w:p>
        </w:tc>
        <w:tc>
          <w:tcPr>
            <w:tcW w:w="687" w:type="pct"/>
            <w:tcBorders>
              <w:bottom w:val="single" w:sz="4" w:space="0" w:color="auto"/>
            </w:tcBorders>
            <w:vAlign w:val="center"/>
          </w:tcPr>
          <w:p w:rsidR="001558C9" w:rsidRPr="00B24C99" w:rsidRDefault="001558C9" w:rsidP="008D4843">
            <w:pPr>
              <w:pStyle w:val="TableText0"/>
              <w:jc w:val="center"/>
            </w:pPr>
            <w:r w:rsidRPr="00B24C99">
              <w:t>4</w:t>
            </w:r>
            <w:r w:rsidRPr="00B24C99">
              <w:rPr>
                <w:vertAlign w:val="superscript"/>
              </w:rPr>
              <w:t xml:space="preserve"> </w:t>
            </w:r>
            <w:r w:rsidRPr="00B24C99">
              <w:rPr>
                <w:strike/>
              </w:rPr>
              <w:t>(initial and continuing treatment)</w:t>
            </w:r>
          </w:p>
        </w:tc>
        <w:tc>
          <w:tcPr>
            <w:tcW w:w="1298" w:type="pct"/>
            <w:tcBorders>
              <w:bottom w:val="single" w:sz="4" w:space="0" w:color="auto"/>
            </w:tcBorders>
            <w:vAlign w:val="center"/>
          </w:tcPr>
          <w:p w:rsidR="001558C9" w:rsidRPr="00B24C99" w:rsidRDefault="001558C9" w:rsidP="008D4843">
            <w:pPr>
              <w:pStyle w:val="TableText0"/>
            </w:pPr>
            <w:r w:rsidRPr="00B24C99">
              <w:t>Published price</w:t>
            </w:r>
          </w:p>
          <w:p w:rsidR="001558C9" w:rsidRPr="00B24C99" w:rsidRDefault="001558C9" w:rsidP="008D4843">
            <w:pPr>
              <w:pStyle w:val="TableText0"/>
            </w:pPr>
            <w:r w:rsidRPr="00B24C99">
              <w:t>$16,963.54 public hospital</w:t>
            </w:r>
          </w:p>
          <w:p w:rsidR="001558C9" w:rsidRPr="00B24C99" w:rsidRDefault="001558C9" w:rsidP="008D4843">
            <w:pPr>
              <w:pStyle w:val="TableText0"/>
            </w:pPr>
            <w:r w:rsidRPr="00B24C99">
              <w:t>$17,240.45 private hospital</w:t>
            </w:r>
          </w:p>
          <w:p w:rsidR="001558C9" w:rsidRPr="00B24C99" w:rsidRDefault="001558C9" w:rsidP="008D4843">
            <w:pPr>
              <w:pStyle w:val="TableText0"/>
              <w:rPr>
                <w:vertAlign w:val="superscript"/>
              </w:rPr>
            </w:pPr>
            <w:r w:rsidRPr="00B24C99">
              <w:t>Effective price</w:t>
            </w:r>
          </w:p>
          <w:p w:rsidR="001558C9" w:rsidRPr="00B24C99" w:rsidRDefault="001558C9" w:rsidP="008D4843">
            <w:pPr>
              <w:pStyle w:val="TableText0"/>
            </w:pPr>
            <w:r w:rsidRPr="00B24C99">
              <w:t>$</w:t>
            </w:r>
            <w:r w:rsidR="004E3484">
              <w:rPr>
                <w:noProof/>
                <w:color w:val="000000"/>
                <w:highlight w:val="black"/>
              </w:rPr>
              <w:t>'''''''''''''''''''''</w:t>
            </w:r>
            <w:r w:rsidRPr="00B24C99">
              <w:t xml:space="preserve"> public hospital</w:t>
            </w:r>
          </w:p>
          <w:p w:rsidR="001558C9" w:rsidRPr="00B24C99" w:rsidRDefault="001558C9" w:rsidP="008D4843">
            <w:pPr>
              <w:pStyle w:val="TableText0"/>
            </w:pPr>
            <w:r w:rsidRPr="00B24C99">
              <w:t>$</w:t>
            </w:r>
            <w:r w:rsidR="004E3484">
              <w:rPr>
                <w:noProof/>
                <w:color w:val="000000"/>
                <w:highlight w:val="black"/>
              </w:rPr>
              <w:t>''''''''''''''''''''''</w:t>
            </w:r>
            <w:r w:rsidRPr="00B24C99">
              <w:t xml:space="preserve"> private hospital</w:t>
            </w:r>
          </w:p>
        </w:tc>
        <w:tc>
          <w:tcPr>
            <w:tcW w:w="949" w:type="pct"/>
            <w:tcBorders>
              <w:bottom w:val="single" w:sz="4" w:space="0" w:color="auto"/>
            </w:tcBorders>
            <w:vAlign w:val="center"/>
          </w:tcPr>
          <w:p w:rsidR="001558C9" w:rsidRPr="00B24C99" w:rsidRDefault="001558C9" w:rsidP="008D4843">
            <w:pPr>
              <w:pStyle w:val="TableText0"/>
            </w:pPr>
            <w:r w:rsidRPr="00B24C99">
              <w:t>Yervoy</w:t>
            </w:r>
            <w:r w:rsidRPr="00B24C99">
              <w:rPr>
                <w:vertAlign w:val="superscript"/>
              </w:rPr>
              <w:t>®</w:t>
            </w:r>
          </w:p>
          <w:p w:rsidR="001558C9" w:rsidRPr="00B24C99" w:rsidRDefault="001558C9" w:rsidP="008D4843">
            <w:pPr>
              <w:pStyle w:val="TableText0"/>
            </w:pPr>
            <w:r w:rsidRPr="00B24C99">
              <w:t>Bristol-Myers Squibb Australia Pty Ltd</w:t>
            </w:r>
          </w:p>
        </w:tc>
      </w:tr>
    </w:tbl>
    <w:p w:rsidR="0064434C" w:rsidRPr="00B24C99" w:rsidRDefault="0064434C" w:rsidP="00723EC2">
      <w:pPr>
        <w:pStyle w:val="3-BodyText"/>
        <w:numPr>
          <w:ilvl w:val="0"/>
          <w:numId w:val="0"/>
        </w:numPr>
        <w:rPr>
          <w:rFonts w:ascii="Arial Narrow" w:hAnsi="Arial Narrow" w:cs="Times New Roman"/>
          <w:sz w:val="20"/>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28"/>
      </w:tblGrid>
      <w:tr w:rsidR="00BD6A66" w:rsidRPr="00B24C99" w:rsidTr="003207C4">
        <w:tc>
          <w:tcPr>
            <w:tcW w:w="5000" w:type="pct"/>
            <w:tcBorders>
              <w:top w:val="single" w:sz="4" w:space="0" w:color="auto"/>
              <w:left w:val="single" w:sz="4" w:space="0" w:color="auto"/>
              <w:bottom w:val="single" w:sz="4" w:space="0" w:color="auto"/>
              <w:right w:val="single" w:sz="4" w:space="0" w:color="auto"/>
            </w:tcBorders>
          </w:tcPr>
          <w:p w:rsidR="00BD6A66" w:rsidRPr="00B24C99" w:rsidRDefault="00BD6A66" w:rsidP="00B80806">
            <w:pPr>
              <w:rPr>
                <w:rFonts w:ascii="Arial Narrow" w:hAnsi="Arial Narrow"/>
                <w:sz w:val="18"/>
                <w:szCs w:val="18"/>
              </w:rPr>
            </w:pPr>
            <w:r w:rsidRPr="00B24C99">
              <w:rPr>
                <w:rFonts w:ascii="Arial Narrow" w:hAnsi="Arial Narrow"/>
                <w:b/>
                <w:sz w:val="18"/>
                <w:szCs w:val="18"/>
              </w:rPr>
              <w:t xml:space="preserve">Category / Program:   </w:t>
            </w:r>
            <w:r w:rsidRPr="00B24C99">
              <w:rPr>
                <w:rFonts w:ascii="Arial Narrow" w:hAnsi="Arial Narrow"/>
                <w:sz w:val="18"/>
                <w:szCs w:val="18"/>
              </w:rPr>
              <w:t xml:space="preserve">Section 100 – Efficient Funding of Chemotherapy Public/Private hospitals </w:t>
            </w:r>
          </w:p>
        </w:tc>
      </w:tr>
      <w:tr w:rsidR="00BD6A66" w:rsidRPr="00B24C99" w:rsidTr="003207C4">
        <w:trPr>
          <w:trHeight w:val="240"/>
        </w:trPr>
        <w:tc>
          <w:tcPr>
            <w:tcW w:w="5000" w:type="pct"/>
            <w:tcBorders>
              <w:top w:val="single" w:sz="4" w:space="0" w:color="auto"/>
              <w:left w:val="single" w:sz="4" w:space="0" w:color="auto"/>
              <w:bottom w:val="single" w:sz="4" w:space="0" w:color="auto"/>
              <w:right w:val="single" w:sz="4" w:space="0" w:color="auto"/>
            </w:tcBorders>
          </w:tcPr>
          <w:p w:rsidR="00BD6A66" w:rsidRPr="00B24C99" w:rsidRDefault="00BD6A66" w:rsidP="00B80806">
            <w:pPr>
              <w:rPr>
                <w:rFonts w:ascii="Arial Narrow" w:hAnsi="Arial Narrow"/>
                <w:b/>
                <w:sz w:val="18"/>
                <w:szCs w:val="18"/>
              </w:rPr>
            </w:pPr>
            <w:r w:rsidRPr="00B24C99">
              <w:rPr>
                <w:rFonts w:ascii="Arial Narrow" w:hAnsi="Arial Narrow"/>
                <w:b/>
                <w:sz w:val="18"/>
                <w:szCs w:val="18"/>
              </w:rPr>
              <w:t xml:space="preserve">Prescriber type:   </w:t>
            </w:r>
            <w:r w:rsidRPr="00B24C99">
              <w:rPr>
                <w:rFonts w:ascii="Arial Narrow" w:hAnsi="Arial Narrow"/>
                <w:sz w:val="18"/>
                <w:szCs w:val="18"/>
              </w:rPr>
              <w:fldChar w:fldCharType="begin">
                <w:ffData>
                  <w:name w:val="Check1"/>
                  <w:enabled/>
                  <w:calcOnExit w:val="0"/>
                  <w:checkBox>
                    <w:sizeAuto/>
                    <w:default w:val="0"/>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 xml:space="preserve">Dental    </w:t>
            </w:r>
            <w:r w:rsidRPr="00B24C99">
              <w:rPr>
                <w:rFonts w:ascii="Arial Narrow" w:hAnsi="Arial Narrow"/>
                <w:sz w:val="18"/>
                <w:szCs w:val="18"/>
              </w:rPr>
              <w:fldChar w:fldCharType="begin">
                <w:ffData>
                  <w:name w:val=""/>
                  <w:enabled/>
                  <w:calcOnExit w:val="0"/>
                  <w:checkBox>
                    <w:sizeAuto/>
                    <w:default w:val="1"/>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 xml:space="preserve">Medical Practitioners    </w:t>
            </w:r>
            <w:r w:rsidRPr="00B24C99">
              <w:rPr>
                <w:rFonts w:ascii="Arial Narrow" w:hAnsi="Arial Narrow"/>
                <w:sz w:val="18"/>
                <w:szCs w:val="18"/>
              </w:rPr>
              <w:fldChar w:fldCharType="begin">
                <w:ffData>
                  <w:name w:val="Check3"/>
                  <w:enabled/>
                  <w:calcOnExit w:val="0"/>
                  <w:checkBox>
                    <w:sizeAuto/>
                    <w:default w:val="0"/>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 xml:space="preserve">Nurse practitioners     </w:t>
            </w:r>
            <w:r w:rsidRPr="00B24C99">
              <w:rPr>
                <w:rFonts w:ascii="Arial Narrow" w:hAnsi="Arial Narrow"/>
                <w:sz w:val="18"/>
                <w:szCs w:val="18"/>
              </w:rPr>
              <w:fldChar w:fldCharType="begin">
                <w:ffData>
                  <w:name w:val=""/>
                  <w:enabled/>
                  <w:calcOnExit w:val="0"/>
                  <w:checkBox>
                    <w:sizeAuto/>
                    <w:default w:val="0"/>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 xml:space="preserve">Optometrists    </w:t>
            </w:r>
            <w:r w:rsidRPr="00B24C99">
              <w:rPr>
                <w:rFonts w:ascii="Arial Narrow" w:hAnsi="Arial Narrow"/>
                <w:sz w:val="18"/>
                <w:szCs w:val="18"/>
              </w:rPr>
              <w:fldChar w:fldCharType="begin">
                <w:ffData>
                  <w:name w:val="Check5"/>
                  <w:enabled/>
                  <w:calcOnExit w:val="0"/>
                  <w:checkBox>
                    <w:sizeAuto/>
                    <w:default w:val="0"/>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Midwives</w:t>
            </w:r>
          </w:p>
        </w:tc>
      </w:tr>
      <w:tr w:rsidR="00BD6A66" w:rsidRPr="00B24C99" w:rsidTr="003207C4">
        <w:tc>
          <w:tcPr>
            <w:tcW w:w="5000" w:type="pct"/>
            <w:tcBorders>
              <w:top w:val="single" w:sz="4" w:space="0" w:color="auto"/>
              <w:left w:val="single" w:sz="4" w:space="0" w:color="auto"/>
              <w:bottom w:val="single" w:sz="4" w:space="0" w:color="auto"/>
              <w:right w:val="single" w:sz="4" w:space="0" w:color="auto"/>
            </w:tcBorders>
          </w:tcPr>
          <w:p w:rsidR="00BD6A66" w:rsidRPr="00B24C99" w:rsidRDefault="00BD6A66" w:rsidP="00B80806">
            <w:pPr>
              <w:rPr>
                <w:rFonts w:ascii="Arial Narrow" w:hAnsi="Arial Narrow"/>
                <w:b/>
                <w:sz w:val="18"/>
                <w:szCs w:val="18"/>
              </w:rPr>
            </w:pPr>
            <w:r w:rsidRPr="00B24C99">
              <w:rPr>
                <w:rFonts w:ascii="Arial Narrow" w:hAnsi="Arial Narrow"/>
                <w:b/>
                <w:sz w:val="18"/>
                <w:szCs w:val="18"/>
              </w:rPr>
              <w:t>Restriction Type – assessment time by Medicare – Method of obtaining authority approval (if Authority Required):</w:t>
            </w:r>
          </w:p>
          <w:p w:rsidR="00BD6A66" w:rsidRPr="00B24C99" w:rsidRDefault="00BD6A66" w:rsidP="00B80806">
            <w:pPr>
              <w:rPr>
                <w:rFonts w:ascii="Arial Narrow" w:eastAsia="Calibri" w:hAnsi="Arial Narrow"/>
                <w:sz w:val="18"/>
                <w:szCs w:val="18"/>
              </w:rPr>
            </w:pPr>
            <w:r w:rsidRPr="00B24C99">
              <w:rPr>
                <w:rFonts w:ascii="Arial Narrow" w:eastAsia="Calibri" w:hAnsi="Arial Narrow"/>
                <w:sz w:val="18"/>
                <w:szCs w:val="18"/>
              </w:rPr>
              <w:fldChar w:fldCharType="begin">
                <w:ffData>
                  <w:name w:val=""/>
                  <w:enabled/>
                  <w:calcOnExit w:val="0"/>
                  <w:checkBox>
                    <w:sizeAuto/>
                    <w:default w:val="1"/>
                  </w:checkBox>
                </w:ffData>
              </w:fldChar>
            </w:r>
            <w:r w:rsidRPr="00B24C99">
              <w:rPr>
                <w:rFonts w:ascii="Arial Narrow" w:eastAsia="Calibri" w:hAnsi="Arial Narrow"/>
                <w:sz w:val="18"/>
                <w:szCs w:val="18"/>
              </w:rPr>
              <w:instrText xml:space="preserve"> FORMCHECKBOX </w:instrText>
            </w:r>
            <w:r w:rsidR="006D409D">
              <w:rPr>
                <w:rFonts w:ascii="Arial Narrow" w:eastAsia="Calibri" w:hAnsi="Arial Narrow"/>
                <w:sz w:val="18"/>
                <w:szCs w:val="18"/>
              </w:rPr>
            </w:r>
            <w:r w:rsidR="006D409D">
              <w:rPr>
                <w:rFonts w:ascii="Arial Narrow" w:eastAsia="Calibri" w:hAnsi="Arial Narrow"/>
                <w:sz w:val="18"/>
                <w:szCs w:val="18"/>
              </w:rPr>
              <w:fldChar w:fldCharType="separate"/>
            </w:r>
            <w:r w:rsidRPr="00B24C99">
              <w:rPr>
                <w:rFonts w:ascii="Arial Narrow" w:eastAsia="Calibri" w:hAnsi="Arial Narrow"/>
                <w:sz w:val="18"/>
                <w:szCs w:val="18"/>
              </w:rPr>
              <w:fldChar w:fldCharType="end"/>
            </w:r>
            <w:r w:rsidRPr="00B24C99">
              <w:rPr>
                <w:rFonts w:ascii="Arial Narrow" w:eastAsia="Calibri" w:hAnsi="Arial Narrow"/>
                <w:sz w:val="18"/>
                <w:szCs w:val="18"/>
              </w:rPr>
              <w:t xml:space="preserve">Authority Required – Streamlined [new/existing code] (specification of 4-digit code by prescriber to certify that they have read the PBS restriction; no prior assessment by Medicare; retrospective audit of patient records possible) </w:t>
            </w:r>
          </w:p>
        </w:tc>
      </w:tr>
      <w:tr w:rsidR="00BD6A66" w:rsidRPr="00B24C99" w:rsidTr="003207C4">
        <w:tc>
          <w:tcPr>
            <w:tcW w:w="5000" w:type="pct"/>
            <w:vAlign w:val="center"/>
          </w:tcPr>
          <w:p w:rsidR="00BD6A66" w:rsidRPr="00B24C99" w:rsidRDefault="00BD6A66" w:rsidP="00B80806">
            <w:pPr>
              <w:rPr>
                <w:rFonts w:ascii="Arial Narrow" w:hAnsi="Arial Narrow"/>
                <w:b/>
                <w:bCs/>
                <w:color w:val="333333"/>
                <w:sz w:val="18"/>
                <w:szCs w:val="18"/>
              </w:rPr>
            </w:pPr>
            <w:r w:rsidRPr="00B24C99">
              <w:rPr>
                <w:rFonts w:ascii="Arial Narrow" w:hAnsi="Arial Narrow"/>
                <w:b/>
                <w:bCs/>
                <w:color w:val="000000" w:themeColor="text1"/>
                <w:sz w:val="18"/>
                <w:szCs w:val="18"/>
              </w:rPr>
              <w:t xml:space="preserve">Severity: </w:t>
            </w:r>
            <w:r w:rsidRPr="00B24C99">
              <w:rPr>
                <w:rFonts w:ascii="Arial Narrow" w:hAnsi="Arial Narrow"/>
                <w:bCs/>
                <w:color w:val="000000" w:themeColor="text1"/>
                <w:sz w:val="18"/>
                <w:szCs w:val="18"/>
              </w:rPr>
              <w:t>Unresectable</w:t>
            </w:r>
          </w:p>
        </w:tc>
      </w:tr>
      <w:tr w:rsidR="00BD6A66" w:rsidRPr="00B24C99" w:rsidTr="003207C4">
        <w:tc>
          <w:tcPr>
            <w:tcW w:w="5000" w:type="pct"/>
            <w:vAlign w:val="center"/>
          </w:tcPr>
          <w:p w:rsidR="00BD6A66" w:rsidRPr="00B24C99" w:rsidRDefault="00BD6A66" w:rsidP="00B80806">
            <w:pPr>
              <w:rPr>
                <w:rFonts w:ascii="Arial Narrow" w:hAnsi="Arial Narrow"/>
                <w:b/>
                <w:bCs/>
                <w:color w:val="333333"/>
                <w:sz w:val="18"/>
                <w:szCs w:val="18"/>
              </w:rPr>
            </w:pPr>
            <w:r w:rsidRPr="00B24C99">
              <w:rPr>
                <w:rFonts w:ascii="Arial Narrow" w:hAnsi="Arial Narrow"/>
                <w:b/>
                <w:bCs/>
                <w:color w:val="000000" w:themeColor="text1"/>
                <w:sz w:val="18"/>
                <w:szCs w:val="18"/>
              </w:rPr>
              <w:t xml:space="preserve">Condition: </w:t>
            </w:r>
            <w:r w:rsidRPr="00B24C99">
              <w:rPr>
                <w:rFonts w:ascii="Arial Narrow" w:hAnsi="Arial Narrow"/>
                <w:bCs/>
                <w:color w:val="000000" w:themeColor="text1"/>
                <w:sz w:val="18"/>
                <w:szCs w:val="18"/>
              </w:rPr>
              <w:t>Malignant pleural</w:t>
            </w:r>
            <w:r w:rsidRPr="00B24C99">
              <w:rPr>
                <w:rFonts w:ascii="Arial Narrow" w:hAnsi="Arial Narrow"/>
                <w:b/>
                <w:bCs/>
                <w:color w:val="000000" w:themeColor="text1"/>
                <w:sz w:val="18"/>
                <w:szCs w:val="18"/>
              </w:rPr>
              <w:t xml:space="preserve"> </w:t>
            </w:r>
            <w:r w:rsidRPr="00B24C99">
              <w:rPr>
                <w:rFonts w:ascii="Arial Narrow" w:hAnsi="Arial Narrow"/>
                <w:bCs/>
                <w:color w:val="000000" w:themeColor="text1"/>
                <w:sz w:val="18"/>
                <w:szCs w:val="18"/>
              </w:rPr>
              <w:t>mesothelioma</w:t>
            </w:r>
          </w:p>
        </w:tc>
      </w:tr>
      <w:tr w:rsidR="00BD6A66" w:rsidRPr="00B24C99" w:rsidTr="003207C4">
        <w:tc>
          <w:tcPr>
            <w:tcW w:w="5000" w:type="pct"/>
            <w:vAlign w:val="center"/>
            <w:hideMark/>
          </w:tcPr>
          <w:p w:rsidR="00BD6A66" w:rsidRPr="00B24C99" w:rsidRDefault="00BD6A66" w:rsidP="00B80806">
            <w:pPr>
              <w:rPr>
                <w:rFonts w:ascii="Arial Narrow" w:hAnsi="Arial Narrow"/>
                <w:color w:val="333333"/>
                <w:sz w:val="18"/>
                <w:szCs w:val="18"/>
              </w:rPr>
            </w:pPr>
            <w:r w:rsidRPr="00B24C99">
              <w:rPr>
                <w:rFonts w:ascii="Arial Narrow" w:hAnsi="Arial Narrow"/>
                <w:b/>
                <w:bCs/>
                <w:color w:val="000000" w:themeColor="text1"/>
                <w:sz w:val="18"/>
                <w:szCs w:val="18"/>
              </w:rPr>
              <w:t>Indication:</w:t>
            </w:r>
            <w:r w:rsidRPr="00B24C99">
              <w:rPr>
                <w:rFonts w:ascii="Arial Narrow" w:hAnsi="Arial Narrow"/>
                <w:color w:val="000000" w:themeColor="text1"/>
                <w:sz w:val="18"/>
                <w:szCs w:val="18"/>
              </w:rPr>
              <w:t xml:space="preserve"> Unresectable malignant pleural mesothelioma</w:t>
            </w:r>
          </w:p>
        </w:tc>
      </w:tr>
      <w:tr w:rsidR="00BD6A66" w:rsidRPr="00B24C99" w:rsidTr="003207C4">
        <w:tc>
          <w:tcPr>
            <w:tcW w:w="5000" w:type="pct"/>
            <w:vAlign w:val="center"/>
          </w:tcPr>
          <w:p w:rsidR="00BD6A66" w:rsidRPr="00B24C99" w:rsidRDefault="00BD6A66" w:rsidP="00B80806">
            <w:pPr>
              <w:rPr>
                <w:rFonts w:ascii="Arial Narrow" w:hAnsi="Arial Narrow"/>
                <w:b/>
                <w:bCs/>
                <w:color w:val="333333"/>
                <w:sz w:val="18"/>
                <w:szCs w:val="18"/>
              </w:rPr>
            </w:pPr>
            <w:r w:rsidRPr="00B24C99">
              <w:rPr>
                <w:rFonts w:ascii="Arial Narrow" w:hAnsi="Arial Narrow"/>
                <w:b/>
                <w:bCs/>
                <w:color w:val="333333"/>
                <w:sz w:val="18"/>
                <w:szCs w:val="18"/>
              </w:rPr>
              <w:t>Clinical criteria:</w:t>
            </w:r>
          </w:p>
        </w:tc>
      </w:tr>
      <w:tr w:rsidR="00BD6A66" w:rsidRPr="00B24C99" w:rsidTr="003207C4">
        <w:tc>
          <w:tcPr>
            <w:tcW w:w="5000" w:type="pct"/>
            <w:vAlign w:val="center"/>
          </w:tcPr>
          <w:p w:rsidR="00BD6A66" w:rsidRPr="00B24C99" w:rsidRDefault="00BD6A66" w:rsidP="00B80806">
            <w:pPr>
              <w:rPr>
                <w:rFonts w:ascii="Arial Narrow" w:hAnsi="Arial Narrow"/>
                <w:b/>
                <w:bCs/>
                <w:strike/>
                <w:color w:val="333333"/>
                <w:sz w:val="18"/>
                <w:szCs w:val="18"/>
              </w:rPr>
            </w:pPr>
            <w:r w:rsidRPr="00B24C99">
              <w:rPr>
                <w:rFonts w:ascii="Arial Narrow" w:hAnsi="Arial Narrow"/>
                <w:strike/>
                <w:color w:val="333333"/>
                <w:sz w:val="18"/>
                <w:szCs w:val="18"/>
              </w:rPr>
              <w:t xml:space="preserve">Patient </w:t>
            </w:r>
            <w:r w:rsidRPr="00B24C99">
              <w:rPr>
                <w:rFonts w:ascii="Arial Narrow" w:hAnsi="Arial Narrow"/>
                <w:strike/>
                <w:color w:val="000000" w:themeColor="text1"/>
                <w:sz w:val="18"/>
                <w:szCs w:val="18"/>
              </w:rPr>
              <w:t>must not have received prior treatment with ipilimumab for this condition.</w:t>
            </w:r>
          </w:p>
        </w:tc>
      </w:tr>
      <w:tr w:rsidR="00BD6A66" w:rsidRPr="00B24C99" w:rsidTr="003207C4">
        <w:tc>
          <w:tcPr>
            <w:tcW w:w="5000" w:type="pct"/>
            <w:vAlign w:val="center"/>
          </w:tcPr>
          <w:p w:rsidR="00BD6A66" w:rsidRPr="00B24C99" w:rsidRDefault="00BD6A66" w:rsidP="00B80806">
            <w:pPr>
              <w:rPr>
                <w:rFonts w:ascii="Arial Narrow" w:hAnsi="Arial Narrow"/>
                <w:strike/>
                <w:color w:val="333333"/>
                <w:sz w:val="18"/>
                <w:szCs w:val="18"/>
              </w:rPr>
            </w:pPr>
            <w:r w:rsidRPr="00B24C99">
              <w:rPr>
                <w:rFonts w:ascii="Arial Narrow" w:hAnsi="Arial Narrow"/>
                <w:b/>
                <w:bCs/>
                <w:strike/>
                <w:color w:val="333333"/>
                <w:sz w:val="18"/>
                <w:szCs w:val="18"/>
              </w:rPr>
              <w:t>AND</w:t>
            </w:r>
          </w:p>
        </w:tc>
      </w:tr>
      <w:tr w:rsidR="00BD6A66" w:rsidRPr="00B24C99" w:rsidTr="003207C4">
        <w:tc>
          <w:tcPr>
            <w:tcW w:w="5000" w:type="pct"/>
            <w:vAlign w:val="center"/>
          </w:tcPr>
          <w:p w:rsidR="00BD6A66" w:rsidRPr="00B24C99" w:rsidRDefault="00BD6A66" w:rsidP="00B80806">
            <w:pPr>
              <w:rPr>
                <w:rFonts w:ascii="Arial Narrow" w:hAnsi="Arial Narrow"/>
                <w:b/>
                <w:bCs/>
                <w:color w:val="333333"/>
                <w:sz w:val="18"/>
                <w:szCs w:val="18"/>
              </w:rPr>
            </w:pPr>
            <w:r w:rsidRPr="00B24C99">
              <w:rPr>
                <w:rFonts w:ascii="Arial Narrow" w:hAnsi="Arial Narrow"/>
                <w:bCs/>
                <w:color w:val="000000" w:themeColor="text1"/>
                <w:sz w:val="18"/>
                <w:szCs w:val="18"/>
              </w:rPr>
              <w:t xml:space="preserve">Patient must have </w:t>
            </w:r>
            <w:r w:rsidRPr="00B24C99">
              <w:rPr>
                <w:rFonts w:ascii="Arial Narrow" w:hAnsi="Arial Narrow"/>
                <w:bCs/>
                <w:strike/>
                <w:color w:val="000000" w:themeColor="text1"/>
                <w:sz w:val="18"/>
                <w:szCs w:val="18"/>
              </w:rPr>
              <w:t>an Eastern Cooperative Oncology Group (ECOG)</w:t>
            </w:r>
            <w:r w:rsidRPr="00B24C99">
              <w:rPr>
                <w:rFonts w:ascii="Arial Narrow" w:hAnsi="Arial Narrow"/>
                <w:bCs/>
                <w:color w:val="000000" w:themeColor="text1"/>
                <w:sz w:val="18"/>
                <w:szCs w:val="18"/>
              </w:rPr>
              <w:t xml:space="preserve"> </w:t>
            </w:r>
            <w:r w:rsidRPr="00B24C99">
              <w:rPr>
                <w:rFonts w:ascii="Arial Narrow" w:hAnsi="Arial Narrow"/>
                <w:bCs/>
                <w:i/>
                <w:color w:val="000000" w:themeColor="text1"/>
                <w:sz w:val="18"/>
                <w:szCs w:val="18"/>
              </w:rPr>
              <w:t>a WHO</w:t>
            </w:r>
            <w:r w:rsidRPr="00B24C99">
              <w:rPr>
                <w:rFonts w:ascii="Arial Narrow" w:hAnsi="Arial Narrow"/>
                <w:bCs/>
                <w:color w:val="000000" w:themeColor="text1"/>
                <w:sz w:val="18"/>
                <w:szCs w:val="18"/>
              </w:rPr>
              <w:t xml:space="preserve"> performance status of 0 or 1.</w:t>
            </w:r>
          </w:p>
        </w:tc>
      </w:tr>
      <w:tr w:rsidR="00BD6A66" w:rsidRPr="00B24C99" w:rsidTr="003207C4">
        <w:tc>
          <w:tcPr>
            <w:tcW w:w="5000" w:type="pct"/>
            <w:vAlign w:val="center"/>
          </w:tcPr>
          <w:p w:rsidR="00BD6A66" w:rsidRPr="00B24C99" w:rsidRDefault="00BD6A66" w:rsidP="00B80806">
            <w:pPr>
              <w:rPr>
                <w:rFonts w:ascii="Arial Narrow" w:hAnsi="Arial Narrow"/>
                <w:bCs/>
                <w:color w:val="000000" w:themeColor="text1"/>
                <w:sz w:val="18"/>
                <w:szCs w:val="18"/>
              </w:rPr>
            </w:pPr>
            <w:r w:rsidRPr="00B24C99">
              <w:rPr>
                <w:rFonts w:ascii="Arial Narrow" w:hAnsi="Arial Narrow"/>
                <w:bCs/>
                <w:color w:val="000000" w:themeColor="text1"/>
                <w:sz w:val="18"/>
                <w:szCs w:val="18"/>
              </w:rPr>
              <w:t>AND</w:t>
            </w:r>
          </w:p>
        </w:tc>
      </w:tr>
      <w:tr w:rsidR="00BD6A66" w:rsidRPr="00B24C99" w:rsidTr="003207C4">
        <w:tc>
          <w:tcPr>
            <w:tcW w:w="5000" w:type="pct"/>
            <w:vAlign w:val="center"/>
          </w:tcPr>
          <w:p w:rsidR="00BD6A66" w:rsidRPr="00B24C99" w:rsidRDefault="00BD6A66" w:rsidP="00B80806">
            <w:pPr>
              <w:rPr>
                <w:rFonts w:ascii="Arial Narrow" w:hAnsi="Arial Narrow"/>
                <w:bCs/>
                <w:color w:val="000000" w:themeColor="text1"/>
                <w:sz w:val="18"/>
                <w:szCs w:val="18"/>
              </w:rPr>
            </w:pPr>
            <w:r w:rsidRPr="00B24C99">
              <w:rPr>
                <w:rFonts w:ascii="Arial Narrow" w:hAnsi="Arial Narrow"/>
                <w:bCs/>
                <w:i/>
                <w:color w:val="000000" w:themeColor="text1"/>
                <w:sz w:val="18"/>
                <w:szCs w:val="18"/>
              </w:rPr>
              <w:t>The treatment must be in combination with  PBS-subsidised nivolumab</w:t>
            </w:r>
          </w:p>
        </w:tc>
      </w:tr>
      <w:tr w:rsidR="00BD6A66" w:rsidRPr="00B24C99" w:rsidTr="003207C4">
        <w:tc>
          <w:tcPr>
            <w:tcW w:w="5000" w:type="pct"/>
            <w:vAlign w:val="center"/>
          </w:tcPr>
          <w:p w:rsidR="00BD6A66" w:rsidRPr="00B24C99" w:rsidRDefault="00BD6A66" w:rsidP="00B80806">
            <w:pPr>
              <w:rPr>
                <w:rFonts w:ascii="Arial Narrow" w:hAnsi="Arial Narrow"/>
                <w:bCs/>
                <w:i/>
                <w:color w:val="000000" w:themeColor="text1"/>
                <w:sz w:val="18"/>
                <w:szCs w:val="18"/>
              </w:rPr>
            </w:pPr>
            <w:r w:rsidRPr="00B24C99">
              <w:rPr>
                <w:rFonts w:ascii="Arial Narrow" w:hAnsi="Arial Narrow"/>
                <w:bCs/>
                <w:i/>
                <w:color w:val="000000" w:themeColor="text1"/>
                <w:sz w:val="18"/>
                <w:szCs w:val="18"/>
              </w:rPr>
              <w:t>AND</w:t>
            </w:r>
          </w:p>
        </w:tc>
      </w:tr>
      <w:tr w:rsidR="00BD6A66" w:rsidRPr="00B24C99" w:rsidTr="003207C4">
        <w:tc>
          <w:tcPr>
            <w:tcW w:w="5000" w:type="pct"/>
            <w:vAlign w:val="center"/>
          </w:tcPr>
          <w:p w:rsidR="00BD6A66" w:rsidRPr="00B24C99" w:rsidRDefault="00BD6A66" w:rsidP="00B80806">
            <w:pPr>
              <w:rPr>
                <w:rFonts w:ascii="Arial Narrow" w:hAnsi="Arial Narrow"/>
                <w:bCs/>
                <w:i/>
                <w:color w:val="000000" w:themeColor="text1"/>
                <w:sz w:val="18"/>
                <w:szCs w:val="18"/>
              </w:rPr>
            </w:pPr>
            <w:r w:rsidRPr="00B24C99">
              <w:rPr>
                <w:rFonts w:ascii="Arial Narrow" w:hAnsi="Arial Narrow"/>
                <w:bCs/>
                <w:i/>
                <w:color w:val="000000" w:themeColor="text1"/>
                <w:sz w:val="18"/>
                <w:szCs w:val="18"/>
              </w:rPr>
              <w:t>Patient must not have developed disease progression while being treated with this drug for this condition</w:t>
            </w:r>
          </w:p>
        </w:tc>
      </w:tr>
      <w:tr w:rsidR="00BD6A66" w:rsidRPr="00B24C99" w:rsidTr="003207C4">
        <w:tc>
          <w:tcPr>
            <w:tcW w:w="5000" w:type="pct"/>
            <w:vAlign w:val="center"/>
          </w:tcPr>
          <w:p w:rsidR="00BD6A66" w:rsidRPr="00B24C99" w:rsidRDefault="00BD6A66" w:rsidP="00B80806">
            <w:pPr>
              <w:rPr>
                <w:rFonts w:ascii="Arial Narrow" w:hAnsi="Arial Narrow"/>
                <w:bCs/>
                <w:i/>
                <w:color w:val="000000" w:themeColor="text1"/>
                <w:sz w:val="18"/>
                <w:szCs w:val="18"/>
              </w:rPr>
            </w:pPr>
            <w:r w:rsidRPr="00B24C99">
              <w:rPr>
                <w:rFonts w:ascii="Arial Narrow" w:hAnsi="Arial Narrow"/>
                <w:bCs/>
                <w:i/>
                <w:color w:val="000000" w:themeColor="text1"/>
                <w:sz w:val="18"/>
                <w:szCs w:val="18"/>
              </w:rPr>
              <w:t>AND</w:t>
            </w:r>
          </w:p>
        </w:tc>
      </w:tr>
      <w:tr w:rsidR="00BD6A66" w:rsidRPr="00B24C99" w:rsidTr="003207C4">
        <w:tc>
          <w:tcPr>
            <w:tcW w:w="5000" w:type="pct"/>
            <w:vAlign w:val="center"/>
          </w:tcPr>
          <w:p w:rsidR="00BD6A66" w:rsidRPr="00B24C99" w:rsidRDefault="00BD6A66" w:rsidP="00B80806">
            <w:pPr>
              <w:rPr>
                <w:rFonts w:ascii="Arial Narrow" w:hAnsi="Arial Narrow"/>
                <w:bCs/>
                <w:i/>
                <w:color w:val="000000" w:themeColor="text1"/>
                <w:sz w:val="18"/>
                <w:szCs w:val="18"/>
              </w:rPr>
            </w:pPr>
            <w:r w:rsidRPr="00B24C99">
              <w:rPr>
                <w:rFonts w:ascii="Arial Narrow" w:hAnsi="Arial Narrow"/>
                <w:bCs/>
                <w:i/>
                <w:color w:val="000000" w:themeColor="text1"/>
                <w:sz w:val="18"/>
                <w:szCs w:val="18"/>
              </w:rPr>
              <w:t>The treatment must not exceed a maximum total of 24 months in a lifetime for this condition.</w:t>
            </w:r>
          </w:p>
        </w:tc>
      </w:tr>
      <w:tr w:rsidR="00BD6A66" w:rsidRPr="00B24C99" w:rsidTr="003207C4">
        <w:tc>
          <w:tcPr>
            <w:tcW w:w="5000" w:type="pct"/>
            <w:vAlign w:val="center"/>
          </w:tcPr>
          <w:p w:rsidR="00BD6A66" w:rsidRPr="00B24C99" w:rsidRDefault="00BD6A66" w:rsidP="00B80806">
            <w:pPr>
              <w:rPr>
                <w:rFonts w:ascii="Arial Narrow" w:hAnsi="Arial Narrow"/>
                <w:b/>
                <w:bCs/>
                <w:strike/>
                <w:color w:val="000000" w:themeColor="text1"/>
                <w:sz w:val="18"/>
                <w:szCs w:val="18"/>
              </w:rPr>
            </w:pPr>
            <w:r w:rsidRPr="00B24C99">
              <w:rPr>
                <w:rFonts w:ascii="Arial Narrow" w:hAnsi="Arial Narrow"/>
                <w:b/>
                <w:bCs/>
                <w:color w:val="000000" w:themeColor="text1"/>
                <w:sz w:val="18"/>
                <w:szCs w:val="18"/>
              </w:rPr>
              <w:t>Administrative Advice:</w:t>
            </w:r>
            <w:r w:rsidRPr="00B24C99">
              <w:rPr>
                <w:rFonts w:ascii="Arial Narrow" w:hAnsi="Arial Narrow"/>
                <w:color w:val="000000" w:themeColor="text1"/>
                <w:sz w:val="18"/>
                <w:szCs w:val="18"/>
              </w:rPr>
              <w:t xml:space="preserve"> No increase in the maximum number of repeats may be authorised</w:t>
            </w:r>
          </w:p>
        </w:tc>
      </w:tr>
      <w:tr w:rsidR="00BD6A66" w:rsidRPr="00B24C99" w:rsidTr="003207C4">
        <w:tc>
          <w:tcPr>
            <w:tcW w:w="5000" w:type="pct"/>
            <w:vAlign w:val="center"/>
          </w:tcPr>
          <w:p w:rsidR="00BD6A66" w:rsidRPr="00B24C99" w:rsidRDefault="00BD6A66" w:rsidP="00B80806">
            <w:pPr>
              <w:rPr>
                <w:rFonts w:ascii="Arial Narrow" w:hAnsi="Arial Narrow"/>
                <w:b/>
                <w:bCs/>
                <w:color w:val="000000" w:themeColor="text1"/>
                <w:sz w:val="18"/>
                <w:szCs w:val="18"/>
              </w:rPr>
            </w:pPr>
            <w:r w:rsidRPr="00B24C99">
              <w:rPr>
                <w:rFonts w:ascii="Arial Narrow" w:hAnsi="Arial Narrow"/>
                <w:b/>
                <w:bCs/>
                <w:color w:val="000000" w:themeColor="text1"/>
                <w:sz w:val="18"/>
                <w:szCs w:val="18"/>
              </w:rPr>
              <w:t xml:space="preserve">Administrative Advice: </w:t>
            </w:r>
            <w:r w:rsidRPr="00B24C99">
              <w:rPr>
                <w:rFonts w:ascii="Arial Narrow" w:hAnsi="Arial Narrow"/>
                <w:bCs/>
                <w:color w:val="000000" w:themeColor="text1"/>
                <w:sz w:val="18"/>
                <w:szCs w:val="18"/>
              </w:rPr>
              <w:t>Special Pricing Arrangements apply</w:t>
            </w:r>
          </w:p>
        </w:tc>
      </w:tr>
      <w:tr w:rsidR="00BD6A66" w:rsidRPr="00B24C99" w:rsidTr="003207C4">
        <w:tc>
          <w:tcPr>
            <w:tcW w:w="5000" w:type="pct"/>
            <w:vAlign w:val="center"/>
          </w:tcPr>
          <w:p w:rsidR="00BD6A66" w:rsidRPr="00B24C99" w:rsidRDefault="00BD6A66" w:rsidP="00B80806">
            <w:pPr>
              <w:rPr>
                <w:rFonts w:ascii="Arial Narrow" w:hAnsi="Arial Narrow"/>
                <w:bCs/>
                <w:color w:val="000000" w:themeColor="text1"/>
                <w:sz w:val="18"/>
                <w:szCs w:val="18"/>
              </w:rPr>
            </w:pPr>
            <w:r w:rsidRPr="00B24C99">
              <w:rPr>
                <w:rFonts w:ascii="Arial Narrow" w:hAnsi="Arial Narrow"/>
                <w:b/>
                <w:bCs/>
                <w:color w:val="000000" w:themeColor="text1"/>
                <w:sz w:val="18"/>
                <w:szCs w:val="18"/>
              </w:rPr>
              <w:t>Administrative Advice:</w:t>
            </w:r>
            <w:r w:rsidRPr="00B24C99">
              <w:rPr>
                <w:rFonts w:ascii="Arial Narrow" w:hAnsi="Arial Narrow"/>
                <w:bCs/>
                <w:color w:val="000000" w:themeColor="text1"/>
                <w:sz w:val="18"/>
                <w:szCs w:val="18"/>
              </w:rPr>
              <w:t xml:space="preserve"> In the first few months after start of immunotherapy, some patients can have a transient tumour flare with subsequent disease response. When progression is suspected, this should be confirmed through a confirmatory scan, taken at least 4 weeks later.</w:t>
            </w:r>
          </w:p>
          <w:p w:rsidR="00BD6A66" w:rsidRPr="00B24C99" w:rsidRDefault="00BD6A66" w:rsidP="00B80806">
            <w:pPr>
              <w:rPr>
                <w:rFonts w:ascii="Arial Narrow" w:hAnsi="Arial Narrow"/>
                <w:bCs/>
                <w:color w:val="000000" w:themeColor="text1"/>
                <w:sz w:val="18"/>
                <w:szCs w:val="18"/>
              </w:rPr>
            </w:pPr>
          </w:p>
          <w:p w:rsidR="00BD6A66" w:rsidRPr="00B24C99" w:rsidRDefault="00BD6A66" w:rsidP="00B80806">
            <w:pPr>
              <w:rPr>
                <w:rFonts w:ascii="Arial Narrow" w:hAnsi="Arial Narrow"/>
                <w:i/>
                <w:color w:val="333333"/>
                <w:sz w:val="18"/>
                <w:szCs w:val="18"/>
              </w:rPr>
            </w:pPr>
            <w:r w:rsidRPr="00B24C99">
              <w:rPr>
                <w:rFonts w:ascii="Arial Narrow" w:hAnsi="Arial Narrow"/>
                <w:i/>
                <w:color w:val="333333"/>
                <w:sz w:val="18"/>
                <w:szCs w:val="18"/>
              </w:rPr>
              <w:t xml:space="preserve">CAUTION: Combination treatment with ipilimumab and nivolumab is associated with an increased incidence and severity of immune-related adverse reactions compared with monotherapy with these agents. Monitoring at least prior to each dose is recommended. </w:t>
            </w:r>
          </w:p>
          <w:p w:rsidR="00BD6A66" w:rsidRPr="00B24C99" w:rsidRDefault="00BD6A66" w:rsidP="00B80806">
            <w:pPr>
              <w:rPr>
                <w:rFonts w:ascii="Arial Narrow" w:hAnsi="Arial Narrow"/>
                <w:color w:val="333333"/>
                <w:sz w:val="18"/>
                <w:szCs w:val="18"/>
              </w:rPr>
            </w:pPr>
          </w:p>
          <w:p w:rsidR="00BD6A66" w:rsidRPr="00B24C99" w:rsidRDefault="00BD6A66" w:rsidP="00B80806">
            <w:pPr>
              <w:rPr>
                <w:rFonts w:ascii="Arial Narrow" w:hAnsi="Arial Narrow"/>
                <w:b/>
                <w:bCs/>
                <w:color w:val="000000" w:themeColor="text1"/>
                <w:sz w:val="18"/>
                <w:szCs w:val="18"/>
              </w:rPr>
            </w:pPr>
            <w:r w:rsidRPr="00B24C99">
              <w:rPr>
                <w:rFonts w:ascii="Arial Narrow" w:hAnsi="Arial Narrow"/>
                <w:color w:val="333333"/>
                <w:sz w:val="18"/>
                <w:szCs w:val="18"/>
              </w:rPr>
              <w:t>No increase in the maximum number of repeats may be authorised.</w:t>
            </w:r>
          </w:p>
        </w:tc>
      </w:tr>
    </w:tbl>
    <w:p w:rsidR="00BD6A66" w:rsidRPr="00B24C99" w:rsidRDefault="00BD6A66" w:rsidP="00723EC2">
      <w:pPr>
        <w:pStyle w:val="3-BodyText"/>
        <w:numPr>
          <w:ilvl w:val="0"/>
          <w:numId w:val="0"/>
        </w:numPr>
        <w:rPr>
          <w:highlight w:val="cyan"/>
        </w:rPr>
      </w:pPr>
    </w:p>
    <w:p w:rsidR="00F67A69" w:rsidRPr="00B24C99" w:rsidRDefault="008331D5" w:rsidP="00F9393E">
      <w:pPr>
        <w:pStyle w:val="3-BodyText"/>
      </w:pPr>
      <w:r w:rsidRPr="00B24C99">
        <w:t>The submission r</w:t>
      </w:r>
      <w:r w:rsidR="00A11016" w:rsidRPr="00B24C99">
        <w:t>equested an effective price of $</w:t>
      </w:r>
      <w:r w:rsidR="004E3484">
        <w:rPr>
          <w:noProof/>
          <w:color w:val="000000"/>
          <w:highlight w:val="black"/>
        </w:rPr>
        <w:t>''''''''''''''</w:t>
      </w:r>
      <w:r w:rsidR="00A11016" w:rsidRPr="00B24C99">
        <w:t xml:space="preserve"> </w:t>
      </w:r>
      <w:r w:rsidRPr="00B24C99">
        <w:t>pe</w:t>
      </w:r>
      <w:r w:rsidR="00A11016" w:rsidRPr="00B24C99">
        <w:t>r 100 mg vial of nivolumab and $</w:t>
      </w:r>
      <w:r w:rsidR="004E3484">
        <w:rPr>
          <w:noProof/>
          <w:color w:val="000000"/>
          <w:highlight w:val="black"/>
        </w:rPr>
        <w:t>''''''''''''''''</w:t>
      </w:r>
      <w:r w:rsidR="00A11016" w:rsidRPr="00B24C99">
        <w:t xml:space="preserve"> </w:t>
      </w:r>
      <w:r w:rsidRPr="00B24C99">
        <w:t xml:space="preserve">per 50 mg vial of ipilimumab. </w:t>
      </w:r>
    </w:p>
    <w:p w:rsidR="001A2962" w:rsidRPr="00B24C99" w:rsidRDefault="001A2962" w:rsidP="00F9393E">
      <w:pPr>
        <w:pStyle w:val="3-BodyText"/>
        <w:rPr>
          <w:color w:val="0066FF"/>
        </w:rPr>
      </w:pPr>
      <w:r w:rsidRPr="00B24C99">
        <w:t>The requested restrictions allow patients who have developed intolerance to ipilimumab of a severity necessitating permanent treatment withdrawal to continue treatment with nivolumab monotherapy, at any time after initiation of combination therapy.</w:t>
      </w:r>
      <w:r w:rsidR="00832FE4" w:rsidRPr="00B24C99">
        <w:t xml:space="preserve"> </w:t>
      </w:r>
      <w:r w:rsidR="00B63F33" w:rsidRPr="00B24C99">
        <w:t>The evaluation noted that although consistent with the trial protocol, only 9% patients discontinued ipilimumab early in CheckMate 743, of which 64.3% were due to adverse event(s) and 35.7% for “other” reasons</w:t>
      </w:r>
      <w:r w:rsidR="00B24C99">
        <w:t xml:space="preserve">. </w:t>
      </w:r>
      <w:r w:rsidR="00FE240C" w:rsidRPr="00B24C99">
        <w:t>The PBAC considered allowing nivolumab monotherapy</w:t>
      </w:r>
      <w:r w:rsidR="000A4024" w:rsidRPr="00B24C99">
        <w:t xml:space="preserve"> in the circumstances</w:t>
      </w:r>
      <w:r w:rsidR="00FE240C" w:rsidRPr="00B24C99">
        <w:t xml:space="preserve"> proposed was reasonable. </w:t>
      </w:r>
    </w:p>
    <w:p w:rsidR="001A2962" w:rsidRPr="00B24C99" w:rsidRDefault="001A2962" w:rsidP="00F9393E">
      <w:pPr>
        <w:pStyle w:val="3-BodyText"/>
      </w:pPr>
      <w:r w:rsidRPr="00B24C99">
        <w:t xml:space="preserve">The requested restrictions for nivolumab and ipilimumab are broader than the CheckMate 743 trial and the proposed TGA indication, </w:t>
      </w:r>
      <w:r w:rsidR="004E79F3" w:rsidRPr="00B24C99">
        <w:t>as</w:t>
      </w:r>
      <w:r w:rsidRPr="00B24C99">
        <w:t xml:space="preserve"> they do not state that NIVO+IPI should only be used in the first</w:t>
      </w:r>
      <w:r w:rsidR="005320CA" w:rsidRPr="00B24C99">
        <w:t>-</w:t>
      </w:r>
      <w:r w:rsidRPr="00B24C99">
        <w:t>line setting.</w:t>
      </w:r>
      <w:r w:rsidR="004E79F3" w:rsidRPr="00B24C99">
        <w:t xml:space="preserve"> The submission argued that given the lack of standard of care or recognised second-line treatment options in patients that have experienced disease progression following first-line systemic treatment the broader PBS restriction would allow patients with otherwise limited efficacious treatment options to access NIVO+IPI.</w:t>
      </w:r>
      <w:r w:rsidR="009737D9" w:rsidRPr="00B24C99">
        <w:t xml:space="preserve"> </w:t>
      </w:r>
      <w:r w:rsidR="00FE240C" w:rsidRPr="00B24C99">
        <w:t xml:space="preserve">The PBAC considered it was reasonable to not specify first line treatment in the restriction criteria. </w:t>
      </w:r>
    </w:p>
    <w:p w:rsidR="005B74CF" w:rsidRPr="00B24C99" w:rsidRDefault="005B74CF" w:rsidP="00C64B2B">
      <w:pPr>
        <w:pStyle w:val="3-BodyText"/>
      </w:pPr>
      <w:r w:rsidRPr="00B24C99">
        <w:t xml:space="preserve">The submission did not </w:t>
      </w:r>
      <w:r w:rsidR="00ED72F2" w:rsidRPr="00B24C99">
        <w:t xml:space="preserve">indicate </w:t>
      </w:r>
      <w:r w:rsidR="00642D9A" w:rsidRPr="00B24C99">
        <w:t xml:space="preserve">whether there would be </w:t>
      </w:r>
      <w:r w:rsidRPr="00B24C99">
        <w:t xml:space="preserve">patient access program </w:t>
      </w:r>
      <w:r w:rsidR="00642D9A" w:rsidRPr="00B24C99">
        <w:t xml:space="preserve">prior to PBS listing for </w:t>
      </w:r>
      <w:r w:rsidRPr="00B24C99">
        <w:t xml:space="preserve">NIVO+IPI and a grandfather provision was also not included in the requested restriction. The </w:t>
      </w:r>
      <w:r w:rsidR="00C64B2B" w:rsidRPr="00C64B2B">
        <w:t xml:space="preserve">Pre-Sub-Committee Response </w:t>
      </w:r>
      <w:r w:rsidR="00C64B2B">
        <w:t>(</w:t>
      </w:r>
      <w:r w:rsidRPr="00B24C99">
        <w:t>PSCR</w:t>
      </w:r>
      <w:r w:rsidR="00C64B2B">
        <w:t>)</w:t>
      </w:r>
      <w:r w:rsidRPr="00B24C99">
        <w:t xml:space="preserve"> stated that while there is currently no formal patient access program for NIVO+IPI in MPM, and no plans to open one, the Sponsor has granted compassionate access in response to requests made since April 2020. </w:t>
      </w:r>
      <w:r w:rsidR="00550407" w:rsidRPr="00B24C99">
        <w:t xml:space="preserve">The pre-PBAC response stated there were currently </w:t>
      </w:r>
      <w:r w:rsidR="00F01C12">
        <w:t>&lt; 500</w:t>
      </w:r>
      <w:r w:rsidR="00550407" w:rsidRPr="00B24C99">
        <w:t xml:space="preserve"> patient actively receiving compassionate access to NIVO+IPI and these should be added to the financial estimates, taking into account treatment already received. The PBAC noted a separate restriction criteria is not required as these patients should meet the restriction criteria outlined in Section 8. </w:t>
      </w:r>
    </w:p>
    <w:p w:rsidR="005B74CF" w:rsidRPr="00B24C99" w:rsidRDefault="005B74CF" w:rsidP="005B74CF">
      <w:pPr>
        <w:pStyle w:val="3-BodyText"/>
      </w:pPr>
      <w:r w:rsidRPr="00B24C99">
        <w:t xml:space="preserve">The submission stated that the proposed number of repeats for nivolumab (13) was to facilitate at least six months of treatment whether nivolumab is administered at a flat dosing regimen of 360 mg Q3W or using a weight-based dosing regimen of 3 mg/kg Q2W. </w:t>
      </w:r>
      <w:r w:rsidR="00FE240C" w:rsidRPr="00B24C99">
        <w:t>The PBAC considered the restriction c</w:t>
      </w:r>
      <w:r w:rsidR="003F4402" w:rsidRPr="00B24C99">
        <w:t>riteria should be amended to 8 repeats (which allows for 24 weeks of treatment with the flat dosing regimen) with a note to allow an increase in repeats for patients being treated with the weight-based dosing regimen</w:t>
      </w:r>
      <w:r w:rsidR="00B24C99">
        <w:t xml:space="preserve">. </w:t>
      </w:r>
      <w:r w:rsidR="003F4402" w:rsidRPr="00B24C99">
        <w:t xml:space="preserve"> </w:t>
      </w:r>
      <w:r w:rsidR="00910B68">
        <w:t xml:space="preserve">The PBAC noted the number of repeats for ipilimumab should be reduced to 3 to allow for 24 weeks of treatment. </w:t>
      </w:r>
    </w:p>
    <w:p w:rsidR="00605637" w:rsidRPr="00B24C99" w:rsidRDefault="00605637" w:rsidP="00605637">
      <w:pPr>
        <w:pStyle w:val="3-BodyText"/>
        <w:numPr>
          <w:ilvl w:val="0"/>
          <w:numId w:val="0"/>
        </w:numPr>
        <w:ind w:left="720"/>
        <w:rPr>
          <w:i/>
        </w:rPr>
      </w:pPr>
      <w:r w:rsidRPr="00B24C99">
        <w:rPr>
          <w:i/>
        </w:rPr>
        <w:t>For more detail on PBAC’s view, see section 7 PBAC outcome.</w:t>
      </w:r>
      <w:r w:rsidRPr="00B24C99">
        <w:rPr>
          <w:i/>
        </w:rPr>
        <w:tab/>
      </w:r>
      <w:r w:rsidRPr="00B24C99">
        <w:rPr>
          <w:i/>
        </w:rPr>
        <w:tab/>
      </w:r>
    </w:p>
    <w:p w:rsidR="00B50DB8" w:rsidRPr="00B24C99" w:rsidRDefault="00203181" w:rsidP="004E18E9">
      <w:pPr>
        <w:pStyle w:val="2-SectionHeading"/>
      </w:pPr>
      <w:bookmarkStart w:id="16" w:name="_Toc62036359"/>
      <w:r w:rsidRPr="00B24C99">
        <w:lastRenderedPageBreak/>
        <w:t xml:space="preserve">Population and </w:t>
      </w:r>
      <w:r w:rsidR="008E0D3C" w:rsidRPr="00B24C99">
        <w:t>d</w:t>
      </w:r>
      <w:r w:rsidRPr="00B24C99">
        <w:t>isease</w:t>
      </w:r>
      <w:bookmarkEnd w:id="16"/>
    </w:p>
    <w:p w:rsidR="003844B1" w:rsidRPr="00B24C99" w:rsidRDefault="002542E6" w:rsidP="002542E6">
      <w:pPr>
        <w:pStyle w:val="3-BodyText"/>
      </w:pPr>
      <w:bookmarkStart w:id="17" w:name="_Hlk61110731"/>
      <w:r w:rsidRPr="00B24C99">
        <w:t>Malignant mesothelioma is a relatively rare and insidious neoplasm</w:t>
      </w:r>
      <w:bookmarkEnd w:id="17"/>
      <w:r w:rsidRPr="00B24C99">
        <w:t>. It arises from mesothelial surfaces of the pleural cavity, peritoneal cavity, tunica vaginalis, or pericardium. MPM is the most common type of malignant mesothelioma and mostly</w:t>
      </w:r>
      <w:r w:rsidR="00574506" w:rsidRPr="00B24C99">
        <w:t xml:space="preserve"> occur in patients age</w:t>
      </w:r>
      <w:r w:rsidR="002D0069" w:rsidRPr="00B24C99">
        <w:t>d</w:t>
      </w:r>
      <w:r w:rsidR="00574506" w:rsidRPr="00B24C99">
        <w:t xml:space="preserve"> 60 years and older</w:t>
      </w:r>
      <w:r w:rsidRPr="00B24C99">
        <w:t>. It</w:t>
      </w:r>
      <w:r w:rsidR="00574506" w:rsidRPr="00B24C99">
        <w:t xml:space="preserve"> typically present</w:t>
      </w:r>
      <w:r w:rsidRPr="00B24C99">
        <w:t>s</w:t>
      </w:r>
      <w:r w:rsidR="00574506" w:rsidRPr="00B24C99">
        <w:t xml:space="preserve"> decades after an exposure to asbestos with gradually worsening, nonspecific pulmonary symptoms such as chest pain, dyspn</w:t>
      </w:r>
      <w:r w:rsidR="002D0069" w:rsidRPr="00B24C99">
        <w:t>o</w:t>
      </w:r>
      <w:r w:rsidR="00574506" w:rsidRPr="00B24C99">
        <w:t xml:space="preserve">ea, cough, hoarseness, or dysphagia, which occur in the setting of extensive intrathoracic disease. </w:t>
      </w:r>
    </w:p>
    <w:p w:rsidR="00574506" w:rsidRPr="00B24C99" w:rsidRDefault="006F46A1" w:rsidP="006F46A1">
      <w:pPr>
        <w:pStyle w:val="3-BodyText"/>
      </w:pPr>
      <w:r w:rsidRPr="00B24C99">
        <w:t>Mesothelioma can be divided into three histologic subtypes, epithelioid (about 60% of cases), sarcomatoid (10 to 20%) and a combination of epithelioid and sarcomatoid known as biphasic (about 30%)</w:t>
      </w:r>
      <w:r w:rsidRPr="00B24C99">
        <w:rPr>
          <w:rStyle w:val="FootnoteReference"/>
        </w:rPr>
        <w:footnoteReference w:id="1"/>
      </w:r>
      <w:r w:rsidRPr="00B24C99">
        <w:t>. The survival of people with malignant pleural mesothelioma is typically around one year, with improved outcomes for people who have the epithelioid subtype or are surgically treated. People who have the sarcomatoid subtype have poorer outcomes overall with survival around 4 months, regardless of surgical status</w:t>
      </w:r>
      <w:r w:rsidRPr="00B24C99">
        <w:rPr>
          <w:rStyle w:val="FootnoteReference"/>
        </w:rPr>
        <w:footnoteReference w:id="2"/>
      </w:r>
      <w:r w:rsidRPr="00B24C99">
        <w:t xml:space="preserve">. </w:t>
      </w:r>
      <w:r w:rsidR="00574506" w:rsidRPr="00B24C99">
        <w:t>Other poor prognostic</w:t>
      </w:r>
      <w:r w:rsidR="0041548F" w:rsidRPr="00B24C99">
        <w:t xml:space="preserve"> indicators</w:t>
      </w:r>
      <w:r w:rsidR="00574506" w:rsidRPr="00B24C99">
        <w:t xml:space="preserve"> include</w:t>
      </w:r>
      <w:r w:rsidRPr="00B24C99">
        <w:t>, stage of disease,</w:t>
      </w:r>
      <w:r w:rsidR="00574506" w:rsidRPr="00B24C99">
        <w:t xml:space="preserve"> poor performance status, age &gt;75 years, elevated lactate dehydrogenase (LDH), and h</w:t>
      </w:r>
      <w:r w:rsidR="002D0069" w:rsidRPr="00B24C99">
        <w:t>a</w:t>
      </w:r>
      <w:r w:rsidR="00574506" w:rsidRPr="00B24C99">
        <w:t>ematologic abnormalities.</w:t>
      </w:r>
      <w:r w:rsidRPr="00B24C99">
        <w:t xml:space="preserve"> </w:t>
      </w:r>
      <w:r w:rsidR="0041548F" w:rsidRPr="00B24C99">
        <w:t>The majority of affected patients die from local extension and respiratory failure.</w:t>
      </w:r>
    </w:p>
    <w:p w:rsidR="00574506" w:rsidRPr="00B24C99" w:rsidRDefault="00574506" w:rsidP="00574506">
      <w:pPr>
        <w:pStyle w:val="3-BodyText"/>
      </w:pPr>
      <w:r w:rsidRPr="00B24C99">
        <w:t>The submission proposed two populations:</w:t>
      </w:r>
    </w:p>
    <w:p w:rsidR="00574506" w:rsidRPr="00B24C99" w:rsidRDefault="00574506" w:rsidP="00C64B2B">
      <w:pPr>
        <w:pStyle w:val="3-BodyText"/>
        <w:numPr>
          <w:ilvl w:val="0"/>
          <w:numId w:val="9"/>
        </w:numPr>
      </w:pPr>
      <w:r w:rsidRPr="00B24C99">
        <w:t xml:space="preserve">First-line setting for patients with a confirmed diagnosis of MPM </w:t>
      </w:r>
      <w:r w:rsidR="00A75208" w:rsidRPr="00B24C99">
        <w:t>who</w:t>
      </w:r>
      <w:r w:rsidRPr="00B24C99">
        <w:t xml:space="preserve"> are not suitable for surgical resection; and</w:t>
      </w:r>
    </w:p>
    <w:p w:rsidR="00574506" w:rsidRPr="00B24C99" w:rsidRDefault="00574506" w:rsidP="00C64B2B">
      <w:pPr>
        <w:pStyle w:val="3-BodyText"/>
        <w:numPr>
          <w:ilvl w:val="0"/>
          <w:numId w:val="9"/>
        </w:numPr>
      </w:pPr>
      <w:r w:rsidRPr="00B24C99">
        <w:t xml:space="preserve">Second-line setting for the cohort of patients who initiated treatment with </w:t>
      </w:r>
      <w:r w:rsidR="003B4CF6" w:rsidRPr="00B24C99">
        <w:t>pemetrexed-based chemotherapy</w:t>
      </w:r>
      <w:r w:rsidRPr="00B24C99">
        <w:t xml:space="preserve"> prior to the PBS availability of NIVO+IPI for first-line MPM. However, the requested restriction did not specifically limit</w:t>
      </w:r>
      <w:r w:rsidR="00233C45" w:rsidRPr="00B24C99">
        <w:t xml:space="preserve"> use to</w:t>
      </w:r>
      <w:r w:rsidRPr="00B24C99">
        <w:t xml:space="preserve"> second-line</w:t>
      </w:r>
      <w:r w:rsidR="005473B0" w:rsidRPr="00B24C99">
        <w:t xml:space="preserve"> </w:t>
      </w:r>
      <w:r w:rsidRPr="00B24C99">
        <w:t xml:space="preserve">and patients could potentially use NIVO+IPI in any line. </w:t>
      </w:r>
    </w:p>
    <w:p w:rsidR="00574506" w:rsidRPr="00B24C99" w:rsidRDefault="00C97D12" w:rsidP="004E18E9">
      <w:pPr>
        <w:pStyle w:val="3-BodyText"/>
      </w:pPr>
      <w:r w:rsidRPr="00B24C99">
        <w:t>The proposed clinical algorithm indicated that all patients diagnosed with unresectable MPM will</w:t>
      </w:r>
      <w:r w:rsidR="00A75208" w:rsidRPr="00B24C99">
        <w:t xml:space="preserve"> receive first-line treatment </w:t>
      </w:r>
      <w:r w:rsidRPr="00B24C99">
        <w:t xml:space="preserve">with NIVO+IPI. Following this, patients receive </w:t>
      </w:r>
      <w:r w:rsidR="003B4CF6" w:rsidRPr="00B24C99">
        <w:t>pemetrexed-based chemotherapy</w:t>
      </w:r>
      <w:r w:rsidRPr="00B24C99">
        <w:t>, best supportive care</w:t>
      </w:r>
      <w:r w:rsidR="00710756" w:rsidRPr="00B24C99">
        <w:t xml:space="preserve"> (BSC)</w:t>
      </w:r>
      <w:r w:rsidRPr="00B24C99">
        <w:t xml:space="preserve"> or enter into a clinical trial. The proposed clinical algorithm did not account for the proportion of patients who may not be suitable or eligible for NIVO+IPI, patients who may not tolerate ipilimumab (and therefore continue with nivolumab monotherapy), and existing patients who have experienced disease progression following first-line treatment with </w:t>
      </w:r>
      <w:r w:rsidR="003B4CF6" w:rsidRPr="00B24C99">
        <w:t>pemetrexed-based chemotherapy</w:t>
      </w:r>
      <w:r w:rsidRPr="00B24C99">
        <w:t>.</w:t>
      </w:r>
    </w:p>
    <w:p w:rsidR="00A25F77" w:rsidRPr="00B24C99" w:rsidRDefault="00597843" w:rsidP="00244DBD">
      <w:pPr>
        <w:pStyle w:val="3-BodyText"/>
      </w:pPr>
      <w:r w:rsidRPr="00B24C99">
        <w:lastRenderedPageBreak/>
        <w:t>S</w:t>
      </w:r>
      <w:r w:rsidR="00A011B4" w:rsidRPr="00B24C99">
        <w:t>ome</w:t>
      </w:r>
      <w:r w:rsidR="00D64244" w:rsidRPr="00B24C99">
        <w:t xml:space="preserve"> publications</w:t>
      </w:r>
      <w:r w:rsidR="00A011B4" w:rsidRPr="00B24C99">
        <w:rPr>
          <w:rStyle w:val="FootnoteReference"/>
        </w:rPr>
        <w:footnoteReference w:id="3"/>
      </w:r>
      <w:r w:rsidR="00A011B4" w:rsidRPr="00B24C99">
        <w:t xml:space="preserve"> have recently recommended NIVO+IPI as first-line treatment for non-epithelioid histology only, and pemetrexed plus cisplatin for patients with epithelioid MPM (based on</w:t>
      </w:r>
      <w:r w:rsidR="00845D63" w:rsidRPr="00B24C99">
        <w:t xml:space="preserve"> CheckMate 743</w:t>
      </w:r>
      <w:r w:rsidR="00A011B4" w:rsidRPr="00B24C99">
        <w:t xml:space="preserve"> subgroup analyses; see paragraph</w:t>
      </w:r>
      <w:r w:rsidRPr="00B24C99">
        <w:t>s 6.</w:t>
      </w:r>
      <w:r w:rsidR="00753B90" w:rsidRPr="00B24C99">
        <w:t>14</w:t>
      </w:r>
      <w:r w:rsidRPr="00B24C99">
        <w:t>– 6.</w:t>
      </w:r>
      <w:r w:rsidR="00753B90" w:rsidRPr="00B24C99">
        <w:t>15</w:t>
      </w:r>
      <w:r w:rsidR="00A011B4" w:rsidRPr="00B24C99">
        <w:t xml:space="preserve">). However, NIVO+IPI was recommended as a reasonable alternative in epithelioid MPM, particularly for patients unable to tolerate </w:t>
      </w:r>
      <w:r w:rsidR="003B4CF6" w:rsidRPr="00B24C99">
        <w:t>pemetrexed-based chemotherapy</w:t>
      </w:r>
      <w:r w:rsidR="00A011B4" w:rsidRPr="00B24C99">
        <w:t>.</w:t>
      </w:r>
      <w:r w:rsidR="00B379E4" w:rsidRPr="00B24C99">
        <w:t xml:space="preserve"> </w:t>
      </w:r>
      <w:r w:rsidR="00A25F77" w:rsidRPr="00B24C99">
        <w:t xml:space="preserve">It is recognised however that CheckMate 743 was </w:t>
      </w:r>
      <w:r w:rsidR="00F76E4B">
        <w:t xml:space="preserve">not </w:t>
      </w:r>
      <w:r w:rsidR="00A25F77" w:rsidRPr="00B24C99">
        <w:t xml:space="preserve">powered to compare OS between NIVO+IPI and </w:t>
      </w:r>
      <w:r w:rsidR="003B4CF6" w:rsidRPr="00B24C99">
        <w:t>pemetrexed-based chemotherapy</w:t>
      </w:r>
      <w:r w:rsidR="00F76E4B">
        <w:t xml:space="preserve"> in histologic subgroups</w:t>
      </w:r>
      <w:r w:rsidR="00A25F77" w:rsidRPr="00B24C99">
        <w:t xml:space="preserve">, and that there are inherent limitations to the interpretation of subgroup results. </w:t>
      </w:r>
    </w:p>
    <w:p w:rsidR="00995AC7" w:rsidRPr="00B24C99" w:rsidRDefault="00995AC7" w:rsidP="00A25F77">
      <w:pPr>
        <w:pStyle w:val="3-BodyText"/>
      </w:pPr>
      <w:r w:rsidRPr="00B24C99">
        <w:t>Nivolumab is a fully human immunoglobulin G4 (IgG4) monoclonal antibody which binds to the programmed cell death-1 (PD-1) receptor and blocks its interaction with PD-L1 and PD-L2. Nivolumab potentiates T-cell responses, including anti-tumour responses, by blocking PD-1 from binding to PD-L1 and PD-L2 ligands and restoring the immune response against the tumour. Ipilimumab is a fully human monoclonal antibody which binds to the cytotoxic T lymphocyte-associated antigen 4 (CTLA-4). By blocking T-cell inhibitory signals induced by the CTLA-4 pathway, ipilimumab increases the number of tumour reactive T effector cells able to mount a direct T-cell immune attack against tumour cells. The two drugs work synergistically to increase immune response against tumours.</w:t>
      </w:r>
    </w:p>
    <w:p w:rsidR="000E5B31" w:rsidRPr="00B24C99" w:rsidRDefault="00995AC7" w:rsidP="00F800B1">
      <w:pPr>
        <w:pStyle w:val="3-BodyText"/>
      </w:pPr>
      <w:r w:rsidRPr="00B24C99">
        <w:t xml:space="preserve">The dosing of nivolumab when used in combination with ipilimumab in CheckMate 743 was 3 mg/kg Q2W. However, the proposed dosing regimen in the draft TGA Product Information (PI) was 3 mg/kg Q2W or a flat dose of 360 mg every three weeks (Q3W). </w:t>
      </w:r>
      <w:r w:rsidR="00F800B1" w:rsidRPr="00B24C99">
        <w:rPr>
          <w:rFonts w:ascii="Calibri" w:eastAsia="Calibri" w:hAnsi="Calibri"/>
          <w:szCs w:val="22"/>
        </w:rPr>
        <w:t xml:space="preserve">The TGA Delegate considered the </w:t>
      </w:r>
      <w:r w:rsidR="009979CC" w:rsidRPr="00B24C99">
        <w:rPr>
          <w:rFonts w:ascii="Calibri" w:eastAsia="Calibri" w:hAnsi="Calibri"/>
          <w:szCs w:val="22"/>
        </w:rPr>
        <w:t xml:space="preserve">available </w:t>
      </w:r>
      <w:r w:rsidR="00F800B1" w:rsidRPr="00B24C99">
        <w:rPr>
          <w:rFonts w:ascii="Calibri" w:eastAsia="Calibri" w:hAnsi="Calibri"/>
          <w:szCs w:val="22"/>
        </w:rPr>
        <w:t>evidence adequately supported a nivolumab dose of 360 mg every 3 weeks as an alternative dose to 3mg/kg every 2 weeks</w:t>
      </w:r>
      <w:r w:rsidR="00B24C99">
        <w:rPr>
          <w:rFonts w:ascii="Calibri" w:eastAsia="Calibri" w:hAnsi="Calibri"/>
          <w:szCs w:val="22"/>
        </w:rPr>
        <w:t xml:space="preserve">. </w:t>
      </w:r>
    </w:p>
    <w:p w:rsidR="00B50DB8" w:rsidRPr="00B24C99" w:rsidRDefault="00B50DB8" w:rsidP="004E18E9">
      <w:pPr>
        <w:pStyle w:val="2-SectionHeading"/>
      </w:pPr>
      <w:bookmarkStart w:id="18" w:name="_Toc62036360"/>
      <w:r w:rsidRPr="00B24C99">
        <w:t>Comparator</w:t>
      </w:r>
      <w:bookmarkEnd w:id="18"/>
    </w:p>
    <w:p w:rsidR="00710756" w:rsidRPr="00B24C99" w:rsidRDefault="00710756" w:rsidP="00710756">
      <w:pPr>
        <w:pStyle w:val="3-BodyText"/>
        <w:rPr>
          <w:snapToGrid/>
        </w:rPr>
      </w:pPr>
      <w:r w:rsidRPr="00B24C99">
        <w:rPr>
          <w:snapToGrid/>
        </w:rPr>
        <w:t xml:space="preserve">The submission nominated pemetrexed-based chemotherapy as the main comparator in the first-line setting. The main arguments provided in support of this nomination were that local and international clinical guidelines recommend a combination chemotherapy regimen containing pemetrexed and a platinum compound as a first line treatment option for patients with MPM. The submission reasoned that pemetrexed and cisplatin or carboplatin are also the most likely PBS listed regimen to be replaced if NIVO+IPI became PBS listed. </w:t>
      </w:r>
    </w:p>
    <w:p w:rsidR="00710756" w:rsidRPr="00B24C99" w:rsidRDefault="00710756" w:rsidP="005F0B7C">
      <w:pPr>
        <w:pStyle w:val="3-BodyText"/>
        <w:rPr>
          <w:snapToGrid/>
        </w:rPr>
      </w:pPr>
      <w:r w:rsidRPr="00B24C99">
        <w:rPr>
          <w:snapToGrid/>
        </w:rPr>
        <w:t xml:space="preserve">The submission nominated BSC, including pemetrexed rechallenge, as a supplementary comparator, in the context where patients experience disease progression following first-line </w:t>
      </w:r>
      <w:r w:rsidR="003B4CF6" w:rsidRPr="00B24C99">
        <w:rPr>
          <w:snapToGrid/>
        </w:rPr>
        <w:t>pemetrexed-based chemotherapy</w:t>
      </w:r>
      <w:r w:rsidRPr="00B24C99">
        <w:rPr>
          <w:snapToGrid/>
        </w:rPr>
        <w:t xml:space="preserve"> treatment. The </w:t>
      </w:r>
      <w:r w:rsidRPr="00B24C99">
        <w:rPr>
          <w:snapToGrid/>
        </w:rPr>
        <w:lastRenderedPageBreak/>
        <w:t>rationale in support of this was that clinical guidelines describe a role for pemetrexed rechallenge in some patients. Currently, there is no single standard of care recommended for patients who progress following first-line systemic treatment.</w:t>
      </w:r>
    </w:p>
    <w:p w:rsidR="00B50DB8" w:rsidRPr="00B24C99" w:rsidRDefault="005F0B7C" w:rsidP="005F0B7C">
      <w:pPr>
        <w:pStyle w:val="3-BodyText"/>
        <w:rPr>
          <w:snapToGrid/>
        </w:rPr>
      </w:pPr>
      <w:r w:rsidRPr="00B24C99">
        <w:t xml:space="preserve">In CheckMate 743, 48% of NIVO+IPI patients and 45% of </w:t>
      </w:r>
      <w:r w:rsidR="003B4CF6" w:rsidRPr="00B24C99">
        <w:t>pemetrexed-based chemotherapy</w:t>
      </w:r>
      <w:r w:rsidRPr="00B24C99">
        <w:t xml:space="preserve"> patients received </w:t>
      </w:r>
      <w:r w:rsidR="00CF4886" w:rsidRPr="00B24C99">
        <w:t xml:space="preserve">any </w:t>
      </w:r>
      <w:r w:rsidRPr="00B24C99">
        <w:t xml:space="preserve">subsequent therapy. Of those who received subsequent therapy, 90% of NIVO+IPI patients and 70% of </w:t>
      </w:r>
      <w:r w:rsidR="003B4CF6" w:rsidRPr="00B24C99">
        <w:t>pemetrexed-based chemotherapy</w:t>
      </w:r>
      <w:r w:rsidRPr="00B24C99">
        <w:t xml:space="preserve"> patients received systemic chemotherapy. Therefore, for a proportion of patients, the availability of NIVO+IPI may represent an additional line of therapy; i.e. NIVO+IPI may displace rather than replace chemotherapy. The submission’s economic and financial analyses did not take these considerations</w:t>
      </w:r>
      <w:r w:rsidR="0081668A" w:rsidRPr="00B24C99">
        <w:t xml:space="preserve"> into account</w:t>
      </w:r>
      <w:r w:rsidRPr="00B24C99">
        <w:t xml:space="preserve">. </w:t>
      </w:r>
    </w:p>
    <w:p w:rsidR="00605637" w:rsidRPr="00B24C99" w:rsidRDefault="00605637" w:rsidP="00605637">
      <w:pPr>
        <w:pStyle w:val="3-BodyText"/>
        <w:numPr>
          <w:ilvl w:val="0"/>
          <w:numId w:val="0"/>
        </w:numPr>
        <w:ind w:left="720"/>
        <w:rPr>
          <w:snapToGrid/>
        </w:rPr>
      </w:pPr>
      <w:r w:rsidRPr="00B24C99">
        <w:rPr>
          <w:i/>
        </w:rPr>
        <w:t>For more detail on PBAC’s view, see section 7 PBAC outcome.</w:t>
      </w:r>
    </w:p>
    <w:p w:rsidR="00223D5A" w:rsidRPr="00B24C99" w:rsidRDefault="00223D5A" w:rsidP="00223D5A">
      <w:pPr>
        <w:pStyle w:val="2-SectionHeading"/>
      </w:pPr>
      <w:bookmarkStart w:id="19" w:name="_Toc62036361"/>
      <w:bookmarkStart w:id="20" w:name="_Toc22897640"/>
      <w:r w:rsidRPr="00B24C99">
        <w:t>Consideration of the evidence</w:t>
      </w:r>
      <w:bookmarkEnd w:id="19"/>
    </w:p>
    <w:p w:rsidR="00605637" w:rsidRPr="00B24C99" w:rsidRDefault="00605637" w:rsidP="002E4F02">
      <w:pPr>
        <w:pStyle w:val="4-SubsectionHeading"/>
      </w:pPr>
      <w:bookmarkStart w:id="21" w:name="_Toc62036362"/>
      <w:r w:rsidRPr="00B24C99">
        <w:t>Sponsor hearing</w:t>
      </w:r>
    </w:p>
    <w:p w:rsidR="00605637" w:rsidRPr="00B24C99" w:rsidRDefault="00605637" w:rsidP="00605637">
      <w:pPr>
        <w:pStyle w:val="3-BodyText"/>
      </w:pPr>
      <w:r w:rsidRPr="00B24C99">
        <w:t>The sponsor requested a hearing for this item</w:t>
      </w:r>
      <w:r w:rsidR="00B24C99">
        <w:t xml:space="preserve">. </w:t>
      </w:r>
      <w:r w:rsidRPr="00B24C99">
        <w:t>The clinician</w:t>
      </w:r>
      <w:r w:rsidR="00E7686F" w:rsidRPr="00B24C99">
        <w:t xml:space="preserve"> described their </w:t>
      </w:r>
      <w:r w:rsidR="00F76E4B">
        <w:t xml:space="preserve">favourable </w:t>
      </w:r>
      <w:r w:rsidR="00E7686F" w:rsidRPr="00B24C99">
        <w:t>experience of using NIVO+IPI for MPM patients</w:t>
      </w:r>
      <w:r w:rsidR="00F76E4B">
        <w:t>,</w:t>
      </w:r>
      <w:r w:rsidR="00E7686F" w:rsidRPr="00B24C99">
        <w:t xml:space="preserve"> and noted it is generally well-</w:t>
      </w:r>
      <w:r w:rsidR="00137CB8" w:rsidRPr="00B24C99">
        <w:t xml:space="preserve">tolerated with similar </w:t>
      </w:r>
      <w:r w:rsidR="00F76E4B">
        <w:t xml:space="preserve">outcomes </w:t>
      </w:r>
      <w:r w:rsidR="00137CB8" w:rsidRPr="00B24C99">
        <w:t>observed in patients with epithelioid and non-epithelioid histology</w:t>
      </w:r>
      <w:r w:rsidR="00F76E4B">
        <w:t>, in contrast to chemotherapy where inferior outcomes are observed in patients with non-epithelioid histology</w:t>
      </w:r>
      <w:r w:rsidR="00B24C99">
        <w:t xml:space="preserve">. </w:t>
      </w:r>
    </w:p>
    <w:p w:rsidR="00605637" w:rsidRPr="00B24C99" w:rsidRDefault="00605637" w:rsidP="00605637">
      <w:pPr>
        <w:pStyle w:val="4-SubsectionHeading"/>
      </w:pPr>
      <w:r w:rsidRPr="00B24C99">
        <w:t>Consumer comments</w:t>
      </w:r>
    </w:p>
    <w:p w:rsidR="00605637" w:rsidRPr="00B24C99" w:rsidRDefault="00605637" w:rsidP="00605637">
      <w:pPr>
        <w:pStyle w:val="3-BodyText"/>
      </w:pPr>
      <w:r w:rsidRPr="00B24C99">
        <w:t>The PBAC noted and welcomed the input from individuals (</w:t>
      </w:r>
      <w:r w:rsidR="00B80806" w:rsidRPr="00B24C99">
        <w:t>5</w:t>
      </w:r>
      <w:r w:rsidRPr="00B24C99">
        <w:t>), health care professionals (</w:t>
      </w:r>
      <w:r w:rsidR="00B80806" w:rsidRPr="00B24C99">
        <w:t>8</w:t>
      </w:r>
      <w:r w:rsidRPr="00B24C99">
        <w:t>) and organisations (</w:t>
      </w:r>
      <w:r w:rsidR="00B80806" w:rsidRPr="00B24C99">
        <w:t>7</w:t>
      </w:r>
      <w:r w:rsidRPr="00B24C99">
        <w:t>) via the Consumer Comments facility on the PBS website</w:t>
      </w:r>
      <w:r w:rsidR="00B24C99">
        <w:t xml:space="preserve">. </w:t>
      </w:r>
      <w:r w:rsidRPr="00B24C99">
        <w:t xml:space="preserve">The comments described a range of benefits of treatment with </w:t>
      </w:r>
      <w:r w:rsidR="00B80806" w:rsidRPr="00B24C99">
        <w:t xml:space="preserve">NIVO+IPI </w:t>
      </w:r>
      <w:r w:rsidRPr="00B24C99">
        <w:t xml:space="preserve">including </w:t>
      </w:r>
      <w:r w:rsidR="00137CB8" w:rsidRPr="00B24C99">
        <w:t xml:space="preserve">a survival benefit, </w:t>
      </w:r>
      <w:r w:rsidR="00CD0E93" w:rsidRPr="00B24C99">
        <w:t xml:space="preserve">improved quality of life and </w:t>
      </w:r>
      <w:r w:rsidR="00F76E4B">
        <w:t xml:space="preserve">a perception of </w:t>
      </w:r>
      <w:r w:rsidR="00CD0E93" w:rsidRPr="00B24C99">
        <w:t>better tolerability than chemotherapy</w:t>
      </w:r>
      <w:r w:rsidRPr="00B24C99">
        <w:t>.</w:t>
      </w:r>
      <w:r w:rsidR="00137CB8" w:rsidRPr="00B24C99">
        <w:t xml:space="preserve"> Many of the comments discuss the importance of having additional treatment options av</w:t>
      </w:r>
      <w:r w:rsidR="00CD0E93" w:rsidRPr="00B24C99">
        <w:t xml:space="preserve">ailable for patients with MPM. </w:t>
      </w:r>
      <w:r w:rsidR="00137CB8" w:rsidRPr="00B24C99">
        <w:t>A number of comments from health care professionals acknowledge</w:t>
      </w:r>
      <w:r w:rsidR="00CD0E93" w:rsidRPr="00B24C99">
        <w:t>d</w:t>
      </w:r>
      <w:r w:rsidR="00137CB8" w:rsidRPr="00B24C99">
        <w:t xml:space="preserve"> the larger benefit in patients with non-epithelioid histology</w:t>
      </w:r>
      <w:r w:rsidR="00F76E4B">
        <w:t xml:space="preserve"> where current treatment is </w:t>
      </w:r>
      <w:r w:rsidR="002E522B">
        <w:t xml:space="preserve">generally </w:t>
      </w:r>
      <w:r w:rsidR="00F76E4B">
        <w:t>ineffective</w:t>
      </w:r>
      <w:r w:rsidR="00137CB8" w:rsidRPr="00B24C99">
        <w:t xml:space="preserve">, compared to those with epithelioid histology. </w:t>
      </w:r>
    </w:p>
    <w:p w:rsidR="00CD0E93" w:rsidRPr="00B24C99" w:rsidRDefault="00CD0E93" w:rsidP="00605637">
      <w:pPr>
        <w:pStyle w:val="3-BodyText"/>
      </w:pPr>
      <w:r w:rsidRPr="00B24C99">
        <w:t>The PBAC noted input was received from Asbestos Victims Association (SA), Asbestos Council of Victoria, Asbestos Diseases Research Institute, Lung Foundation Australia, Asbestos Diseases Society of Australia and Rare Cancers Australia</w:t>
      </w:r>
      <w:r w:rsidR="00B24C99">
        <w:t xml:space="preserve">. </w:t>
      </w:r>
      <w:r w:rsidR="000A765C" w:rsidRPr="00B24C99">
        <w:t xml:space="preserve">The submissions described the significant impact of mesothelioma on patients and the lack of new treatment options over the last decade. </w:t>
      </w:r>
    </w:p>
    <w:p w:rsidR="00605637" w:rsidRPr="00B24C99" w:rsidRDefault="00605637" w:rsidP="00605637">
      <w:pPr>
        <w:pStyle w:val="3-BodyText"/>
      </w:pPr>
      <w:r w:rsidRPr="00B24C99">
        <w:t>The Medical Oncology Group of Australia (MOGA) also expressed its strong support for the</w:t>
      </w:r>
      <w:r w:rsidR="00CD0E93" w:rsidRPr="00B24C99">
        <w:t xml:space="preserve"> NVIO+IPI</w:t>
      </w:r>
      <w:r w:rsidRPr="00B24C99">
        <w:t xml:space="preserve"> submission, categorising it as one of the therapies of “highest priority for PBS listing” on the basis of the</w:t>
      </w:r>
      <w:r w:rsidR="00CD0E93" w:rsidRPr="00B24C99">
        <w:t xml:space="preserve"> CheckMate 743</w:t>
      </w:r>
      <w:r w:rsidRPr="00B24C99">
        <w:t xml:space="preserve"> trial. The PBAC noted that the MOGA presented a European Society for Medical Oncology Magnitude of Clinical </w:t>
      </w:r>
      <w:r w:rsidRPr="00B24C99">
        <w:lastRenderedPageBreak/>
        <w:t>Benefit Scale (ESMO-MCBS) for</w:t>
      </w:r>
      <w:r w:rsidR="000A765C" w:rsidRPr="00B24C99">
        <w:t xml:space="preserve"> NIVO+IPI</w:t>
      </w:r>
      <w:r w:rsidRPr="00B24C99">
        <w:t xml:space="preserve">, which was limited to </w:t>
      </w:r>
      <w:r w:rsidR="000A765C" w:rsidRPr="00B24C99">
        <w:t xml:space="preserve">3 </w:t>
      </w:r>
      <w:r w:rsidRPr="00B24C99">
        <w:t>(out of a maximum of 5, where 5 and 4 represent the grades with substantial improvement)</w:t>
      </w:r>
      <w:r w:rsidR="000A765C" w:rsidRPr="00B24C99">
        <w:t>.</w:t>
      </w:r>
      <w:r w:rsidR="000A765C" w:rsidRPr="00B24C99">
        <w:rPr>
          <w:rStyle w:val="FootnoteReference"/>
        </w:rPr>
        <w:footnoteReference w:id="4"/>
      </w:r>
    </w:p>
    <w:p w:rsidR="00B60939" w:rsidRPr="00B24C99" w:rsidRDefault="00B60939" w:rsidP="002E4F02">
      <w:pPr>
        <w:pStyle w:val="4-SubsectionHeading"/>
      </w:pPr>
      <w:r w:rsidRPr="00B24C99">
        <w:t xml:space="preserve">Clinical </w:t>
      </w:r>
      <w:r w:rsidR="00E87172" w:rsidRPr="00B24C99">
        <w:t>trials</w:t>
      </w:r>
      <w:bookmarkEnd w:id="20"/>
      <w:bookmarkEnd w:id="21"/>
    </w:p>
    <w:p w:rsidR="007F1017" w:rsidRPr="00B24C99" w:rsidRDefault="00E87172" w:rsidP="008D4843">
      <w:pPr>
        <w:pStyle w:val="3-BodyText"/>
      </w:pPr>
      <w:r w:rsidRPr="00B24C99">
        <w:rPr>
          <w:snapToGrid/>
        </w:rPr>
        <w:t xml:space="preserve">First-line </w:t>
      </w:r>
      <w:r w:rsidR="00E41B1A" w:rsidRPr="00B24C99">
        <w:rPr>
          <w:snapToGrid/>
        </w:rPr>
        <w:t>setting</w:t>
      </w:r>
      <w:r w:rsidRPr="00B24C99">
        <w:rPr>
          <w:snapToGrid/>
        </w:rPr>
        <w:t xml:space="preserve">: </w:t>
      </w:r>
      <w:r w:rsidR="00AF698B" w:rsidRPr="00B24C99">
        <w:rPr>
          <w:snapToGrid/>
        </w:rPr>
        <w:t>t</w:t>
      </w:r>
      <w:r w:rsidR="00A73134" w:rsidRPr="00B24C99">
        <w:rPr>
          <w:snapToGrid/>
        </w:rPr>
        <w:t xml:space="preserve">he submission </w:t>
      </w:r>
      <w:r w:rsidR="00D5243B" w:rsidRPr="00B24C99">
        <w:rPr>
          <w:snapToGrid/>
        </w:rPr>
        <w:t>wa</w:t>
      </w:r>
      <w:r w:rsidR="00A73134" w:rsidRPr="00B24C99">
        <w:rPr>
          <w:snapToGrid/>
        </w:rPr>
        <w:t xml:space="preserve">s based on one </w:t>
      </w:r>
      <w:r w:rsidR="00AF698B" w:rsidRPr="00B24C99">
        <w:rPr>
          <w:snapToGrid/>
        </w:rPr>
        <w:t xml:space="preserve">randomised, open-label, </w:t>
      </w:r>
      <w:r w:rsidR="00A73134" w:rsidRPr="00B24C99">
        <w:rPr>
          <w:snapToGrid/>
        </w:rPr>
        <w:t xml:space="preserve">head-to-head trial </w:t>
      </w:r>
      <w:r w:rsidR="00AF698B" w:rsidRPr="00B24C99">
        <w:rPr>
          <w:snapToGrid/>
        </w:rPr>
        <w:t xml:space="preserve">comparing NIVO+IPI (N=303) to </w:t>
      </w:r>
      <w:r w:rsidR="003B4CF6" w:rsidRPr="00B24C99">
        <w:rPr>
          <w:snapToGrid/>
        </w:rPr>
        <w:t>pemetrexed-based chemotherapy</w:t>
      </w:r>
      <w:r w:rsidR="00AF698B" w:rsidRPr="00B24C99">
        <w:rPr>
          <w:snapToGrid/>
        </w:rPr>
        <w:t xml:space="preserve"> (N=302) in patients with unresectable MPM without any prior treatment (</w:t>
      </w:r>
      <w:r w:rsidR="00137E50" w:rsidRPr="00B24C99">
        <w:rPr>
          <w:snapToGrid/>
        </w:rPr>
        <w:t>CheckMate 743</w:t>
      </w:r>
      <w:r w:rsidR="00AF698B" w:rsidRPr="00B24C99">
        <w:rPr>
          <w:snapToGrid/>
        </w:rPr>
        <w:t>).</w:t>
      </w:r>
      <w:r w:rsidR="00137E50" w:rsidRPr="00B24C99">
        <w:rPr>
          <w:snapToGrid/>
        </w:rPr>
        <w:t xml:space="preserve"> </w:t>
      </w:r>
    </w:p>
    <w:p w:rsidR="00137E50" w:rsidRPr="00B24C99" w:rsidRDefault="00E41B1A" w:rsidP="002E4F02">
      <w:pPr>
        <w:pStyle w:val="3-BodyText"/>
      </w:pPr>
      <w:r w:rsidRPr="00B24C99">
        <w:t>S</w:t>
      </w:r>
      <w:r w:rsidR="00137E50" w:rsidRPr="00B24C99">
        <w:t>econd-</w:t>
      </w:r>
      <w:r w:rsidR="002E66DB" w:rsidRPr="00B24C99">
        <w:t xml:space="preserve"> or later-</w:t>
      </w:r>
      <w:r w:rsidR="00137E50" w:rsidRPr="00B24C99">
        <w:t xml:space="preserve">line </w:t>
      </w:r>
      <w:r w:rsidRPr="00B24C99">
        <w:t>setting</w:t>
      </w:r>
      <w:r w:rsidR="00137E50" w:rsidRPr="00B24C99">
        <w:t xml:space="preserve">: </w:t>
      </w:r>
      <w:r w:rsidR="007A3471" w:rsidRPr="00B24C99">
        <w:t>t</w:t>
      </w:r>
      <w:r w:rsidR="00137E50" w:rsidRPr="00B24C99">
        <w:t>he comparison of NIVO+IPI versus</w:t>
      </w:r>
      <w:r w:rsidR="00342318" w:rsidRPr="00B24C99">
        <w:t xml:space="preserve"> </w:t>
      </w:r>
      <w:r w:rsidR="007A3471" w:rsidRPr="00B24C99">
        <w:t>BSC</w:t>
      </w:r>
      <w:r w:rsidR="00342318" w:rsidRPr="00B24C99">
        <w:t xml:space="preserve"> (including pemetrexed rechallenge) was based on a naïve indirect comparison using the following three studies:</w:t>
      </w:r>
    </w:p>
    <w:p w:rsidR="00342318" w:rsidRPr="00B24C99" w:rsidRDefault="00342318" w:rsidP="00C64B2B">
      <w:pPr>
        <w:pStyle w:val="3-BodyText"/>
        <w:numPr>
          <w:ilvl w:val="0"/>
          <w:numId w:val="7"/>
        </w:numPr>
      </w:pPr>
      <w:r w:rsidRPr="00B24C99">
        <w:t xml:space="preserve">MAPS2: a </w:t>
      </w:r>
      <w:r w:rsidR="00770B7B" w:rsidRPr="00B24C99">
        <w:t xml:space="preserve">randomised, open-label trial comparing </w:t>
      </w:r>
      <w:r w:rsidR="008D4843" w:rsidRPr="00B24C99">
        <w:t>nivolumab</w:t>
      </w:r>
      <w:r w:rsidR="00770B7B" w:rsidRPr="00B24C99">
        <w:t xml:space="preserve"> monotherapy (N=68) to NIVO+IPI (N=64) in </w:t>
      </w:r>
      <w:r w:rsidR="0011515B" w:rsidRPr="00B24C99">
        <w:t xml:space="preserve">MPM </w:t>
      </w:r>
      <w:r w:rsidR="00770B7B" w:rsidRPr="00B24C99">
        <w:t xml:space="preserve">patients with </w:t>
      </w:r>
      <w:r w:rsidR="0011515B" w:rsidRPr="00B24C99">
        <w:t xml:space="preserve">disease progression after </w:t>
      </w:r>
      <w:r w:rsidR="00CC1C5F" w:rsidRPr="00B24C99">
        <w:t>one to two</w:t>
      </w:r>
      <w:r w:rsidR="0011515B" w:rsidRPr="00B24C99">
        <w:t xml:space="preserve"> lines of systemic chemotherapy</w:t>
      </w:r>
    </w:p>
    <w:p w:rsidR="00770B7B" w:rsidRPr="00B24C99" w:rsidRDefault="00770B7B" w:rsidP="00C64B2B">
      <w:pPr>
        <w:pStyle w:val="3-BodyText"/>
        <w:numPr>
          <w:ilvl w:val="0"/>
          <w:numId w:val="7"/>
        </w:numPr>
      </w:pPr>
      <w:r w:rsidRPr="00B24C99">
        <w:t xml:space="preserve">INITIATE: a single-arm trial of NIVO+IPI (N=35) in </w:t>
      </w:r>
      <w:r w:rsidR="0011515B" w:rsidRPr="00B24C99">
        <w:t xml:space="preserve">MPM </w:t>
      </w:r>
      <w:r w:rsidRPr="00B24C99">
        <w:t xml:space="preserve">patients with </w:t>
      </w:r>
      <w:r w:rsidR="0011515B" w:rsidRPr="00B24C99">
        <w:t>disease progression or recurrence after at least one line of platinum-containing systemic therapy</w:t>
      </w:r>
    </w:p>
    <w:p w:rsidR="00770B7B" w:rsidRPr="00B24C99" w:rsidRDefault="00770B7B" w:rsidP="00C64B2B">
      <w:pPr>
        <w:pStyle w:val="3-BodyText"/>
        <w:numPr>
          <w:ilvl w:val="0"/>
          <w:numId w:val="7"/>
        </w:numPr>
      </w:pPr>
      <w:r w:rsidRPr="00B24C99">
        <w:t xml:space="preserve">Jassem 2008: a randomised trial comparing pemetrexed </w:t>
      </w:r>
      <w:r w:rsidR="008D4843" w:rsidRPr="00B24C99">
        <w:t>plus</w:t>
      </w:r>
      <w:r w:rsidRPr="00B24C99">
        <w:t xml:space="preserve"> </w:t>
      </w:r>
      <w:r w:rsidR="008D4843" w:rsidRPr="00B24C99">
        <w:t xml:space="preserve">BSC </w:t>
      </w:r>
      <w:r w:rsidRPr="00B24C99">
        <w:t xml:space="preserve">(N=123) to </w:t>
      </w:r>
      <w:r w:rsidR="008D4843" w:rsidRPr="00B24C99">
        <w:t>BSC alone</w:t>
      </w:r>
      <w:r w:rsidRPr="00B24C99">
        <w:t xml:space="preserve"> (N=120) in previously treated </w:t>
      </w:r>
      <w:r w:rsidR="007F5E8C" w:rsidRPr="00B24C99">
        <w:t xml:space="preserve">MPM </w:t>
      </w:r>
      <w:r w:rsidRPr="00B24C99">
        <w:t xml:space="preserve">patients with </w:t>
      </w:r>
      <w:r w:rsidR="007F5E8C" w:rsidRPr="00B24C99">
        <w:t>disease progression after one line of systemic chemotherapy</w:t>
      </w:r>
    </w:p>
    <w:p w:rsidR="0076606C" w:rsidRPr="00B24C99" w:rsidRDefault="00A73134" w:rsidP="00BD36D7">
      <w:pPr>
        <w:pStyle w:val="3-BodyText"/>
      </w:pPr>
      <w:r w:rsidRPr="00B24C99">
        <w:rPr>
          <w:snapToGrid/>
        </w:rPr>
        <w:t>Details of the trials presented in the submission are provided in the table below.</w:t>
      </w:r>
      <w:r w:rsidR="00BC591F" w:rsidRPr="00B24C99">
        <w:rPr>
          <w:snapToGrid/>
        </w:rPr>
        <w:t xml:space="preserve"> </w:t>
      </w:r>
    </w:p>
    <w:p w:rsidR="008E0D3C" w:rsidRPr="00B24C99" w:rsidRDefault="008E0D3C" w:rsidP="00D01441">
      <w:pPr>
        <w:pStyle w:val="3-BodyText"/>
        <w:keepNext/>
        <w:numPr>
          <w:ilvl w:val="0"/>
          <w:numId w:val="0"/>
        </w:numPr>
      </w:pPr>
      <w:r w:rsidRPr="00B24C99">
        <w:rPr>
          <w:rStyle w:val="CommentReference"/>
          <w:szCs w:val="24"/>
        </w:rPr>
        <w:t>Table</w:t>
      </w:r>
      <w:r w:rsidR="00EA4771" w:rsidRPr="00B24C99">
        <w:rPr>
          <w:rStyle w:val="CommentReference"/>
          <w:szCs w:val="24"/>
        </w:rPr>
        <w:t xml:space="preserve"> 2</w:t>
      </w:r>
      <w:r w:rsidRPr="00B24C99">
        <w:rPr>
          <w:rStyle w:val="CommentReference"/>
          <w:szCs w:val="24"/>
        </w:rPr>
        <w:t>:</w:t>
      </w:r>
      <w:r w:rsidR="00BC591F" w:rsidRPr="00B24C99">
        <w:rPr>
          <w:rStyle w:val="CommentReference"/>
          <w:szCs w:val="24"/>
        </w:rPr>
        <w:t xml:space="preserve"> </w:t>
      </w:r>
      <w:r w:rsidRPr="00B24C99">
        <w:rPr>
          <w:rStyle w:val="CommentReference"/>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770B7B" w:rsidRPr="00B24C99" w:rsidTr="007C1C3B">
        <w:trPr>
          <w:tblHeader/>
        </w:trPr>
        <w:tc>
          <w:tcPr>
            <w:tcW w:w="796" w:type="pct"/>
            <w:vAlign w:val="center"/>
          </w:tcPr>
          <w:p w:rsidR="00770B7B" w:rsidRPr="00B24C99" w:rsidRDefault="00770B7B" w:rsidP="00D01441">
            <w:pPr>
              <w:pStyle w:val="In-tableHeading"/>
              <w:rPr>
                <w:lang w:val="en-AU"/>
              </w:rPr>
            </w:pPr>
            <w:r w:rsidRPr="00B24C99">
              <w:rPr>
                <w:lang w:val="en-AU"/>
              </w:rPr>
              <w:t>Trial ID</w:t>
            </w:r>
          </w:p>
        </w:tc>
        <w:tc>
          <w:tcPr>
            <w:tcW w:w="3027" w:type="pct"/>
            <w:vAlign w:val="center"/>
          </w:tcPr>
          <w:p w:rsidR="00770B7B" w:rsidRPr="00B24C99" w:rsidRDefault="00770B7B" w:rsidP="00D01441">
            <w:pPr>
              <w:pStyle w:val="In-tableHeading"/>
              <w:rPr>
                <w:lang w:val="en-AU"/>
              </w:rPr>
            </w:pPr>
            <w:r w:rsidRPr="00B24C99">
              <w:rPr>
                <w:lang w:val="en-AU"/>
              </w:rPr>
              <w:t>Protocol title/ Publication title</w:t>
            </w:r>
          </w:p>
        </w:tc>
        <w:tc>
          <w:tcPr>
            <w:tcW w:w="1177" w:type="pct"/>
            <w:vAlign w:val="center"/>
          </w:tcPr>
          <w:p w:rsidR="00770B7B" w:rsidRPr="00B24C99" w:rsidRDefault="00770B7B" w:rsidP="00D01441">
            <w:pPr>
              <w:pStyle w:val="In-tableHeading"/>
              <w:rPr>
                <w:lang w:val="en-AU"/>
              </w:rPr>
            </w:pPr>
            <w:r w:rsidRPr="00B24C99">
              <w:rPr>
                <w:lang w:val="en-AU"/>
              </w:rPr>
              <w:t>Publication citation</w:t>
            </w:r>
          </w:p>
        </w:tc>
      </w:tr>
      <w:tr w:rsidR="00770B7B" w:rsidRPr="00B24C99" w:rsidTr="007C1C3B">
        <w:tc>
          <w:tcPr>
            <w:tcW w:w="796" w:type="pct"/>
            <w:tcBorders>
              <w:bottom w:val="nil"/>
            </w:tcBorders>
            <w:vAlign w:val="center"/>
          </w:tcPr>
          <w:p w:rsidR="00770B7B" w:rsidRPr="00B24C99" w:rsidRDefault="00770B7B" w:rsidP="007C1C3B">
            <w:pPr>
              <w:pStyle w:val="TableText0"/>
            </w:pPr>
            <w:r w:rsidRPr="00B24C99">
              <w:t>CheckMate 743:</w:t>
            </w:r>
          </w:p>
          <w:p w:rsidR="00770B7B" w:rsidRPr="00B24C99" w:rsidRDefault="00770B7B" w:rsidP="007C1C3B">
            <w:pPr>
              <w:pStyle w:val="TableText0"/>
            </w:pPr>
            <w:r w:rsidRPr="00B24C99">
              <w:t>NCT02899299</w:t>
            </w:r>
          </w:p>
        </w:tc>
        <w:tc>
          <w:tcPr>
            <w:tcW w:w="3027" w:type="pct"/>
            <w:tcBorders>
              <w:bottom w:val="nil"/>
            </w:tcBorders>
            <w:vAlign w:val="center"/>
          </w:tcPr>
          <w:p w:rsidR="00770B7B" w:rsidRPr="00B24C99" w:rsidRDefault="00770B7B" w:rsidP="007C1C3B">
            <w:pPr>
              <w:pStyle w:val="TableText0"/>
              <w:rPr>
                <w:szCs w:val="18"/>
              </w:rPr>
            </w:pPr>
            <w:r w:rsidRPr="00B24C99">
              <w:rPr>
                <w:szCs w:val="18"/>
              </w:rPr>
              <w:t>A Phase III, Randomized, Open Label Trial of Nivolumab in Combination with Ipilimumab versus Pemetrexed with Cisplatin or Carboplatin as First Line Therapy in Unresectable Pleural Mesothelioma.</w:t>
            </w:r>
          </w:p>
        </w:tc>
        <w:tc>
          <w:tcPr>
            <w:tcW w:w="1177" w:type="pct"/>
            <w:tcBorders>
              <w:bottom w:val="nil"/>
            </w:tcBorders>
            <w:vAlign w:val="center"/>
          </w:tcPr>
          <w:p w:rsidR="00770B7B" w:rsidRPr="00B24C99" w:rsidRDefault="00770B7B" w:rsidP="007C1C3B">
            <w:pPr>
              <w:pStyle w:val="TableText0"/>
            </w:pPr>
            <w:r w:rsidRPr="00B24C99">
              <w:t>August 2020</w:t>
            </w:r>
            <w:r w:rsidR="003F4402" w:rsidRPr="00B24C99">
              <w:t>*</w:t>
            </w:r>
          </w:p>
        </w:tc>
      </w:tr>
      <w:tr w:rsidR="00770B7B" w:rsidRPr="00B24C99" w:rsidTr="007C1C3B">
        <w:tc>
          <w:tcPr>
            <w:tcW w:w="796" w:type="pct"/>
            <w:tcBorders>
              <w:top w:val="nil"/>
              <w:bottom w:val="nil"/>
            </w:tcBorders>
            <w:vAlign w:val="center"/>
          </w:tcPr>
          <w:p w:rsidR="00770B7B" w:rsidRPr="00B24C99" w:rsidRDefault="00770B7B" w:rsidP="007C1C3B">
            <w:pPr>
              <w:pStyle w:val="TableText0"/>
            </w:pPr>
          </w:p>
        </w:tc>
        <w:tc>
          <w:tcPr>
            <w:tcW w:w="3027" w:type="pct"/>
            <w:tcBorders>
              <w:top w:val="nil"/>
              <w:bottom w:val="nil"/>
            </w:tcBorders>
            <w:vAlign w:val="center"/>
          </w:tcPr>
          <w:p w:rsidR="00770B7B" w:rsidRPr="00B24C99" w:rsidRDefault="00770B7B" w:rsidP="007C1C3B">
            <w:pPr>
              <w:pStyle w:val="TableText0"/>
              <w:rPr>
                <w:szCs w:val="18"/>
              </w:rPr>
            </w:pPr>
            <w:r w:rsidRPr="00B24C99">
              <w:rPr>
                <w:szCs w:val="18"/>
              </w:rPr>
              <w:t>Baas P, Scherpereel A, Nowak A et al. First-line nivolumab + ipilimumab vs chemotherapy in unresectable malignant pleural mesothelioma: Checkmate 743</w:t>
            </w:r>
          </w:p>
        </w:tc>
        <w:tc>
          <w:tcPr>
            <w:tcW w:w="1177" w:type="pct"/>
            <w:tcBorders>
              <w:top w:val="nil"/>
              <w:bottom w:val="nil"/>
            </w:tcBorders>
            <w:vAlign w:val="center"/>
          </w:tcPr>
          <w:p w:rsidR="00770B7B" w:rsidRPr="00B24C99" w:rsidRDefault="00770B7B" w:rsidP="007C1C3B">
            <w:pPr>
              <w:pStyle w:val="TableText0"/>
              <w:rPr>
                <w:szCs w:val="18"/>
              </w:rPr>
            </w:pPr>
            <w:r w:rsidRPr="00B24C99">
              <w:rPr>
                <w:i/>
                <w:szCs w:val="18"/>
              </w:rPr>
              <w:t>Journal of Thoracic Oncology</w:t>
            </w:r>
            <w:r w:rsidRPr="00B24C99">
              <w:rPr>
                <w:szCs w:val="18"/>
              </w:rPr>
              <w:t xml:space="preserve"> 2020; 15(10):p.e42</w:t>
            </w:r>
          </w:p>
        </w:tc>
      </w:tr>
      <w:tr w:rsidR="00770B7B" w:rsidRPr="00B24C99" w:rsidTr="007C1C3B">
        <w:tc>
          <w:tcPr>
            <w:tcW w:w="796" w:type="pct"/>
            <w:tcBorders>
              <w:bottom w:val="nil"/>
            </w:tcBorders>
            <w:vAlign w:val="center"/>
          </w:tcPr>
          <w:p w:rsidR="00770B7B" w:rsidRPr="00B24C99" w:rsidRDefault="00770B7B" w:rsidP="007C1C3B">
            <w:pPr>
              <w:pStyle w:val="TableText0"/>
            </w:pPr>
            <w:r w:rsidRPr="00B24C99">
              <w:t>MAPS2:</w:t>
            </w:r>
          </w:p>
          <w:p w:rsidR="00770B7B" w:rsidRPr="00B24C99" w:rsidRDefault="00770B7B" w:rsidP="007C1C3B">
            <w:pPr>
              <w:pStyle w:val="TableText0"/>
            </w:pPr>
            <w:r w:rsidRPr="00B24C99">
              <w:t>NCT02716272</w:t>
            </w:r>
          </w:p>
        </w:tc>
        <w:tc>
          <w:tcPr>
            <w:tcW w:w="3027" w:type="pct"/>
            <w:tcBorders>
              <w:bottom w:val="nil"/>
            </w:tcBorders>
            <w:vAlign w:val="center"/>
          </w:tcPr>
          <w:p w:rsidR="00770B7B" w:rsidRPr="00B24C99" w:rsidRDefault="00770B7B" w:rsidP="007C1C3B">
            <w:pPr>
              <w:pStyle w:val="TableText0"/>
            </w:pPr>
            <w:r w:rsidRPr="00B24C99">
              <w:t>Scherpereel A, Mazieres J, Greillier L et al. Nivolumab or nivolumab plus ipilimumab in patients with relapsed malignant pleural mesothelioma (IFCT-1501 MAPS): A multicentre, open-labe, randomised, non-comparative, phase 2 trial</w:t>
            </w:r>
          </w:p>
        </w:tc>
        <w:tc>
          <w:tcPr>
            <w:tcW w:w="1177" w:type="pct"/>
            <w:tcBorders>
              <w:bottom w:val="nil"/>
            </w:tcBorders>
            <w:vAlign w:val="center"/>
          </w:tcPr>
          <w:p w:rsidR="00770B7B" w:rsidRPr="00B24C99" w:rsidRDefault="00770B7B" w:rsidP="007C1C3B">
            <w:pPr>
              <w:pStyle w:val="TableText0"/>
            </w:pPr>
            <w:r w:rsidRPr="00B24C99">
              <w:rPr>
                <w:i/>
              </w:rPr>
              <w:t>The Lancet Oncology</w:t>
            </w:r>
            <w:r w:rsidRPr="00B24C99">
              <w:t xml:space="preserve"> 2019; 20: 239-253.</w:t>
            </w:r>
          </w:p>
        </w:tc>
      </w:tr>
      <w:tr w:rsidR="00770B7B" w:rsidRPr="00B24C99" w:rsidTr="007C1C3B">
        <w:tc>
          <w:tcPr>
            <w:tcW w:w="796" w:type="pct"/>
            <w:tcBorders>
              <w:bottom w:val="single" w:sz="4" w:space="0" w:color="auto"/>
            </w:tcBorders>
            <w:vAlign w:val="center"/>
          </w:tcPr>
          <w:p w:rsidR="00770B7B" w:rsidRPr="00B24C99" w:rsidRDefault="00770B7B" w:rsidP="007C1C3B">
            <w:pPr>
              <w:pStyle w:val="TableText0"/>
            </w:pPr>
            <w:r w:rsidRPr="00B24C99">
              <w:t>INITIATE:</w:t>
            </w:r>
          </w:p>
          <w:p w:rsidR="00770B7B" w:rsidRPr="00B24C99" w:rsidRDefault="00770B7B" w:rsidP="007C1C3B">
            <w:pPr>
              <w:pStyle w:val="TableText0"/>
            </w:pPr>
            <w:r w:rsidRPr="00B24C99">
              <w:t>NCT03048474</w:t>
            </w:r>
          </w:p>
        </w:tc>
        <w:tc>
          <w:tcPr>
            <w:tcW w:w="3027" w:type="pct"/>
            <w:tcBorders>
              <w:bottom w:val="single" w:sz="4" w:space="0" w:color="auto"/>
            </w:tcBorders>
            <w:vAlign w:val="center"/>
          </w:tcPr>
          <w:p w:rsidR="00770B7B" w:rsidRPr="00B24C99" w:rsidRDefault="00770B7B" w:rsidP="007C1C3B">
            <w:pPr>
              <w:pStyle w:val="TableText0"/>
            </w:pPr>
            <w:r w:rsidRPr="00B24C99">
              <w:t>Disselhorst M, Quispel-Janssen J, Lalezari F et al. Ipilimumab and nivolumab in the treatment of recurrent malignant pleural mesothelioma (INITIATE): Results of a prospective, single-arm, phase 2 trial.</w:t>
            </w:r>
          </w:p>
        </w:tc>
        <w:tc>
          <w:tcPr>
            <w:tcW w:w="1177" w:type="pct"/>
            <w:tcBorders>
              <w:bottom w:val="single" w:sz="4" w:space="0" w:color="auto"/>
            </w:tcBorders>
            <w:vAlign w:val="center"/>
          </w:tcPr>
          <w:p w:rsidR="00770B7B" w:rsidRPr="00B24C99" w:rsidRDefault="00770B7B" w:rsidP="007C1C3B">
            <w:pPr>
              <w:pStyle w:val="TableText0"/>
            </w:pPr>
            <w:r w:rsidRPr="00B24C99">
              <w:rPr>
                <w:i/>
              </w:rPr>
              <w:t>The Lancet Respiratory Medicine</w:t>
            </w:r>
            <w:r w:rsidRPr="00B24C99">
              <w:t xml:space="preserve"> 2019; 7: 260-270.</w:t>
            </w:r>
          </w:p>
        </w:tc>
      </w:tr>
      <w:tr w:rsidR="00770B7B" w:rsidRPr="00B24C99" w:rsidTr="007C1C3B">
        <w:tc>
          <w:tcPr>
            <w:tcW w:w="796" w:type="pct"/>
            <w:tcBorders>
              <w:top w:val="single" w:sz="4" w:space="0" w:color="auto"/>
              <w:bottom w:val="single" w:sz="4" w:space="0" w:color="auto"/>
            </w:tcBorders>
            <w:vAlign w:val="center"/>
          </w:tcPr>
          <w:p w:rsidR="00770B7B" w:rsidRPr="00B24C99" w:rsidRDefault="00770B7B" w:rsidP="007C1C3B">
            <w:pPr>
              <w:pStyle w:val="TableText0"/>
            </w:pPr>
            <w:r w:rsidRPr="00B24C99">
              <w:t>Jassem 2008</w:t>
            </w:r>
          </w:p>
        </w:tc>
        <w:tc>
          <w:tcPr>
            <w:tcW w:w="3027" w:type="pct"/>
            <w:tcBorders>
              <w:top w:val="single" w:sz="4" w:space="0" w:color="auto"/>
              <w:bottom w:val="single" w:sz="4" w:space="0" w:color="auto"/>
            </w:tcBorders>
            <w:vAlign w:val="center"/>
          </w:tcPr>
          <w:p w:rsidR="00770B7B" w:rsidRPr="00B24C99" w:rsidRDefault="00770B7B" w:rsidP="007C1C3B">
            <w:pPr>
              <w:pStyle w:val="TableText0"/>
              <w:rPr>
                <w:szCs w:val="18"/>
              </w:rPr>
            </w:pPr>
            <w:r w:rsidRPr="00B24C99">
              <w:rPr>
                <w:szCs w:val="18"/>
              </w:rPr>
              <w:t>Jassem J, Ramlau R, Santoro A et al. Phase III trial of pemetrexed plus best supportive care compared with best supportive care in previously treated patients with advanced malignant pleural mesothelioma.</w:t>
            </w:r>
          </w:p>
        </w:tc>
        <w:tc>
          <w:tcPr>
            <w:tcW w:w="1177" w:type="pct"/>
            <w:tcBorders>
              <w:top w:val="single" w:sz="4" w:space="0" w:color="auto"/>
              <w:bottom w:val="single" w:sz="4" w:space="0" w:color="auto"/>
            </w:tcBorders>
            <w:vAlign w:val="center"/>
          </w:tcPr>
          <w:p w:rsidR="00770B7B" w:rsidRPr="00B24C99" w:rsidRDefault="00770B7B" w:rsidP="007C1C3B">
            <w:pPr>
              <w:pStyle w:val="TableText0"/>
              <w:rPr>
                <w:szCs w:val="18"/>
              </w:rPr>
            </w:pPr>
            <w:r w:rsidRPr="00B24C99">
              <w:rPr>
                <w:i/>
                <w:szCs w:val="18"/>
              </w:rPr>
              <w:t xml:space="preserve">Journal of Clinical Oncology </w:t>
            </w:r>
            <w:r w:rsidRPr="00B24C99">
              <w:rPr>
                <w:szCs w:val="18"/>
              </w:rPr>
              <w:t>2008; 26(10): 1698-1704.</w:t>
            </w:r>
          </w:p>
        </w:tc>
      </w:tr>
    </w:tbl>
    <w:p w:rsidR="00770B7B" w:rsidRPr="00B24C99" w:rsidRDefault="00770B7B" w:rsidP="00770B7B">
      <w:pPr>
        <w:pStyle w:val="TableFigureFooter"/>
      </w:pPr>
      <w:r w:rsidRPr="00B24C99">
        <w:t>Only main publications have been reported in this table.</w:t>
      </w:r>
    </w:p>
    <w:p w:rsidR="00770B7B" w:rsidRPr="00B24C99" w:rsidRDefault="00770B7B" w:rsidP="00770B7B">
      <w:pPr>
        <w:pStyle w:val="TableFigureFooter"/>
      </w:pPr>
      <w:r w:rsidRPr="00B24C99">
        <w:t>Source: Tables 16-17, pp.48-49 of the submission.</w:t>
      </w:r>
    </w:p>
    <w:p w:rsidR="003F4402" w:rsidRPr="00B24C99" w:rsidRDefault="003F4402" w:rsidP="00770B7B">
      <w:pPr>
        <w:pStyle w:val="TableFigureFooter"/>
        <w:rPr>
          <w:sz w:val="20"/>
        </w:rPr>
      </w:pPr>
      <w:r w:rsidRPr="00B24C99">
        <w:t xml:space="preserve">* Full publication occurred during evaluation: Lancet 2021; 397(10272):375-386. </w:t>
      </w:r>
    </w:p>
    <w:p w:rsidR="00770B7B" w:rsidRPr="00B24C99" w:rsidRDefault="00770B7B" w:rsidP="00EC5836">
      <w:pPr>
        <w:pStyle w:val="TableFigureFooter"/>
        <w:rPr>
          <w:sz w:val="20"/>
        </w:rPr>
      </w:pPr>
    </w:p>
    <w:p w:rsidR="00770B7B" w:rsidRPr="00B24C99" w:rsidRDefault="008F120A" w:rsidP="00EC5836">
      <w:pPr>
        <w:pStyle w:val="3-BodyText"/>
      </w:pPr>
      <w:r w:rsidRPr="00B24C99">
        <w:lastRenderedPageBreak/>
        <w:t xml:space="preserve">The key features of the </w:t>
      </w:r>
      <w:r w:rsidR="00621ADA" w:rsidRPr="00B24C99">
        <w:t>included evidence</w:t>
      </w:r>
      <w:r w:rsidRPr="00B24C99">
        <w:t xml:space="preserve"> are summarised in the table below.</w:t>
      </w:r>
    </w:p>
    <w:p w:rsidR="00620C25" w:rsidRPr="00B24C99" w:rsidRDefault="007F1017" w:rsidP="00AD7DF7">
      <w:pPr>
        <w:pStyle w:val="TableFigureHeading"/>
        <w:keepLines/>
      </w:pPr>
      <w:r w:rsidRPr="00B24C99">
        <w:rPr>
          <w:rStyle w:val="CommentReference"/>
          <w:b/>
          <w:szCs w:val="24"/>
        </w:rPr>
        <w:t xml:space="preserve">Table </w:t>
      </w:r>
      <w:r w:rsidR="00EA4771" w:rsidRPr="00B24C99">
        <w:rPr>
          <w:rStyle w:val="CommentReference"/>
          <w:b/>
          <w:szCs w:val="24"/>
        </w:rPr>
        <w:t>3</w:t>
      </w:r>
      <w:r w:rsidRPr="00B24C99">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330"/>
        <w:gridCol w:w="1518"/>
        <w:gridCol w:w="1089"/>
        <w:gridCol w:w="3358"/>
        <w:gridCol w:w="968"/>
        <w:gridCol w:w="868"/>
      </w:tblGrid>
      <w:tr w:rsidR="00A415E9" w:rsidRPr="00B24C99" w:rsidTr="00A415E9">
        <w:trPr>
          <w:cantSplit/>
          <w:tblHeader/>
        </w:trPr>
        <w:tc>
          <w:tcPr>
            <w:tcW w:w="491" w:type="pct"/>
            <w:shd w:val="clear" w:color="auto" w:fill="auto"/>
            <w:vAlign w:val="center"/>
          </w:tcPr>
          <w:p w:rsidR="00A415E9" w:rsidRPr="00B24C99" w:rsidRDefault="00A415E9" w:rsidP="00AD7DF7">
            <w:pPr>
              <w:pStyle w:val="In-tableHeading"/>
              <w:keepLines/>
              <w:rPr>
                <w:lang w:val="en-AU"/>
              </w:rPr>
            </w:pPr>
            <w:r w:rsidRPr="00B24C99">
              <w:rPr>
                <w:lang w:val="en-AU"/>
              </w:rPr>
              <w:t>Trial</w:t>
            </w:r>
          </w:p>
        </w:tc>
        <w:tc>
          <w:tcPr>
            <w:tcW w:w="183" w:type="pct"/>
            <w:shd w:val="clear" w:color="auto" w:fill="auto"/>
            <w:vAlign w:val="center"/>
          </w:tcPr>
          <w:p w:rsidR="00A415E9" w:rsidRPr="00B24C99" w:rsidRDefault="00A415E9" w:rsidP="00AD7DF7">
            <w:pPr>
              <w:pStyle w:val="In-tableHeading"/>
              <w:keepLines/>
              <w:jc w:val="center"/>
              <w:rPr>
                <w:lang w:val="en-AU"/>
              </w:rPr>
            </w:pPr>
            <w:r w:rsidRPr="00B24C99">
              <w:rPr>
                <w:lang w:val="en-AU"/>
              </w:rPr>
              <w:t>N</w:t>
            </w:r>
          </w:p>
        </w:tc>
        <w:tc>
          <w:tcPr>
            <w:tcW w:w="842" w:type="pct"/>
            <w:shd w:val="clear" w:color="auto" w:fill="auto"/>
            <w:vAlign w:val="center"/>
          </w:tcPr>
          <w:p w:rsidR="00A415E9" w:rsidRPr="00B24C99" w:rsidRDefault="00A415E9" w:rsidP="00AD7DF7">
            <w:pPr>
              <w:pStyle w:val="In-tableHeading"/>
              <w:keepLines/>
              <w:jc w:val="center"/>
              <w:rPr>
                <w:lang w:val="en-AU"/>
              </w:rPr>
            </w:pPr>
            <w:r w:rsidRPr="00B24C99">
              <w:rPr>
                <w:lang w:val="en-AU"/>
              </w:rPr>
              <w:t>Design/ duration of follow-up</w:t>
            </w:r>
          </w:p>
        </w:tc>
        <w:tc>
          <w:tcPr>
            <w:tcW w:w="604" w:type="pct"/>
            <w:shd w:val="clear" w:color="auto" w:fill="auto"/>
            <w:vAlign w:val="center"/>
          </w:tcPr>
          <w:p w:rsidR="00A415E9" w:rsidRPr="00B24C99" w:rsidRDefault="00A415E9" w:rsidP="00AD7DF7">
            <w:pPr>
              <w:pStyle w:val="In-tableHeading"/>
              <w:keepLines/>
              <w:jc w:val="center"/>
              <w:rPr>
                <w:lang w:val="en-AU"/>
              </w:rPr>
            </w:pPr>
            <w:r w:rsidRPr="00B24C99">
              <w:rPr>
                <w:lang w:val="en-AU"/>
              </w:rPr>
              <w:t>Risk of bias</w:t>
            </w:r>
          </w:p>
        </w:tc>
        <w:tc>
          <w:tcPr>
            <w:tcW w:w="1862" w:type="pct"/>
            <w:shd w:val="clear" w:color="auto" w:fill="auto"/>
            <w:vAlign w:val="center"/>
          </w:tcPr>
          <w:p w:rsidR="00A415E9" w:rsidRPr="00B24C99" w:rsidRDefault="00A415E9" w:rsidP="00AD7DF7">
            <w:pPr>
              <w:pStyle w:val="In-tableHeading"/>
              <w:keepLines/>
              <w:jc w:val="center"/>
              <w:rPr>
                <w:lang w:val="en-AU"/>
              </w:rPr>
            </w:pPr>
            <w:r w:rsidRPr="00B24C99">
              <w:rPr>
                <w:lang w:val="en-AU"/>
              </w:rPr>
              <w:t>Patient population</w:t>
            </w:r>
          </w:p>
        </w:tc>
        <w:tc>
          <w:tcPr>
            <w:tcW w:w="537" w:type="pct"/>
            <w:shd w:val="clear" w:color="auto" w:fill="auto"/>
            <w:vAlign w:val="center"/>
          </w:tcPr>
          <w:p w:rsidR="00A415E9" w:rsidRPr="00B24C99" w:rsidRDefault="00A415E9" w:rsidP="00AD7DF7">
            <w:pPr>
              <w:pStyle w:val="In-tableHeading"/>
              <w:keepLines/>
              <w:jc w:val="center"/>
              <w:rPr>
                <w:lang w:val="en-AU"/>
              </w:rPr>
            </w:pPr>
            <w:r w:rsidRPr="00B24C99">
              <w:rPr>
                <w:lang w:val="en-AU"/>
              </w:rPr>
              <w:t>Outcome(s)</w:t>
            </w:r>
          </w:p>
        </w:tc>
        <w:tc>
          <w:tcPr>
            <w:tcW w:w="481" w:type="pct"/>
            <w:shd w:val="clear" w:color="auto" w:fill="auto"/>
            <w:vAlign w:val="center"/>
          </w:tcPr>
          <w:p w:rsidR="00A415E9" w:rsidRPr="00B24C99" w:rsidRDefault="00A415E9" w:rsidP="00AD7DF7">
            <w:pPr>
              <w:pStyle w:val="In-tableHeading"/>
              <w:keepLines/>
              <w:jc w:val="center"/>
              <w:rPr>
                <w:lang w:val="en-AU"/>
              </w:rPr>
            </w:pPr>
            <w:r w:rsidRPr="00B24C99">
              <w:rPr>
                <w:lang w:val="en-AU"/>
              </w:rPr>
              <w:t>Use in modelled evaluation</w:t>
            </w:r>
          </w:p>
        </w:tc>
      </w:tr>
      <w:tr w:rsidR="00A415E9" w:rsidRPr="00B24C99" w:rsidTr="007C1C3B">
        <w:trPr>
          <w:cantSplit/>
        </w:trPr>
        <w:tc>
          <w:tcPr>
            <w:tcW w:w="5000" w:type="pct"/>
            <w:gridSpan w:val="7"/>
            <w:shd w:val="clear" w:color="auto" w:fill="auto"/>
            <w:vAlign w:val="center"/>
          </w:tcPr>
          <w:p w:rsidR="00A415E9" w:rsidRPr="00B24C99" w:rsidRDefault="00A415E9" w:rsidP="00AD7DF7">
            <w:pPr>
              <w:pStyle w:val="In-tableHeading"/>
              <w:keepLines/>
              <w:rPr>
                <w:lang w:val="en-AU"/>
              </w:rPr>
            </w:pPr>
            <w:r w:rsidRPr="00B24C99">
              <w:rPr>
                <w:lang w:val="en-AU"/>
              </w:rPr>
              <w:t>First-line setting</w:t>
            </w:r>
          </w:p>
        </w:tc>
      </w:tr>
      <w:tr w:rsidR="00A415E9" w:rsidRPr="00B24C99" w:rsidTr="007C1C3B">
        <w:trPr>
          <w:cantSplit/>
        </w:trPr>
        <w:tc>
          <w:tcPr>
            <w:tcW w:w="5000" w:type="pct"/>
            <w:gridSpan w:val="7"/>
            <w:shd w:val="clear" w:color="auto" w:fill="auto"/>
            <w:vAlign w:val="center"/>
          </w:tcPr>
          <w:p w:rsidR="00A415E9" w:rsidRPr="00B24C99" w:rsidRDefault="00A415E9" w:rsidP="00AD7DF7">
            <w:pPr>
              <w:pStyle w:val="In-tableHeading"/>
              <w:keepLines/>
              <w:rPr>
                <w:lang w:val="en-AU"/>
              </w:rPr>
            </w:pPr>
            <w:r w:rsidRPr="00B24C99">
              <w:rPr>
                <w:lang w:val="en-AU"/>
              </w:rPr>
              <w:t>NIVO+IPI versus pemetrexed-based chemotherapy</w:t>
            </w:r>
          </w:p>
        </w:tc>
      </w:tr>
      <w:tr w:rsidR="00A415E9" w:rsidRPr="00B24C99" w:rsidTr="00A415E9">
        <w:trPr>
          <w:cantSplit/>
        </w:trPr>
        <w:tc>
          <w:tcPr>
            <w:tcW w:w="491" w:type="pct"/>
            <w:shd w:val="clear" w:color="auto" w:fill="auto"/>
            <w:vAlign w:val="center"/>
          </w:tcPr>
          <w:p w:rsidR="00A415E9" w:rsidRPr="00B24C99" w:rsidRDefault="00A415E9" w:rsidP="00AD7DF7">
            <w:pPr>
              <w:pStyle w:val="TableText0"/>
              <w:keepLines/>
            </w:pPr>
            <w:r w:rsidRPr="00B24C99">
              <w:t>CheckMate 743</w:t>
            </w:r>
          </w:p>
        </w:tc>
        <w:tc>
          <w:tcPr>
            <w:tcW w:w="183" w:type="pct"/>
            <w:shd w:val="clear" w:color="auto" w:fill="auto"/>
            <w:vAlign w:val="center"/>
          </w:tcPr>
          <w:p w:rsidR="00A415E9" w:rsidRPr="00B24C99" w:rsidRDefault="00A415E9" w:rsidP="00AD7DF7">
            <w:pPr>
              <w:pStyle w:val="TableText0"/>
              <w:keepLines/>
              <w:jc w:val="center"/>
            </w:pPr>
            <w:r w:rsidRPr="00B24C99">
              <w:t>605</w:t>
            </w:r>
          </w:p>
        </w:tc>
        <w:tc>
          <w:tcPr>
            <w:tcW w:w="842" w:type="pct"/>
            <w:shd w:val="clear" w:color="auto" w:fill="auto"/>
            <w:vAlign w:val="center"/>
          </w:tcPr>
          <w:p w:rsidR="00A415E9" w:rsidRPr="00B24C99" w:rsidRDefault="00A415E9" w:rsidP="00AD7DF7">
            <w:pPr>
              <w:pStyle w:val="TableText0"/>
              <w:keepLines/>
              <w:jc w:val="center"/>
            </w:pPr>
            <w:r w:rsidRPr="00B24C99">
              <w:t>R, OL, MC</w:t>
            </w:r>
          </w:p>
          <w:p w:rsidR="00A415E9" w:rsidRPr="00B24C99" w:rsidRDefault="00A415E9" w:rsidP="00AD7DF7">
            <w:pPr>
              <w:pStyle w:val="TableText0"/>
              <w:keepLines/>
              <w:jc w:val="center"/>
            </w:pPr>
            <w:r w:rsidRPr="00B24C99">
              <w:t>22 mths</w:t>
            </w:r>
            <w:r w:rsidRPr="00B24C99">
              <w:rPr>
                <w:vertAlign w:val="superscript"/>
              </w:rPr>
              <w:t>a</w:t>
            </w:r>
          </w:p>
        </w:tc>
        <w:tc>
          <w:tcPr>
            <w:tcW w:w="604" w:type="pct"/>
            <w:shd w:val="clear" w:color="auto" w:fill="auto"/>
            <w:vAlign w:val="center"/>
          </w:tcPr>
          <w:p w:rsidR="00A415E9" w:rsidRPr="00B24C99" w:rsidRDefault="00A415E9" w:rsidP="00AD7DF7">
            <w:pPr>
              <w:pStyle w:val="TableText0"/>
              <w:keepLines/>
              <w:jc w:val="center"/>
            </w:pPr>
            <w:r w:rsidRPr="00B24C99">
              <w:t>Moderate</w:t>
            </w:r>
            <w:r w:rsidR="000128E9" w:rsidRPr="00B24C99">
              <w:t>, but low for OS</w:t>
            </w:r>
            <w:r w:rsidRPr="00B24C99">
              <w:rPr>
                <w:vertAlign w:val="superscript"/>
              </w:rPr>
              <w:t>c</w:t>
            </w:r>
          </w:p>
        </w:tc>
        <w:tc>
          <w:tcPr>
            <w:tcW w:w="1862" w:type="pct"/>
            <w:shd w:val="clear" w:color="auto" w:fill="auto"/>
            <w:vAlign w:val="center"/>
          </w:tcPr>
          <w:p w:rsidR="00A415E9" w:rsidRPr="00B24C99" w:rsidRDefault="00A415E9" w:rsidP="00AD7DF7">
            <w:pPr>
              <w:pStyle w:val="TableText0"/>
              <w:keepLines/>
              <w:jc w:val="center"/>
            </w:pPr>
            <w:r w:rsidRPr="00B24C99">
              <w:t>Unresectable MPM without prior treatment</w:t>
            </w:r>
          </w:p>
        </w:tc>
        <w:tc>
          <w:tcPr>
            <w:tcW w:w="537" w:type="pct"/>
            <w:shd w:val="clear" w:color="auto" w:fill="auto"/>
            <w:vAlign w:val="center"/>
          </w:tcPr>
          <w:p w:rsidR="00A415E9" w:rsidRPr="00B24C99" w:rsidRDefault="00A415E9" w:rsidP="00AD7DF7">
            <w:pPr>
              <w:pStyle w:val="TableText0"/>
              <w:keepLines/>
              <w:jc w:val="center"/>
            </w:pPr>
            <w:r w:rsidRPr="00B24C99">
              <w:t>OS, PFS</w:t>
            </w:r>
          </w:p>
        </w:tc>
        <w:tc>
          <w:tcPr>
            <w:tcW w:w="481" w:type="pct"/>
            <w:shd w:val="clear" w:color="auto" w:fill="auto"/>
            <w:vAlign w:val="center"/>
          </w:tcPr>
          <w:p w:rsidR="00A415E9" w:rsidRPr="00B24C99" w:rsidRDefault="00A415E9" w:rsidP="00AD7DF7">
            <w:pPr>
              <w:pStyle w:val="TableText0"/>
              <w:keepLines/>
              <w:jc w:val="center"/>
            </w:pPr>
            <w:r w:rsidRPr="00B24C99">
              <w:t>Used</w:t>
            </w:r>
          </w:p>
        </w:tc>
      </w:tr>
      <w:tr w:rsidR="00A415E9" w:rsidRPr="00B24C99" w:rsidTr="007C1C3B">
        <w:trPr>
          <w:cantSplit/>
        </w:trPr>
        <w:tc>
          <w:tcPr>
            <w:tcW w:w="5000" w:type="pct"/>
            <w:gridSpan w:val="7"/>
            <w:shd w:val="clear" w:color="auto" w:fill="auto"/>
            <w:vAlign w:val="center"/>
          </w:tcPr>
          <w:p w:rsidR="00A415E9" w:rsidRPr="00B24C99" w:rsidRDefault="00A415E9" w:rsidP="00AD7DF7">
            <w:pPr>
              <w:pStyle w:val="TableText0"/>
              <w:keepLines/>
              <w:rPr>
                <w:b/>
              </w:rPr>
            </w:pPr>
            <w:r w:rsidRPr="00B24C99">
              <w:rPr>
                <w:b/>
              </w:rPr>
              <w:t>Second-</w:t>
            </w:r>
            <w:r w:rsidR="002E66DB" w:rsidRPr="00B24C99">
              <w:rPr>
                <w:b/>
              </w:rPr>
              <w:t xml:space="preserve"> or later-</w:t>
            </w:r>
            <w:r w:rsidRPr="00B24C99">
              <w:rPr>
                <w:b/>
              </w:rPr>
              <w:t>line setting</w:t>
            </w:r>
          </w:p>
        </w:tc>
      </w:tr>
      <w:tr w:rsidR="00A415E9" w:rsidRPr="00B24C99" w:rsidTr="007C1C3B">
        <w:trPr>
          <w:cantSplit/>
        </w:trPr>
        <w:tc>
          <w:tcPr>
            <w:tcW w:w="5000" w:type="pct"/>
            <w:gridSpan w:val="7"/>
            <w:shd w:val="clear" w:color="auto" w:fill="auto"/>
            <w:vAlign w:val="center"/>
          </w:tcPr>
          <w:p w:rsidR="00A415E9" w:rsidRPr="00B24C99" w:rsidRDefault="00A415E9" w:rsidP="00AD7DF7">
            <w:pPr>
              <w:pStyle w:val="TableText0"/>
              <w:keepLines/>
              <w:rPr>
                <w:b/>
              </w:rPr>
            </w:pPr>
            <w:r w:rsidRPr="00B24C99">
              <w:rPr>
                <w:b/>
              </w:rPr>
              <w:t>NIVO+IPI (non-comparative)</w:t>
            </w:r>
            <w:r w:rsidR="001200BC" w:rsidRPr="00B24C99">
              <w:rPr>
                <w:b/>
              </w:rPr>
              <w:t xml:space="preserve"> – second</w:t>
            </w:r>
            <w:r w:rsidR="00AB2541" w:rsidRPr="00B24C99">
              <w:rPr>
                <w:b/>
              </w:rPr>
              <w:t xml:space="preserve"> or later-line</w:t>
            </w:r>
          </w:p>
        </w:tc>
      </w:tr>
      <w:tr w:rsidR="00A415E9" w:rsidRPr="00B24C99" w:rsidTr="00A415E9">
        <w:trPr>
          <w:cantSplit/>
        </w:trPr>
        <w:tc>
          <w:tcPr>
            <w:tcW w:w="491" w:type="pct"/>
            <w:shd w:val="clear" w:color="auto" w:fill="auto"/>
            <w:vAlign w:val="center"/>
          </w:tcPr>
          <w:p w:rsidR="00A415E9" w:rsidRPr="00B24C99" w:rsidRDefault="00A415E9" w:rsidP="00AD7DF7">
            <w:pPr>
              <w:pStyle w:val="TableText0"/>
              <w:keepLines/>
            </w:pPr>
            <w:r w:rsidRPr="00B24C99">
              <w:t>MAPS2</w:t>
            </w:r>
          </w:p>
        </w:tc>
        <w:tc>
          <w:tcPr>
            <w:tcW w:w="183" w:type="pct"/>
            <w:shd w:val="clear" w:color="auto" w:fill="auto"/>
            <w:vAlign w:val="center"/>
          </w:tcPr>
          <w:p w:rsidR="00A415E9" w:rsidRPr="00B24C99" w:rsidRDefault="00A415E9" w:rsidP="00AD7DF7">
            <w:pPr>
              <w:pStyle w:val="TableText0"/>
              <w:keepLines/>
              <w:jc w:val="center"/>
            </w:pPr>
            <w:r w:rsidRPr="00B24C99">
              <w:t>64</w:t>
            </w:r>
            <w:r w:rsidRPr="00B24C99">
              <w:rPr>
                <w:vertAlign w:val="superscript"/>
              </w:rPr>
              <w:t>b</w:t>
            </w:r>
          </w:p>
        </w:tc>
        <w:tc>
          <w:tcPr>
            <w:tcW w:w="842" w:type="pct"/>
            <w:shd w:val="clear" w:color="auto" w:fill="auto"/>
            <w:vAlign w:val="center"/>
          </w:tcPr>
          <w:p w:rsidR="00A415E9" w:rsidRPr="00B24C99" w:rsidRDefault="00A415E9" w:rsidP="00AD7DF7">
            <w:pPr>
              <w:pStyle w:val="TableText0"/>
              <w:keepLines/>
              <w:jc w:val="center"/>
            </w:pPr>
            <w:r w:rsidRPr="00B24C99">
              <w:t>R</w:t>
            </w:r>
            <w:r w:rsidR="001807A9" w:rsidRPr="00B24C99">
              <w:rPr>
                <w:vertAlign w:val="superscript"/>
              </w:rPr>
              <w:t>d</w:t>
            </w:r>
            <w:r w:rsidRPr="00B24C99">
              <w:t>, OL, MC</w:t>
            </w:r>
          </w:p>
          <w:p w:rsidR="00A415E9" w:rsidRPr="00B24C99" w:rsidRDefault="00A415E9" w:rsidP="00AD7DF7">
            <w:pPr>
              <w:pStyle w:val="TableText0"/>
              <w:keepLines/>
              <w:jc w:val="center"/>
            </w:pPr>
            <w:r w:rsidRPr="00B24C99">
              <w:t>20 mths</w:t>
            </w:r>
          </w:p>
        </w:tc>
        <w:tc>
          <w:tcPr>
            <w:tcW w:w="604" w:type="pct"/>
            <w:shd w:val="clear" w:color="auto" w:fill="auto"/>
            <w:vAlign w:val="center"/>
          </w:tcPr>
          <w:p w:rsidR="00A415E9" w:rsidRPr="00B24C99" w:rsidRDefault="00A415E9" w:rsidP="00AD7DF7">
            <w:pPr>
              <w:pStyle w:val="TableText0"/>
              <w:keepLines/>
              <w:jc w:val="center"/>
            </w:pPr>
            <w:r w:rsidRPr="00B24C99">
              <w:t>High</w:t>
            </w:r>
            <w:r w:rsidR="001807A9" w:rsidRPr="00B24C99">
              <w:rPr>
                <w:vertAlign w:val="superscript"/>
              </w:rPr>
              <w:t>e</w:t>
            </w:r>
          </w:p>
        </w:tc>
        <w:tc>
          <w:tcPr>
            <w:tcW w:w="1862" w:type="pct"/>
            <w:shd w:val="clear" w:color="auto" w:fill="auto"/>
            <w:vAlign w:val="center"/>
          </w:tcPr>
          <w:p w:rsidR="00A415E9" w:rsidRPr="00B24C99" w:rsidRDefault="00A415E9" w:rsidP="00AD7DF7">
            <w:pPr>
              <w:pStyle w:val="TableText0"/>
              <w:keepLines/>
              <w:jc w:val="center"/>
            </w:pPr>
            <w:r w:rsidRPr="00B24C99">
              <w:t>MPM</w:t>
            </w:r>
            <w:r w:rsidR="007F5E8C" w:rsidRPr="00B24C99">
              <w:t>, disease progression after</w:t>
            </w:r>
            <w:r w:rsidRPr="00B24C99">
              <w:t xml:space="preserve"> 1-2 lines of </w:t>
            </w:r>
            <w:r w:rsidR="008D4843" w:rsidRPr="00B24C99">
              <w:t xml:space="preserve">prior </w:t>
            </w:r>
            <w:r w:rsidRPr="00B24C99">
              <w:t>systemic chemo</w:t>
            </w:r>
          </w:p>
        </w:tc>
        <w:tc>
          <w:tcPr>
            <w:tcW w:w="537" w:type="pct"/>
            <w:shd w:val="clear" w:color="auto" w:fill="auto"/>
            <w:vAlign w:val="center"/>
          </w:tcPr>
          <w:p w:rsidR="00A415E9" w:rsidRPr="00B24C99" w:rsidRDefault="00A415E9" w:rsidP="00AD7DF7">
            <w:pPr>
              <w:pStyle w:val="TableText0"/>
              <w:keepLines/>
              <w:jc w:val="center"/>
            </w:pPr>
            <w:r w:rsidRPr="00B24C99">
              <w:t>OS, PFS, disease control</w:t>
            </w:r>
          </w:p>
        </w:tc>
        <w:tc>
          <w:tcPr>
            <w:tcW w:w="481" w:type="pct"/>
            <w:shd w:val="clear" w:color="auto" w:fill="auto"/>
            <w:vAlign w:val="center"/>
          </w:tcPr>
          <w:p w:rsidR="00A415E9" w:rsidRPr="00B24C99" w:rsidRDefault="00A415E9" w:rsidP="00AD7DF7">
            <w:pPr>
              <w:pStyle w:val="TableText0"/>
              <w:keepLines/>
              <w:jc w:val="center"/>
            </w:pPr>
            <w:r w:rsidRPr="00B24C99">
              <w:t>Not used</w:t>
            </w:r>
          </w:p>
        </w:tc>
      </w:tr>
      <w:tr w:rsidR="00A415E9" w:rsidRPr="00B24C99" w:rsidTr="00A415E9">
        <w:trPr>
          <w:cantSplit/>
        </w:trPr>
        <w:tc>
          <w:tcPr>
            <w:tcW w:w="491" w:type="pct"/>
            <w:shd w:val="clear" w:color="auto" w:fill="auto"/>
            <w:vAlign w:val="center"/>
          </w:tcPr>
          <w:p w:rsidR="00A415E9" w:rsidRPr="00B24C99" w:rsidRDefault="00A415E9" w:rsidP="00AD7DF7">
            <w:pPr>
              <w:pStyle w:val="TableText0"/>
              <w:keepLines/>
            </w:pPr>
            <w:r w:rsidRPr="00B24C99">
              <w:t>INITIATE</w:t>
            </w:r>
          </w:p>
        </w:tc>
        <w:tc>
          <w:tcPr>
            <w:tcW w:w="183" w:type="pct"/>
            <w:shd w:val="clear" w:color="auto" w:fill="auto"/>
            <w:vAlign w:val="center"/>
          </w:tcPr>
          <w:p w:rsidR="00A415E9" w:rsidRPr="00B24C99" w:rsidRDefault="00A415E9" w:rsidP="00AD7DF7">
            <w:pPr>
              <w:pStyle w:val="TableText0"/>
              <w:keepLines/>
              <w:jc w:val="center"/>
            </w:pPr>
            <w:r w:rsidRPr="00B24C99">
              <w:t>35</w:t>
            </w:r>
          </w:p>
        </w:tc>
        <w:tc>
          <w:tcPr>
            <w:tcW w:w="842" w:type="pct"/>
            <w:shd w:val="clear" w:color="auto" w:fill="auto"/>
            <w:vAlign w:val="center"/>
          </w:tcPr>
          <w:p w:rsidR="00A415E9" w:rsidRPr="00B24C99" w:rsidRDefault="00583191" w:rsidP="00AD7DF7">
            <w:pPr>
              <w:pStyle w:val="TableText0"/>
              <w:keepLines/>
              <w:jc w:val="center"/>
            </w:pPr>
            <w:r w:rsidRPr="00B24C99">
              <w:t>Single arm</w:t>
            </w:r>
          </w:p>
          <w:p w:rsidR="00A415E9" w:rsidRPr="00B24C99" w:rsidRDefault="00A415E9" w:rsidP="00AD7DF7">
            <w:pPr>
              <w:pStyle w:val="TableText0"/>
              <w:keepLines/>
              <w:jc w:val="center"/>
            </w:pPr>
            <w:r w:rsidRPr="00B24C99">
              <w:t>14 mths</w:t>
            </w:r>
          </w:p>
        </w:tc>
        <w:tc>
          <w:tcPr>
            <w:tcW w:w="604" w:type="pct"/>
            <w:shd w:val="clear" w:color="auto" w:fill="auto"/>
            <w:vAlign w:val="center"/>
          </w:tcPr>
          <w:p w:rsidR="00A415E9" w:rsidRPr="00B24C99" w:rsidRDefault="00A415E9" w:rsidP="00AD7DF7">
            <w:pPr>
              <w:pStyle w:val="TableText0"/>
              <w:keepLines/>
              <w:jc w:val="center"/>
            </w:pPr>
            <w:r w:rsidRPr="00B24C99">
              <w:t>High</w:t>
            </w:r>
            <w:r w:rsidR="001807A9" w:rsidRPr="00B24C99">
              <w:rPr>
                <w:vertAlign w:val="superscript"/>
              </w:rPr>
              <w:t>f</w:t>
            </w:r>
          </w:p>
        </w:tc>
        <w:tc>
          <w:tcPr>
            <w:tcW w:w="1862" w:type="pct"/>
            <w:shd w:val="clear" w:color="auto" w:fill="auto"/>
            <w:vAlign w:val="center"/>
          </w:tcPr>
          <w:p w:rsidR="00A415E9" w:rsidRPr="00B24C99" w:rsidRDefault="00A415E9" w:rsidP="00AD7DF7">
            <w:pPr>
              <w:pStyle w:val="TableText0"/>
              <w:keepLines/>
              <w:jc w:val="center"/>
            </w:pPr>
            <w:r w:rsidRPr="00B24C99">
              <w:t>MPM</w:t>
            </w:r>
            <w:r w:rsidR="007F5E8C" w:rsidRPr="00B24C99">
              <w:t xml:space="preserve">, disease progression or recurrence after </w:t>
            </w:r>
            <w:r w:rsidRPr="00B24C99">
              <w:t>≥ 1 line of</w:t>
            </w:r>
            <w:r w:rsidR="008D4843" w:rsidRPr="00B24C99">
              <w:t xml:space="preserve"> prior</w:t>
            </w:r>
            <w:r w:rsidRPr="00B24C99">
              <w:t xml:space="preserve"> systemic chemo</w:t>
            </w:r>
          </w:p>
        </w:tc>
        <w:tc>
          <w:tcPr>
            <w:tcW w:w="537" w:type="pct"/>
            <w:shd w:val="clear" w:color="auto" w:fill="auto"/>
            <w:vAlign w:val="center"/>
          </w:tcPr>
          <w:p w:rsidR="00A415E9" w:rsidRPr="00B24C99" w:rsidRDefault="00A415E9" w:rsidP="00AD7DF7">
            <w:pPr>
              <w:pStyle w:val="TableText0"/>
              <w:keepLines/>
              <w:jc w:val="center"/>
            </w:pPr>
            <w:r w:rsidRPr="00B24C99">
              <w:t>OS, PFS, disease control</w:t>
            </w:r>
          </w:p>
        </w:tc>
        <w:tc>
          <w:tcPr>
            <w:tcW w:w="481" w:type="pct"/>
            <w:shd w:val="clear" w:color="auto" w:fill="auto"/>
            <w:vAlign w:val="center"/>
          </w:tcPr>
          <w:p w:rsidR="00A415E9" w:rsidRPr="00B24C99" w:rsidRDefault="00A415E9" w:rsidP="00AD7DF7">
            <w:pPr>
              <w:pStyle w:val="TableText0"/>
              <w:keepLines/>
              <w:jc w:val="center"/>
            </w:pPr>
            <w:r w:rsidRPr="00B24C99">
              <w:t>Not used</w:t>
            </w:r>
          </w:p>
        </w:tc>
      </w:tr>
      <w:tr w:rsidR="00A415E9" w:rsidRPr="00B24C99" w:rsidTr="007C1C3B">
        <w:trPr>
          <w:cantSplit/>
        </w:trPr>
        <w:tc>
          <w:tcPr>
            <w:tcW w:w="5000" w:type="pct"/>
            <w:gridSpan w:val="7"/>
            <w:shd w:val="clear" w:color="auto" w:fill="auto"/>
            <w:vAlign w:val="center"/>
          </w:tcPr>
          <w:p w:rsidR="00A415E9" w:rsidRPr="00B24C99" w:rsidRDefault="00A415E9" w:rsidP="00AD7DF7">
            <w:pPr>
              <w:pStyle w:val="TableText0"/>
              <w:keepLines/>
              <w:rPr>
                <w:b/>
              </w:rPr>
            </w:pPr>
            <w:r w:rsidRPr="00B24C99">
              <w:rPr>
                <w:b/>
              </w:rPr>
              <w:t>Pemetrexed+BSC versus BSC</w:t>
            </w:r>
            <w:r w:rsidR="00AB2541" w:rsidRPr="00B24C99">
              <w:rPr>
                <w:b/>
              </w:rPr>
              <w:t xml:space="preserve"> - second-line</w:t>
            </w:r>
          </w:p>
        </w:tc>
      </w:tr>
      <w:tr w:rsidR="00A415E9" w:rsidRPr="00B24C99" w:rsidTr="00A415E9">
        <w:trPr>
          <w:cantSplit/>
        </w:trPr>
        <w:tc>
          <w:tcPr>
            <w:tcW w:w="491" w:type="pct"/>
            <w:shd w:val="clear" w:color="auto" w:fill="auto"/>
            <w:vAlign w:val="center"/>
          </w:tcPr>
          <w:p w:rsidR="00A415E9" w:rsidRPr="00B24C99" w:rsidRDefault="00A415E9" w:rsidP="00AD7DF7">
            <w:pPr>
              <w:pStyle w:val="TableText0"/>
              <w:keepLines/>
            </w:pPr>
            <w:r w:rsidRPr="00B24C99">
              <w:t>Jassem 2008</w:t>
            </w:r>
          </w:p>
        </w:tc>
        <w:tc>
          <w:tcPr>
            <w:tcW w:w="183" w:type="pct"/>
            <w:shd w:val="clear" w:color="auto" w:fill="auto"/>
            <w:vAlign w:val="center"/>
          </w:tcPr>
          <w:p w:rsidR="00A415E9" w:rsidRPr="00B24C99" w:rsidRDefault="00A415E9" w:rsidP="00AD7DF7">
            <w:pPr>
              <w:pStyle w:val="TableText0"/>
              <w:keepLines/>
              <w:jc w:val="center"/>
            </w:pPr>
            <w:r w:rsidRPr="00B24C99">
              <w:t>243</w:t>
            </w:r>
          </w:p>
        </w:tc>
        <w:tc>
          <w:tcPr>
            <w:tcW w:w="842" w:type="pct"/>
            <w:shd w:val="clear" w:color="auto" w:fill="auto"/>
            <w:vAlign w:val="center"/>
          </w:tcPr>
          <w:p w:rsidR="00A415E9" w:rsidRPr="00B24C99" w:rsidRDefault="00A415E9" w:rsidP="00AD7DF7">
            <w:pPr>
              <w:pStyle w:val="TableText0"/>
              <w:keepLines/>
              <w:jc w:val="center"/>
            </w:pPr>
            <w:r w:rsidRPr="00B24C99">
              <w:t>R, OL, MC</w:t>
            </w:r>
          </w:p>
          <w:p w:rsidR="00A415E9" w:rsidRPr="00B24C99" w:rsidRDefault="00A415E9" w:rsidP="00AD7DF7">
            <w:pPr>
              <w:pStyle w:val="TableText0"/>
              <w:keepLines/>
              <w:jc w:val="center"/>
            </w:pPr>
            <w:r w:rsidRPr="00B24C99">
              <w:t>15 mths</w:t>
            </w:r>
          </w:p>
        </w:tc>
        <w:tc>
          <w:tcPr>
            <w:tcW w:w="604" w:type="pct"/>
            <w:shd w:val="clear" w:color="auto" w:fill="auto"/>
            <w:vAlign w:val="center"/>
          </w:tcPr>
          <w:p w:rsidR="00A415E9" w:rsidRPr="00B24C99" w:rsidRDefault="00A415E9" w:rsidP="00AD7DF7">
            <w:pPr>
              <w:pStyle w:val="TableText0"/>
              <w:keepLines/>
              <w:jc w:val="center"/>
            </w:pPr>
            <w:r w:rsidRPr="00B24C99">
              <w:t>High</w:t>
            </w:r>
            <w:r w:rsidR="001807A9" w:rsidRPr="00B24C99">
              <w:rPr>
                <w:vertAlign w:val="superscript"/>
              </w:rPr>
              <w:t>g</w:t>
            </w:r>
          </w:p>
        </w:tc>
        <w:tc>
          <w:tcPr>
            <w:tcW w:w="1862" w:type="pct"/>
            <w:shd w:val="clear" w:color="auto" w:fill="auto"/>
            <w:vAlign w:val="center"/>
          </w:tcPr>
          <w:p w:rsidR="00A415E9" w:rsidRPr="00B24C99" w:rsidRDefault="00A415E9" w:rsidP="00AD7DF7">
            <w:pPr>
              <w:pStyle w:val="TableText0"/>
              <w:keepLines/>
              <w:jc w:val="center"/>
            </w:pPr>
            <w:r w:rsidRPr="00B24C99">
              <w:t>MPM</w:t>
            </w:r>
            <w:r w:rsidR="007F5E8C" w:rsidRPr="00B24C99">
              <w:t>, disease progression after</w:t>
            </w:r>
          </w:p>
          <w:p w:rsidR="00A415E9" w:rsidRPr="00B24C99" w:rsidRDefault="00A415E9" w:rsidP="00AD7DF7">
            <w:pPr>
              <w:pStyle w:val="TableText0"/>
              <w:keepLines/>
              <w:jc w:val="center"/>
            </w:pPr>
            <w:r w:rsidRPr="00B24C99">
              <w:t xml:space="preserve">1 line of </w:t>
            </w:r>
            <w:r w:rsidR="008D4843" w:rsidRPr="00B24C99">
              <w:t xml:space="preserve">prior </w:t>
            </w:r>
            <w:r w:rsidRPr="00B24C99">
              <w:t>systemic chemo excluding pemetrexed</w:t>
            </w:r>
          </w:p>
        </w:tc>
        <w:tc>
          <w:tcPr>
            <w:tcW w:w="537" w:type="pct"/>
            <w:shd w:val="clear" w:color="auto" w:fill="auto"/>
            <w:vAlign w:val="center"/>
          </w:tcPr>
          <w:p w:rsidR="00A415E9" w:rsidRPr="00B24C99" w:rsidRDefault="00A415E9" w:rsidP="00AD7DF7">
            <w:pPr>
              <w:pStyle w:val="TableText0"/>
              <w:keepLines/>
              <w:jc w:val="center"/>
            </w:pPr>
            <w:r w:rsidRPr="00B24C99">
              <w:t>OS, PFS, time to tumor progression</w:t>
            </w:r>
          </w:p>
        </w:tc>
        <w:tc>
          <w:tcPr>
            <w:tcW w:w="481" w:type="pct"/>
            <w:shd w:val="clear" w:color="auto" w:fill="auto"/>
            <w:vAlign w:val="center"/>
          </w:tcPr>
          <w:p w:rsidR="00A415E9" w:rsidRPr="00B24C99" w:rsidRDefault="00A415E9" w:rsidP="00AD7DF7">
            <w:pPr>
              <w:pStyle w:val="TableText0"/>
              <w:keepLines/>
              <w:jc w:val="center"/>
            </w:pPr>
            <w:r w:rsidRPr="00B24C99">
              <w:t>Not used</w:t>
            </w:r>
          </w:p>
        </w:tc>
      </w:tr>
    </w:tbl>
    <w:p w:rsidR="00681D20" w:rsidRPr="00E753FC" w:rsidRDefault="00681D20" w:rsidP="00AD7DF7">
      <w:pPr>
        <w:keepNext/>
        <w:keepLines/>
        <w:ind w:left="142" w:hanging="142"/>
        <w:contextualSpacing/>
        <w:rPr>
          <w:rFonts w:ascii="Arial Narrow" w:hAnsi="Arial Narrow"/>
          <w:sz w:val="18"/>
          <w:szCs w:val="20"/>
        </w:rPr>
      </w:pPr>
      <w:r w:rsidRPr="00E753FC">
        <w:rPr>
          <w:rFonts w:ascii="Arial Narrow" w:hAnsi="Arial Narrow"/>
          <w:sz w:val="18"/>
          <w:szCs w:val="20"/>
          <w:vertAlign w:val="superscript"/>
        </w:rPr>
        <w:t>a</w:t>
      </w:r>
      <w:r w:rsidRPr="00E753FC">
        <w:rPr>
          <w:rFonts w:ascii="Arial Narrow" w:hAnsi="Arial Narrow"/>
          <w:sz w:val="18"/>
          <w:szCs w:val="20"/>
        </w:rPr>
        <w:t xml:space="preserve"> </w:t>
      </w:r>
      <w:r w:rsidRPr="00E753FC">
        <w:rPr>
          <w:rFonts w:ascii="Arial Narrow" w:hAnsi="Arial Narrow"/>
          <w:sz w:val="18"/>
          <w:szCs w:val="20"/>
        </w:rPr>
        <w:tab/>
        <w:t>Minimum follow-up for overall survival was 22.1 months (calculated as time from last subject’s randomisation date (22 May 2018) to 25 March 2020 (the trial’s clinical cut-off date for OS). Median follow-up for OS was 29.7 months for all randomised subjects (calculated as median time from randomisation date to the clinical data cut-off for OS (ie, 25 March 2020) (Table S.5.3 and pp21 and 83 of CheckMate 743 CSR)</w:t>
      </w:r>
      <w:r w:rsidR="00B24C99" w:rsidRPr="00E753FC">
        <w:rPr>
          <w:rFonts w:ascii="Arial Narrow" w:hAnsi="Arial Narrow"/>
          <w:sz w:val="18"/>
          <w:szCs w:val="20"/>
        </w:rPr>
        <w:t xml:space="preserve">. </w:t>
      </w:r>
    </w:p>
    <w:p w:rsidR="00681D20" w:rsidRPr="00E753FC" w:rsidRDefault="00681D20" w:rsidP="00AD7DF7">
      <w:pPr>
        <w:keepNext/>
        <w:keepLines/>
        <w:ind w:left="142" w:hanging="142"/>
        <w:contextualSpacing/>
        <w:rPr>
          <w:rFonts w:ascii="Arial Narrow" w:hAnsi="Arial Narrow"/>
          <w:sz w:val="18"/>
          <w:szCs w:val="20"/>
        </w:rPr>
      </w:pPr>
      <w:r w:rsidRPr="00E753FC">
        <w:rPr>
          <w:rFonts w:ascii="Arial Narrow" w:hAnsi="Arial Narrow"/>
          <w:sz w:val="18"/>
          <w:szCs w:val="20"/>
          <w:vertAlign w:val="superscript"/>
        </w:rPr>
        <w:t>b</w:t>
      </w:r>
      <w:r w:rsidRPr="00E753FC">
        <w:rPr>
          <w:rFonts w:ascii="Arial Narrow" w:hAnsi="Arial Narrow"/>
          <w:sz w:val="18"/>
          <w:szCs w:val="20"/>
        </w:rPr>
        <w:t xml:space="preserve"> </w:t>
      </w:r>
      <w:r w:rsidRPr="00E753FC">
        <w:rPr>
          <w:rFonts w:ascii="Arial Narrow" w:hAnsi="Arial Narrow"/>
          <w:sz w:val="18"/>
          <w:szCs w:val="20"/>
        </w:rPr>
        <w:tab/>
        <w:t>Number of patients randomised to the NIVO+IPI treatment group only</w:t>
      </w:r>
      <w:r w:rsidR="00B24C99" w:rsidRPr="00E753FC">
        <w:rPr>
          <w:rFonts w:ascii="Arial Narrow" w:hAnsi="Arial Narrow"/>
          <w:sz w:val="18"/>
          <w:szCs w:val="20"/>
        </w:rPr>
        <w:t xml:space="preserve">. </w:t>
      </w:r>
    </w:p>
    <w:p w:rsidR="00681D20" w:rsidRPr="00E753FC" w:rsidRDefault="00681D20" w:rsidP="00AD7DF7">
      <w:pPr>
        <w:keepNext/>
        <w:keepLines/>
        <w:ind w:left="142" w:hanging="142"/>
        <w:contextualSpacing/>
        <w:rPr>
          <w:rFonts w:ascii="Arial Narrow" w:hAnsi="Arial Narrow"/>
          <w:sz w:val="18"/>
          <w:szCs w:val="20"/>
        </w:rPr>
      </w:pPr>
      <w:r w:rsidRPr="00E753FC">
        <w:rPr>
          <w:rFonts w:ascii="Arial Narrow" w:hAnsi="Arial Narrow"/>
          <w:sz w:val="18"/>
          <w:szCs w:val="20"/>
          <w:vertAlign w:val="superscript"/>
        </w:rPr>
        <w:t>c</w:t>
      </w:r>
      <w:r w:rsidRPr="00E753FC">
        <w:rPr>
          <w:rFonts w:ascii="Arial Narrow" w:hAnsi="Arial Narrow"/>
          <w:sz w:val="18"/>
          <w:szCs w:val="20"/>
        </w:rPr>
        <w:t xml:space="preserve"> </w:t>
      </w:r>
      <w:r w:rsidRPr="00E753FC">
        <w:rPr>
          <w:rFonts w:ascii="Arial Narrow" w:hAnsi="Arial Narrow"/>
          <w:sz w:val="18"/>
          <w:szCs w:val="20"/>
        </w:rPr>
        <w:tab/>
        <w:t>CheckMate 743: Open-label, OS could be influenced by the subsequent use of immunotherapies</w:t>
      </w:r>
      <w:r w:rsidR="00B24C99" w:rsidRPr="00E753FC">
        <w:rPr>
          <w:rFonts w:ascii="Arial Narrow" w:hAnsi="Arial Narrow"/>
          <w:sz w:val="18"/>
          <w:szCs w:val="20"/>
        </w:rPr>
        <w:t xml:space="preserve">. </w:t>
      </w:r>
      <w:r w:rsidRPr="00E753FC">
        <w:rPr>
          <w:rFonts w:ascii="Arial Narrow" w:hAnsi="Arial Narrow"/>
          <w:sz w:val="18"/>
          <w:szCs w:val="20"/>
        </w:rPr>
        <w:t>47.9% and 45.0% of NIVO+IPI and pemetrexed-based chemotherapy patients, respectively, received subsequent treatments.</w:t>
      </w:r>
    </w:p>
    <w:p w:rsidR="00681D20" w:rsidRPr="00E753FC" w:rsidRDefault="00681D20" w:rsidP="00AD7DF7">
      <w:pPr>
        <w:keepNext/>
        <w:keepLines/>
        <w:ind w:left="142" w:hanging="142"/>
        <w:contextualSpacing/>
        <w:rPr>
          <w:sz w:val="18"/>
          <w:szCs w:val="20"/>
        </w:rPr>
      </w:pPr>
      <w:r w:rsidRPr="00E753FC">
        <w:rPr>
          <w:rFonts w:ascii="Arial Narrow" w:hAnsi="Arial Narrow"/>
          <w:sz w:val="18"/>
          <w:szCs w:val="20"/>
          <w:vertAlign w:val="superscript"/>
        </w:rPr>
        <w:t>d</w:t>
      </w:r>
      <w:r w:rsidRPr="00E753FC">
        <w:rPr>
          <w:rFonts w:ascii="Arial Narrow" w:hAnsi="Arial Narrow"/>
          <w:sz w:val="18"/>
          <w:szCs w:val="20"/>
          <w:vertAlign w:val="superscript"/>
        </w:rPr>
        <w:tab/>
      </w:r>
      <w:r w:rsidRPr="00E753FC">
        <w:rPr>
          <w:rFonts w:ascii="Arial Narrow" w:hAnsi="Arial Narrow"/>
          <w:sz w:val="18"/>
          <w:szCs w:val="20"/>
        </w:rPr>
        <w:t xml:space="preserve">Patients were randomised 1:1 to received NIVO or NIVO+IPI, but there were no formal statistical comparison across the two groups. </w:t>
      </w:r>
    </w:p>
    <w:p w:rsidR="00681D20" w:rsidRPr="00E753FC" w:rsidRDefault="00681D20" w:rsidP="00AD7DF7">
      <w:pPr>
        <w:keepNext/>
        <w:keepLines/>
        <w:ind w:left="142" w:hanging="142"/>
        <w:contextualSpacing/>
        <w:rPr>
          <w:rFonts w:ascii="Arial Narrow" w:hAnsi="Arial Narrow"/>
          <w:sz w:val="18"/>
          <w:szCs w:val="20"/>
        </w:rPr>
      </w:pPr>
      <w:r w:rsidRPr="00E753FC">
        <w:rPr>
          <w:rFonts w:ascii="Arial Narrow" w:hAnsi="Arial Narrow"/>
          <w:sz w:val="18"/>
          <w:szCs w:val="20"/>
          <w:vertAlign w:val="superscript"/>
        </w:rPr>
        <w:t>e</w:t>
      </w:r>
      <w:r w:rsidRPr="00E753FC">
        <w:rPr>
          <w:rFonts w:ascii="Arial Narrow" w:hAnsi="Arial Narrow"/>
          <w:sz w:val="18"/>
          <w:szCs w:val="20"/>
        </w:rPr>
        <w:t xml:space="preserve"> </w:t>
      </w:r>
      <w:r w:rsidRPr="00E753FC">
        <w:rPr>
          <w:rFonts w:ascii="Arial Narrow" w:hAnsi="Arial Narrow"/>
          <w:sz w:val="18"/>
          <w:szCs w:val="20"/>
        </w:rPr>
        <w:tab/>
        <w:t>MAPS2: Open-label, NIVO+IPI not compared to relevant comparator.</w:t>
      </w:r>
    </w:p>
    <w:p w:rsidR="00681D20" w:rsidRPr="00E753FC" w:rsidRDefault="00681D20" w:rsidP="00AD7DF7">
      <w:pPr>
        <w:keepNext/>
        <w:keepLines/>
        <w:ind w:left="142" w:hanging="142"/>
        <w:contextualSpacing/>
        <w:rPr>
          <w:rFonts w:ascii="Arial Narrow" w:hAnsi="Arial Narrow"/>
          <w:sz w:val="18"/>
          <w:szCs w:val="20"/>
        </w:rPr>
      </w:pPr>
      <w:r w:rsidRPr="00E753FC">
        <w:rPr>
          <w:rFonts w:ascii="Arial Narrow" w:hAnsi="Arial Narrow"/>
          <w:sz w:val="18"/>
          <w:szCs w:val="20"/>
          <w:vertAlign w:val="superscript"/>
        </w:rPr>
        <w:t>f</w:t>
      </w:r>
      <w:r w:rsidRPr="00E753FC">
        <w:rPr>
          <w:rFonts w:ascii="Arial Narrow" w:hAnsi="Arial Narrow"/>
          <w:sz w:val="18"/>
          <w:szCs w:val="20"/>
        </w:rPr>
        <w:t xml:space="preserve"> </w:t>
      </w:r>
      <w:r w:rsidRPr="00E753FC">
        <w:rPr>
          <w:rFonts w:ascii="Arial Narrow" w:hAnsi="Arial Narrow"/>
          <w:sz w:val="18"/>
          <w:szCs w:val="20"/>
        </w:rPr>
        <w:tab/>
        <w:t>INITIATE: Open-label, single-arm.</w:t>
      </w:r>
      <w:r w:rsidR="0035771D" w:rsidRPr="00E753FC">
        <w:rPr>
          <w:rFonts w:ascii="Arial Narrow" w:hAnsi="Arial Narrow"/>
          <w:sz w:val="18"/>
          <w:szCs w:val="20"/>
        </w:rPr>
        <w:t xml:space="preserve"> NIVO dose 240 mg Q2W</w:t>
      </w:r>
    </w:p>
    <w:p w:rsidR="00681D20" w:rsidRPr="00E753FC" w:rsidRDefault="00681D20" w:rsidP="00AD7DF7">
      <w:pPr>
        <w:keepNext/>
        <w:keepLines/>
        <w:ind w:left="142" w:hanging="142"/>
        <w:contextualSpacing/>
        <w:rPr>
          <w:rFonts w:ascii="Arial Narrow" w:hAnsi="Arial Narrow"/>
          <w:sz w:val="18"/>
          <w:szCs w:val="20"/>
        </w:rPr>
      </w:pPr>
      <w:r w:rsidRPr="00E753FC">
        <w:rPr>
          <w:rFonts w:ascii="Arial Narrow" w:hAnsi="Arial Narrow"/>
          <w:sz w:val="18"/>
          <w:szCs w:val="20"/>
          <w:vertAlign w:val="superscript"/>
        </w:rPr>
        <w:t>g</w:t>
      </w:r>
      <w:r w:rsidRPr="00E753FC">
        <w:rPr>
          <w:rFonts w:ascii="Arial Narrow" w:hAnsi="Arial Narrow"/>
          <w:sz w:val="18"/>
          <w:szCs w:val="20"/>
        </w:rPr>
        <w:t xml:space="preserve"> </w:t>
      </w:r>
      <w:r w:rsidRPr="00E753FC">
        <w:rPr>
          <w:rFonts w:ascii="Arial Narrow" w:hAnsi="Arial Narrow"/>
          <w:sz w:val="18"/>
          <w:szCs w:val="20"/>
        </w:rPr>
        <w:tab/>
        <w:t>Jassem 2008: Open-label, non-comparative study of comparator (pemetrexed); unclear whether the response and PFS assessments were blinded to radiologists.</w:t>
      </w:r>
    </w:p>
    <w:p w:rsidR="00A415E9" w:rsidRPr="00B24C99" w:rsidRDefault="00A415E9" w:rsidP="00AD7DF7">
      <w:pPr>
        <w:pStyle w:val="TableFigureFooter"/>
        <w:keepNext/>
        <w:keepLines/>
        <w:rPr>
          <w:szCs w:val="18"/>
        </w:rPr>
      </w:pPr>
      <w:r w:rsidRPr="00B24C99">
        <w:rPr>
          <w:szCs w:val="18"/>
        </w:rPr>
        <w:t>DB</w:t>
      </w:r>
      <w:r w:rsidR="002E66DB" w:rsidRPr="00B24C99">
        <w:rPr>
          <w:szCs w:val="18"/>
        </w:rPr>
        <w:t>,</w:t>
      </w:r>
      <w:r w:rsidRPr="00B24C99">
        <w:rPr>
          <w:szCs w:val="18"/>
        </w:rPr>
        <w:t xml:space="preserve"> double blind; MC</w:t>
      </w:r>
      <w:r w:rsidR="002E66DB" w:rsidRPr="00B24C99">
        <w:rPr>
          <w:szCs w:val="18"/>
        </w:rPr>
        <w:t>,</w:t>
      </w:r>
      <w:r w:rsidRPr="00B24C99">
        <w:rPr>
          <w:szCs w:val="18"/>
        </w:rPr>
        <w:t xml:space="preserve"> multi-centre; OL</w:t>
      </w:r>
      <w:r w:rsidR="002E66DB" w:rsidRPr="00B24C99">
        <w:rPr>
          <w:szCs w:val="18"/>
        </w:rPr>
        <w:t>,</w:t>
      </w:r>
      <w:r w:rsidRPr="00B24C99">
        <w:rPr>
          <w:szCs w:val="18"/>
        </w:rPr>
        <w:t xml:space="preserve"> open label; OS</w:t>
      </w:r>
      <w:r w:rsidR="002E66DB" w:rsidRPr="00B24C99">
        <w:rPr>
          <w:szCs w:val="18"/>
        </w:rPr>
        <w:t>,</w:t>
      </w:r>
      <w:r w:rsidRPr="00B24C99">
        <w:rPr>
          <w:szCs w:val="18"/>
        </w:rPr>
        <w:t xml:space="preserve"> overall survival; PFS</w:t>
      </w:r>
      <w:r w:rsidR="002E66DB" w:rsidRPr="00B24C99">
        <w:rPr>
          <w:szCs w:val="18"/>
        </w:rPr>
        <w:t>,</w:t>
      </w:r>
      <w:r w:rsidRPr="00B24C99">
        <w:rPr>
          <w:szCs w:val="18"/>
        </w:rPr>
        <w:t xml:space="preserve"> progression-free survival; R</w:t>
      </w:r>
      <w:r w:rsidR="002E66DB" w:rsidRPr="00B24C99">
        <w:rPr>
          <w:szCs w:val="18"/>
        </w:rPr>
        <w:t>,</w:t>
      </w:r>
      <w:r w:rsidRPr="00B24C99">
        <w:rPr>
          <w:szCs w:val="18"/>
        </w:rPr>
        <w:t xml:space="preserve"> randomised;</w:t>
      </w:r>
    </w:p>
    <w:p w:rsidR="00A415E9" w:rsidRPr="00B24C99" w:rsidRDefault="00A415E9" w:rsidP="00AD7DF7">
      <w:pPr>
        <w:pStyle w:val="TableFigureFooter"/>
        <w:keepNext/>
        <w:keepLines/>
        <w:rPr>
          <w:szCs w:val="18"/>
        </w:rPr>
      </w:pPr>
      <w:r w:rsidRPr="00B24C99">
        <w:rPr>
          <w:szCs w:val="18"/>
        </w:rPr>
        <w:t>BSC</w:t>
      </w:r>
      <w:r w:rsidR="002E66DB" w:rsidRPr="00B24C99">
        <w:rPr>
          <w:szCs w:val="18"/>
        </w:rPr>
        <w:t>,</w:t>
      </w:r>
      <w:r w:rsidRPr="00B24C99">
        <w:rPr>
          <w:szCs w:val="18"/>
        </w:rPr>
        <w:t xml:space="preserve"> best supportive care; </w:t>
      </w:r>
      <w:r w:rsidR="000D1F45" w:rsidRPr="00B24C99">
        <w:rPr>
          <w:szCs w:val="18"/>
        </w:rPr>
        <w:t>chemo</w:t>
      </w:r>
      <w:r w:rsidR="002E66DB" w:rsidRPr="00B24C99">
        <w:rPr>
          <w:szCs w:val="18"/>
        </w:rPr>
        <w:t>,</w:t>
      </w:r>
      <w:r w:rsidR="000D1F45" w:rsidRPr="00B24C99">
        <w:rPr>
          <w:szCs w:val="18"/>
        </w:rPr>
        <w:t xml:space="preserve"> pemetrexed plus cisplatin/carboplatin; </w:t>
      </w:r>
      <w:r w:rsidRPr="00B24C99">
        <w:rPr>
          <w:szCs w:val="18"/>
        </w:rPr>
        <w:t>IPI</w:t>
      </w:r>
      <w:r w:rsidR="002E66DB" w:rsidRPr="00B24C99">
        <w:rPr>
          <w:szCs w:val="18"/>
        </w:rPr>
        <w:t>,</w:t>
      </w:r>
      <w:r w:rsidRPr="00B24C99">
        <w:rPr>
          <w:szCs w:val="18"/>
        </w:rPr>
        <w:t xml:space="preserve"> ipilimumab; MPM</w:t>
      </w:r>
      <w:r w:rsidR="002E66DB" w:rsidRPr="00B24C99">
        <w:rPr>
          <w:szCs w:val="18"/>
        </w:rPr>
        <w:t>,</w:t>
      </w:r>
      <w:r w:rsidRPr="00B24C99">
        <w:rPr>
          <w:szCs w:val="18"/>
        </w:rPr>
        <w:t xml:space="preserve"> malignant pleural mesothelioma; NIVO</w:t>
      </w:r>
      <w:r w:rsidR="002E66DB" w:rsidRPr="00B24C99">
        <w:rPr>
          <w:szCs w:val="18"/>
        </w:rPr>
        <w:t>,</w:t>
      </w:r>
      <w:r w:rsidRPr="00B24C99">
        <w:rPr>
          <w:szCs w:val="18"/>
        </w:rPr>
        <w:t xml:space="preserve"> nivolumab.</w:t>
      </w:r>
    </w:p>
    <w:p w:rsidR="00681D20" w:rsidRPr="00B24C99" w:rsidRDefault="00681D20" w:rsidP="00AD7DF7">
      <w:pPr>
        <w:pStyle w:val="TableFigureFooter"/>
        <w:keepNext/>
        <w:keepLines/>
        <w:rPr>
          <w:szCs w:val="18"/>
        </w:rPr>
      </w:pPr>
      <w:r w:rsidRPr="00B24C99">
        <w:rPr>
          <w:szCs w:val="18"/>
        </w:rPr>
        <w:t>Source: constructed during the evaluation.</w:t>
      </w:r>
    </w:p>
    <w:p w:rsidR="00681D20" w:rsidRPr="00B24C99" w:rsidRDefault="00681D20" w:rsidP="00A415E9">
      <w:pPr>
        <w:pStyle w:val="TableFigureFooter"/>
        <w:rPr>
          <w:sz w:val="20"/>
        </w:rPr>
      </w:pPr>
    </w:p>
    <w:p w:rsidR="00316B1D" w:rsidRPr="00B24C99" w:rsidRDefault="00E85F25" w:rsidP="00316B1D">
      <w:pPr>
        <w:pStyle w:val="3-BodyText"/>
      </w:pPr>
      <w:r w:rsidRPr="00B24C99">
        <w:t>The Jassem 2008 study assessed the use of pemetrexed in patients that had received treatment with one prior systemic chemotherapy regimen, excluding pemetrexed</w:t>
      </w:r>
      <w:r w:rsidR="00B24C99">
        <w:t xml:space="preserve">. </w:t>
      </w:r>
      <w:r w:rsidRPr="00B24C99">
        <w:t xml:space="preserve">Hence, the Jassem </w:t>
      </w:r>
      <w:r w:rsidR="00B04847" w:rsidRPr="00B24C99">
        <w:t xml:space="preserve">2008 </w:t>
      </w:r>
      <w:r w:rsidRPr="00B24C99">
        <w:t>patients had not received the current standard of care</w:t>
      </w:r>
      <w:r w:rsidR="00316B1D" w:rsidRPr="00B24C99">
        <w:t>,</w:t>
      </w:r>
      <w:r w:rsidRPr="00B24C99">
        <w:t xml:space="preserve"> which is first-line treatment of pemetrexed-based chemotherapy</w:t>
      </w:r>
      <w:r w:rsidR="00316B1D" w:rsidRPr="00B24C99">
        <w:t xml:space="preserve">. </w:t>
      </w:r>
      <w:r w:rsidR="00583191" w:rsidRPr="00B24C99">
        <w:t xml:space="preserve">As such, results from Jassem 2008 has limited applicability to the PBS setting and patients are not comparable to those in MAPS2 and INITIATE. </w:t>
      </w:r>
    </w:p>
    <w:p w:rsidR="00D316E4" w:rsidRPr="00B24C99" w:rsidRDefault="00316B1D" w:rsidP="00D316E4">
      <w:pPr>
        <w:pStyle w:val="3-BodyText"/>
      </w:pPr>
      <w:r w:rsidRPr="00B24C99">
        <w:lastRenderedPageBreak/>
        <w:t>Three additional systematic reviews of second line therapies in MPM (Petrelli 2018</w:t>
      </w:r>
      <w:r w:rsidRPr="00B24C99">
        <w:rPr>
          <w:rStyle w:val="FootnoteReference"/>
        </w:rPr>
        <w:footnoteReference w:id="5"/>
      </w:r>
      <w:r w:rsidRPr="00B24C99">
        <w:t>; Abdel-Rahman 2015</w:t>
      </w:r>
      <w:r w:rsidRPr="00B24C99">
        <w:rPr>
          <w:rStyle w:val="FootnoteReference"/>
        </w:rPr>
        <w:footnoteReference w:id="6"/>
      </w:r>
      <w:r w:rsidRPr="00B24C99">
        <w:t>; Buikhuisen 2015</w:t>
      </w:r>
      <w:r w:rsidRPr="00B24C99">
        <w:rPr>
          <w:rStyle w:val="FootnoteReference"/>
        </w:rPr>
        <w:footnoteReference w:id="7"/>
      </w:r>
      <w:r w:rsidRPr="00B24C99">
        <w:t xml:space="preserve">) were identified during the evaluation, from which additional </w:t>
      </w:r>
      <w:r w:rsidR="005A0B85" w:rsidRPr="00B24C99">
        <w:t xml:space="preserve">potentially relevant </w:t>
      </w:r>
      <w:r w:rsidRPr="00B24C99">
        <w:t xml:space="preserve">studies of pemetrexed </w:t>
      </w:r>
      <w:r w:rsidR="005A0B85" w:rsidRPr="00B24C99">
        <w:t xml:space="preserve">rechallenge </w:t>
      </w:r>
      <w:r w:rsidRPr="00B24C99">
        <w:t xml:space="preserve">in second-line use (other than Jassem 2008) were identified. These </w:t>
      </w:r>
      <w:r w:rsidR="005A0B85" w:rsidRPr="00B24C99">
        <w:t>studies</w:t>
      </w:r>
      <w:r w:rsidRPr="00B24C99">
        <w:t xml:space="preserve"> include</w:t>
      </w:r>
      <w:r w:rsidR="005A0B85" w:rsidRPr="00B24C99">
        <w:t>d</w:t>
      </w:r>
      <w:r w:rsidRPr="00B24C99">
        <w:t xml:space="preserve"> patient populations relevant to the proposed PBS listing for second-line use, i.e., second-line use of pemetrexed in patients treated with first-line pemetrexed-based chemotherapy (Zucali et al., 2012</w:t>
      </w:r>
      <w:r w:rsidRPr="00B24C99">
        <w:rPr>
          <w:rStyle w:val="FootnoteReference"/>
        </w:rPr>
        <w:footnoteReference w:id="8"/>
      </w:r>
      <w:r w:rsidRPr="00B24C99">
        <w:t>; Bearz et al., 2012</w:t>
      </w:r>
      <w:r w:rsidRPr="00B24C99">
        <w:rPr>
          <w:rStyle w:val="FootnoteReference"/>
        </w:rPr>
        <w:footnoteReference w:id="9"/>
      </w:r>
      <w:r w:rsidRPr="00B24C99">
        <w:t>)</w:t>
      </w:r>
      <w:r w:rsidR="00B24C99">
        <w:t xml:space="preserve">. </w:t>
      </w:r>
      <w:r w:rsidR="00CC5103" w:rsidRPr="00B24C99">
        <w:t>Overall survival reported in these studies indicated potentially higher OS with second-line pemetrexed than reported by Jassem 2008</w:t>
      </w:r>
      <w:r w:rsidR="00B24C99">
        <w:t xml:space="preserve">. </w:t>
      </w:r>
    </w:p>
    <w:p w:rsidR="009339A5" w:rsidRPr="00B24C99" w:rsidRDefault="001E4267" w:rsidP="001C5D0B">
      <w:pPr>
        <w:pStyle w:val="3-BodyText"/>
      </w:pPr>
      <w:r w:rsidRPr="00B24C99">
        <w:t>All the included evidence were open-label studies</w:t>
      </w:r>
      <w:r w:rsidR="00B24C99">
        <w:t xml:space="preserve">. </w:t>
      </w:r>
      <w:r w:rsidR="001C5D0B" w:rsidRPr="00B24C99">
        <w:t xml:space="preserve">The submission’s clinical claim was based on OS from direct comparisons in first-line use, and naïve unadjusted indirect comparisons in second-line use. </w:t>
      </w:r>
      <w:r w:rsidRPr="00B24C99">
        <w:t xml:space="preserve">The risk of bias for the key outcome of OS was considered to be low, </w:t>
      </w:r>
      <w:r w:rsidR="009B5DEB" w:rsidRPr="00B24C99">
        <w:t>however,</w:t>
      </w:r>
      <w:r w:rsidRPr="00B24C99">
        <w:t xml:space="preserve"> </w:t>
      </w:r>
      <w:r w:rsidR="009B5DEB" w:rsidRPr="00B24C99">
        <w:t xml:space="preserve">the </w:t>
      </w:r>
      <w:r w:rsidRPr="00B24C99">
        <w:t xml:space="preserve">OS </w:t>
      </w:r>
      <w:r w:rsidR="009B5DEB" w:rsidRPr="00B24C99">
        <w:t xml:space="preserve">results were </w:t>
      </w:r>
      <w:r w:rsidR="00CD4B21" w:rsidRPr="00B24C99">
        <w:t>potentially confounded</w:t>
      </w:r>
      <w:r w:rsidR="009B5DEB" w:rsidRPr="00B24C99">
        <w:t xml:space="preserve"> </w:t>
      </w:r>
      <w:r w:rsidRPr="00B24C99">
        <w:t xml:space="preserve">by the subsequent use of immunotherapies which was permitted in </w:t>
      </w:r>
      <w:r w:rsidR="00E462AC" w:rsidRPr="00B24C99">
        <w:t>the CheckMate 743 trial</w:t>
      </w:r>
      <w:r w:rsidR="00B24C99">
        <w:t xml:space="preserve">. </w:t>
      </w:r>
    </w:p>
    <w:p w:rsidR="00247925" w:rsidRPr="00B24C99" w:rsidRDefault="00B60939" w:rsidP="004F03E4">
      <w:pPr>
        <w:pStyle w:val="4-SubsectionHeading"/>
      </w:pPr>
      <w:bookmarkStart w:id="22" w:name="_Toc22897641"/>
      <w:bookmarkStart w:id="23" w:name="_Toc62036363"/>
      <w:r w:rsidRPr="00B24C99">
        <w:t>Comparative effectiveness</w:t>
      </w:r>
      <w:bookmarkEnd w:id="22"/>
      <w:bookmarkEnd w:id="23"/>
    </w:p>
    <w:p w:rsidR="000F1400" w:rsidRPr="00B24C99" w:rsidRDefault="000F1400" w:rsidP="00A53546">
      <w:pPr>
        <w:pStyle w:val="3-BodyText"/>
      </w:pPr>
      <w:bookmarkStart w:id="24" w:name="_Hlk60816948"/>
      <w:r w:rsidRPr="00B24C99">
        <w:t xml:space="preserve">The key primary and secondary results for </w:t>
      </w:r>
      <w:r w:rsidR="00D857FD" w:rsidRPr="00B24C99">
        <w:t xml:space="preserve">the </w:t>
      </w:r>
      <w:r w:rsidRPr="00B24C99">
        <w:t xml:space="preserve">CheckMate 743 </w:t>
      </w:r>
      <w:r w:rsidR="00D857FD" w:rsidRPr="00B24C99">
        <w:t xml:space="preserve">trial </w:t>
      </w:r>
      <w:r w:rsidRPr="00B24C99">
        <w:t>is presented below.</w:t>
      </w:r>
    </w:p>
    <w:p w:rsidR="000F1400" w:rsidRPr="00B24C99" w:rsidRDefault="000F1400" w:rsidP="00393960">
      <w:pPr>
        <w:pStyle w:val="TableFigureHeading"/>
        <w:keepLines/>
      </w:pPr>
      <w:r w:rsidRPr="00B24C99">
        <w:lastRenderedPageBreak/>
        <w:t xml:space="preserve">Table </w:t>
      </w:r>
      <w:r w:rsidR="00EA4771" w:rsidRPr="00B24C99">
        <w:t>4</w:t>
      </w:r>
      <w:r w:rsidRPr="00B24C99">
        <w:t>: Key results of outcomes in CheckMate 743</w:t>
      </w:r>
      <w:r w:rsidR="002E66DB" w:rsidRPr="00B24C99">
        <w:t xml:space="preserve"> (ITT)</w:t>
      </w:r>
    </w:p>
    <w:tbl>
      <w:tblPr>
        <w:tblStyle w:val="TableGrid"/>
        <w:tblW w:w="0" w:type="auto"/>
        <w:tblCellMar>
          <w:top w:w="28" w:type="dxa"/>
          <w:left w:w="28" w:type="dxa"/>
          <w:bottom w:w="28" w:type="dxa"/>
          <w:right w:w="28" w:type="dxa"/>
        </w:tblCellMar>
        <w:tblLook w:val="04A0" w:firstRow="1" w:lastRow="0" w:firstColumn="1" w:lastColumn="0" w:noHBand="0" w:noVBand="1"/>
        <w:tblCaption w:val="Table 4: Key results of outcomes in CheckMate 743 (ITT)"/>
      </w:tblPr>
      <w:tblGrid>
        <w:gridCol w:w="1555"/>
        <w:gridCol w:w="2970"/>
        <w:gridCol w:w="2279"/>
        <w:gridCol w:w="2213"/>
      </w:tblGrid>
      <w:tr w:rsidR="000F1400" w:rsidRPr="00B24C99" w:rsidTr="00611FD3">
        <w:trPr>
          <w:tblHeader/>
        </w:trPr>
        <w:tc>
          <w:tcPr>
            <w:tcW w:w="4525" w:type="dxa"/>
            <w:gridSpan w:val="2"/>
          </w:tcPr>
          <w:p w:rsidR="000F1400" w:rsidRPr="00B24C99" w:rsidRDefault="000F1400" w:rsidP="00393960">
            <w:pPr>
              <w:keepNext/>
              <w:keepLines/>
              <w:rPr>
                <w:rFonts w:ascii="Arial Narrow" w:hAnsi="Arial Narrow"/>
                <w:b/>
                <w:sz w:val="20"/>
                <w:szCs w:val="20"/>
              </w:rPr>
            </w:pPr>
            <w:bookmarkStart w:id="25" w:name="_Hlk60662969"/>
            <w:r w:rsidRPr="00B24C99">
              <w:rPr>
                <w:rFonts w:ascii="Arial Narrow" w:hAnsi="Arial Narrow"/>
                <w:b/>
                <w:sz w:val="20"/>
                <w:szCs w:val="20"/>
              </w:rPr>
              <w:t>Outcomes</w:t>
            </w:r>
          </w:p>
        </w:tc>
        <w:tc>
          <w:tcPr>
            <w:tcW w:w="2279" w:type="dxa"/>
            <w:vAlign w:val="center"/>
          </w:tcPr>
          <w:p w:rsidR="000F1400" w:rsidRPr="00B24C99" w:rsidRDefault="000F1400" w:rsidP="00393960">
            <w:pPr>
              <w:keepNext/>
              <w:keepLines/>
              <w:jc w:val="center"/>
              <w:rPr>
                <w:rFonts w:ascii="Arial Narrow" w:hAnsi="Arial Narrow"/>
                <w:b/>
                <w:sz w:val="20"/>
                <w:szCs w:val="20"/>
              </w:rPr>
            </w:pPr>
            <w:r w:rsidRPr="00B24C99">
              <w:rPr>
                <w:rFonts w:ascii="Arial Narrow" w:hAnsi="Arial Narrow"/>
                <w:b/>
                <w:sz w:val="20"/>
                <w:szCs w:val="20"/>
              </w:rPr>
              <w:t>NIVO+IPI; N=303</w:t>
            </w:r>
          </w:p>
        </w:tc>
        <w:tc>
          <w:tcPr>
            <w:tcW w:w="2213" w:type="dxa"/>
            <w:vAlign w:val="center"/>
          </w:tcPr>
          <w:p w:rsidR="000F1400" w:rsidRPr="00B24C99" w:rsidRDefault="000F1400" w:rsidP="00393960">
            <w:pPr>
              <w:keepNext/>
              <w:keepLines/>
              <w:jc w:val="center"/>
              <w:rPr>
                <w:rFonts w:ascii="Arial Narrow" w:hAnsi="Arial Narrow"/>
                <w:b/>
                <w:sz w:val="20"/>
                <w:szCs w:val="20"/>
              </w:rPr>
            </w:pPr>
            <w:r w:rsidRPr="00B24C99">
              <w:rPr>
                <w:rFonts w:ascii="Arial Narrow" w:hAnsi="Arial Narrow"/>
                <w:b/>
                <w:sz w:val="20"/>
                <w:szCs w:val="20"/>
              </w:rPr>
              <w:t>Chemo; N=302</w:t>
            </w:r>
          </w:p>
        </w:tc>
      </w:tr>
      <w:tr w:rsidR="000F1400" w:rsidRPr="00B24C99" w:rsidTr="00244DBD">
        <w:tc>
          <w:tcPr>
            <w:tcW w:w="9017" w:type="dxa"/>
            <w:gridSpan w:val="4"/>
            <w:vAlign w:val="center"/>
          </w:tcPr>
          <w:p w:rsidR="000F1400" w:rsidRPr="00B24C99" w:rsidRDefault="000F1400" w:rsidP="00393960">
            <w:pPr>
              <w:keepNext/>
              <w:keepLines/>
              <w:jc w:val="left"/>
              <w:rPr>
                <w:rFonts w:ascii="Arial Narrow" w:hAnsi="Arial Narrow"/>
                <w:b/>
                <w:sz w:val="20"/>
                <w:szCs w:val="20"/>
              </w:rPr>
            </w:pPr>
            <w:r w:rsidRPr="00B24C99">
              <w:rPr>
                <w:rFonts w:ascii="Arial Narrow" w:hAnsi="Arial Narrow"/>
                <w:b/>
                <w:sz w:val="20"/>
                <w:szCs w:val="20"/>
              </w:rPr>
              <w:t>Primary</w:t>
            </w:r>
          </w:p>
        </w:tc>
      </w:tr>
      <w:tr w:rsidR="00536E6D" w:rsidRPr="00B24C99" w:rsidTr="00244DBD">
        <w:tc>
          <w:tcPr>
            <w:tcW w:w="1555" w:type="dxa"/>
            <w:vMerge w:val="restart"/>
            <w:vAlign w:val="center"/>
          </w:tcPr>
          <w:p w:rsidR="00536E6D" w:rsidRPr="00B24C99" w:rsidRDefault="00536E6D" w:rsidP="00393960">
            <w:pPr>
              <w:keepNext/>
              <w:keepLines/>
              <w:ind w:left="115"/>
              <w:jc w:val="left"/>
              <w:rPr>
                <w:rFonts w:ascii="Arial Narrow" w:hAnsi="Arial Narrow"/>
                <w:b/>
                <w:sz w:val="20"/>
                <w:szCs w:val="20"/>
              </w:rPr>
            </w:pPr>
            <w:r w:rsidRPr="00B24C99">
              <w:rPr>
                <w:rFonts w:ascii="Arial Narrow" w:hAnsi="Arial Narrow"/>
                <w:b/>
                <w:sz w:val="20"/>
                <w:szCs w:val="20"/>
              </w:rPr>
              <w:t>OS</w:t>
            </w:r>
          </w:p>
        </w:tc>
        <w:tc>
          <w:tcPr>
            <w:tcW w:w="2970" w:type="dxa"/>
          </w:tcPr>
          <w:p w:rsidR="00536E6D" w:rsidRPr="00B24C99" w:rsidRDefault="00536E6D" w:rsidP="00393960">
            <w:pPr>
              <w:keepNext/>
              <w:keepLines/>
              <w:rPr>
                <w:rFonts w:ascii="Arial Narrow" w:hAnsi="Arial Narrow"/>
                <w:sz w:val="20"/>
                <w:szCs w:val="20"/>
              </w:rPr>
            </w:pPr>
            <w:r w:rsidRPr="00B24C99">
              <w:rPr>
                <w:rFonts w:ascii="Arial Narrow" w:hAnsi="Arial Narrow"/>
                <w:sz w:val="20"/>
                <w:szCs w:val="20"/>
              </w:rPr>
              <w:t>Patients with event, n (%)</w:t>
            </w:r>
          </w:p>
        </w:tc>
        <w:tc>
          <w:tcPr>
            <w:tcW w:w="2279" w:type="dxa"/>
            <w:vAlign w:val="center"/>
          </w:tcPr>
          <w:p w:rsidR="00536E6D" w:rsidRPr="00B24C99" w:rsidRDefault="00215385" w:rsidP="00393960">
            <w:pPr>
              <w:keepNext/>
              <w:keepLines/>
              <w:jc w:val="center"/>
              <w:rPr>
                <w:rFonts w:ascii="Arial Narrow" w:hAnsi="Arial Narrow"/>
                <w:sz w:val="20"/>
                <w:szCs w:val="20"/>
              </w:rPr>
            </w:pPr>
            <w:r w:rsidRPr="00B24C99">
              <w:rPr>
                <w:rFonts w:ascii="Arial Narrow" w:hAnsi="Arial Narrow"/>
                <w:sz w:val="20"/>
                <w:szCs w:val="20"/>
              </w:rPr>
              <w:t>200 (</w:t>
            </w:r>
            <w:r w:rsidR="007C0864" w:rsidRPr="00B24C99">
              <w:rPr>
                <w:rFonts w:ascii="Arial Narrow" w:hAnsi="Arial Narrow"/>
                <w:sz w:val="20"/>
                <w:szCs w:val="20"/>
              </w:rPr>
              <w:t>66.0)</w:t>
            </w:r>
          </w:p>
        </w:tc>
        <w:tc>
          <w:tcPr>
            <w:tcW w:w="2213" w:type="dxa"/>
            <w:vAlign w:val="center"/>
          </w:tcPr>
          <w:p w:rsidR="00536E6D" w:rsidRPr="00B24C99" w:rsidRDefault="007C0864" w:rsidP="00393960">
            <w:pPr>
              <w:keepNext/>
              <w:keepLines/>
              <w:jc w:val="center"/>
              <w:rPr>
                <w:rFonts w:ascii="Arial Narrow" w:hAnsi="Arial Narrow"/>
                <w:sz w:val="20"/>
                <w:szCs w:val="20"/>
              </w:rPr>
            </w:pPr>
            <w:r w:rsidRPr="00B24C99">
              <w:rPr>
                <w:rFonts w:ascii="Arial Narrow" w:hAnsi="Arial Narrow"/>
                <w:sz w:val="20"/>
                <w:szCs w:val="20"/>
              </w:rPr>
              <w:t>219 (72.5)</w:t>
            </w:r>
          </w:p>
        </w:tc>
      </w:tr>
      <w:tr w:rsidR="00536E6D" w:rsidRPr="00B24C99" w:rsidTr="00244DBD">
        <w:tc>
          <w:tcPr>
            <w:tcW w:w="1555" w:type="dxa"/>
            <w:vMerge/>
            <w:vAlign w:val="center"/>
          </w:tcPr>
          <w:p w:rsidR="00536E6D" w:rsidRPr="00B24C99" w:rsidRDefault="00536E6D" w:rsidP="00393960">
            <w:pPr>
              <w:keepNext/>
              <w:keepLines/>
              <w:ind w:left="115"/>
              <w:jc w:val="left"/>
              <w:rPr>
                <w:rFonts w:ascii="Arial Narrow" w:hAnsi="Arial Narrow"/>
                <w:b/>
                <w:sz w:val="20"/>
                <w:szCs w:val="20"/>
              </w:rPr>
            </w:pPr>
          </w:p>
        </w:tc>
        <w:tc>
          <w:tcPr>
            <w:tcW w:w="2970" w:type="dxa"/>
          </w:tcPr>
          <w:p w:rsidR="00536E6D" w:rsidRPr="00B24C99" w:rsidRDefault="00536E6D" w:rsidP="00393960">
            <w:pPr>
              <w:keepNext/>
              <w:keepLines/>
              <w:rPr>
                <w:rFonts w:ascii="Arial Narrow" w:hAnsi="Arial Narrow"/>
                <w:sz w:val="20"/>
                <w:szCs w:val="20"/>
              </w:rPr>
            </w:pPr>
            <w:r w:rsidRPr="00B24C99">
              <w:rPr>
                <w:rFonts w:ascii="Arial Narrow" w:hAnsi="Arial Narrow"/>
                <w:sz w:val="20"/>
                <w:szCs w:val="20"/>
              </w:rPr>
              <w:t>Median (95% CI), months</w:t>
            </w:r>
          </w:p>
        </w:tc>
        <w:tc>
          <w:tcPr>
            <w:tcW w:w="2279" w:type="dxa"/>
            <w:vAlign w:val="center"/>
          </w:tcPr>
          <w:p w:rsidR="00536E6D" w:rsidRPr="00B24C99" w:rsidRDefault="00536E6D" w:rsidP="00393960">
            <w:pPr>
              <w:keepNext/>
              <w:keepLines/>
              <w:jc w:val="center"/>
              <w:rPr>
                <w:rFonts w:ascii="Arial Narrow" w:hAnsi="Arial Narrow"/>
                <w:sz w:val="20"/>
                <w:szCs w:val="20"/>
              </w:rPr>
            </w:pPr>
            <w:r w:rsidRPr="00B24C99">
              <w:rPr>
                <w:rFonts w:ascii="Arial Narrow" w:hAnsi="Arial Narrow"/>
                <w:sz w:val="20"/>
                <w:szCs w:val="20"/>
              </w:rPr>
              <w:t>18.07 (16.82, 21.45)</w:t>
            </w:r>
          </w:p>
        </w:tc>
        <w:tc>
          <w:tcPr>
            <w:tcW w:w="2213" w:type="dxa"/>
            <w:vAlign w:val="center"/>
          </w:tcPr>
          <w:p w:rsidR="00536E6D" w:rsidRPr="00B24C99" w:rsidRDefault="00536E6D" w:rsidP="00393960">
            <w:pPr>
              <w:keepNext/>
              <w:keepLines/>
              <w:jc w:val="center"/>
              <w:rPr>
                <w:rFonts w:ascii="Arial Narrow" w:hAnsi="Arial Narrow"/>
                <w:sz w:val="20"/>
                <w:szCs w:val="20"/>
              </w:rPr>
            </w:pPr>
            <w:r w:rsidRPr="00B24C99">
              <w:rPr>
                <w:rFonts w:ascii="Arial Narrow" w:hAnsi="Arial Narrow"/>
                <w:sz w:val="20"/>
                <w:szCs w:val="20"/>
              </w:rPr>
              <w:t>14.09 (12.45, 16.23)</w:t>
            </w:r>
          </w:p>
        </w:tc>
      </w:tr>
      <w:tr w:rsidR="00536E6D" w:rsidRPr="00B24C99" w:rsidTr="00244DBD">
        <w:tc>
          <w:tcPr>
            <w:tcW w:w="1555" w:type="dxa"/>
            <w:vMerge/>
            <w:vAlign w:val="center"/>
          </w:tcPr>
          <w:p w:rsidR="00536E6D" w:rsidRPr="00B24C99" w:rsidRDefault="00536E6D" w:rsidP="00393960">
            <w:pPr>
              <w:keepNext/>
              <w:keepLines/>
              <w:jc w:val="left"/>
              <w:rPr>
                <w:rFonts w:ascii="Arial Narrow" w:hAnsi="Arial Narrow"/>
                <w:b/>
                <w:sz w:val="20"/>
                <w:szCs w:val="20"/>
              </w:rPr>
            </w:pPr>
          </w:p>
        </w:tc>
        <w:tc>
          <w:tcPr>
            <w:tcW w:w="2970" w:type="dxa"/>
          </w:tcPr>
          <w:p w:rsidR="00536E6D" w:rsidRPr="00B24C99" w:rsidRDefault="00536E6D" w:rsidP="00393960">
            <w:pPr>
              <w:keepNext/>
              <w:keepLines/>
              <w:rPr>
                <w:rFonts w:ascii="Arial Narrow" w:hAnsi="Arial Narrow"/>
                <w:sz w:val="20"/>
                <w:szCs w:val="20"/>
              </w:rPr>
            </w:pPr>
            <w:r w:rsidRPr="00B24C99">
              <w:rPr>
                <w:rFonts w:ascii="Arial Narrow" w:hAnsi="Arial Narrow"/>
                <w:sz w:val="20"/>
                <w:szCs w:val="20"/>
              </w:rPr>
              <w:t>HR</w:t>
            </w:r>
            <w:r w:rsidRPr="00B24C99">
              <w:rPr>
                <w:rFonts w:ascii="Arial Narrow" w:hAnsi="Arial Narrow"/>
                <w:sz w:val="20"/>
                <w:szCs w:val="20"/>
                <w:vertAlign w:val="superscript"/>
              </w:rPr>
              <w:t xml:space="preserve">a </w:t>
            </w:r>
            <w:r w:rsidRPr="00B24C99">
              <w:rPr>
                <w:rFonts w:ascii="Arial Narrow" w:hAnsi="Arial Narrow"/>
                <w:sz w:val="20"/>
                <w:szCs w:val="20"/>
              </w:rPr>
              <w:t>(95% CI), p-value</w:t>
            </w:r>
          </w:p>
        </w:tc>
        <w:tc>
          <w:tcPr>
            <w:tcW w:w="4492" w:type="dxa"/>
            <w:gridSpan w:val="2"/>
            <w:vAlign w:val="center"/>
          </w:tcPr>
          <w:p w:rsidR="00536E6D" w:rsidRPr="00B24C99" w:rsidRDefault="00536E6D" w:rsidP="00393960">
            <w:pPr>
              <w:keepNext/>
              <w:keepLines/>
              <w:jc w:val="center"/>
              <w:rPr>
                <w:rFonts w:ascii="Arial Narrow" w:hAnsi="Arial Narrow"/>
                <w:sz w:val="20"/>
                <w:szCs w:val="20"/>
              </w:rPr>
            </w:pPr>
            <w:r w:rsidRPr="00B24C99">
              <w:rPr>
                <w:rFonts w:ascii="Arial Narrow" w:hAnsi="Arial Narrow"/>
                <w:b/>
                <w:sz w:val="20"/>
                <w:szCs w:val="20"/>
              </w:rPr>
              <w:t>0.74 (0.61, 0.89)</w:t>
            </w:r>
            <w:r w:rsidRPr="00B24C99">
              <w:rPr>
                <w:rFonts w:ascii="Arial Narrow" w:hAnsi="Arial Narrow"/>
                <w:sz w:val="20"/>
                <w:szCs w:val="20"/>
              </w:rPr>
              <w:t>, p=</w:t>
            </w:r>
            <w:r w:rsidRPr="00B24C99">
              <w:rPr>
                <w:rFonts w:ascii="Arial Narrow" w:hAnsi="Arial Narrow"/>
                <w:b/>
                <w:sz w:val="20"/>
                <w:szCs w:val="20"/>
              </w:rPr>
              <w:t>0.0020</w:t>
            </w:r>
          </w:p>
        </w:tc>
      </w:tr>
      <w:tr w:rsidR="000F1400" w:rsidRPr="00B24C99" w:rsidTr="00244DBD">
        <w:tc>
          <w:tcPr>
            <w:tcW w:w="9017" w:type="dxa"/>
            <w:gridSpan w:val="4"/>
            <w:vAlign w:val="center"/>
          </w:tcPr>
          <w:p w:rsidR="000F1400" w:rsidRPr="00B24C99" w:rsidRDefault="000F1400" w:rsidP="00393960">
            <w:pPr>
              <w:keepNext/>
              <w:keepLines/>
              <w:jc w:val="left"/>
              <w:rPr>
                <w:rFonts w:ascii="Arial Narrow" w:hAnsi="Arial Narrow"/>
                <w:b/>
                <w:sz w:val="20"/>
                <w:szCs w:val="20"/>
              </w:rPr>
            </w:pPr>
            <w:r w:rsidRPr="00B24C99">
              <w:rPr>
                <w:rFonts w:ascii="Arial Narrow" w:hAnsi="Arial Narrow"/>
                <w:b/>
                <w:sz w:val="20"/>
                <w:szCs w:val="20"/>
              </w:rPr>
              <w:t>Secondary/other</w:t>
            </w:r>
          </w:p>
        </w:tc>
      </w:tr>
      <w:bookmarkEnd w:id="25"/>
      <w:tr w:rsidR="00E55421" w:rsidRPr="00B24C99" w:rsidTr="00244DBD">
        <w:tc>
          <w:tcPr>
            <w:tcW w:w="1555" w:type="dxa"/>
            <w:vMerge w:val="restart"/>
            <w:vAlign w:val="center"/>
          </w:tcPr>
          <w:p w:rsidR="00E55421" w:rsidRPr="00B24C99" w:rsidRDefault="00E55421" w:rsidP="00393960">
            <w:pPr>
              <w:keepNext/>
              <w:keepLines/>
              <w:ind w:left="115"/>
              <w:jc w:val="left"/>
              <w:rPr>
                <w:rFonts w:ascii="Arial Narrow" w:hAnsi="Arial Narrow"/>
                <w:b/>
                <w:sz w:val="20"/>
                <w:szCs w:val="20"/>
              </w:rPr>
            </w:pPr>
            <w:r w:rsidRPr="00B24C99">
              <w:rPr>
                <w:rFonts w:ascii="Arial Narrow" w:hAnsi="Arial Narrow"/>
                <w:b/>
                <w:sz w:val="20"/>
                <w:szCs w:val="20"/>
              </w:rPr>
              <w:t>PFS per BICR, primary definition</w:t>
            </w:r>
            <w:r w:rsidRPr="00B24C99">
              <w:rPr>
                <w:rFonts w:ascii="Arial Narrow" w:hAnsi="Arial Narrow"/>
                <w:sz w:val="20"/>
                <w:szCs w:val="20"/>
                <w:vertAlign w:val="superscript"/>
              </w:rPr>
              <w:t>b</w:t>
            </w:r>
          </w:p>
        </w:tc>
        <w:tc>
          <w:tcPr>
            <w:tcW w:w="2970" w:type="dxa"/>
          </w:tcPr>
          <w:p w:rsidR="00E55421" w:rsidRPr="00B24C99" w:rsidRDefault="00E55421" w:rsidP="00393960">
            <w:pPr>
              <w:keepNext/>
              <w:keepLines/>
              <w:rPr>
                <w:rFonts w:ascii="Arial Narrow" w:hAnsi="Arial Narrow"/>
                <w:sz w:val="20"/>
                <w:szCs w:val="20"/>
              </w:rPr>
            </w:pPr>
            <w:r w:rsidRPr="00B24C99">
              <w:rPr>
                <w:rFonts w:ascii="Arial Narrow" w:hAnsi="Arial Narrow"/>
                <w:sz w:val="20"/>
                <w:szCs w:val="20"/>
              </w:rPr>
              <w:t>Patients with event, n (%)</w:t>
            </w:r>
          </w:p>
        </w:tc>
        <w:tc>
          <w:tcPr>
            <w:tcW w:w="2279" w:type="dxa"/>
            <w:vAlign w:val="center"/>
          </w:tcPr>
          <w:p w:rsidR="00E55421" w:rsidRPr="00B24C99" w:rsidRDefault="002A71C7" w:rsidP="00393960">
            <w:pPr>
              <w:keepNext/>
              <w:keepLines/>
              <w:jc w:val="center"/>
              <w:rPr>
                <w:rFonts w:ascii="Arial Narrow" w:hAnsi="Arial Narrow"/>
                <w:sz w:val="20"/>
                <w:szCs w:val="20"/>
              </w:rPr>
            </w:pPr>
            <w:r w:rsidRPr="00B24C99">
              <w:rPr>
                <w:rFonts w:ascii="Arial Narrow" w:hAnsi="Arial Narrow"/>
                <w:sz w:val="20"/>
                <w:szCs w:val="20"/>
              </w:rPr>
              <w:t>218 (71.9)</w:t>
            </w:r>
          </w:p>
        </w:tc>
        <w:tc>
          <w:tcPr>
            <w:tcW w:w="2213" w:type="dxa"/>
            <w:vAlign w:val="center"/>
          </w:tcPr>
          <w:p w:rsidR="00E55421" w:rsidRPr="00B24C99" w:rsidRDefault="002A71C7" w:rsidP="00393960">
            <w:pPr>
              <w:keepNext/>
              <w:keepLines/>
              <w:jc w:val="center"/>
              <w:rPr>
                <w:rFonts w:ascii="Arial Narrow" w:hAnsi="Arial Narrow"/>
                <w:sz w:val="20"/>
                <w:szCs w:val="20"/>
              </w:rPr>
            </w:pPr>
            <w:r w:rsidRPr="00B24C99">
              <w:rPr>
                <w:rFonts w:ascii="Arial Narrow" w:hAnsi="Arial Narrow"/>
                <w:sz w:val="20"/>
                <w:szCs w:val="20"/>
              </w:rPr>
              <w:t>209 (69.2)</w:t>
            </w:r>
          </w:p>
        </w:tc>
      </w:tr>
      <w:tr w:rsidR="00E55421" w:rsidRPr="00B24C99" w:rsidTr="00244DBD">
        <w:tc>
          <w:tcPr>
            <w:tcW w:w="1555" w:type="dxa"/>
            <w:vMerge/>
            <w:vAlign w:val="center"/>
          </w:tcPr>
          <w:p w:rsidR="00E55421" w:rsidRPr="00B24C99" w:rsidRDefault="00E55421" w:rsidP="00393960">
            <w:pPr>
              <w:keepNext/>
              <w:keepLines/>
              <w:ind w:left="115"/>
              <w:jc w:val="left"/>
              <w:rPr>
                <w:rFonts w:ascii="Arial Narrow" w:hAnsi="Arial Narrow"/>
                <w:b/>
                <w:sz w:val="20"/>
                <w:szCs w:val="20"/>
              </w:rPr>
            </w:pPr>
          </w:p>
        </w:tc>
        <w:tc>
          <w:tcPr>
            <w:tcW w:w="2970" w:type="dxa"/>
          </w:tcPr>
          <w:p w:rsidR="00E55421" w:rsidRPr="00B24C99" w:rsidRDefault="00E55421" w:rsidP="00393960">
            <w:pPr>
              <w:keepNext/>
              <w:keepLines/>
              <w:rPr>
                <w:rFonts w:ascii="Arial Narrow" w:hAnsi="Arial Narrow"/>
                <w:sz w:val="20"/>
                <w:szCs w:val="20"/>
              </w:rPr>
            </w:pPr>
            <w:r w:rsidRPr="00B24C99">
              <w:rPr>
                <w:rFonts w:ascii="Arial Narrow" w:hAnsi="Arial Narrow"/>
                <w:sz w:val="20"/>
                <w:szCs w:val="20"/>
              </w:rPr>
              <w:t>Median (95% CI), months</w:t>
            </w:r>
          </w:p>
        </w:tc>
        <w:tc>
          <w:tcPr>
            <w:tcW w:w="2279"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6.77 (5.59, 7.36)</w:t>
            </w:r>
          </w:p>
        </w:tc>
        <w:tc>
          <w:tcPr>
            <w:tcW w:w="2213"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7.20 (6.93, 8,05)</w:t>
            </w:r>
          </w:p>
        </w:tc>
      </w:tr>
      <w:tr w:rsidR="00E55421" w:rsidRPr="00B24C99" w:rsidTr="00244DBD">
        <w:tc>
          <w:tcPr>
            <w:tcW w:w="1555" w:type="dxa"/>
            <w:vMerge/>
            <w:vAlign w:val="center"/>
          </w:tcPr>
          <w:p w:rsidR="00E55421" w:rsidRPr="00B24C99" w:rsidRDefault="00E55421" w:rsidP="00393960">
            <w:pPr>
              <w:keepNext/>
              <w:keepLines/>
              <w:jc w:val="left"/>
              <w:rPr>
                <w:rFonts w:ascii="Arial Narrow" w:hAnsi="Arial Narrow"/>
                <w:b/>
                <w:sz w:val="20"/>
                <w:szCs w:val="20"/>
              </w:rPr>
            </w:pPr>
          </w:p>
        </w:tc>
        <w:tc>
          <w:tcPr>
            <w:tcW w:w="2970" w:type="dxa"/>
          </w:tcPr>
          <w:p w:rsidR="00E55421" w:rsidRPr="00B24C99" w:rsidRDefault="00E55421" w:rsidP="00393960">
            <w:pPr>
              <w:keepNext/>
              <w:keepLines/>
              <w:rPr>
                <w:rFonts w:ascii="Arial Narrow" w:hAnsi="Arial Narrow"/>
                <w:sz w:val="20"/>
                <w:szCs w:val="20"/>
              </w:rPr>
            </w:pPr>
            <w:r w:rsidRPr="00B24C99">
              <w:rPr>
                <w:rFonts w:ascii="Arial Narrow" w:hAnsi="Arial Narrow"/>
                <w:sz w:val="20"/>
                <w:szCs w:val="20"/>
              </w:rPr>
              <w:t>HR</w:t>
            </w:r>
            <w:r w:rsidRPr="00B24C99">
              <w:rPr>
                <w:rFonts w:ascii="Arial Narrow" w:hAnsi="Arial Narrow"/>
                <w:sz w:val="20"/>
                <w:szCs w:val="20"/>
                <w:vertAlign w:val="superscript"/>
              </w:rPr>
              <w:t>a</w:t>
            </w:r>
            <w:r w:rsidRPr="00B24C99">
              <w:rPr>
                <w:rFonts w:ascii="Arial Narrow" w:hAnsi="Arial Narrow"/>
                <w:sz w:val="20"/>
                <w:szCs w:val="20"/>
              </w:rPr>
              <w:t xml:space="preserve"> (95% CI), p-value</w:t>
            </w:r>
          </w:p>
        </w:tc>
        <w:tc>
          <w:tcPr>
            <w:tcW w:w="4492" w:type="dxa"/>
            <w:gridSpan w:val="2"/>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1.00 (0.82, 1.21)</w:t>
            </w:r>
          </w:p>
        </w:tc>
      </w:tr>
      <w:tr w:rsidR="00E55421" w:rsidRPr="00B24C99" w:rsidTr="00244DBD">
        <w:tc>
          <w:tcPr>
            <w:tcW w:w="1555" w:type="dxa"/>
            <w:vMerge w:val="restart"/>
            <w:vAlign w:val="center"/>
          </w:tcPr>
          <w:p w:rsidR="00E55421" w:rsidRPr="00B24C99" w:rsidRDefault="00E55421" w:rsidP="00393960">
            <w:pPr>
              <w:keepNext/>
              <w:keepLines/>
              <w:ind w:left="115"/>
              <w:jc w:val="left"/>
              <w:rPr>
                <w:rFonts w:ascii="Arial Narrow" w:hAnsi="Arial Narrow"/>
                <w:b/>
                <w:sz w:val="20"/>
                <w:szCs w:val="20"/>
              </w:rPr>
            </w:pPr>
            <w:r w:rsidRPr="00B24C99">
              <w:rPr>
                <w:rFonts w:ascii="Arial Narrow" w:hAnsi="Arial Narrow"/>
                <w:b/>
                <w:sz w:val="20"/>
                <w:szCs w:val="20"/>
              </w:rPr>
              <w:t>ORR per BICR</w:t>
            </w:r>
          </w:p>
        </w:tc>
        <w:tc>
          <w:tcPr>
            <w:tcW w:w="2970" w:type="dxa"/>
          </w:tcPr>
          <w:p w:rsidR="00E55421" w:rsidRPr="00B24C99" w:rsidRDefault="00E55421" w:rsidP="00393960">
            <w:pPr>
              <w:keepNext/>
              <w:keepLines/>
              <w:rPr>
                <w:rFonts w:ascii="Arial Narrow" w:hAnsi="Arial Narrow"/>
                <w:sz w:val="20"/>
                <w:szCs w:val="20"/>
              </w:rPr>
            </w:pPr>
            <w:r w:rsidRPr="00B24C99">
              <w:rPr>
                <w:rFonts w:ascii="Arial Narrow" w:eastAsia="TimesNewRoman" w:hAnsi="Arial Narrow" w:cs="TimesNewRoman"/>
                <w:sz w:val="20"/>
                <w:szCs w:val="20"/>
              </w:rPr>
              <w:t>ORR (95% CI), %</w:t>
            </w:r>
          </w:p>
        </w:tc>
        <w:tc>
          <w:tcPr>
            <w:tcW w:w="2279"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39.6 (34.1, 45.4)</w:t>
            </w:r>
          </w:p>
        </w:tc>
        <w:tc>
          <w:tcPr>
            <w:tcW w:w="2213"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42.7 (37.1, 48.5)</w:t>
            </w:r>
          </w:p>
        </w:tc>
      </w:tr>
      <w:tr w:rsidR="00E55421" w:rsidRPr="00B24C99" w:rsidTr="00244DBD">
        <w:tc>
          <w:tcPr>
            <w:tcW w:w="1555" w:type="dxa"/>
            <w:vMerge/>
            <w:vAlign w:val="center"/>
          </w:tcPr>
          <w:p w:rsidR="00E55421" w:rsidRPr="00B24C99" w:rsidRDefault="00E55421" w:rsidP="00393960">
            <w:pPr>
              <w:keepNext/>
              <w:keepLines/>
              <w:jc w:val="left"/>
              <w:rPr>
                <w:rFonts w:ascii="Arial Narrow" w:hAnsi="Arial Narrow"/>
                <w:b/>
                <w:sz w:val="20"/>
                <w:szCs w:val="20"/>
              </w:rPr>
            </w:pPr>
          </w:p>
        </w:tc>
        <w:tc>
          <w:tcPr>
            <w:tcW w:w="2970" w:type="dxa"/>
          </w:tcPr>
          <w:p w:rsidR="00E55421" w:rsidRPr="00B24C99" w:rsidRDefault="00E55421" w:rsidP="00393960">
            <w:pPr>
              <w:keepNext/>
              <w:keepLines/>
              <w:rPr>
                <w:rFonts w:ascii="Arial Narrow" w:hAnsi="Arial Narrow"/>
                <w:sz w:val="20"/>
                <w:szCs w:val="20"/>
              </w:rPr>
            </w:pPr>
            <w:r w:rsidRPr="00B24C99">
              <w:rPr>
                <w:rFonts w:ascii="Arial Narrow" w:eastAsia="TimesNewRoman" w:hAnsi="Arial Narrow" w:cs="TimesNewRoman"/>
                <w:sz w:val="20"/>
                <w:szCs w:val="20"/>
              </w:rPr>
              <w:t>Median TTR, months</w:t>
            </w:r>
          </w:p>
        </w:tc>
        <w:tc>
          <w:tcPr>
            <w:tcW w:w="2279"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2.69</w:t>
            </w:r>
          </w:p>
        </w:tc>
        <w:tc>
          <w:tcPr>
            <w:tcW w:w="2213"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2.53</w:t>
            </w:r>
          </w:p>
        </w:tc>
      </w:tr>
      <w:tr w:rsidR="00E55421" w:rsidRPr="00B24C99" w:rsidTr="00244DBD">
        <w:tc>
          <w:tcPr>
            <w:tcW w:w="1555" w:type="dxa"/>
            <w:vMerge/>
            <w:vAlign w:val="center"/>
          </w:tcPr>
          <w:p w:rsidR="00E55421" w:rsidRPr="00B24C99" w:rsidRDefault="00E55421" w:rsidP="00393960">
            <w:pPr>
              <w:keepNext/>
              <w:keepLines/>
              <w:jc w:val="left"/>
              <w:rPr>
                <w:rFonts w:ascii="Arial Narrow" w:hAnsi="Arial Narrow"/>
                <w:b/>
                <w:sz w:val="20"/>
                <w:szCs w:val="20"/>
              </w:rPr>
            </w:pPr>
          </w:p>
        </w:tc>
        <w:tc>
          <w:tcPr>
            <w:tcW w:w="2970" w:type="dxa"/>
          </w:tcPr>
          <w:p w:rsidR="00E55421" w:rsidRPr="00B24C99" w:rsidRDefault="00E55421" w:rsidP="00393960">
            <w:pPr>
              <w:keepNext/>
              <w:keepLines/>
              <w:rPr>
                <w:rFonts w:ascii="Arial Narrow" w:hAnsi="Arial Narrow"/>
                <w:sz w:val="20"/>
                <w:szCs w:val="20"/>
              </w:rPr>
            </w:pPr>
            <w:r w:rsidRPr="00B24C99">
              <w:rPr>
                <w:rFonts w:ascii="Arial Narrow" w:eastAsia="TimesNewRoman" w:hAnsi="Arial Narrow" w:cs="TimesNewRoman"/>
                <w:sz w:val="20"/>
                <w:szCs w:val="20"/>
              </w:rPr>
              <w:t>DoR (95% CI), months</w:t>
            </w:r>
          </w:p>
        </w:tc>
        <w:tc>
          <w:tcPr>
            <w:tcW w:w="2279"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11.01 (8.11, 16.49)</w:t>
            </w:r>
          </w:p>
        </w:tc>
        <w:tc>
          <w:tcPr>
            <w:tcW w:w="2213"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6.67 (5.32, 7.10)</w:t>
            </w:r>
          </w:p>
        </w:tc>
      </w:tr>
      <w:tr w:rsidR="00E55421" w:rsidRPr="00B24C99" w:rsidTr="00244DBD">
        <w:tc>
          <w:tcPr>
            <w:tcW w:w="1555" w:type="dxa"/>
            <w:vMerge w:val="restart"/>
            <w:vAlign w:val="center"/>
          </w:tcPr>
          <w:p w:rsidR="00E55421" w:rsidRPr="00B24C99" w:rsidRDefault="00E55421" w:rsidP="00393960">
            <w:pPr>
              <w:keepNext/>
              <w:keepLines/>
              <w:ind w:left="115"/>
              <w:jc w:val="left"/>
              <w:rPr>
                <w:rFonts w:ascii="Arial Narrow" w:hAnsi="Arial Narrow"/>
                <w:b/>
                <w:sz w:val="20"/>
                <w:szCs w:val="20"/>
              </w:rPr>
            </w:pPr>
            <w:r w:rsidRPr="00B24C99">
              <w:rPr>
                <w:rFonts w:ascii="Arial Narrow" w:hAnsi="Arial Narrow"/>
                <w:b/>
                <w:sz w:val="20"/>
                <w:szCs w:val="20"/>
              </w:rPr>
              <w:t>BOR, n(%)</w:t>
            </w:r>
          </w:p>
        </w:tc>
        <w:tc>
          <w:tcPr>
            <w:tcW w:w="2970" w:type="dxa"/>
          </w:tcPr>
          <w:p w:rsidR="00E55421" w:rsidRPr="00B24C99" w:rsidRDefault="00E55421" w:rsidP="00393960">
            <w:pPr>
              <w:keepNext/>
              <w:keepLines/>
              <w:rPr>
                <w:rFonts w:ascii="Arial Narrow" w:eastAsia="TimesNewRoman" w:hAnsi="Arial Narrow" w:cs="TimesNewRoman"/>
                <w:sz w:val="20"/>
                <w:szCs w:val="20"/>
              </w:rPr>
            </w:pPr>
            <w:r w:rsidRPr="00B24C99">
              <w:rPr>
                <w:rFonts w:ascii="Arial Narrow" w:eastAsia="TimesNewRoman" w:hAnsi="Arial Narrow" w:cs="TimesNewRoman"/>
                <w:sz w:val="20"/>
                <w:szCs w:val="20"/>
              </w:rPr>
              <w:t>CR</w:t>
            </w:r>
          </w:p>
        </w:tc>
        <w:tc>
          <w:tcPr>
            <w:tcW w:w="2279"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5 (1.7)</w:t>
            </w:r>
          </w:p>
        </w:tc>
        <w:tc>
          <w:tcPr>
            <w:tcW w:w="2213"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0</w:t>
            </w:r>
          </w:p>
        </w:tc>
      </w:tr>
      <w:tr w:rsidR="00E55421" w:rsidRPr="00B24C99" w:rsidTr="00244DBD">
        <w:tc>
          <w:tcPr>
            <w:tcW w:w="1555" w:type="dxa"/>
            <w:vMerge/>
            <w:vAlign w:val="center"/>
          </w:tcPr>
          <w:p w:rsidR="00E55421" w:rsidRPr="00B24C99" w:rsidRDefault="00E55421" w:rsidP="00393960">
            <w:pPr>
              <w:keepNext/>
              <w:keepLines/>
              <w:jc w:val="left"/>
              <w:rPr>
                <w:rFonts w:ascii="Arial Narrow" w:hAnsi="Arial Narrow"/>
                <w:b/>
                <w:sz w:val="20"/>
                <w:szCs w:val="20"/>
              </w:rPr>
            </w:pPr>
          </w:p>
        </w:tc>
        <w:tc>
          <w:tcPr>
            <w:tcW w:w="2970" w:type="dxa"/>
          </w:tcPr>
          <w:p w:rsidR="00E55421" w:rsidRPr="00B24C99" w:rsidRDefault="00E55421" w:rsidP="00393960">
            <w:pPr>
              <w:keepNext/>
              <w:keepLines/>
              <w:rPr>
                <w:rFonts w:ascii="Arial Narrow" w:eastAsia="TimesNewRoman" w:hAnsi="Arial Narrow" w:cs="TimesNewRoman"/>
                <w:sz w:val="20"/>
                <w:szCs w:val="20"/>
              </w:rPr>
            </w:pPr>
            <w:r w:rsidRPr="00B24C99">
              <w:rPr>
                <w:rFonts w:ascii="Arial Narrow" w:eastAsia="TimesNewRoman" w:hAnsi="Arial Narrow" w:cs="TimesNewRoman"/>
                <w:sz w:val="20"/>
                <w:szCs w:val="20"/>
              </w:rPr>
              <w:t>PR</w:t>
            </w:r>
          </w:p>
        </w:tc>
        <w:tc>
          <w:tcPr>
            <w:tcW w:w="2279"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115 (38.0)</w:t>
            </w:r>
          </w:p>
        </w:tc>
        <w:tc>
          <w:tcPr>
            <w:tcW w:w="2213"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129 (42.7)</w:t>
            </w:r>
          </w:p>
        </w:tc>
      </w:tr>
      <w:tr w:rsidR="00E55421" w:rsidRPr="00B24C99" w:rsidTr="00244DBD">
        <w:tc>
          <w:tcPr>
            <w:tcW w:w="1555" w:type="dxa"/>
            <w:vMerge/>
            <w:vAlign w:val="center"/>
          </w:tcPr>
          <w:p w:rsidR="00E55421" w:rsidRPr="00B24C99" w:rsidRDefault="00E55421" w:rsidP="00393960">
            <w:pPr>
              <w:keepNext/>
              <w:keepLines/>
              <w:jc w:val="left"/>
              <w:rPr>
                <w:rFonts w:ascii="Arial Narrow" w:hAnsi="Arial Narrow"/>
                <w:b/>
                <w:sz w:val="20"/>
                <w:szCs w:val="20"/>
              </w:rPr>
            </w:pPr>
          </w:p>
        </w:tc>
        <w:tc>
          <w:tcPr>
            <w:tcW w:w="2970" w:type="dxa"/>
          </w:tcPr>
          <w:p w:rsidR="00E55421" w:rsidRPr="00B24C99" w:rsidRDefault="00E55421" w:rsidP="00393960">
            <w:pPr>
              <w:keepNext/>
              <w:keepLines/>
              <w:rPr>
                <w:rFonts w:ascii="Arial Narrow" w:eastAsia="TimesNewRoman" w:hAnsi="Arial Narrow" w:cs="TimesNewRoman"/>
                <w:sz w:val="20"/>
                <w:szCs w:val="20"/>
              </w:rPr>
            </w:pPr>
            <w:r w:rsidRPr="00B24C99">
              <w:rPr>
                <w:rFonts w:ascii="Arial Narrow" w:eastAsia="TimesNewRoman" w:hAnsi="Arial Narrow" w:cs="TimesNewRoman"/>
                <w:sz w:val="20"/>
                <w:szCs w:val="20"/>
              </w:rPr>
              <w:t>SD</w:t>
            </w:r>
          </w:p>
        </w:tc>
        <w:tc>
          <w:tcPr>
            <w:tcW w:w="2279"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112 (37.0)</w:t>
            </w:r>
          </w:p>
        </w:tc>
        <w:tc>
          <w:tcPr>
            <w:tcW w:w="2213"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125 (41.4)</w:t>
            </w:r>
          </w:p>
        </w:tc>
      </w:tr>
      <w:tr w:rsidR="00E55421" w:rsidRPr="00B24C99" w:rsidTr="00244DBD">
        <w:tc>
          <w:tcPr>
            <w:tcW w:w="1555" w:type="dxa"/>
            <w:vMerge/>
            <w:vAlign w:val="center"/>
          </w:tcPr>
          <w:p w:rsidR="00E55421" w:rsidRPr="00B24C99" w:rsidRDefault="00E55421" w:rsidP="00393960">
            <w:pPr>
              <w:keepNext/>
              <w:keepLines/>
              <w:jc w:val="left"/>
              <w:rPr>
                <w:rFonts w:ascii="Arial Narrow" w:hAnsi="Arial Narrow"/>
                <w:b/>
                <w:sz w:val="20"/>
                <w:szCs w:val="20"/>
              </w:rPr>
            </w:pPr>
          </w:p>
        </w:tc>
        <w:tc>
          <w:tcPr>
            <w:tcW w:w="2970" w:type="dxa"/>
          </w:tcPr>
          <w:p w:rsidR="00E55421" w:rsidRPr="00B24C99" w:rsidRDefault="00E55421" w:rsidP="00393960">
            <w:pPr>
              <w:keepNext/>
              <w:keepLines/>
              <w:rPr>
                <w:rFonts w:ascii="Arial Narrow" w:eastAsia="TimesNewRoman" w:hAnsi="Arial Narrow" w:cs="TimesNewRoman"/>
                <w:sz w:val="20"/>
                <w:szCs w:val="20"/>
              </w:rPr>
            </w:pPr>
            <w:r w:rsidRPr="00B24C99">
              <w:rPr>
                <w:rFonts w:ascii="Arial Narrow" w:eastAsia="TimesNewRoman" w:hAnsi="Arial Narrow" w:cs="TimesNewRoman"/>
                <w:sz w:val="20"/>
                <w:szCs w:val="20"/>
              </w:rPr>
              <w:t>PD</w:t>
            </w:r>
          </w:p>
        </w:tc>
        <w:tc>
          <w:tcPr>
            <w:tcW w:w="2279"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55 (18.2)</w:t>
            </w:r>
          </w:p>
        </w:tc>
        <w:tc>
          <w:tcPr>
            <w:tcW w:w="2213"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14 (4.6)</w:t>
            </w:r>
          </w:p>
        </w:tc>
      </w:tr>
      <w:tr w:rsidR="00E55421" w:rsidRPr="00B24C99" w:rsidTr="00244DBD">
        <w:tc>
          <w:tcPr>
            <w:tcW w:w="1555" w:type="dxa"/>
            <w:vAlign w:val="center"/>
          </w:tcPr>
          <w:p w:rsidR="00E55421" w:rsidRPr="00B24C99" w:rsidRDefault="00E55421" w:rsidP="00393960">
            <w:pPr>
              <w:keepNext/>
              <w:keepLines/>
              <w:ind w:left="115"/>
              <w:jc w:val="left"/>
              <w:rPr>
                <w:rFonts w:ascii="Arial Narrow" w:hAnsi="Arial Narrow"/>
                <w:b/>
                <w:sz w:val="20"/>
                <w:szCs w:val="20"/>
              </w:rPr>
            </w:pPr>
            <w:r w:rsidRPr="00B24C99">
              <w:rPr>
                <w:rFonts w:ascii="Arial Narrow" w:hAnsi="Arial Narrow"/>
                <w:b/>
                <w:sz w:val="20"/>
                <w:szCs w:val="20"/>
              </w:rPr>
              <w:t>DCR</w:t>
            </w:r>
          </w:p>
        </w:tc>
        <w:tc>
          <w:tcPr>
            <w:tcW w:w="2970" w:type="dxa"/>
          </w:tcPr>
          <w:p w:rsidR="00E55421" w:rsidRPr="00B24C99" w:rsidRDefault="00E55421" w:rsidP="00393960">
            <w:pPr>
              <w:keepNext/>
              <w:keepLines/>
              <w:rPr>
                <w:rFonts w:ascii="Arial Narrow" w:eastAsia="TimesNewRoman" w:hAnsi="Arial Narrow" w:cs="TimesNewRoman"/>
                <w:sz w:val="20"/>
                <w:szCs w:val="20"/>
              </w:rPr>
            </w:pPr>
            <w:r w:rsidRPr="00B24C99">
              <w:rPr>
                <w:rFonts w:ascii="Arial Narrow" w:eastAsia="TimesNewRoman" w:hAnsi="Arial Narrow" w:cs="TimesNewRoman"/>
                <w:sz w:val="20"/>
                <w:szCs w:val="20"/>
              </w:rPr>
              <w:t>(95% CI), % (CR+PR+SD)</w:t>
            </w:r>
          </w:p>
        </w:tc>
        <w:tc>
          <w:tcPr>
            <w:tcW w:w="2279"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76.6 (71.4, 81.2)</w:t>
            </w:r>
          </w:p>
        </w:tc>
        <w:tc>
          <w:tcPr>
            <w:tcW w:w="2213" w:type="dxa"/>
            <w:vAlign w:val="center"/>
          </w:tcPr>
          <w:p w:rsidR="00E55421" w:rsidRPr="00B24C99" w:rsidRDefault="00E55421" w:rsidP="00393960">
            <w:pPr>
              <w:keepNext/>
              <w:keepLines/>
              <w:jc w:val="center"/>
              <w:rPr>
                <w:rFonts w:ascii="Arial Narrow" w:hAnsi="Arial Narrow"/>
                <w:sz w:val="20"/>
                <w:szCs w:val="20"/>
              </w:rPr>
            </w:pPr>
            <w:r w:rsidRPr="00B24C99">
              <w:rPr>
                <w:rFonts w:ascii="Arial Narrow" w:hAnsi="Arial Narrow"/>
                <w:sz w:val="20"/>
                <w:szCs w:val="20"/>
              </w:rPr>
              <w:t>85.1 (80.6, 88.9)</w:t>
            </w:r>
          </w:p>
        </w:tc>
      </w:tr>
    </w:tbl>
    <w:p w:rsidR="00681D20" w:rsidRPr="00B24C99" w:rsidRDefault="00681D20" w:rsidP="00393960">
      <w:pPr>
        <w:pStyle w:val="TableFigureFooter"/>
        <w:keepNext/>
        <w:keepLines/>
        <w:rPr>
          <w:sz w:val="20"/>
          <w:szCs w:val="20"/>
        </w:rPr>
      </w:pPr>
      <w:r w:rsidRPr="00B24C99">
        <w:rPr>
          <w:sz w:val="20"/>
          <w:szCs w:val="20"/>
          <w:vertAlign w:val="superscript"/>
        </w:rPr>
        <w:t xml:space="preserve">a </w:t>
      </w:r>
      <w:r w:rsidRPr="00B24C99">
        <w:rPr>
          <w:sz w:val="20"/>
          <w:szCs w:val="20"/>
        </w:rPr>
        <w:t>Stratified Cox proportional hazard model.</w:t>
      </w:r>
    </w:p>
    <w:p w:rsidR="00681D20" w:rsidRPr="00B24C99" w:rsidRDefault="00681D20" w:rsidP="00393960">
      <w:pPr>
        <w:pStyle w:val="TableFigureFooter"/>
        <w:keepNext/>
        <w:keepLines/>
        <w:rPr>
          <w:sz w:val="20"/>
          <w:szCs w:val="20"/>
        </w:rPr>
      </w:pPr>
      <w:r w:rsidRPr="00B24C99">
        <w:rPr>
          <w:sz w:val="20"/>
          <w:szCs w:val="20"/>
          <w:vertAlign w:val="superscript"/>
        </w:rPr>
        <w:t xml:space="preserve">b </w:t>
      </w:r>
      <w:r w:rsidRPr="00B24C99">
        <w:rPr>
          <w:sz w:val="20"/>
          <w:szCs w:val="20"/>
        </w:rPr>
        <w:t>PFS truncated at subsequent therapy. Patients who received subsequent anticancer therapy prior to documented progression, or patients who did not have a documented progression and received subsequent anticancer therapy, were censored at the date of the last evaluable tumour assessment conducted on or prior to the date of initiation of the subsequent therapy.</w:t>
      </w:r>
    </w:p>
    <w:p w:rsidR="000F1400" w:rsidRPr="00B24C99" w:rsidRDefault="000F1400" w:rsidP="00393960">
      <w:pPr>
        <w:pStyle w:val="3-BodyText"/>
        <w:keepNext/>
        <w:keepLines/>
        <w:numPr>
          <w:ilvl w:val="0"/>
          <w:numId w:val="0"/>
        </w:numPr>
        <w:spacing w:after="0"/>
        <w:rPr>
          <w:rFonts w:ascii="Arial Narrow" w:hAnsi="Arial Narrow"/>
          <w:sz w:val="18"/>
          <w:szCs w:val="18"/>
        </w:rPr>
      </w:pPr>
      <w:r w:rsidRPr="00B24C99">
        <w:rPr>
          <w:rFonts w:ascii="Arial Narrow" w:hAnsi="Arial Narrow"/>
          <w:sz w:val="18"/>
          <w:szCs w:val="18"/>
        </w:rPr>
        <w:t>Chemo</w:t>
      </w:r>
      <w:r w:rsidR="002E66DB" w:rsidRPr="00B24C99">
        <w:rPr>
          <w:rFonts w:ascii="Arial Narrow" w:hAnsi="Arial Narrow"/>
          <w:sz w:val="18"/>
          <w:szCs w:val="18"/>
        </w:rPr>
        <w:t>,</w:t>
      </w:r>
      <w:r w:rsidRPr="00B24C99">
        <w:rPr>
          <w:rFonts w:ascii="Arial Narrow" w:hAnsi="Arial Narrow"/>
          <w:sz w:val="18"/>
          <w:szCs w:val="18"/>
        </w:rPr>
        <w:t xml:space="preserve"> </w:t>
      </w:r>
      <w:r w:rsidR="0068425F" w:rsidRPr="00B24C99">
        <w:rPr>
          <w:rFonts w:ascii="Arial Narrow" w:hAnsi="Arial Narrow"/>
          <w:sz w:val="18"/>
          <w:szCs w:val="18"/>
        </w:rPr>
        <w:t>pemetrexed plus cisplatin/carboplatin</w:t>
      </w:r>
      <w:r w:rsidRPr="00B24C99">
        <w:rPr>
          <w:rFonts w:ascii="Arial Narrow" w:hAnsi="Arial Narrow"/>
          <w:sz w:val="18"/>
          <w:szCs w:val="18"/>
        </w:rPr>
        <w:t>; IPI</w:t>
      </w:r>
      <w:r w:rsidR="002E66DB" w:rsidRPr="00B24C99">
        <w:rPr>
          <w:rFonts w:ascii="Arial Narrow" w:hAnsi="Arial Narrow"/>
          <w:sz w:val="18"/>
          <w:szCs w:val="18"/>
        </w:rPr>
        <w:t>,</w:t>
      </w:r>
      <w:r w:rsidRPr="00B24C99">
        <w:rPr>
          <w:rFonts w:ascii="Arial Narrow" w:hAnsi="Arial Narrow"/>
          <w:sz w:val="18"/>
          <w:szCs w:val="18"/>
        </w:rPr>
        <w:t xml:space="preserve"> ipilimumab; NIVO</w:t>
      </w:r>
      <w:r w:rsidR="002E66DB" w:rsidRPr="00B24C99">
        <w:rPr>
          <w:rFonts w:ascii="Arial Narrow" w:hAnsi="Arial Narrow"/>
          <w:sz w:val="18"/>
          <w:szCs w:val="18"/>
        </w:rPr>
        <w:t xml:space="preserve">, </w:t>
      </w:r>
      <w:r w:rsidRPr="00B24C99">
        <w:rPr>
          <w:rFonts w:ascii="Arial Narrow" w:hAnsi="Arial Narrow"/>
          <w:sz w:val="18"/>
          <w:szCs w:val="18"/>
        </w:rPr>
        <w:t xml:space="preserve"> nivolumab; CI</w:t>
      </w:r>
      <w:r w:rsidR="002E66DB" w:rsidRPr="00B24C99">
        <w:rPr>
          <w:rFonts w:ascii="Arial Narrow" w:hAnsi="Arial Narrow"/>
          <w:sz w:val="18"/>
          <w:szCs w:val="18"/>
        </w:rPr>
        <w:t xml:space="preserve">, </w:t>
      </w:r>
      <w:r w:rsidRPr="00B24C99">
        <w:rPr>
          <w:rFonts w:ascii="Arial Narrow" w:hAnsi="Arial Narrow"/>
          <w:sz w:val="18"/>
          <w:szCs w:val="18"/>
        </w:rPr>
        <w:t>confidence interval; HR</w:t>
      </w:r>
      <w:r w:rsidR="002E66DB" w:rsidRPr="00B24C99">
        <w:rPr>
          <w:rFonts w:ascii="Arial Narrow" w:hAnsi="Arial Narrow"/>
          <w:sz w:val="18"/>
          <w:szCs w:val="18"/>
        </w:rPr>
        <w:t xml:space="preserve">, </w:t>
      </w:r>
      <w:r w:rsidRPr="00B24C99">
        <w:rPr>
          <w:rFonts w:ascii="Arial Narrow" w:hAnsi="Arial Narrow"/>
          <w:sz w:val="18"/>
          <w:szCs w:val="18"/>
        </w:rPr>
        <w:t xml:space="preserve"> hazard ratio; ITT</w:t>
      </w:r>
      <w:r w:rsidR="002E66DB" w:rsidRPr="00B24C99">
        <w:rPr>
          <w:rFonts w:ascii="Arial Narrow" w:hAnsi="Arial Narrow"/>
          <w:sz w:val="18"/>
          <w:szCs w:val="18"/>
        </w:rPr>
        <w:t>,</w:t>
      </w:r>
      <w:r w:rsidRPr="00B24C99">
        <w:rPr>
          <w:rFonts w:ascii="Arial Narrow" w:hAnsi="Arial Narrow"/>
          <w:sz w:val="18"/>
          <w:szCs w:val="18"/>
        </w:rPr>
        <w:t xml:space="preserve"> intention to treat; BICR</w:t>
      </w:r>
      <w:r w:rsidR="002E66DB" w:rsidRPr="00B24C99">
        <w:rPr>
          <w:rFonts w:ascii="Arial Narrow" w:hAnsi="Arial Narrow"/>
          <w:sz w:val="18"/>
          <w:szCs w:val="18"/>
        </w:rPr>
        <w:t>,</w:t>
      </w:r>
      <w:r w:rsidRPr="00B24C99">
        <w:rPr>
          <w:rFonts w:ascii="Arial Narrow" w:hAnsi="Arial Narrow"/>
          <w:sz w:val="18"/>
          <w:szCs w:val="18"/>
        </w:rPr>
        <w:t xml:space="preserve"> blinded independent central review; BOR</w:t>
      </w:r>
      <w:r w:rsidR="002E66DB" w:rsidRPr="00B24C99">
        <w:rPr>
          <w:rFonts w:ascii="Arial Narrow" w:hAnsi="Arial Narrow"/>
          <w:sz w:val="18"/>
          <w:szCs w:val="18"/>
        </w:rPr>
        <w:t>,</w:t>
      </w:r>
      <w:r w:rsidRPr="00B24C99">
        <w:rPr>
          <w:rFonts w:ascii="Arial Narrow" w:hAnsi="Arial Narrow"/>
          <w:sz w:val="18"/>
          <w:szCs w:val="18"/>
        </w:rPr>
        <w:t xml:space="preserve"> best overall response; CR</w:t>
      </w:r>
      <w:r w:rsidR="002E66DB" w:rsidRPr="00B24C99">
        <w:rPr>
          <w:rFonts w:ascii="Arial Narrow" w:hAnsi="Arial Narrow"/>
          <w:sz w:val="18"/>
          <w:szCs w:val="18"/>
        </w:rPr>
        <w:t>,</w:t>
      </w:r>
      <w:r w:rsidRPr="00B24C99">
        <w:rPr>
          <w:rFonts w:ascii="Arial Narrow" w:hAnsi="Arial Narrow"/>
          <w:sz w:val="18"/>
          <w:szCs w:val="18"/>
        </w:rPr>
        <w:t xml:space="preserve"> complete response; DCR</w:t>
      </w:r>
      <w:r w:rsidR="002E66DB" w:rsidRPr="00B24C99">
        <w:rPr>
          <w:rFonts w:ascii="Arial Narrow" w:hAnsi="Arial Narrow"/>
          <w:sz w:val="18"/>
          <w:szCs w:val="18"/>
        </w:rPr>
        <w:t>,</w:t>
      </w:r>
      <w:r w:rsidRPr="00B24C99">
        <w:rPr>
          <w:rFonts w:ascii="Arial Narrow" w:hAnsi="Arial Narrow"/>
          <w:sz w:val="18"/>
          <w:szCs w:val="18"/>
        </w:rPr>
        <w:t xml:space="preserve"> disease control rate; DoR</w:t>
      </w:r>
      <w:r w:rsidR="002E66DB" w:rsidRPr="00B24C99">
        <w:rPr>
          <w:rFonts w:ascii="Arial Narrow" w:hAnsi="Arial Narrow"/>
          <w:sz w:val="18"/>
          <w:szCs w:val="18"/>
        </w:rPr>
        <w:t>,</w:t>
      </w:r>
      <w:r w:rsidRPr="00B24C99">
        <w:rPr>
          <w:rFonts w:ascii="Arial Narrow" w:hAnsi="Arial Narrow"/>
          <w:sz w:val="18"/>
          <w:szCs w:val="18"/>
        </w:rPr>
        <w:t xml:space="preserve"> duration of response; ORR</w:t>
      </w:r>
      <w:r w:rsidR="002E66DB" w:rsidRPr="00B24C99">
        <w:rPr>
          <w:rFonts w:ascii="Arial Narrow" w:hAnsi="Arial Narrow"/>
          <w:sz w:val="18"/>
          <w:szCs w:val="18"/>
        </w:rPr>
        <w:t>,</w:t>
      </w:r>
      <w:r w:rsidRPr="00B24C99">
        <w:rPr>
          <w:rFonts w:ascii="Arial Narrow" w:hAnsi="Arial Narrow"/>
          <w:sz w:val="18"/>
          <w:szCs w:val="18"/>
        </w:rPr>
        <w:t xml:space="preserve"> objective response rate; OS</w:t>
      </w:r>
      <w:r w:rsidR="002E66DB" w:rsidRPr="00B24C99">
        <w:rPr>
          <w:rFonts w:ascii="Arial Narrow" w:hAnsi="Arial Narrow"/>
          <w:sz w:val="18"/>
          <w:szCs w:val="18"/>
        </w:rPr>
        <w:t>,</w:t>
      </w:r>
      <w:r w:rsidRPr="00B24C99">
        <w:rPr>
          <w:rFonts w:ascii="Arial Narrow" w:hAnsi="Arial Narrow"/>
          <w:sz w:val="18"/>
          <w:szCs w:val="18"/>
        </w:rPr>
        <w:t xml:space="preserve"> overall survival; PD</w:t>
      </w:r>
      <w:r w:rsidR="002E66DB" w:rsidRPr="00B24C99">
        <w:rPr>
          <w:rFonts w:ascii="Arial Narrow" w:hAnsi="Arial Narrow"/>
          <w:sz w:val="18"/>
          <w:szCs w:val="18"/>
        </w:rPr>
        <w:t>,</w:t>
      </w:r>
      <w:r w:rsidRPr="00B24C99">
        <w:rPr>
          <w:rFonts w:ascii="Arial Narrow" w:hAnsi="Arial Narrow"/>
          <w:sz w:val="18"/>
          <w:szCs w:val="18"/>
        </w:rPr>
        <w:t xml:space="preserve"> progressive disease; PD-L1</w:t>
      </w:r>
      <w:r w:rsidR="002E66DB" w:rsidRPr="00B24C99">
        <w:rPr>
          <w:rFonts w:ascii="Arial Narrow" w:hAnsi="Arial Narrow"/>
          <w:sz w:val="18"/>
          <w:szCs w:val="18"/>
        </w:rPr>
        <w:t>,</w:t>
      </w:r>
      <w:r w:rsidRPr="00B24C99">
        <w:rPr>
          <w:rFonts w:ascii="Arial Narrow" w:hAnsi="Arial Narrow"/>
          <w:sz w:val="18"/>
          <w:szCs w:val="18"/>
        </w:rPr>
        <w:t xml:space="preserve"> programmed death ligand 1; PFS</w:t>
      </w:r>
      <w:r w:rsidR="002E66DB" w:rsidRPr="00B24C99">
        <w:rPr>
          <w:rFonts w:ascii="Arial Narrow" w:hAnsi="Arial Narrow"/>
          <w:sz w:val="18"/>
          <w:szCs w:val="18"/>
        </w:rPr>
        <w:t>,</w:t>
      </w:r>
      <w:r w:rsidRPr="00B24C99">
        <w:rPr>
          <w:rFonts w:ascii="Arial Narrow" w:hAnsi="Arial Narrow"/>
          <w:sz w:val="18"/>
          <w:szCs w:val="18"/>
        </w:rPr>
        <w:t xml:space="preserve"> progression-free survival; PR</w:t>
      </w:r>
      <w:r w:rsidR="002E66DB" w:rsidRPr="00B24C99">
        <w:rPr>
          <w:rFonts w:ascii="Arial Narrow" w:hAnsi="Arial Narrow"/>
          <w:sz w:val="18"/>
          <w:szCs w:val="18"/>
        </w:rPr>
        <w:t>,</w:t>
      </w:r>
      <w:r w:rsidRPr="00B24C99">
        <w:rPr>
          <w:rFonts w:ascii="Arial Narrow" w:hAnsi="Arial Narrow"/>
          <w:sz w:val="18"/>
          <w:szCs w:val="18"/>
        </w:rPr>
        <w:t xml:space="preserve"> partial response; SD</w:t>
      </w:r>
      <w:r w:rsidR="002E66DB" w:rsidRPr="00B24C99">
        <w:rPr>
          <w:rFonts w:ascii="Arial Narrow" w:hAnsi="Arial Narrow"/>
          <w:sz w:val="18"/>
          <w:szCs w:val="18"/>
        </w:rPr>
        <w:t>,</w:t>
      </w:r>
      <w:r w:rsidRPr="00B24C99">
        <w:rPr>
          <w:rFonts w:ascii="Arial Narrow" w:hAnsi="Arial Narrow"/>
          <w:sz w:val="18"/>
          <w:szCs w:val="18"/>
        </w:rPr>
        <w:t xml:space="preserve"> stable disease; TTR</w:t>
      </w:r>
      <w:r w:rsidR="002E66DB" w:rsidRPr="00B24C99">
        <w:rPr>
          <w:rFonts w:ascii="Arial Narrow" w:hAnsi="Arial Narrow"/>
          <w:sz w:val="18"/>
          <w:szCs w:val="18"/>
        </w:rPr>
        <w:t>,</w:t>
      </w:r>
      <w:r w:rsidRPr="00B24C99">
        <w:rPr>
          <w:rFonts w:ascii="Arial Narrow" w:hAnsi="Arial Narrow"/>
          <w:sz w:val="18"/>
          <w:szCs w:val="18"/>
        </w:rPr>
        <w:t xml:space="preserve"> time to response.</w:t>
      </w:r>
    </w:p>
    <w:p w:rsidR="00681D20" w:rsidRPr="00B24C99" w:rsidRDefault="00681D20" w:rsidP="00393960">
      <w:pPr>
        <w:pStyle w:val="TableFigureFooter"/>
        <w:keepNext/>
        <w:keepLines/>
        <w:spacing w:after="0"/>
        <w:rPr>
          <w:szCs w:val="18"/>
        </w:rPr>
      </w:pPr>
      <w:r w:rsidRPr="00B24C99">
        <w:rPr>
          <w:szCs w:val="18"/>
        </w:rPr>
        <w:t>Source: Table 7.1-1 of CheckMate 743 CSR.</w:t>
      </w:r>
    </w:p>
    <w:p w:rsidR="00681D20" w:rsidRPr="00B24C99" w:rsidRDefault="00681D20" w:rsidP="00681D20">
      <w:pPr>
        <w:pStyle w:val="3-BodyText"/>
        <w:numPr>
          <w:ilvl w:val="0"/>
          <w:numId w:val="0"/>
        </w:numPr>
        <w:ind w:left="720"/>
      </w:pPr>
    </w:p>
    <w:p w:rsidR="000D1D31" w:rsidRPr="00B24C99" w:rsidRDefault="000D1D31" w:rsidP="00681D20">
      <w:pPr>
        <w:pStyle w:val="3-BodyText"/>
      </w:pPr>
      <w:r w:rsidRPr="00B24C99">
        <w:t>The Kaplan-Meier curve for OS is presented in Figure 1</w:t>
      </w:r>
      <w:r w:rsidR="00B24C99">
        <w:t xml:space="preserve">. </w:t>
      </w:r>
      <w:r w:rsidR="00681D20" w:rsidRPr="00B24C99">
        <w:t>At the time of the trial analysis, 419 deaths had occurred out of a possible 605 (69%).</w:t>
      </w:r>
    </w:p>
    <w:bookmarkEnd w:id="24"/>
    <w:p w:rsidR="00D96BF7" w:rsidRPr="00B24C99" w:rsidRDefault="00D96BF7" w:rsidP="006B5145">
      <w:pPr>
        <w:pStyle w:val="TableFigureHeading"/>
        <w:keepLines/>
        <w:rPr>
          <w:color w:val="000000" w:themeColor="text1"/>
        </w:rPr>
      </w:pPr>
      <w:r w:rsidRPr="00B24C99">
        <w:rPr>
          <w:color w:val="000000" w:themeColor="text1"/>
        </w:rPr>
        <w:lastRenderedPageBreak/>
        <w:t>Figure 1: Kaplan-Meier plot of OS – NIVO+IPI vs pemetrexed-based chemotherapy (ITT)</w:t>
      </w:r>
    </w:p>
    <w:p w:rsidR="00D96BF7" w:rsidRPr="00B24C99" w:rsidRDefault="00D96BF7" w:rsidP="006B5145">
      <w:pPr>
        <w:keepNext/>
        <w:keepLines/>
        <w:rPr>
          <w:color w:val="3366FF"/>
        </w:rPr>
      </w:pPr>
      <w:r w:rsidRPr="00B24C99">
        <w:rPr>
          <w:noProof/>
        </w:rPr>
        <w:drawing>
          <wp:inline distT="0" distB="0" distL="0" distR="0" wp14:anchorId="20D65CA2" wp14:editId="5AAC7DB4">
            <wp:extent cx="5731510" cy="2760345"/>
            <wp:effectExtent l="0" t="0" r="2540" b="1905"/>
            <wp:docPr id="1" name="Picture 1" title="Figure 1: Kaplan-Meier plot of OS – NIVO+IPI vs pemetrexed-based chemotherapy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760345"/>
                    </a:xfrm>
                    <a:prstGeom prst="rect">
                      <a:avLst/>
                    </a:prstGeom>
                  </pic:spPr>
                </pic:pic>
              </a:graphicData>
            </a:graphic>
          </wp:inline>
        </w:drawing>
      </w:r>
    </w:p>
    <w:p w:rsidR="00D96BF7" w:rsidRPr="00B24C99" w:rsidRDefault="00D96BF7" w:rsidP="006B5145">
      <w:pPr>
        <w:pStyle w:val="TableFigureFooter"/>
        <w:keepNext/>
        <w:keepLines/>
      </w:pPr>
      <w:r w:rsidRPr="00B24C99">
        <w:t>Chemo</w:t>
      </w:r>
      <w:r w:rsidR="005A3C0F" w:rsidRPr="00B24C99">
        <w:t>,</w:t>
      </w:r>
      <w:r w:rsidRPr="00B24C99">
        <w:t xml:space="preserve"> </w:t>
      </w:r>
      <w:r w:rsidR="0068425F" w:rsidRPr="00B24C99">
        <w:t>pemetrexed plus cisplatin/carboplatin</w:t>
      </w:r>
      <w:r w:rsidRPr="00B24C99">
        <w:t>; CI</w:t>
      </w:r>
      <w:r w:rsidR="00790921" w:rsidRPr="00B24C99">
        <w:t>,</w:t>
      </w:r>
      <w:r w:rsidRPr="00B24C99">
        <w:t xml:space="preserve"> confidence interval; IPI</w:t>
      </w:r>
      <w:r w:rsidR="00790921" w:rsidRPr="00B24C99">
        <w:t>,</w:t>
      </w:r>
      <w:r w:rsidRPr="00B24C99">
        <w:t xml:space="preserve"> ipilimumab; IT</w:t>
      </w:r>
      <w:r w:rsidR="00790921" w:rsidRPr="00B24C99">
        <w:t>T,</w:t>
      </w:r>
      <w:r w:rsidRPr="00B24C99">
        <w:t xml:space="preserve"> intention to treat; NIVO</w:t>
      </w:r>
      <w:r w:rsidR="00790921" w:rsidRPr="00B24C99">
        <w:t>,</w:t>
      </w:r>
      <w:r w:rsidRPr="00B24C99">
        <w:t xml:space="preserve"> nivolumab; OS</w:t>
      </w:r>
      <w:r w:rsidR="00790921" w:rsidRPr="00B24C99">
        <w:t>,</w:t>
      </w:r>
      <w:r w:rsidRPr="00B24C99">
        <w:t xml:space="preserve"> overall survival.</w:t>
      </w:r>
    </w:p>
    <w:p w:rsidR="00681D20" w:rsidRPr="00B24C99" w:rsidRDefault="00681D20" w:rsidP="006B5145">
      <w:pPr>
        <w:pStyle w:val="TableFigureFooter"/>
        <w:keepNext/>
        <w:keepLines/>
      </w:pPr>
      <w:r w:rsidRPr="00B24C99">
        <w:t>Source: Figure 15, p83 of the submission.</w:t>
      </w:r>
    </w:p>
    <w:p w:rsidR="000D1D31" w:rsidRPr="00B24C99" w:rsidRDefault="000D1D31" w:rsidP="000D1D31">
      <w:pPr>
        <w:pStyle w:val="3-BodyText"/>
        <w:numPr>
          <w:ilvl w:val="0"/>
          <w:numId w:val="0"/>
        </w:numPr>
      </w:pPr>
    </w:p>
    <w:p w:rsidR="00390DCA" w:rsidRPr="00B24C99" w:rsidRDefault="00390DCA" w:rsidP="00390DCA">
      <w:pPr>
        <w:pStyle w:val="3-BodyText"/>
      </w:pPr>
      <w:r w:rsidRPr="00B24C99">
        <w:t xml:space="preserve">Results in Table </w:t>
      </w:r>
      <w:r w:rsidR="00EA4771" w:rsidRPr="00B24C99">
        <w:t>4</w:t>
      </w:r>
      <w:r w:rsidRPr="00B24C99">
        <w:t xml:space="preserve"> and Figure </w:t>
      </w:r>
      <w:r w:rsidR="00EA4771" w:rsidRPr="00B24C99">
        <w:t>1</w:t>
      </w:r>
      <w:r w:rsidRPr="00B24C99">
        <w:t xml:space="preserve"> illustrate that treatment with NIVO+IPI is associated with OS</w:t>
      </w:r>
      <w:r w:rsidR="007C220D" w:rsidRPr="00B24C99">
        <w:t xml:space="preserve"> gains</w:t>
      </w:r>
      <w:r w:rsidRPr="00B24C99">
        <w:t xml:space="preserve"> compared to pemetrexed-based chemotherapy, with </w:t>
      </w:r>
      <w:r w:rsidR="00421092" w:rsidRPr="00B24C99">
        <w:t>better absolute</w:t>
      </w:r>
      <w:r w:rsidR="007C220D" w:rsidRPr="00B24C99">
        <w:t xml:space="preserve"> survival</w:t>
      </w:r>
      <w:r w:rsidRPr="00B24C99">
        <w:t xml:space="preserve"> at </w:t>
      </w:r>
      <w:r w:rsidR="00421092" w:rsidRPr="00B24C99">
        <w:t xml:space="preserve">6, </w:t>
      </w:r>
      <w:r w:rsidRPr="00B24C99">
        <w:t>12, 18 and 24 months</w:t>
      </w:r>
      <w:r w:rsidR="00B24C99">
        <w:t xml:space="preserve">. </w:t>
      </w:r>
      <w:r w:rsidRPr="00B24C99">
        <w:t>A statistically significant difference for OS was observed for NIVO+IPI versus pemetrexed-based chemotherapy</w:t>
      </w:r>
      <w:r w:rsidR="0040557B" w:rsidRPr="00B24C99">
        <w:t xml:space="preserve"> (HR 0.74, 95% CI 0.61-0.89)</w:t>
      </w:r>
      <w:r w:rsidR="00B24C99">
        <w:t xml:space="preserve">. </w:t>
      </w:r>
      <w:r w:rsidRPr="00B24C99">
        <w:t>The improvement in median OS for NIVO+IPI versus the chemotherapy arms was 4.0 months in the ITT population</w:t>
      </w:r>
      <w:r w:rsidR="00B24C99">
        <w:t xml:space="preserve">. </w:t>
      </w:r>
    </w:p>
    <w:p w:rsidR="005971F0" w:rsidRPr="00B24C99" w:rsidRDefault="00EA4771" w:rsidP="00EA4771">
      <w:pPr>
        <w:pStyle w:val="3-BodyText"/>
        <w:rPr>
          <w:i/>
        </w:rPr>
      </w:pPr>
      <w:r w:rsidRPr="00B24C99">
        <w:t>After study treatment was discontinued in the CheckMate 743 trial, 134 (44.2%) of NIVO+IPI patients and 123 (40.7%) of chemotherapy patients proceeded to receive subsequent systemic therapy</w:t>
      </w:r>
      <w:r w:rsidR="005E6D6B" w:rsidRPr="00B24C99">
        <w:t xml:space="preserve"> (Table 5)</w:t>
      </w:r>
      <w:r w:rsidR="00B24C99">
        <w:t xml:space="preserve">. </w:t>
      </w:r>
      <w:r w:rsidRPr="00B24C99">
        <w:t>Of these patients, 10 (3.3%) NIVO+IPI patients and 61 (20.2%) chemotherapy patients, received subsequent immunotherapy</w:t>
      </w:r>
      <w:r w:rsidR="00B24C99">
        <w:t xml:space="preserve">. </w:t>
      </w:r>
      <w:r w:rsidRPr="00B24C99">
        <w:t xml:space="preserve">Therefore, the </w:t>
      </w:r>
      <w:r w:rsidR="00D64244" w:rsidRPr="00B24C99">
        <w:t xml:space="preserve">evaluation considered the </w:t>
      </w:r>
      <w:r w:rsidRPr="00B24C99">
        <w:t xml:space="preserve">OS results were </w:t>
      </w:r>
      <w:r w:rsidR="00357185" w:rsidRPr="00B24C99">
        <w:t>potentially confounded</w:t>
      </w:r>
      <w:r w:rsidR="001E616A" w:rsidRPr="00B24C99">
        <w:t xml:space="preserve"> </w:t>
      </w:r>
      <w:r w:rsidRPr="00B24C99">
        <w:t>by the subsequent use of systemic therapies in CheckMate 743.</w:t>
      </w:r>
      <w:r w:rsidR="005903EE" w:rsidRPr="00B24C99">
        <w:t xml:space="preserve"> </w:t>
      </w:r>
      <w:r w:rsidR="00D64244" w:rsidRPr="00B24C99">
        <w:t xml:space="preserve">The ESC considered it was </w:t>
      </w:r>
      <w:r w:rsidR="005903EE" w:rsidRPr="00B24C99">
        <w:t>uncertain whether the use of subsequent therapies in the trial biased the results in favour of NIVO+IPI or pemetrexed-based chemotherapy</w:t>
      </w:r>
      <w:r w:rsidR="007D5B55" w:rsidRPr="00B24C99">
        <w:t xml:space="preserve"> or neither</w:t>
      </w:r>
      <w:r w:rsidR="00D64244" w:rsidRPr="00B24C99">
        <w:t xml:space="preserve">; however, considered that, overall, the use of subsequent therapies in CheckMate 743 was </w:t>
      </w:r>
      <w:r w:rsidR="00E04215" w:rsidRPr="00B24C99">
        <w:t xml:space="preserve">likely to be </w:t>
      </w:r>
      <w:r w:rsidR="00D64244" w:rsidRPr="00B24C99">
        <w:t>reasonably consistent with clinical practice.</w:t>
      </w:r>
    </w:p>
    <w:p w:rsidR="005971F0" w:rsidRPr="00B24C99" w:rsidRDefault="005903EE" w:rsidP="005971F0">
      <w:pPr>
        <w:pStyle w:val="TableFigureHeading"/>
      </w:pPr>
      <w:r w:rsidRPr="00B24C99">
        <w:rPr>
          <w:b w:val="0"/>
        </w:rPr>
        <w:lastRenderedPageBreak/>
        <w:t xml:space="preserve"> </w:t>
      </w:r>
      <w:r w:rsidR="005971F0" w:rsidRPr="00B24C99">
        <w:t xml:space="preserve">Table </w:t>
      </w:r>
      <w:r w:rsidR="00926236" w:rsidRPr="00B24C99">
        <w:t>5</w:t>
      </w:r>
      <w:r w:rsidR="001E616A" w:rsidRPr="00B24C99">
        <w:t>:</w:t>
      </w:r>
      <w:r w:rsidR="005971F0" w:rsidRPr="00B24C99">
        <w:t xml:space="preserve"> Subsequent therapies in CheckMate 743</w:t>
      </w:r>
    </w:p>
    <w:tbl>
      <w:tblPr>
        <w:tblStyle w:val="TableGrid"/>
        <w:tblW w:w="5000" w:type="pct"/>
        <w:tblLook w:val="04A0" w:firstRow="1" w:lastRow="0" w:firstColumn="1" w:lastColumn="0" w:noHBand="0" w:noVBand="1"/>
        <w:tblCaption w:val=" Table 5: Subsequent therapies in CheckMate 743"/>
      </w:tblPr>
      <w:tblGrid>
        <w:gridCol w:w="4436"/>
        <w:gridCol w:w="2291"/>
        <w:gridCol w:w="2290"/>
      </w:tblGrid>
      <w:tr w:rsidR="005971F0" w:rsidRPr="00B24C99" w:rsidTr="00611FD3">
        <w:trPr>
          <w:tblHeader/>
        </w:trPr>
        <w:tc>
          <w:tcPr>
            <w:tcW w:w="2459" w:type="pct"/>
            <w:vMerge w:val="restart"/>
          </w:tcPr>
          <w:p w:rsidR="005971F0" w:rsidRPr="00B24C99" w:rsidRDefault="005971F0" w:rsidP="00E55421">
            <w:pPr>
              <w:pStyle w:val="In-tableHeading"/>
              <w:rPr>
                <w:lang w:val="en-AU"/>
              </w:rPr>
            </w:pPr>
          </w:p>
        </w:tc>
        <w:tc>
          <w:tcPr>
            <w:tcW w:w="1270" w:type="pct"/>
            <w:vAlign w:val="center"/>
          </w:tcPr>
          <w:p w:rsidR="005971F0" w:rsidRPr="00B24C99" w:rsidRDefault="005971F0" w:rsidP="00E55421">
            <w:pPr>
              <w:pStyle w:val="In-tableHeading"/>
              <w:jc w:val="center"/>
              <w:rPr>
                <w:lang w:val="en-AU"/>
              </w:rPr>
            </w:pPr>
            <w:r w:rsidRPr="00B24C99">
              <w:rPr>
                <w:lang w:val="en-AU"/>
              </w:rPr>
              <w:t>NIVO+IPI</w:t>
            </w:r>
          </w:p>
          <w:p w:rsidR="005971F0" w:rsidRPr="00B24C99" w:rsidRDefault="005971F0" w:rsidP="00E55421">
            <w:pPr>
              <w:pStyle w:val="TableText0"/>
              <w:jc w:val="center"/>
              <w:rPr>
                <w:b/>
                <w:bCs w:val="0"/>
              </w:rPr>
            </w:pPr>
            <w:r w:rsidRPr="00B24C99">
              <w:rPr>
                <w:b/>
                <w:bCs w:val="0"/>
              </w:rPr>
              <w:t>N=303</w:t>
            </w:r>
          </w:p>
        </w:tc>
        <w:tc>
          <w:tcPr>
            <w:tcW w:w="1270" w:type="pct"/>
            <w:vAlign w:val="center"/>
          </w:tcPr>
          <w:p w:rsidR="005971F0" w:rsidRPr="00B24C99" w:rsidRDefault="005971F0" w:rsidP="00E55421">
            <w:pPr>
              <w:pStyle w:val="In-tableHeading"/>
              <w:jc w:val="center"/>
              <w:rPr>
                <w:lang w:val="en-AU"/>
              </w:rPr>
            </w:pPr>
            <w:r w:rsidRPr="00B24C99">
              <w:rPr>
                <w:lang w:val="en-AU"/>
              </w:rPr>
              <w:t>Chemo</w:t>
            </w:r>
          </w:p>
          <w:p w:rsidR="005971F0" w:rsidRPr="00B24C99" w:rsidRDefault="005971F0" w:rsidP="00E55421">
            <w:pPr>
              <w:pStyle w:val="TableText0"/>
              <w:jc w:val="center"/>
              <w:rPr>
                <w:b/>
                <w:bCs w:val="0"/>
              </w:rPr>
            </w:pPr>
            <w:r w:rsidRPr="00B24C99">
              <w:rPr>
                <w:b/>
                <w:bCs w:val="0"/>
              </w:rPr>
              <w:t>N=302</w:t>
            </w:r>
          </w:p>
        </w:tc>
      </w:tr>
      <w:tr w:rsidR="005971F0" w:rsidRPr="00B24C99" w:rsidTr="00611FD3">
        <w:trPr>
          <w:tblHeader/>
        </w:trPr>
        <w:tc>
          <w:tcPr>
            <w:tcW w:w="2459" w:type="pct"/>
            <w:vMerge/>
          </w:tcPr>
          <w:p w:rsidR="005971F0" w:rsidRPr="00B24C99" w:rsidRDefault="005971F0" w:rsidP="00E55421">
            <w:pPr>
              <w:pStyle w:val="TableText0"/>
            </w:pPr>
          </w:p>
        </w:tc>
        <w:tc>
          <w:tcPr>
            <w:tcW w:w="1270" w:type="pct"/>
            <w:vAlign w:val="center"/>
          </w:tcPr>
          <w:p w:rsidR="005971F0" w:rsidRPr="00B24C99" w:rsidRDefault="005971F0" w:rsidP="00E55421">
            <w:pPr>
              <w:pStyle w:val="TableText0"/>
              <w:jc w:val="center"/>
            </w:pPr>
            <w:r w:rsidRPr="00B24C99">
              <w:t>n (%)</w:t>
            </w:r>
          </w:p>
        </w:tc>
        <w:tc>
          <w:tcPr>
            <w:tcW w:w="1270" w:type="pct"/>
            <w:vAlign w:val="center"/>
          </w:tcPr>
          <w:p w:rsidR="005971F0" w:rsidRPr="00B24C99" w:rsidRDefault="005971F0" w:rsidP="00E55421">
            <w:pPr>
              <w:pStyle w:val="TableText0"/>
              <w:jc w:val="center"/>
            </w:pPr>
            <w:r w:rsidRPr="00B24C99">
              <w:t>n (%)</w:t>
            </w:r>
          </w:p>
        </w:tc>
      </w:tr>
      <w:tr w:rsidR="005971F0" w:rsidRPr="00B24C99" w:rsidTr="005E6D6B">
        <w:tc>
          <w:tcPr>
            <w:tcW w:w="2459" w:type="pct"/>
            <w:vAlign w:val="center"/>
          </w:tcPr>
          <w:p w:rsidR="005971F0" w:rsidRPr="00B24C99" w:rsidRDefault="005971F0" w:rsidP="00E55421">
            <w:pPr>
              <w:pStyle w:val="TableText0"/>
            </w:pPr>
            <w:r w:rsidRPr="00B24C99">
              <w:t>Any subsequent therapy</w:t>
            </w:r>
          </w:p>
        </w:tc>
        <w:tc>
          <w:tcPr>
            <w:tcW w:w="1270" w:type="pct"/>
            <w:vAlign w:val="center"/>
          </w:tcPr>
          <w:p w:rsidR="005971F0" w:rsidRPr="00B24C99" w:rsidRDefault="005971F0" w:rsidP="00E55421">
            <w:pPr>
              <w:pStyle w:val="TableText0"/>
              <w:jc w:val="center"/>
            </w:pPr>
            <w:r w:rsidRPr="00B24C99">
              <w:t>145 (47.9)</w:t>
            </w:r>
          </w:p>
        </w:tc>
        <w:tc>
          <w:tcPr>
            <w:tcW w:w="1270" w:type="pct"/>
            <w:vAlign w:val="center"/>
          </w:tcPr>
          <w:p w:rsidR="005971F0" w:rsidRPr="00B24C99" w:rsidRDefault="005971F0" w:rsidP="00E55421">
            <w:pPr>
              <w:pStyle w:val="TableText0"/>
              <w:jc w:val="center"/>
            </w:pPr>
            <w:r w:rsidRPr="00B24C99">
              <w:t>136 (45.0)</w:t>
            </w:r>
          </w:p>
        </w:tc>
      </w:tr>
      <w:tr w:rsidR="005971F0" w:rsidRPr="00B24C99" w:rsidTr="005E6D6B">
        <w:tc>
          <w:tcPr>
            <w:tcW w:w="2459" w:type="pct"/>
            <w:vAlign w:val="center"/>
          </w:tcPr>
          <w:p w:rsidR="005971F0" w:rsidRPr="00B24C99" w:rsidRDefault="005971F0" w:rsidP="00E55421">
            <w:pPr>
              <w:pStyle w:val="TableText0"/>
            </w:pPr>
            <w:r w:rsidRPr="00B24C99">
              <w:t>Subsequent systemic therapy</w:t>
            </w:r>
          </w:p>
        </w:tc>
        <w:tc>
          <w:tcPr>
            <w:tcW w:w="1270" w:type="pct"/>
            <w:vAlign w:val="center"/>
          </w:tcPr>
          <w:p w:rsidR="005971F0" w:rsidRPr="00B24C99" w:rsidRDefault="005971F0" w:rsidP="00E55421">
            <w:pPr>
              <w:pStyle w:val="TableText0"/>
              <w:jc w:val="center"/>
            </w:pPr>
            <w:r w:rsidRPr="00B24C99">
              <w:t>134 (44.2)</w:t>
            </w:r>
          </w:p>
        </w:tc>
        <w:tc>
          <w:tcPr>
            <w:tcW w:w="1270" w:type="pct"/>
            <w:vAlign w:val="center"/>
          </w:tcPr>
          <w:p w:rsidR="005971F0" w:rsidRPr="00B24C99" w:rsidRDefault="005971F0" w:rsidP="00E55421">
            <w:pPr>
              <w:pStyle w:val="TableText0"/>
              <w:jc w:val="center"/>
            </w:pPr>
            <w:r w:rsidRPr="00B24C99">
              <w:t>123 (40.7)</w:t>
            </w:r>
          </w:p>
        </w:tc>
      </w:tr>
      <w:tr w:rsidR="005971F0" w:rsidRPr="00B24C99" w:rsidTr="005E6D6B">
        <w:tc>
          <w:tcPr>
            <w:tcW w:w="2459" w:type="pct"/>
            <w:vAlign w:val="center"/>
          </w:tcPr>
          <w:p w:rsidR="005971F0" w:rsidRPr="00B24C99" w:rsidRDefault="005971F0" w:rsidP="00E55421">
            <w:pPr>
              <w:pStyle w:val="TableText0"/>
            </w:pPr>
            <w:r w:rsidRPr="00B24C99">
              <w:t>Subsequent immunotherapy</w:t>
            </w:r>
          </w:p>
        </w:tc>
        <w:tc>
          <w:tcPr>
            <w:tcW w:w="1270" w:type="pct"/>
            <w:vAlign w:val="center"/>
          </w:tcPr>
          <w:p w:rsidR="005971F0" w:rsidRPr="00B24C99" w:rsidRDefault="005971F0" w:rsidP="00E55421">
            <w:pPr>
              <w:pStyle w:val="TableText0"/>
              <w:jc w:val="center"/>
            </w:pPr>
            <w:r w:rsidRPr="00B24C99">
              <w:t>10 (3.3)</w:t>
            </w:r>
          </w:p>
        </w:tc>
        <w:tc>
          <w:tcPr>
            <w:tcW w:w="1270" w:type="pct"/>
            <w:vAlign w:val="center"/>
          </w:tcPr>
          <w:p w:rsidR="005971F0" w:rsidRPr="00B24C99" w:rsidRDefault="005971F0" w:rsidP="00E55421">
            <w:pPr>
              <w:pStyle w:val="TableText0"/>
              <w:jc w:val="center"/>
            </w:pPr>
            <w:r w:rsidRPr="00B24C99">
              <w:t>61 (20.2)</w:t>
            </w:r>
          </w:p>
        </w:tc>
      </w:tr>
      <w:tr w:rsidR="005971F0" w:rsidRPr="00B24C99" w:rsidTr="005E6D6B">
        <w:tc>
          <w:tcPr>
            <w:tcW w:w="2459" w:type="pct"/>
            <w:tcBorders>
              <w:bottom w:val="single" w:sz="4" w:space="0" w:color="auto"/>
            </w:tcBorders>
            <w:vAlign w:val="center"/>
          </w:tcPr>
          <w:p w:rsidR="005971F0" w:rsidRPr="00B24C99" w:rsidRDefault="005971F0" w:rsidP="00E55421">
            <w:pPr>
              <w:pStyle w:val="TableText0"/>
            </w:pPr>
            <w:r w:rsidRPr="00B24C99">
              <w:t>Chemotherapy</w:t>
            </w:r>
          </w:p>
        </w:tc>
        <w:tc>
          <w:tcPr>
            <w:tcW w:w="1270" w:type="pct"/>
            <w:tcBorders>
              <w:bottom w:val="single" w:sz="4" w:space="0" w:color="auto"/>
            </w:tcBorders>
            <w:vAlign w:val="center"/>
          </w:tcPr>
          <w:p w:rsidR="005971F0" w:rsidRPr="00B24C99" w:rsidRDefault="005971F0" w:rsidP="00E55421">
            <w:pPr>
              <w:pStyle w:val="TableText0"/>
              <w:jc w:val="center"/>
            </w:pPr>
            <w:r w:rsidRPr="00B24C99">
              <w:t>131 (43.2)</w:t>
            </w:r>
          </w:p>
        </w:tc>
        <w:tc>
          <w:tcPr>
            <w:tcW w:w="1270" w:type="pct"/>
            <w:tcBorders>
              <w:bottom w:val="single" w:sz="4" w:space="0" w:color="auto"/>
            </w:tcBorders>
            <w:vAlign w:val="center"/>
          </w:tcPr>
          <w:p w:rsidR="005971F0" w:rsidRPr="00B24C99" w:rsidRDefault="005971F0" w:rsidP="00E55421">
            <w:pPr>
              <w:pStyle w:val="TableText0"/>
              <w:jc w:val="center"/>
            </w:pPr>
            <w:r w:rsidRPr="00B24C99">
              <w:t>95 (31.5)</w:t>
            </w:r>
          </w:p>
        </w:tc>
      </w:tr>
      <w:tr w:rsidR="005971F0" w:rsidRPr="00B24C99" w:rsidTr="005E6D6B">
        <w:tc>
          <w:tcPr>
            <w:tcW w:w="2459" w:type="pct"/>
            <w:tcBorders>
              <w:bottom w:val="single" w:sz="4" w:space="0" w:color="auto"/>
            </w:tcBorders>
            <w:vAlign w:val="center"/>
          </w:tcPr>
          <w:p w:rsidR="005971F0" w:rsidRPr="00B24C99" w:rsidRDefault="005971F0" w:rsidP="00E55421">
            <w:pPr>
              <w:pStyle w:val="TableText0"/>
            </w:pPr>
            <w:r w:rsidRPr="00B24C99">
              <w:t>Subsequent radiotherapy</w:t>
            </w:r>
          </w:p>
        </w:tc>
        <w:tc>
          <w:tcPr>
            <w:tcW w:w="1270" w:type="pct"/>
            <w:tcBorders>
              <w:bottom w:val="single" w:sz="4" w:space="0" w:color="auto"/>
            </w:tcBorders>
            <w:vAlign w:val="center"/>
          </w:tcPr>
          <w:p w:rsidR="005971F0" w:rsidRPr="00B24C99" w:rsidRDefault="005971F0" w:rsidP="00E55421">
            <w:pPr>
              <w:pStyle w:val="TableText0"/>
              <w:jc w:val="center"/>
            </w:pPr>
            <w:r w:rsidRPr="00B24C99">
              <w:t>23 (7.6)</w:t>
            </w:r>
          </w:p>
        </w:tc>
        <w:tc>
          <w:tcPr>
            <w:tcW w:w="1270" w:type="pct"/>
            <w:tcBorders>
              <w:bottom w:val="single" w:sz="4" w:space="0" w:color="auto"/>
            </w:tcBorders>
            <w:vAlign w:val="center"/>
          </w:tcPr>
          <w:p w:rsidR="005971F0" w:rsidRPr="00B24C99" w:rsidRDefault="005971F0" w:rsidP="00E55421">
            <w:pPr>
              <w:pStyle w:val="TableText0"/>
              <w:jc w:val="center"/>
            </w:pPr>
            <w:r w:rsidRPr="00B24C99">
              <w:t>28 (9.3)</w:t>
            </w:r>
          </w:p>
        </w:tc>
      </w:tr>
      <w:tr w:rsidR="005971F0" w:rsidRPr="00B24C99" w:rsidTr="005E6D6B">
        <w:tc>
          <w:tcPr>
            <w:tcW w:w="2459" w:type="pct"/>
            <w:tcBorders>
              <w:bottom w:val="single" w:sz="4" w:space="0" w:color="auto"/>
            </w:tcBorders>
            <w:vAlign w:val="center"/>
          </w:tcPr>
          <w:p w:rsidR="005971F0" w:rsidRPr="00B24C99" w:rsidRDefault="005971F0" w:rsidP="00E55421">
            <w:pPr>
              <w:pStyle w:val="TableText0"/>
            </w:pPr>
            <w:r w:rsidRPr="00B24C99">
              <w:t>Subsequent surgery</w:t>
            </w:r>
          </w:p>
        </w:tc>
        <w:tc>
          <w:tcPr>
            <w:tcW w:w="1270" w:type="pct"/>
            <w:tcBorders>
              <w:bottom w:val="single" w:sz="4" w:space="0" w:color="auto"/>
            </w:tcBorders>
            <w:vAlign w:val="center"/>
          </w:tcPr>
          <w:p w:rsidR="005971F0" w:rsidRPr="00B24C99" w:rsidRDefault="005971F0" w:rsidP="00E55421">
            <w:pPr>
              <w:pStyle w:val="TableText0"/>
              <w:jc w:val="center"/>
            </w:pPr>
            <w:r w:rsidRPr="00B24C99">
              <w:t>1 (0.3)</w:t>
            </w:r>
          </w:p>
        </w:tc>
        <w:tc>
          <w:tcPr>
            <w:tcW w:w="1270" w:type="pct"/>
            <w:tcBorders>
              <w:bottom w:val="single" w:sz="4" w:space="0" w:color="auto"/>
            </w:tcBorders>
            <w:vAlign w:val="center"/>
          </w:tcPr>
          <w:p w:rsidR="005971F0" w:rsidRPr="00B24C99" w:rsidRDefault="005971F0" w:rsidP="00E55421">
            <w:pPr>
              <w:pStyle w:val="TableText0"/>
              <w:jc w:val="center"/>
            </w:pPr>
            <w:r w:rsidRPr="00B24C99">
              <w:t>3 (1.0)</w:t>
            </w:r>
          </w:p>
        </w:tc>
      </w:tr>
    </w:tbl>
    <w:p w:rsidR="005971F0" w:rsidRPr="00B24C99" w:rsidRDefault="005971F0" w:rsidP="005971F0">
      <w:pPr>
        <w:pStyle w:val="TableFigureFooter"/>
      </w:pPr>
      <w:r w:rsidRPr="00B24C99">
        <w:t>Chemo = pemetrexed plus cisplatin/carboplatin; NIVO = nivolumab; IPI = ipilimumab</w:t>
      </w:r>
    </w:p>
    <w:p w:rsidR="00EA4771" w:rsidRPr="00B24C99" w:rsidRDefault="005971F0" w:rsidP="005971F0">
      <w:pPr>
        <w:pStyle w:val="TableFigureFooter"/>
      </w:pPr>
      <w:r w:rsidRPr="00B24C99">
        <w:t>Source: Table 32, p73 of the submission</w:t>
      </w:r>
    </w:p>
    <w:p w:rsidR="00A53546" w:rsidRPr="00B24C99" w:rsidRDefault="00A53546" w:rsidP="00A53546">
      <w:pPr>
        <w:pStyle w:val="3-BodyText"/>
      </w:pPr>
      <w:r w:rsidRPr="00B24C99">
        <w:t xml:space="preserve">The results of subgroup analyses for OS are presented in Table </w:t>
      </w:r>
      <w:r w:rsidR="00926236" w:rsidRPr="00B24C99">
        <w:t>6</w:t>
      </w:r>
      <w:r w:rsidR="00B24C99">
        <w:t xml:space="preserve">. </w:t>
      </w:r>
      <w:r w:rsidRPr="00B24C99">
        <w:t xml:space="preserve">The Kaplan-Meier curve for OS by histology is presented in Figure </w:t>
      </w:r>
      <w:r w:rsidR="00835205" w:rsidRPr="00B24C99">
        <w:t>2</w:t>
      </w:r>
      <w:r w:rsidRPr="00B24C99">
        <w:t>.</w:t>
      </w:r>
    </w:p>
    <w:p w:rsidR="00A53546" w:rsidRPr="00B24C99" w:rsidRDefault="00A53546" w:rsidP="00A53546">
      <w:pPr>
        <w:pStyle w:val="TableFigureHeading"/>
      </w:pPr>
      <w:r w:rsidRPr="00B24C99">
        <w:t xml:space="preserve">Table </w:t>
      </w:r>
      <w:r w:rsidR="00926236" w:rsidRPr="00B24C99">
        <w:t>6</w:t>
      </w:r>
      <w:r w:rsidRPr="00B24C99">
        <w:t>: OS outcomes in CheckMate 743 (subgroup analyses by randomisation stratification factors: histology and gender) and predefined subgroups PD-L1 expression and ECOG performance status</w:t>
      </w:r>
    </w:p>
    <w:tbl>
      <w:tblPr>
        <w:tblStyle w:val="TableGrid"/>
        <w:tblW w:w="5000" w:type="pct"/>
        <w:tblLook w:val="04A0" w:firstRow="1" w:lastRow="0" w:firstColumn="1" w:lastColumn="0" w:noHBand="0" w:noVBand="1"/>
        <w:tblCaption w:val="Table 6: OS outcomes in CheckMate 743 (subgroup analyses by randomisation stratification factors: histology and gender) and predefined subgroups PD-L1 expression and ECOG performance status"/>
      </w:tblPr>
      <w:tblGrid>
        <w:gridCol w:w="2091"/>
        <w:gridCol w:w="1731"/>
        <w:gridCol w:w="1733"/>
        <w:gridCol w:w="1731"/>
        <w:gridCol w:w="1731"/>
      </w:tblGrid>
      <w:tr w:rsidR="00A53546" w:rsidRPr="00B24C99" w:rsidTr="00611FD3">
        <w:trPr>
          <w:tblHeader/>
        </w:trPr>
        <w:tc>
          <w:tcPr>
            <w:tcW w:w="1159" w:type="pct"/>
            <w:vAlign w:val="center"/>
          </w:tcPr>
          <w:p w:rsidR="00A53546" w:rsidRPr="00B24C99" w:rsidRDefault="00A53546" w:rsidP="00395EDE">
            <w:pPr>
              <w:pStyle w:val="In-tableHeading"/>
              <w:rPr>
                <w:lang w:val="en-AU"/>
              </w:rPr>
            </w:pPr>
          </w:p>
        </w:tc>
        <w:tc>
          <w:tcPr>
            <w:tcW w:w="960" w:type="pct"/>
            <w:vAlign w:val="center"/>
          </w:tcPr>
          <w:p w:rsidR="00A53546" w:rsidRPr="00B24C99" w:rsidRDefault="00A53546" w:rsidP="00395EDE">
            <w:pPr>
              <w:pStyle w:val="In-tableHeading"/>
              <w:jc w:val="center"/>
              <w:rPr>
                <w:lang w:val="en-AU"/>
              </w:rPr>
            </w:pPr>
            <w:r w:rsidRPr="00B24C99">
              <w:rPr>
                <w:lang w:val="en-AU"/>
              </w:rPr>
              <w:t>NIVO+IPI</w:t>
            </w:r>
          </w:p>
        </w:tc>
        <w:tc>
          <w:tcPr>
            <w:tcW w:w="961" w:type="pct"/>
            <w:vAlign w:val="center"/>
          </w:tcPr>
          <w:p w:rsidR="00A53546" w:rsidRPr="00B24C99" w:rsidRDefault="00A53546" w:rsidP="00395EDE">
            <w:pPr>
              <w:pStyle w:val="In-tableHeading"/>
              <w:jc w:val="center"/>
              <w:rPr>
                <w:lang w:val="en-AU"/>
              </w:rPr>
            </w:pPr>
            <w:r w:rsidRPr="00B24C99">
              <w:rPr>
                <w:lang w:val="en-AU"/>
              </w:rPr>
              <w:t>Chemo</w:t>
            </w:r>
          </w:p>
        </w:tc>
        <w:tc>
          <w:tcPr>
            <w:tcW w:w="960" w:type="pct"/>
            <w:vAlign w:val="center"/>
          </w:tcPr>
          <w:p w:rsidR="00A53546" w:rsidRPr="00B24C99" w:rsidRDefault="00A53546" w:rsidP="00395EDE">
            <w:pPr>
              <w:pStyle w:val="In-tableHeading"/>
              <w:jc w:val="center"/>
              <w:rPr>
                <w:lang w:val="en-AU"/>
              </w:rPr>
            </w:pPr>
            <w:r w:rsidRPr="00B24C99">
              <w:rPr>
                <w:lang w:val="en-AU"/>
              </w:rPr>
              <w:t>NIVO+IPI</w:t>
            </w:r>
          </w:p>
        </w:tc>
        <w:tc>
          <w:tcPr>
            <w:tcW w:w="960" w:type="pct"/>
            <w:vAlign w:val="center"/>
          </w:tcPr>
          <w:p w:rsidR="00A53546" w:rsidRPr="00B24C99" w:rsidRDefault="00A53546" w:rsidP="00395EDE">
            <w:pPr>
              <w:pStyle w:val="In-tableHeading"/>
              <w:jc w:val="center"/>
              <w:rPr>
                <w:lang w:val="en-AU"/>
              </w:rPr>
            </w:pPr>
            <w:r w:rsidRPr="00B24C99">
              <w:rPr>
                <w:lang w:val="en-AU"/>
              </w:rPr>
              <w:t>Chemo</w:t>
            </w:r>
          </w:p>
        </w:tc>
      </w:tr>
      <w:tr w:rsidR="00A53546" w:rsidRPr="00B24C99" w:rsidTr="00395EDE">
        <w:tc>
          <w:tcPr>
            <w:tcW w:w="5000" w:type="pct"/>
            <w:gridSpan w:val="5"/>
            <w:vAlign w:val="center"/>
          </w:tcPr>
          <w:p w:rsidR="00A53546" w:rsidRPr="00B24C99" w:rsidRDefault="00A53546" w:rsidP="004B461A">
            <w:pPr>
              <w:pStyle w:val="TableText0"/>
              <w:rPr>
                <w:b/>
              </w:rPr>
            </w:pPr>
            <w:r w:rsidRPr="00B24C99">
              <w:rPr>
                <w:b/>
              </w:rPr>
              <w:t xml:space="preserve">Histology (randomisation </w:t>
            </w:r>
            <w:r w:rsidR="004B461A" w:rsidRPr="00B24C99">
              <w:rPr>
                <w:b/>
              </w:rPr>
              <w:t xml:space="preserve">IRT </w:t>
            </w:r>
            <w:r w:rsidRPr="00B24C99">
              <w:rPr>
                <w:b/>
              </w:rPr>
              <w:t>stratification factor)</w:t>
            </w:r>
          </w:p>
        </w:tc>
      </w:tr>
      <w:tr w:rsidR="00A53546" w:rsidRPr="00B24C99" w:rsidTr="00395EDE">
        <w:tc>
          <w:tcPr>
            <w:tcW w:w="1159" w:type="pct"/>
            <w:vAlign w:val="center"/>
          </w:tcPr>
          <w:p w:rsidR="00A53546" w:rsidRPr="00B24C99" w:rsidRDefault="00A53546" w:rsidP="00395EDE">
            <w:pPr>
              <w:pStyle w:val="TableText0"/>
              <w:rPr>
                <w:b/>
                <w:bCs w:val="0"/>
              </w:rPr>
            </w:pPr>
          </w:p>
        </w:tc>
        <w:tc>
          <w:tcPr>
            <w:tcW w:w="1921" w:type="pct"/>
            <w:gridSpan w:val="2"/>
            <w:vAlign w:val="center"/>
          </w:tcPr>
          <w:p w:rsidR="00A53546" w:rsidRPr="00B24C99" w:rsidRDefault="00A53546" w:rsidP="00395EDE">
            <w:pPr>
              <w:pStyle w:val="TableText0"/>
              <w:jc w:val="center"/>
            </w:pPr>
            <w:r w:rsidRPr="00B24C99">
              <w:rPr>
                <w:b/>
                <w:bCs w:val="0"/>
              </w:rPr>
              <w:t>Epithelioid</w:t>
            </w:r>
          </w:p>
        </w:tc>
        <w:tc>
          <w:tcPr>
            <w:tcW w:w="1920" w:type="pct"/>
            <w:gridSpan w:val="2"/>
            <w:vAlign w:val="center"/>
          </w:tcPr>
          <w:p w:rsidR="00A53546" w:rsidRPr="00B24C99" w:rsidRDefault="00A53546" w:rsidP="00395EDE">
            <w:pPr>
              <w:pStyle w:val="TableText0"/>
              <w:jc w:val="center"/>
            </w:pPr>
            <w:r w:rsidRPr="00B24C99">
              <w:rPr>
                <w:b/>
                <w:bCs w:val="0"/>
              </w:rPr>
              <w:t>Non-epithelioid</w:t>
            </w:r>
          </w:p>
        </w:tc>
      </w:tr>
      <w:tr w:rsidR="00A53546" w:rsidRPr="00B24C99" w:rsidTr="00395EDE">
        <w:tc>
          <w:tcPr>
            <w:tcW w:w="1159" w:type="pct"/>
            <w:vAlign w:val="center"/>
          </w:tcPr>
          <w:p w:rsidR="00A53546" w:rsidRPr="00B24C99" w:rsidRDefault="00A53546" w:rsidP="00395EDE">
            <w:pPr>
              <w:pStyle w:val="TableText0"/>
              <w:rPr>
                <w:b/>
                <w:bCs w:val="0"/>
              </w:rPr>
            </w:pPr>
          </w:p>
        </w:tc>
        <w:tc>
          <w:tcPr>
            <w:tcW w:w="960" w:type="pct"/>
            <w:vAlign w:val="center"/>
          </w:tcPr>
          <w:p w:rsidR="00A53546" w:rsidRPr="00B24C99" w:rsidRDefault="00A53546" w:rsidP="00395EDE">
            <w:pPr>
              <w:pStyle w:val="TableText0"/>
              <w:jc w:val="center"/>
            </w:pPr>
            <w:r w:rsidRPr="00B24C99">
              <w:t>N=236</w:t>
            </w:r>
          </w:p>
        </w:tc>
        <w:tc>
          <w:tcPr>
            <w:tcW w:w="961" w:type="pct"/>
            <w:vAlign w:val="center"/>
          </w:tcPr>
          <w:p w:rsidR="00A53546" w:rsidRPr="00B24C99" w:rsidRDefault="00A53546" w:rsidP="00395EDE">
            <w:pPr>
              <w:pStyle w:val="TableText0"/>
              <w:jc w:val="center"/>
            </w:pPr>
            <w:r w:rsidRPr="00B24C99">
              <w:t>N=235</w:t>
            </w:r>
          </w:p>
        </w:tc>
        <w:tc>
          <w:tcPr>
            <w:tcW w:w="960" w:type="pct"/>
            <w:vAlign w:val="center"/>
          </w:tcPr>
          <w:p w:rsidR="00A53546" w:rsidRPr="00B24C99" w:rsidRDefault="00A53546" w:rsidP="00395EDE">
            <w:pPr>
              <w:pStyle w:val="TableText0"/>
              <w:jc w:val="center"/>
            </w:pPr>
            <w:r w:rsidRPr="00B24C99">
              <w:t>N=67</w:t>
            </w:r>
          </w:p>
        </w:tc>
        <w:tc>
          <w:tcPr>
            <w:tcW w:w="960" w:type="pct"/>
            <w:vAlign w:val="center"/>
          </w:tcPr>
          <w:p w:rsidR="00A53546" w:rsidRPr="00B24C99" w:rsidRDefault="00A53546" w:rsidP="00395EDE">
            <w:pPr>
              <w:pStyle w:val="TableText0"/>
              <w:jc w:val="center"/>
            </w:pPr>
            <w:r w:rsidRPr="00B24C99">
              <w:t>N=67</w:t>
            </w:r>
          </w:p>
        </w:tc>
      </w:tr>
      <w:tr w:rsidR="00A53546" w:rsidRPr="00B24C99" w:rsidTr="00395EDE">
        <w:tc>
          <w:tcPr>
            <w:tcW w:w="1159" w:type="pct"/>
            <w:vAlign w:val="center"/>
          </w:tcPr>
          <w:p w:rsidR="00A53546" w:rsidRPr="00B24C99" w:rsidRDefault="00A53546" w:rsidP="00395EDE">
            <w:pPr>
              <w:pStyle w:val="TableText0"/>
            </w:pPr>
            <w:r w:rsidRPr="00B24C99">
              <w:t>Patients with event, n (%)</w:t>
            </w:r>
          </w:p>
        </w:tc>
        <w:tc>
          <w:tcPr>
            <w:tcW w:w="960" w:type="pct"/>
            <w:vAlign w:val="center"/>
          </w:tcPr>
          <w:p w:rsidR="00A53546" w:rsidRPr="00B24C99" w:rsidRDefault="00A53546" w:rsidP="00395EDE">
            <w:pPr>
              <w:pStyle w:val="TableText0"/>
              <w:jc w:val="center"/>
            </w:pPr>
            <w:r w:rsidRPr="00B24C99">
              <w:t>157 (66.5%)</w:t>
            </w:r>
          </w:p>
        </w:tc>
        <w:tc>
          <w:tcPr>
            <w:tcW w:w="961" w:type="pct"/>
            <w:vAlign w:val="center"/>
          </w:tcPr>
          <w:p w:rsidR="00A53546" w:rsidRPr="00B24C99" w:rsidRDefault="00A53546" w:rsidP="00393960">
            <w:pPr>
              <w:pStyle w:val="TableText0"/>
              <w:jc w:val="center"/>
            </w:pPr>
            <w:r w:rsidRPr="00B24C99">
              <w:t>164 (</w:t>
            </w:r>
            <w:r w:rsidR="00393960" w:rsidRPr="00B24C99">
              <w:rPr>
                <w:i/>
              </w:rPr>
              <w:t>69.8</w:t>
            </w:r>
            <w:r w:rsidRPr="00B24C99">
              <w:t>%)</w:t>
            </w:r>
          </w:p>
        </w:tc>
        <w:tc>
          <w:tcPr>
            <w:tcW w:w="960" w:type="pct"/>
            <w:vAlign w:val="center"/>
          </w:tcPr>
          <w:p w:rsidR="00A53546" w:rsidRPr="00B24C99" w:rsidRDefault="00A53546" w:rsidP="00395EDE">
            <w:pPr>
              <w:pStyle w:val="TableText0"/>
              <w:jc w:val="center"/>
            </w:pPr>
            <w:r w:rsidRPr="00B24C99">
              <w:t>43 (64.2%)</w:t>
            </w:r>
          </w:p>
        </w:tc>
        <w:tc>
          <w:tcPr>
            <w:tcW w:w="960" w:type="pct"/>
            <w:vAlign w:val="center"/>
          </w:tcPr>
          <w:p w:rsidR="00A53546" w:rsidRPr="00B24C99" w:rsidRDefault="00A53546" w:rsidP="00395EDE">
            <w:pPr>
              <w:pStyle w:val="TableText0"/>
              <w:jc w:val="center"/>
            </w:pPr>
            <w:r w:rsidRPr="00B24C99">
              <w:t>55 (82.1%)</w:t>
            </w:r>
          </w:p>
        </w:tc>
      </w:tr>
      <w:tr w:rsidR="00A53546" w:rsidRPr="00B24C99" w:rsidTr="00395EDE">
        <w:tc>
          <w:tcPr>
            <w:tcW w:w="1159" w:type="pct"/>
            <w:vAlign w:val="center"/>
          </w:tcPr>
          <w:p w:rsidR="00A53546" w:rsidRPr="00B24C99" w:rsidRDefault="00A53546" w:rsidP="00395EDE">
            <w:pPr>
              <w:pStyle w:val="TableText0"/>
            </w:pPr>
            <w:r w:rsidRPr="00B24C99">
              <w:t>Median OS (95%CI), months</w:t>
            </w:r>
          </w:p>
        </w:tc>
        <w:tc>
          <w:tcPr>
            <w:tcW w:w="960" w:type="pct"/>
            <w:vAlign w:val="center"/>
          </w:tcPr>
          <w:p w:rsidR="00A53546" w:rsidRPr="00B24C99" w:rsidRDefault="00A53546" w:rsidP="00395EDE">
            <w:pPr>
              <w:pStyle w:val="TableText0"/>
              <w:jc w:val="center"/>
            </w:pPr>
            <w:r w:rsidRPr="00B24C99">
              <w:t>18.7 (17.1, 21.7)</w:t>
            </w:r>
          </w:p>
        </w:tc>
        <w:tc>
          <w:tcPr>
            <w:tcW w:w="961" w:type="pct"/>
            <w:vAlign w:val="center"/>
          </w:tcPr>
          <w:p w:rsidR="00A53546" w:rsidRPr="00B24C99" w:rsidRDefault="00A53546" w:rsidP="00395EDE">
            <w:pPr>
              <w:pStyle w:val="TableText0"/>
              <w:jc w:val="center"/>
            </w:pPr>
            <w:r w:rsidRPr="00B24C99">
              <w:t>16.2 (14.1, 19.2)</w:t>
            </w:r>
          </w:p>
        </w:tc>
        <w:tc>
          <w:tcPr>
            <w:tcW w:w="960" w:type="pct"/>
            <w:vAlign w:val="center"/>
          </w:tcPr>
          <w:p w:rsidR="00A53546" w:rsidRPr="00B24C99" w:rsidRDefault="00A53546" w:rsidP="00395EDE">
            <w:pPr>
              <w:pStyle w:val="TableText0"/>
              <w:jc w:val="center"/>
            </w:pPr>
            <w:r w:rsidRPr="00B24C99">
              <w:t>16.9 (11.8, 25.2)</w:t>
            </w:r>
          </w:p>
        </w:tc>
        <w:tc>
          <w:tcPr>
            <w:tcW w:w="960" w:type="pct"/>
            <w:vAlign w:val="center"/>
          </w:tcPr>
          <w:p w:rsidR="00A53546" w:rsidRPr="00B24C99" w:rsidRDefault="00A53546" w:rsidP="00395EDE">
            <w:pPr>
              <w:pStyle w:val="TableText0"/>
              <w:jc w:val="center"/>
            </w:pPr>
            <w:r w:rsidRPr="00B24C99">
              <w:t>8.8 (7.6, 11.8)</w:t>
            </w:r>
          </w:p>
        </w:tc>
      </w:tr>
      <w:tr w:rsidR="00A53546" w:rsidRPr="00B24C99" w:rsidTr="00395EDE">
        <w:tc>
          <w:tcPr>
            <w:tcW w:w="1159" w:type="pct"/>
            <w:vAlign w:val="center"/>
          </w:tcPr>
          <w:p w:rsidR="00A53546" w:rsidRPr="00B24C99" w:rsidRDefault="00A53546" w:rsidP="00395EDE">
            <w:pPr>
              <w:pStyle w:val="TableText0"/>
            </w:pPr>
            <w:r w:rsidRPr="00B24C99">
              <w:t>HR (95%CI)</w:t>
            </w:r>
            <w:r w:rsidRPr="00B24C99">
              <w:rPr>
                <w:vertAlign w:val="superscript"/>
              </w:rPr>
              <w:t>a</w:t>
            </w:r>
          </w:p>
        </w:tc>
        <w:tc>
          <w:tcPr>
            <w:tcW w:w="1921" w:type="pct"/>
            <w:gridSpan w:val="2"/>
            <w:vAlign w:val="center"/>
          </w:tcPr>
          <w:p w:rsidR="00A53546" w:rsidRPr="00B24C99" w:rsidRDefault="00A53546" w:rsidP="00395EDE">
            <w:pPr>
              <w:pStyle w:val="TableText0"/>
              <w:jc w:val="center"/>
            </w:pPr>
            <w:r w:rsidRPr="00B24C99">
              <w:t>0.85 (0.68, 1.06)</w:t>
            </w:r>
          </w:p>
        </w:tc>
        <w:tc>
          <w:tcPr>
            <w:tcW w:w="1920" w:type="pct"/>
            <w:gridSpan w:val="2"/>
            <w:vAlign w:val="center"/>
          </w:tcPr>
          <w:p w:rsidR="00A53546" w:rsidRPr="00B24C99" w:rsidRDefault="00A53546" w:rsidP="00395EDE">
            <w:pPr>
              <w:pStyle w:val="TableText0"/>
              <w:jc w:val="center"/>
            </w:pPr>
            <w:r w:rsidRPr="00B24C99">
              <w:rPr>
                <w:b/>
              </w:rPr>
              <w:t>0.46 (0.31, 0.70)</w:t>
            </w:r>
          </w:p>
        </w:tc>
      </w:tr>
      <w:tr w:rsidR="00A53546" w:rsidRPr="00B24C99" w:rsidTr="00395EDE">
        <w:tc>
          <w:tcPr>
            <w:tcW w:w="5000" w:type="pct"/>
            <w:gridSpan w:val="5"/>
            <w:vAlign w:val="center"/>
          </w:tcPr>
          <w:p w:rsidR="00A53546" w:rsidRPr="00B24C99" w:rsidRDefault="00A53546" w:rsidP="004B461A">
            <w:pPr>
              <w:pStyle w:val="TableText0"/>
              <w:rPr>
                <w:b/>
              </w:rPr>
            </w:pPr>
            <w:r w:rsidRPr="00B24C99">
              <w:rPr>
                <w:b/>
              </w:rPr>
              <w:t xml:space="preserve">Gender (randomisation </w:t>
            </w:r>
            <w:r w:rsidR="004B461A" w:rsidRPr="00B24C99">
              <w:rPr>
                <w:b/>
              </w:rPr>
              <w:t xml:space="preserve">IRT </w:t>
            </w:r>
            <w:r w:rsidRPr="00B24C99">
              <w:rPr>
                <w:b/>
              </w:rPr>
              <w:t>stratification factor)</w:t>
            </w:r>
          </w:p>
        </w:tc>
      </w:tr>
      <w:tr w:rsidR="00A53546" w:rsidRPr="00B24C99" w:rsidTr="00395EDE">
        <w:tc>
          <w:tcPr>
            <w:tcW w:w="1159" w:type="pct"/>
            <w:vAlign w:val="center"/>
          </w:tcPr>
          <w:p w:rsidR="00A53546" w:rsidRPr="00B24C99" w:rsidRDefault="00A53546" w:rsidP="00395EDE">
            <w:pPr>
              <w:pStyle w:val="TableText0"/>
              <w:rPr>
                <w:b/>
                <w:bCs w:val="0"/>
              </w:rPr>
            </w:pPr>
          </w:p>
        </w:tc>
        <w:tc>
          <w:tcPr>
            <w:tcW w:w="1921" w:type="pct"/>
            <w:gridSpan w:val="2"/>
            <w:vAlign w:val="center"/>
          </w:tcPr>
          <w:p w:rsidR="00A53546" w:rsidRPr="00B24C99" w:rsidRDefault="00A53546" w:rsidP="00395EDE">
            <w:pPr>
              <w:pStyle w:val="TableText0"/>
              <w:jc w:val="center"/>
            </w:pPr>
            <w:r w:rsidRPr="00B24C99">
              <w:rPr>
                <w:b/>
                <w:bCs w:val="0"/>
              </w:rPr>
              <w:t>Males</w:t>
            </w:r>
          </w:p>
        </w:tc>
        <w:tc>
          <w:tcPr>
            <w:tcW w:w="1920" w:type="pct"/>
            <w:gridSpan w:val="2"/>
            <w:vAlign w:val="center"/>
          </w:tcPr>
          <w:p w:rsidR="00A53546" w:rsidRPr="00B24C99" w:rsidRDefault="00A53546" w:rsidP="00395EDE">
            <w:pPr>
              <w:pStyle w:val="TableText0"/>
              <w:jc w:val="center"/>
            </w:pPr>
            <w:r w:rsidRPr="00B24C99">
              <w:rPr>
                <w:b/>
                <w:bCs w:val="0"/>
              </w:rPr>
              <w:t>Females</w:t>
            </w:r>
          </w:p>
        </w:tc>
      </w:tr>
      <w:tr w:rsidR="00A53546" w:rsidRPr="00B24C99" w:rsidTr="00395EDE">
        <w:tc>
          <w:tcPr>
            <w:tcW w:w="1159" w:type="pct"/>
            <w:vAlign w:val="center"/>
          </w:tcPr>
          <w:p w:rsidR="00A53546" w:rsidRPr="00B24C99" w:rsidRDefault="00A53546" w:rsidP="00395EDE">
            <w:pPr>
              <w:pStyle w:val="TableText0"/>
              <w:rPr>
                <w:b/>
                <w:bCs w:val="0"/>
              </w:rPr>
            </w:pPr>
          </w:p>
        </w:tc>
        <w:tc>
          <w:tcPr>
            <w:tcW w:w="960" w:type="pct"/>
            <w:vAlign w:val="center"/>
          </w:tcPr>
          <w:p w:rsidR="00A53546" w:rsidRPr="00B24C99" w:rsidRDefault="00A53546" w:rsidP="00395EDE">
            <w:pPr>
              <w:pStyle w:val="TableText0"/>
              <w:jc w:val="center"/>
            </w:pPr>
            <w:r w:rsidRPr="00B24C99">
              <w:t>N=235</w:t>
            </w:r>
          </w:p>
        </w:tc>
        <w:tc>
          <w:tcPr>
            <w:tcW w:w="961" w:type="pct"/>
            <w:vAlign w:val="center"/>
          </w:tcPr>
          <w:p w:rsidR="00A53546" w:rsidRPr="00B24C99" w:rsidRDefault="00A53546" w:rsidP="00395EDE">
            <w:pPr>
              <w:pStyle w:val="TableText0"/>
              <w:jc w:val="center"/>
            </w:pPr>
            <w:r w:rsidRPr="00B24C99">
              <w:t>N=234</w:t>
            </w:r>
          </w:p>
        </w:tc>
        <w:tc>
          <w:tcPr>
            <w:tcW w:w="960" w:type="pct"/>
            <w:vAlign w:val="center"/>
          </w:tcPr>
          <w:p w:rsidR="00A53546" w:rsidRPr="00B24C99" w:rsidRDefault="00A53546" w:rsidP="00395EDE">
            <w:pPr>
              <w:pStyle w:val="TableText0"/>
              <w:jc w:val="center"/>
            </w:pPr>
            <w:r w:rsidRPr="00B24C99">
              <w:t>N=68</w:t>
            </w:r>
          </w:p>
        </w:tc>
        <w:tc>
          <w:tcPr>
            <w:tcW w:w="960" w:type="pct"/>
            <w:vAlign w:val="center"/>
          </w:tcPr>
          <w:p w:rsidR="00A53546" w:rsidRPr="00B24C99" w:rsidRDefault="00A53546" w:rsidP="00395EDE">
            <w:pPr>
              <w:pStyle w:val="TableText0"/>
              <w:jc w:val="center"/>
            </w:pPr>
            <w:r w:rsidRPr="00B24C99">
              <w:t>N=68</w:t>
            </w:r>
          </w:p>
        </w:tc>
      </w:tr>
      <w:tr w:rsidR="00A53546" w:rsidRPr="00B24C99" w:rsidTr="00395EDE">
        <w:tc>
          <w:tcPr>
            <w:tcW w:w="1159" w:type="pct"/>
            <w:vAlign w:val="center"/>
          </w:tcPr>
          <w:p w:rsidR="00A53546" w:rsidRPr="00B24C99" w:rsidRDefault="00A53546" w:rsidP="00395EDE">
            <w:pPr>
              <w:pStyle w:val="TableText0"/>
            </w:pPr>
            <w:r w:rsidRPr="00B24C99">
              <w:t>Patients with event, n (%)</w:t>
            </w:r>
          </w:p>
        </w:tc>
        <w:tc>
          <w:tcPr>
            <w:tcW w:w="960" w:type="pct"/>
            <w:vAlign w:val="center"/>
          </w:tcPr>
          <w:p w:rsidR="00A53546" w:rsidRPr="00B24C99" w:rsidRDefault="00A53546" w:rsidP="00395EDE">
            <w:pPr>
              <w:pStyle w:val="TableText0"/>
              <w:jc w:val="center"/>
            </w:pPr>
            <w:r w:rsidRPr="00B24C99">
              <w:t>158 (67.2%)</w:t>
            </w:r>
          </w:p>
        </w:tc>
        <w:tc>
          <w:tcPr>
            <w:tcW w:w="961" w:type="pct"/>
            <w:vAlign w:val="center"/>
          </w:tcPr>
          <w:p w:rsidR="00A53546" w:rsidRPr="00B24C99" w:rsidRDefault="00A53546" w:rsidP="00395EDE">
            <w:pPr>
              <w:pStyle w:val="TableText0"/>
              <w:jc w:val="center"/>
            </w:pPr>
            <w:r w:rsidRPr="00B24C99">
              <w:t>173 (73.9%)</w:t>
            </w:r>
          </w:p>
        </w:tc>
        <w:tc>
          <w:tcPr>
            <w:tcW w:w="960" w:type="pct"/>
            <w:vAlign w:val="center"/>
          </w:tcPr>
          <w:p w:rsidR="00A53546" w:rsidRPr="00B24C99" w:rsidRDefault="00A53546" w:rsidP="00395EDE">
            <w:pPr>
              <w:pStyle w:val="TableText0"/>
              <w:jc w:val="center"/>
            </w:pPr>
            <w:r w:rsidRPr="00B24C99">
              <w:t>42 (61.8%)</w:t>
            </w:r>
          </w:p>
        </w:tc>
        <w:tc>
          <w:tcPr>
            <w:tcW w:w="960" w:type="pct"/>
            <w:vAlign w:val="center"/>
          </w:tcPr>
          <w:p w:rsidR="00A53546" w:rsidRPr="00B24C99" w:rsidRDefault="00A53546" w:rsidP="00395EDE">
            <w:pPr>
              <w:pStyle w:val="TableText0"/>
              <w:jc w:val="center"/>
            </w:pPr>
            <w:r w:rsidRPr="00B24C99">
              <w:t>46 (67.6%)</w:t>
            </w:r>
          </w:p>
        </w:tc>
      </w:tr>
      <w:tr w:rsidR="00A53546" w:rsidRPr="00B24C99" w:rsidTr="00395EDE">
        <w:tc>
          <w:tcPr>
            <w:tcW w:w="1159" w:type="pct"/>
            <w:vAlign w:val="center"/>
          </w:tcPr>
          <w:p w:rsidR="00A53546" w:rsidRPr="00B24C99" w:rsidRDefault="00A53546" w:rsidP="00395EDE">
            <w:pPr>
              <w:pStyle w:val="TableText0"/>
            </w:pPr>
            <w:r w:rsidRPr="00B24C99">
              <w:t>Median OS (95%CI), months</w:t>
            </w:r>
          </w:p>
        </w:tc>
        <w:tc>
          <w:tcPr>
            <w:tcW w:w="960" w:type="pct"/>
            <w:vAlign w:val="center"/>
          </w:tcPr>
          <w:p w:rsidR="00A53546" w:rsidRPr="00B24C99" w:rsidRDefault="00A53546" w:rsidP="00395EDE">
            <w:pPr>
              <w:pStyle w:val="TableText0"/>
              <w:jc w:val="center"/>
            </w:pPr>
            <w:r w:rsidRPr="00B24C99">
              <w:t>17.6 (16.2, 20.7)</w:t>
            </w:r>
          </w:p>
        </w:tc>
        <w:tc>
          <w:tcPr>
            <w:tcW w:w="961" w:type="pct"/>
            <w:vAlign w:val="center"/>
          </w:tcPr>
          <w:p w:rsidR="00A53546" w:rsidRPr="00B24C99" w:rsidRDefault="00A53546" w:rsidP="00395EDE">
            <w:pPr>
              <w:pStyle w:val="TableText0"/>
              <w:jc w:val="center"/>
            </w:pPr>
            <w:r w:rsidRPr="00B24C99">
              <w:t>13.7 (11.7, 15.5)</w:t>
            </w:r>
          </w:p>
        </w:tc>
        <w:tc>
          <w:tcPr>
            <w:tcW w:w="960" w:type="pct"/>
            <w:vAlign w:val="center"/>
          </w:tcPr>
          <w:p w:rsidR="00A53546" w:rsidRPr="00B24C99" w:rsidRDefault="00A53546" w:rsidP="00395EDE">
            <w:pPr>
              <w:pStyle w:val="TableText0"/>
              <w:jc w:val="center"/>
            </w:pPr>
            <w:r w:rsidRPr="00B24C99">
              <w:t>21.9 (14.5, 25.9)</w:t>
            </w:r>
          </w:p>
        </w:tc>
        <w:tc>
          <w:tcPr>
            <w:tcW w:w="960" w:type="pct"/>
            <w:vAlign w:val="center"/>
          </w:tcPr>
          <w:p w:rsidR="00A53546" w:rsidRPr="00B24C99" w:rsidRDefault="00A53546" w:rsidP="00395EDE">
            <w:pPr>
              <w:pStyle w:val="TableText0"/>
              <w:jc w:val="center"/>
            </w:pPr>
            <w:r w:rsidRPr="00B24C99">
              <w:t>18.0 (12.7, 23.8)</w:t>
            </w:r>
          </w:p>
        </w:tc>
      </w:tr>
      <w:tr w:rsidR="00A53546" w:rsidRPr="00B24C99" w:rsidTr="00395EDE">
        <w:tc>
          <w:tcPr>
            <w:tcW w:w="1159" w:type="pct"/>
            <w:vAlign w:val="center"/>
          </w:tcPr>
          <w:p w:rsidR="00A53546" w:rsidRPr="00B24C99" w:rsidRDefault="00A53546" w:rsidP="00395EDE">
            <w:pPr>
              <w:pStyle w:val="TableText0"/>
            </w:pPr>
            <w:r w:rsidRPr="00B24C99">
              <w:t>HR (95%CI)</w:t>
            </w:r>
            <w:r w:rsidRPr="00B24C99">
              <w:rPr>
                <w:vertAlign w:val="superscript"/>
              </w:rPr>
              <w:t>a</w:t>
            </w:r>
          </w:p>
        </w:tc>
        <w:tc>
          <w:tcPr>
            <w:tcW w:w="1921" w:type="pct"/>
            <w:gridSpan w:val="2"/>
            <w:vAlign w:val="center"/>
          </w:tcPr>
          <w:p w:rsidR="00A53546" w:rsidRPr="00B24C99" w:rsidRDefault="00A53546" w:rsidP="00395EDE">
            <w:pPr>
              <w:pStyle w:val="TableText0"/>
              <w:jc w:val="center"/>
              <w:rPr>
                <w:b/>
              </w:rPr>
            </w:pPr>
            <w:r w:rsidRPr="00B24C99">
              <w:rPr>
                <w:b/>
              </w:rPr>
              <w:t>0.74 (0.60, 0.92)</w:t>
            </w:r>
          </w:p>
        </w:tc>
        <w:tc>
          <w:tcPr>
            <w:tcW w:w="1920" w:type="pct"/>
            <w:gridSpan w:val="2"/>
            <w:vAlign w:val="center"/>
          </w:tcPr>
          <w:p w:rsidR="00A53546" w:rsidRPr="00B24C99" w:rsidRDefault="00A53546" w:rsidP="00395EDE">
            <w:pPr>
              <w:pStyle w:val="TableText0"/>
              <w:jc w:val="center"/>
            </w:pPr>
            <w:r w:rsidRPr="00B24C99">
              <w:t>0.75 (0.49, 1.15)</w:t>
            </w:r>
          </w:p>
        </w:tc>
      </w:tr>
      <w:tr w:rsidR="00A53546" w:rsidRPr="00B24C99" w:rsidTr="00395EDE">
        <w:tc>
          <w:tcPr>
            <w:tcW w:w="5000" w:type="pct"/>
            <w:gridSpan w:val="5"/>
            <w:vAlign w:val="center"/>
          </w:tcPr>
          <w:p w:rsidR="00A53546" w:rsidRPr="00B24C99" w:rsidRDefault="00A53546" w:rsidP="004B461A">
            <w:pPr>
              <w:pStyle w:val="TableText0"/>
              <w:rPr>
                <w:b/>
              </w:rPr>
            </w:pPr>
            <w:r w:rsidRPr="00B24C99">
              <w:rPr>
                <w:b/>
              </w:rPr>
              <w:t>PD-L1 expression (predefined subgroup; secondary endpoint)</w:t>
            </w:r>
          </w:p>
        </w:tc>
      </w:tr>
      <w:tr w:rsidR="00A53546" w:rsidRPr="00B24C99" w:rsidTr="00395EDE">
        <w:tc>
          <w:tcPr>
            <w:tcW w:w="1159" w:type="pct"/>
            <w:vAlign w:val="center"/>
          </w:tcPr>
          <w:p w:rsidR="00A53546" w:rsidRPr="00B24C99" w:rsidRDefault="00A53546" w:rsidP="00395EDE">
            <w:pPr>
              <w:pStyle w:val="TableText0"/>
              <w:rPr>
                <w:bCs w:val="0"/>
                <w:highlight w:val="yellow"/>
              </w:rPr>
            </w:pPr>
          </w:p>
        </w:tc>
        <w:tc>
          <w:tcPr>
            <w:tcW w:w="1921" w:type="pct"/>
            <w:gridSpan w:val="2"/>
            <w:vAlign w:val="center"/>
          </w:tcPr>
          <w:p w:rsidR="00A53546" w:rsidRPr="00B24C99" w:rsidRDefault="00A53546" w:rsidP="00395EDE">
            <w:pPr>
              <w:pStyle w:val="TableText0"/>
              <w:jc w:val="center"/>
              <w:rPr>
                <w:b/>
                <w:highlight w:val="yellow"/>
              </w:rPr>
            </w:pPr>
            <w:r w:rsidRPr="00B24C99">
              <w:rPr>
                <w:b/>
              </w:rPr>
              <w:t>&lt;1%</w:t>
            </w:r>
          </w:p>
        </w:tc>
        <w:tc>
          <w:tcPr>
            <w:tcW w:w="1920" w:type="pct"/>
            <w:gridSpan w:val="2"/>
            <w:vAlign w:val="center"/>
          </w:tcPr>
          <w:p w:rsidR="00A53546" w:rsidRPr="00B24C99" w:rsidRDefault="00A53546" w:rsidP="00395EDE">
            <w:pPr>
              <w:pStyle w:val="TableText0"/>
              <w:jc w:val="center"/>
              <w:rPr>
                <w:b/>
              </w:rPr>
            </w:pPr>
            <w:r w:rsidRPr="00B24C99">
              <w:rPr>
                <w:b/>
              </w:rPr>
              <w:t>≥1%</w:t>
            </w:r>
          </w:p>
        </w:tc>
      </w:tr>
      <w:tr w:rsidR="00A53546" w:rsidRPr="00B24C99" w:rsidTr="00395EDE">
        <w:tc>
          <w:tcPr>
            <w:tcW w:w="1159" w:type="pct"/>
            <w:vAlign w:val="center"/>
          </w:tcPr>
          <w:p w:rsidR="00A53546" w:rsidRPr="00B24C99" w:rsidRDefault="00A53546" w:rsidP="00395EDE">
            <w:pPr>
              <w:pStyle w:val="TableText0"/>
              <w:rPr>
                <w:bCs w:val="0"/>
                <w:highlight w:val="yellow"/>
              </w:rPr>
            </w:pPr>
          </w:p>
        </w:tc>
        <w:tc>
          <w:tcPr>
            <w:tcW w:w="960" w:type="pct"/>
            <w:vAlign w:val="center"/>
          </w:tcPr>
          <w:p w:rsidR="00A53546" w:rsidRPr="00B24C99" w:rsidRDefault="00A53546" w:rsidP="00395EDE">
            <w:pPr>
              <w:pStyle w:val="TableText0"/>
              <w:jc w:val="center"/>
            </w:pPr>
            <w:r w:rsidRPr="00B24C99">
              <w:t>N=57</w:t>
            </w:r>
          </w:p>
        </w:tc>
        <w:tc>
          <w:tcPr>
            <w:tcW w:w="961" w:type="pct"/>
            <w:vAlign w:val="center"/>
          </w:tcPr>
          <w:p w:rsidR="00A53546" w:rsidRPr="00B24C99" w:rsidRDefault="00A53546" w:rsidP="00395EDE">
            <w:pPr>
              <w:pStyle w:val="TableText0"/>
              <w:jc w:val="center"/>
            </w:pPr>
            <w:r w:rsidRPr="00B24C99">
              <w:t>N=78</w:t>
            </w:r>
          </w:p>
        </w:tc>
        <w:tc>
          <w:tcPr>
            <w:tcW w:w="960" w:type="pct"/>
            <w:vAlign w:val="center"/>
          </w:tcPr>
          <w:p w:rsidR="00A53546" w:rsidRPr="00B24C99" w:rsidRDefault="00A53546" w:rsidP="00395EDE">
            <w:pPr>
              <w:pStyle w:val="TableText0"/>
              <w:jc w:val="center"/>
            </w:pPr>
            <w:r w:rsidRPr="00B24C99">
              <w:t>N=232</w:t>
            </w:r>
          </w:p>
        </w:tc>
        <w:tc>
          <w:tcPr>
            <w:tcW w:w="960" w:type="pct"/>
            <w:vAlign w:val="center"/>
          </w:tcPr>
          <w:p w:rsidR="00A53546" w:rsidRPr="00B24C99" w:rsidRDefault="00A53546" w:rsidP="00395EDE">
            <w:pPr>
              <w:pStyle w:val="TableText0"/>
              <w:jc w:val="center"/>
            </w:pPr>
            <w:r w:rsidRPr="00B24C99">
              <w:t>N=219</w:t>
            </w:r>
          </w:p>
        </w:tc>
      </w:tr>
      <w:tr w:rsidR="00A53546" w:rsidRPr="00B24C99" w:rsidTr="00395EDE">
        <w:tc>
          <w:tcPr>
            <w:tcW w:w="1159" w:type="pct"/>
            <w:vAlign w:val="center"/>
          </w:tcPr>
          <w:p w:rsidR="00A53546" w:rsidRPr="00B24C99" w:rsidRDefault="00A53546" w:rsidP="00395EDE">
            <w:pPr>
              <w:pStyle w:val="TableText0"/>
            </w:pPr>
            <w:r w:rsidRPr="00B24C99">
              <w:t>Patients with event, n (%)</w:t>
            </w:r>
          </w:p>
        </w:tc>
        <w:tc>
          <w:tcPr>
            <w:tcW w:w="960" w:type="pct"/>
            <w:vAlign w:val="center"/>
          </w:tcPr>
          <w:p w:rsidR="00A53546" w:rsidRPr="00B24C99" w:rsidRDefault="00A53546" w:rsidP="00395EDE">
            <w:pPr>
              <w:pStyle w:val="TableText0"/>
              <w:jc w:val="center"/>
            </w:pPr>
            <w:r w:rsidRPr="00B24C99">
              <w:t>40 (70.2%)</w:t>
            </w:r>
          </w:p>
        </w:tc>
        <w:tc>
          <w:tcPr>
            <w:tcW w:w="961" w:type="pct"/>
            <w:vAlign w:val="center"/>
          </w:tcPr>
          <w:p w:rsidR="00A53546" w:rsidRPr="00B24C99" w:rsidRDefault="00A53546" w:rsidP="00395EDE">
            <w:pPr>
              <w:pStyle w:val="TableText0"/>
              <w:jc w:val="center"/>
            </w:pPr>
            <w:r w:rsidRPr="00B24C99">
              <w:t>58 (74.4%)</w:t>
            </w:r>
          </w:p>
        </w:tc>
        <w:tc>
          <w:tcPr>
            <w:tcW w:w="960" w:type="pct"/>
            <w:vAlign w:val="center"/>
          </w:tcPr>
          <w:p w:rsidR="00A53546" w:rsidRPr="00B24C99" w:rsidRDefault="00A53546" w:rsidP="00395EDE">
            <w:pPr>
              <w:pStyle w:val="TableText0"/>
              <w:jc w:val="center"/>
            </w:pPr>
            <w:r w:rsidRPr="00B24C99">
              <w:t>150 (64.7%)</w:t>
            </w:r>
          </w:p>
        </w:tc>
        <w:tc>
          <w:tcPr>
            <w:tcW w:w="960" w:type="pct"/>
            <w:vAlign w:val="center"/>
          </w:tcPr>
          <w:p w:rsidR="00A53546" w:rsidRPr="00B24C99" w:rsidRDefault="00A53546" w:rsidP="00395EDE">
            <w:pPr>
              <w:pStyle w:val="TableText0"/>
              <w:jc w:val="center"/>
            </w:pPr>
            <w:r w:rsidRPr="00B24C99">
              <w:t>157 (71.7%)</w:t>
            </w:r>
          </w:p>
        </w:tc>
      </w:tr>
      <w:tr w:rsidR="00A53546" w:rsidRPr="00B24C99" w:rsidTr="00395EDE">
        <w:tc>
          <w:tcPr>
            <w:tcW w:w="1159" w:type="pct"/>
            <w:vAlign w:val="center"/>
          </w:tcPr>
          <w:p w:rsidR="00A53546" w:rsidRPr="00B24C99" w:rsidRDefault="00A53546" w:rsidP="00395EDE">
            <w:pPr>
              <w:pStyle w:val="TableText0"/>
            </w:pPr>
            <w:r w:rsidRPr="00B24C99">
              <w:t>Median OS (95%CI), months</w:t>
            </w:r>
          </w:p>
        </w:tc>
        <w:tc>
          <w:tcPr>
            <w:tcW w:w="960" w:type="pct"/>
            <w:vAlign w:val="center"/>
          </w:tcPr>
          <w:p w:rsidR="00A53546" w:rsidRPr="00B24C99" w:rsidRDefault="00A53546" w:rsidP="00395EDE">
            <w:pPr>
              <w:pStyle w:val="TableText0"/>
              <w:jc w:val="center"/>
            </w:pPr>
            <w:r w:rsidRPr="00B24C99">
              <w:t>17.3 (10.1, 24.3)</w:t>
            </w:r>
          </w:p>
        </w:tc>
        <w:tc>
          <w:tcPr>
            <w:tcW w:w="961" w:type="pct"/>
            <w:vAlign w:val="center"/>
          </w:tcPr>
          <w:p w:rsidR="00A53546" w:rsidRPr="00B24C99" w:rsidRDefault="00A53546" w:rsidP="00395EDE">
            <w:pPr>
              <w:pStyle w:val="TableText0"/>
              <w:jc w:val="center"/>
            </w:pPr>
            <w:r w:rsidRPr="00B24C99">
              <w:t>16.5 (13.4, 20.5)</w:t>
            </w:r>
          </w:p>
        </w:tc>
        <w:tc>
          <w:tcPr>
            <w:tcW w:w="960" w:type="pct"/>
            <w:vAlign w:val="center"/>
          </w:tcPr>
          <w:p w:rsidR="00A53546" w:rsidRPr="00B24C99" w:rsidRDefault="00A53546" w:rsidP="00395EDE">
            <w:pPr>
              <w:pStyle w:val="TableText0"/>
              <w:jc w:val="center"/>
            </w:pPr>
            <w:r w:rsidRPr="00B24C99">
              <w:t>18.0 (16.8, 21.5)</w:t>
            </w:r>
          </w:p>
        </w:tc>
        <w:tc>
          <w:tcPr>
            <w:tcW w:w="960" w:type="pct"/>
            <w:vAlign w:val="center"/>
          </w:tcPr>
          <w:p w:rsidR="00A53546" w:rsidRPr="00B24C99" w:rsidRDefault="00A53546" w:rsidP="00395EDE">
            <w:pPr>
              <w:pStyle w:val="TableText0"/>
              <w:jc w:val="center"/>
            </w:pPr>
            <w:r w:rsidRPr="00B24C99">
              <w:t>13.3 (11.6, 15.4)</w:t>
            </w:r>
          </w:p>
        </w:tc>
      </w:tr>
      <w:tr w:rsidR="00A53546" w:rsidRPr="00B24C99" w:rsidTr="00395EDE">
        <w:tc>
          <w:tcPr>
            <w:tcW w:w="1159" w:type="pct"/>
            <w:vAlign w:val="center"/>
          </w:tcPr>
          <w:p w:rsidR="00A53546" w:rsidRPr="00B24C99" w:rsidRDefault="00A53546" w:rsidP="00395EDE">
            <w:pPr>
              <w:pStyle w:val="TableText0"/>
            </w:pPr>
            <w:r w:rsidRPr="00B24C99">
              <w:t>HR (95%CI)</w:t>
            </w:r>
            <w:r w:rsidRPr="00B24C99">
              <w:rPr>
                <w:vertAlign w:val="superscript"/>
              </w:rPr>
              <w:t>a</w:t>
            </w:r>
          </w:p>
        </w:tc>
        <w:tc>
          <w:tcPr>
            <w:tcW w:w="1921" w:type="pct"/>
            <w:gridSpan w:val="2"/>
            <w:vAlign w:val="center"/>
          </w:tcPr>
          <w:p w:rsidR="00A53546" w:rsidRPr="00B24C99" w:rsidRDefault="00A53546" w:rsidP="00395EDE">
            <w:pPr>
              <w:pStyle w:val="TableText0"/>
              <w:jc w:val="center"/>
            </w:pPr>
            <w:r w:rsidRPr="00B24C99">
              <w:t>0.94 (0.62, 1.40)</w:t>
            </w:r>
          </w:p>
        </w:tc>
        <w:tc>
          <w:tcPr>
            <w:tcW w:w="1920" w:type="pct"/>
            <w:gridSpan w:val="2"/>
            <w:vAlign w:val="center"/>
          </w:tcPr>
          <w:p w:rsidR="00A53546" w:rsidRPr="00B24C99" w:rsidRDefault="00A53546" w:rsidP="00395EDE">
            <w:pPr>
              <w:pStyle w:val="TableText0"/>
              <w:jc w:val="center"/>
              <w:rPr>
                <w:b/>
              </w:rPr>
            </w:pPr>
            <w:r w:rsidRPr="00B24C99">
              <w:rPr>
                <w:b/>
              </w:rPr>
              <w:t>0.69 (0.55, 0.87)</w:t>
            </w:r>
          </w:p>
        </w:tc>
      </w:tr>
      <w:tr w:rsidR="00A53546" w:rsidRPr="00B24C99" w:rsidTr="00395EDE">
        <w:tc>
          <w:tcPr>
            <w:tcW w:w="5000" w:type="pct"/>
            <w:gridSpan w:val="5"/>
            <w:vAlign w:val="center"/>
          </w:tcPr>
          <w:p w:rsidR="00A53546" w:rsidRPr="00B24C99" w:rsidRDefault="00A53546" w:rsidP="004B461A">
            <w:pPr>
              <w:pStyle w:val="TableText0"/>
              <w:rPr>
                <w:b/>
              </w:rPr>
            </w:pPr>
            <w:r w:rsidRPr="00B24C99">
              <w:rPr>
                <w:b/>
              </w:rPr>
              <w:t>ECOG performance status (predefined subgroup)</w:t>
            </w:r>
          </w:p>
        </w:tc>
      </w:tr>
      <w:tr w:rsidR="00A53546" w:rsidRPr="00B24C99" w:rsidTr="00395EDE">
        <w:tc>
          <w:tcPr>
            <w:tcW w:w="1159" w:type="pct"/>
            <w:vAlign w:val="center"/>
          </w:tcPr>
          <w:p w:rsidR="00A53546" w:rsidRPr="00B24C99" w:rsidRDefault="00A53546" w:rsidP="00395EDE">
            <w:pPr>
              <w:pStyle w:val="TableText0"/>
              <w:rPr>
                <w:bCs w:val="0"/>
                <w:highlight w:val="yellow"/>
              </w:rPr>
            </w:pPr>
          </w:p>
        </w:tc>
        <w:tc>
          <w:tcPr>
            <w:tcW w:w="1921" w:type="pct"/>
            <w:gridSpan w:val="2"/>
            <w:vAlign w:val="center"/>
          </w:tcPr>
          <w:p w:rsidR="00A53546" w:rsidRPr="00B24C99" w:rsidRDefault="00A53546" w:rsidP="00395EDE">
            <w:pPr>
              <w:pStyle w:val="TableText0"/>
              <w:jc w:val="center"/>
              <w:rPr>
                <w:b/>
                <w:highlight w:val="yellow"/>
              </w:rPr>
            </w:pPr>
            <w:r w:rsidRPr="00B24C99">
              <w:rPr>
                <w:b/>
              </w:rPr>
              <w:t>0</w:t>
            </w:r>
          </w:p>
        </w:tc>
        <w:tc>
          <w:tcPr>
            <w:tcW w:w="1920" w:type="pct"/>
            <w:gridSpan w:val="2"/>
            <w:vAlign w:val="center"/>
          </w:tcPr>
          <w:p w:rsidR="00A53546" w:rsidRPr="00B24C99" w:rsidRDefault="00A53546" w:rsidP="00395EDE">
            <w:pPr>
              <w:pStyle w:val="TableText0"/>
              <w:jc w:val="center"/>
              <w:rPr>
                <w:b/>
              </w:rPr>
            </w:pPr>
            <w:r w:rsidRPr="00B24C99">
              <w:rPr>
                <w:b/>
              </w:rPr>
              <w:t>≥1</w:t>
            </w:r>
          </w:p>
        </w:tc>
      </w:tr>
      <w:tr w:rsidR="00A53546" w:rsidRPr="00B24C99" w:rsidTr="00395EDE">
        <w:tc>
          <w:tcPr>
            <w:tcW w:w="1159" w:type="pct"/>
            <w:vAlign w:val="center"/>
          </w:tcPr>
          <w:p w:rsidR="00A53546" w:rsidRPr="00B24C99" w:rsidRDefault="00A53546" w:rsidP="00395EDE">
            <w:pPr>
              <w:pStyle w:val="TableText0"/>
              <w:rPr>
                <w:bCs w:val="0"/>
                <w:highlight w:val="yellow"/>
              </w:rPr>
            </w:pPr>
          </w:p>
        </w:tc>
        <w:tc>
          <w:tcPr>
            <w:tcW w:w="960" w:type="pct"/>
            <w:vAlign w:val="center"/>
          </w:tcPr>
          <w:p w:rsidR="00A53546" w:rsidRPr="00B24C99" w:rsidRDefault="00A53546" w:rsidP="00395EDE">
            <w:pPr>
              <w:pStyle w:val="TableText0"/>
              <w:jc w:val="center"/>
            </w:pPr>
            <w:r w:rsidRPr="00B24C99">
              <w:t>N=114</w:t>
            </w:r>
          </w:p>
        </w:tc>
        <w:tc>
          <w:tcPr>
            <w:tcW w:w="961" w:type="pct"/>
            <w:vAlign w:val="center"/>
          </w:tcPr>
          <w:p w:rsidR="00A53546" w:rsidRPr="00B24C99" w:rsidRDefault="00A53546" w:rsidP="00395EDE">
            <w:pPr>
              <w:pStyle w:val="TableText0"/>
              <w:jc w:val="center"/>
            </w:pPr>
            <w:r w:rsidRPr="00B24C99">
              <w:t>N=128</w:t>
            </w:r>
          </w:p>
        </w:tc>
        <w:tc>
          <w:tcPr>
            <w:tcW w:w="960" w:type="pct"/>
            <w:vAlign w:val="center"/>
          </w:tcPr>
          <w:p w:rsidR="00A53546" w:rsidRPr="00B24C99" w:rsidRDefault="00A53546" w:rsidP="00395EDE">
            <w:pPr>
              <w:pStyle w:val="TableText0"/>
              <w:jc w:val="center"/>
            </w:pPr>
            <w:r w:rsidRPr="00B24C99">
              <w:t>N=189</w:t>
            </w:r>
          </w:p>
        </w:tc>
        <w:tc>
          <w:tcPr>
            <w:tcW w:w="960" w:type="pct"/>
            <w:vAlign w:val="center"/>
          </w:tcPr>
          <w:p w:rsidR="00A53546" w:rsidRPr="00B24C99" w:rsidRDefault="00A53546" w:rsidP="00395EDE">
            <w:pPr>
              <w:pStyle w:val="TableText0"/>
              <w:jc w:val="center"/>
            </w:pPr>
            <w:r w:rsidRPr="00B24C99">
              <w:t>N=174</w:t>
            </w:r>
          </w:p>
        </w:tc>
      </w:tr>
      <w:tr w:rsidR="00A53546" w:rsidRPr="00B24C99" w:rsidTr="00395EDE">
        <w:tc>
          <w:tcPr>
            <w:tcW w:w="1159" w:type="pct"/>
            <w:vAlign w:val="center"/>
          </w:tcPr>
          <w:p w:rsidR="00A53546" w:rsidRPr="00B24C99" w:rsidRDefault="00A53546" w:rsidP="00395EDE">
            <w:pPr>
              <w:pStyle w:val="TableText0"/>
            </w:pPr>
            <w:r w:rsidRPr="00B24C99">
              <w:t>Patients with event, n (%)</w:t>
            </w:r>
          </w:p>
        </w:tc>
        <w:tc>
          <w:tcPr>
            <w:tcW w:w="960" w:type="pct"/>
            <w:vAlign w:val="center"/>
          </w:tcPr>
          <w:p w:rsidR="00A53546" w:rsidRPr="00B24C99" w:rsidRDefault="00A53546" w:rsidP="00395EDE">
            <w:pPr>
              <w:pStyle w:val="TableText0"/>
              <w:jc w:val="center"/>
            </w:pPr>
            <w:r w:rsidRPr="00B24C99">
              <w:t>76 (66.7%)</w:t>
            </w:r>
          </w:p>
        </w:tc>
        <w:tc>
          <w:tcPr>
            <w:tcW w:w="961" w:type="pct"/>
            <w:vAlign w:val="center"/>
          </w:tcPr>
          <w:p w:rsidR="00A53546" w:rsidRPr="00B24C99" w:rsidRDefault="00A53546" w:rsidP="00395EDE">
            <w:pPr>
              <w:pStyle w:val="TableText0"/>
              <w:jc w:val="center"/>
            </w:pPr>
            <w:r w:rsidRPr="00B24C99">
              <w:t>81 (63.3%)</w:t>
            </w:r>
          </w:p>
        </w:tc>
        <w:tc>
          <w:tcPr>
            <w:tcW w:w="960" w:type="pct"/>
            <w:vAlign w:val="center"/>
          </w:tcPr>
          <w:p w:rsidR="00A53546" w:rsidRPr="00B24C99" w:rsidRDefault="00A53546" w:rsidP="00395EDE">
            <w:pPr>
              <w:pStyle w:val="TableText0"/>
              <w:jc w:val="center"/>
            </w:pPr>
            <w:r w:rsidRPr="00B24C99">
              <w:t>124 (65.6%)</w:t>
            </w:r>
          </w:p>
        </w:tc>
        <w:tc>
          <w:tcPr>
            <w:tcW w:w="960" w:type="pct"/>
            <w:vAlign w:val="center"/>
          </w:tcPr>
          <w:p w:rsidR="00A53546" w:rsidRPr="00B24C99" w:rsidRDefault="00A53546" w:rsidP="00395EDE">
            <w:pPr>
              <w:pStyle w:val="TableText0"/>
              <w:jc w:val="center"/>
            </w:pPr>
            <w:r w:rsidRPr="00B24C99">
              <w:t>138 (79.3%)</w:t>
            </w:r>
          </w:p>
        </w:tc>
      </w:tr>
      <w:tr w:rsidR="00A53546" w:rsidRPr="00B24C99" w:rsidTr="00395EDE">
        <w:tc>
          <w:tcPr>
            <w:tcW w:w="1159" w:type="pct"/>
            <w:vAlign w:val="center"/>
          </w:tcPr>
          <w:p w:rsidR="00A53546" w:rsidRPr="00B24C99" w:rsidRDefault="00A53546" w:rsidP="00395EDE">
            <w:pPr>
              <w:pStyle w:val="TableText0"/>
            </w:pPr>
            <w:r w:rsidRPr="00B24C99">
              <w:t>Median OS (95%CI), months</w:t>
            </w:r>
          </w:p>
        </w:tc>
        <w:tc>
          <w:tcPr>
            <w:tcW w:w="960" w:type="pct"/>
            <w:vAlign w:val="center"/>
          </w:tcPr>
          <w:p w:rsidR="00A53546" w:rsidRPr="00B24C99" w:rsidRDefault="00A53546" w:rsidP="00395EDE">
            <w:pPr>
              <w:pStyle w:val="TableText0"/>
              <w:jc w:val="center"/>
            </w:pPr>
            <w:r w:rsidRPr="00B24C99">
              <w:t>20.7 (17.5, 24.9)</w:t>
            </w:r>
          </w:p>
        </w:tc>
        <w:tc>
          <w:tcPr>
            <w:tcW w:w="961" w:type="pct"/>
            <w:vAlign w:val="center"/>
          </w:tcPr>
          <w:p w:rsidR="00A53546" w:rsidRPr="00B24C99" w:rsidRDefault="00A53546" w:rsidP="00395EDE">
            <w:pPr>
              <w:pStyle w:val="TableText0"/>
              <w:jc w:val="center"/>
            </w:pPr>
            <w:r w:rsidRPr="00B24C99">
              <w:t>19.5 (15.2, 22.8)</w:t>
            </w:r>
          </w:p>
        </w:tc>
        <w:tc>
          <w:tcPr>
            <w:tcW w:w="960" w:type="pct"/>
            <w:vAlign w:val="center"/>
          </w:tcPr>
          <w:p w:rsidR="00A53546" w:rsidRPr="00B24C99" w:rsidRDefault="00A53546" w:rsidP="00395EDE">
            <w:pPr>
              <w:pStyle w:val="TableText0"/>
              <w:jc w:val="center"/>
            </w:pPr>
            <w:r w:rsidRPr="00B24C99">
              <w:t>17.1 (14.1, 20.8)</w:t>
            </w:r>
          </w:p>
        </w:tc>
        <w:tc>
          <w:tcPr>
            <w:tcW w:w="960" w:type="pct"/>
            <w:vAlign w:val="center"/>
          </w:tcPr>
          <w:p w:rsidR="00A53546" w:rsidRPr="00B24C99" w:rsidRDefault="00A53546" w:rsidP="00395EDE">
            <w:pPr>
              <w:pStyle w:val="TableText0"/>
              <w:jc w:val="center"/>
            </w:pPr>
            <w:r w:rsidRPr="00B24C99">
              <w:t>11.6 (9.0, 13.9)</w:t>
            </w:r>
          </w:p>
        </w:tc>
      </w:tr>
      <w:tr w:rsidR="00A53546" w:rsidRPr="00B24C99" w:rsidTr="00395EDE">
        <w:tc>
          <w:tcPr>
            <w:tcW w:w="1159" w:type="pct"/>
            <w:vAlign w:val="center"/>
          </w:tcPr>
          <w:p w:rsidR="00A53546" w:rsidRPr="00B24C99" w:rsidRDefault="00A53546" w:rsidP="00395EDE">
            <w:pPr>
              <w:pStyle w:val="TableText0"/>
            </w:pPr>
            <w:r w:rsidRPr="00B24C99">
              <w:t>HR (95%CI)</w:t>
            </w:r>
            <w:r w:rsidRPr="00B24C99">
              <w:rPr>
                <w:vertAlign w:val="superscript"/>
              </w:rPr>
              <w:t>a</w:t>
            </w:r>
          </w:p>
        </w:tc>
        <w:tc>
          <w:tcPr>
            <w:tcW w:w="1921" w:type="pct"/>
            <w:gridSpan w:val="2"/>
            <w:vAlign w:val="center"/>
          </w:tcPr>
          <w:p w:rsidR="00A53546" w:rsidRPr="00B24C99" w:rsidRDefault="00A53546" w:rsidP="00395EDE">
            <w:pPr>
              <w:pStyle w:val="TableText0"/>
              <w:jc w:val="center"/>
            </w:pPr>
            <w:r w:rsidRPr="00B24C99">
              <w:t>0.87 (0.64, 1.19)</w:t>
            </w:r>
          </w:p>
        </w:tc>
        <w:tc>
          <w:tcPr>
            <w:tcW w:w="1920" w:type="pct"/>
            <w:gridSpan w:val="2"/>
            <w:vAlign w:val="center"/>
          </w:tcPr>
          <w:p w:rsidR="00A53546" w:rsidRPr="00B24C99" w:rsidRDefault="00A53546" w:rsidP="00395EDE">
            <w:pPr>
              <w:pStyle w:val="TableText0"/>
              <w:jc w:val="center"/>
              <w:rPr>
                <w:b/>
              </w:rPr>
            </w:pPr>
            <w:r w:rsidRPr="00B24C99">
              <w:rPr>
                <w:b/>
              </w:rPr>
              <w:t>0.66 (0.52, 0.85)</w:t>
            </w:r>
          </w:p>
        </w:tc>
      </w:tr>
    </w:tbl>
    <w:p w:rsidR="005903EE" w:rsidRPr="00B24C99" w:rsidRDefault="005903EE" w:rsidP="005903EE">
      <w:pPr>
        <w:pStyle w:val="TableFigureFooter"/>
        <w:rPr>
          <w:sz w:val="20"/>
          <w:szCs w:val="20"/>
        </w:rPr>
      </w:pPr>
      <w:r w:rsidRPr="00B24C99">
        <w:rPr>
          <w:sz w:val="20"/>
          <w:szCs w:val="20"/>
          <w:vertAlign w:val="superscript"/>
        </w:rPr>
        <w:t xml:space="preserve">a </w:t>
      </w:r>
      <w:r w:rsidRPr="00B24C99">
        <w:rPr>
          <w:sz w:val="20"/>
          <w:szCs w:val="20"/>
        </w:rPr>
        <w:t>Unstratified Cox proportional hazards model.</w:t>
      </w:r>
    </w:p>
    <w:p w:rsidR="005903EE" w:rsidRPr="00B24C99" w:rsidRDefault="00A53546" w:rsidP="00A53546">
      <w:pPr>
        <w:pStyle w:val="TableFigureFooter"/>
      </w:pPr>
      <w:r w:rsidRPr="00B24C99">
        <w:t>Chemo</w:t>
      </w:r>
      <w:r w:rsidR="00790921" w:rsidRPr="00B24C99">
        <w:t>,</w:t>
      </w:r>
      <w:r w:rsidRPr="00B24C99">
        <w:t xml:space="preserve"> </w:t>
      </w:r>
      <w:r w:rsidR="00AC3E2A" w:rsidRPr="00B24C99">
        <w:t>pemetrexed plus cisplatin/carboplatin</w:t>
      </w:r>
      <w:r w:rsidRPr="00B24C99">
        <w:t>; CI</w:t>
      </w:r>
      <w:r w:rsidR="00790921" w:rsidRPr="00B24C99">
        <w:t>,</w:t>
      </w:r>
      <w:r w:rsidRPr="00B24C99">
        <w:t xml:space="preserve"> confidence interval; HR</w:t>
      </w:r>
      <w:r w:rsidR="00790921" w:rsidRPr="00B24C99">
        <w:t>,</w:t>
      </w:r>
      <w:r w:rsidRPr="00B24C99">
        <w:t xml:space="preserve"> hazard ratio; ITT</w:t>
      </w:r>
      <w:r w:rsidR="00790921" w:rsidRPr="00B24C99">
        <w:t>,</w:t>
      </w:r>
      <w:r w:rsidRPr="00B24C99">
        <w:t xml:space="preserve"> intention to treat; </w:t>
      </w:r>
      <w:r w:rsidR="004B461A" w:rsidRPr="00B24C99">
        <w:t>IRT</w:t>
      </w:r>
      <w:r w:rsidR="00790921" w:rsidRPr="00B24C99">
        <w:t>,</w:t>
      </w:r>
      <w:r w:rsidR="004B461A" w:rsidRPr="00B24C99">
        <w:t xml:space="preserve"> interactive response technology; </w:t>
      </w:r>
      <w:r w:rsidRPr="00B24C99">
        <w:t>NA</w:t>
      </w:r>
      <w:r w:rsidR="00790921" w:rsidRPr="00B24C99">
        <w:t>,</w:t>
      </w:r>
      <w:r w:rsidRPr="00B24C99">
        <w:t xml:space="preserve"> not available; ECOG</w:t>
      </w:r>
      <w:r w:rsidR="00790921" w:rsidRPr="00B24C99">
        <w:t>,</w:t>
      </w:r>
      <w:r w:rsidRPr="00B24C99">
        <w:t xml:space="preserve"> Eastern Cooperative Oncology Group; IPI</w:t>
      </w:r>
      <w:r w:rsidR="00790921" w:rsidRPr="00B24C99">
        <w:t>,</w:t>
      </w:r>
      <w:r w:rsidRPr="00B24C99">
        <w:t xml:space="preserve"> ipilimumab; NIVO</w:t>
      </w:r>
      <w:r w:rsidR="00790921" w:rsidRPr="00B24C99">
        <w:t>,</w:t>
      </w:r>
      <w:r w:rsidRPr="00B24C99">
        <w:t xml:space="preserve"> nivolumab; OS</w:t>
      </w:r>
      <w:r w:rsidR="00790921" w:rsidRPr="00B24C99">
        <w:t>,</w:t>
      </w:r>
      <w:r w:rsidRPr="00B24C99">
        <w:t xml:space="preserve"> overall survival; PD-L1</w:t>
      </w:r>
      <w:r w:rsidR="00790921" w:rsidRPr="00B24C99">
        <w:t>,</w:t>
      </w:r>
      <w:r w:rsidRPr="00B24C99">
        <w:t xml:space="preserve"> programmed death ligand 1.</w:t>
      </w:r>
      <w:r w:rsidR="005903EE" w:rsidRPr="00B24C99">
        <w:t xml:space="preserve"> </w:t>
      </w:r>
    </w:p>
    <w:p w:rsidR="00A53546" w:rsidRPr="00B24C99" w:rsidRDefault="005903EE" w:rsidP="00A53546">
      <w:pPr>
        <w:pStyle w:val="TableFigureFooter"/>
      </w:pPr>
      <w:r w:rsidRPr="00B24C99">
        <w:t>Source: Tables 41-42, pp.84-85 of submission; Table 7.1-1, Table 7.5-1, Figure 7.2.3-1 of CheckMate 743 CSR.</w:t>
      </w:r>
    </w:p>
    <w:p w:rsidR="00F569EC" w:rsidRPr="00B24C99" w:rsidRDefault="00F569EC" w:rsidP="00F569EC">
      <w:pPr>
        <w:pStyle w:val="TableFigureHeading"/>
        <w:rPr>
          <w:color w:val="000000" w:themeColor="text1"/>
        </w:rPr>
      </w:pPr>
      <w:r w:rsidRPr="00B24C99">
        <w:rPr>
          <w:color w:val="000000" w:themeColor="text1"/>
        </w:rPr>
        <w:lastRenderedPageBreak/>
        <w:t xml:space="preserve">Figure </w:t>
      </w:r>
      <w:r w:rsidR="00835205" w:rsidRPr="00B24C99">
        <w:rPr>
          <w:color w:val="000000" w:themeColor="text1"/>
        </w:rPr>
        <w:t>2</w:t>
      </w:r>
      <w:r w:rsidRPr="00B24C99">
        <w:rPr>
          <w:color w:val="000000" w:themeColor="text1"/>
        </w:rPr>
        <w:t xml:space="preserve">: Kaplan-Meier plot of OS by </w:t>
      </w:r>
      <w:r w:rsidR="004D722B" w:rsidRPr="00B24C99">
        <w:rPr>
          <w:color w:val="000000" w:themeColor="text1"/>
        </w:rPr>
        <w:t>H</w:t>
      </w:r>
      <w:r w:rsidRPr="00B24C99">
        <w:rPr>
          <w:color w:val="000000" w:themeColor="text1"/>
        </w:rPr>
        <w:t xml:space="preserve">istology </w:t>
      </w:r>
      <w:r w:rsidR="004D722B" w:rsidRPr="00B24C99">
        <w:rPr>
          <w:color w:val="000000" w:themeColor="text1"/>
        </w:rPr>
        <w:t>per IRT –</w:t>
      </w:r>
      <w:r w:rsidRPr="00B24C99">
        <w:rPr>
          <w:color w:val="000000" w:themeColor="text1"/>
        </w:rPr>
        <w:t xml:space="preserve"> ITT</w:t>
      </w:r>
      <w:r w:rsidR="004D722B" w:rsidRPr="00B24C99">
        <w:rPr>
          <w:color w:val="000000" w:themeColor="text1"/>
        </w:rPr>
        <w:t xml:space="preserve"> (all randomised patients)</w:t>
      </w:r>
    </w:p>
    <w:p w:rsidR="00F569EC" w:rsidRPr="00B24C99" w:rsidRDefault="00F569EC" w:rsidP="00F569EC">
      <w:pPr>
        <w:pStyle w:val="TableFigureFooter"/>
        <w:rPr>
          <w:rFonts w:ascii="Calibri" w:hAnsi="Calibri"/>
          <w:b/>
          <w:snapToGrid/>
          <w:sz w:val="24"/>
          <w:szCs w:val="24"/>
          <w:u w:val="single"/>
        </w:rPr>
      </w:pPr>
      <w:r w:rsidRPr="00B24C99">
        <w:rPr>
          <w:rFonts w:ascii="Calibri" w:hAnsi="Calibri"/>
          <w:b/>
          <w:noProof/>
          <w:snapToGrid/>
          <w:sz w:val="24"/>
          <w:szCs w:val="24"/>
          <w:u w:val="single"/>
        </w:rPr>
        <w:drawing>
          <wp:anchor distT="0" distB="0" distL="114300" distR="114300" simplePos="0" relativeHeight="251659264" behindDoc="1" locked="0" layoutInCell="1" allowOverlap="1" wp14:anchorId="5D5F5AAF" wp14:editId="2E26E0EA">
            <wp:simplePos x="0" y="0"/>
            <wp:positionH relativeFrom="column">
              <wp:posOffset>0</wp:posOffset>
            </wp:positionH>
            <wp:positionV relativeFrom="paragraph">
              <wp:posOffset>1270</wp:posOffset>
            </wp:positionV>
            <wp:extent cx="5732145" cy="2610271"/>
            <wp:effectExtent l="0" t="0" r="1905" b="0"/>
            <wp:wrapTight wrapText="bothSides">
              <wp:wrapPolygon edited="0">
                <wp:start x="0" y="0"/>
                <wp:lineTo x="0" y="21442"/>
                <wp:lineTo x="21535" y="21442"/>
                <wp:lineTo x="21535" y="0"/>
                <wp:lineTo x="0" y="0"/>
              </wp:wrapPolygon>
            </wp:wrapTight>
            <wp:docPr id="3" name="Picture 3" title="Figure 2: Kaplan-Meier plot of OS by Histology per IRT – ITT (all randomised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ra.PNG"/>
                    <pic:cNvPicPr/>
                  </pic:nvPicPr>
                  <pic:blipFill>
                    <a:blip r:embed="rId9"/>
                    <a:stretch>
                      <a:fillRect/>
                    </a:stretch>
                  </pic:blipFill>
                  <pic:spPr>
                    <a:xfrm>
                      <a:off x="0" y="0"/>
                      <a:ext cx="5732145" cy="2610271"/>
                    </a:xfrm>
                    <a:prstGeom prst="rect">
                      <a:avLst/>
                    </a:prstGeom>
                  </pic:spPr>
                </pic:pic>
              </a:graphicData>
            </a:graphic>
          </wp:anchor>
        </w:drawing>
      </w:r>
    </w:p>
    <w:p w:rsidR="005903EE" w:rsidRPr="00B24C99" w:rsidRDefault="005903EE" w:rsidP="005903EE">
      <w:pPr>
        <w:pStyle w:val="TableFigureFooter"/>
      </w:pPr>
      <w:r w:rsidRPr="00B24C99">
        <w:t>Chemo</w:t>
      </w:r>
      <w:r w:rsidR="00BB041B" w:rsidRPr="00B24C99">
        <w:t>,</w:t>
      </w:r>
      <w:r w:rsidRPr="00B24C99">
        <w:t xml:space="preserve"> pemetrexed plus cisplatin/carboplatin; CI</w:t>
      </w:r>
      <w:r w:rsidR="00BB041B" w:rsidRPr="00B24C99">
        <w:t>,</w:t>
      </w:r>
      <w:r w:rsidRPr="00B24C99">
        <w:t xml:space="preserve"> confidence interval; IPI</w:t>
      </w:r>
      <w:r w:rsidR="00BB041B" w:rsidRPr="00B24C99">
        <w:t>,</w:t>
      </w:r>
      <w:r w:rsidRPr="00B24C99">
        <w:t xml:space="preserve"> ipilimumab; IRT</w:t>
      </w:r>
      <w:r w:rsidR="00CB223B" w:rsidRPr="00B24C99">
        <w:t>,</w:t>
      </w:r>
      <w:r w:rsidRPr="00B24C99">
        <w:t xml:space="preserve"> interactive response technology; ITT</w:t>
      </w:r>
      <w:r w:rsidR="00CB223B" w:rsidRPr="00B24C99">
        <w:t>,</w:t>
      </w:r>
      <w:r w:rsidRPr="00B24C99">
        <w:t xml:space="preserve"> intention to treat; NIVO</w:t>
      </w:r>
      <w:r w:rsidR="00CB223B" w:rsidRPr="00B24C99">
        <w:t>,</w:t>
      </w:r>
      <w:r w:rsidRPr="00B24C99">
        <w:t xml:space="preserve"> nivolumab; OS</w:t>
      </w:r>
      <w:r w:rsidR="00CB223B" w:rsidRPr="00B24C99">
        <w:t>,</w:t>
      </w:r>
      <w:r w:rsidRPr="00B24C99">
        <w:t xml:space="preserve"> overall survival.</w:t>
      </w:r>
    </w:p>
    <w:p w:rsidR="00F569EC" w:rsidRPr="00B24C99" w:rsidRDefault="00F569EC" w:rsidP="00F569EC">
      <w:pPr>
        <w:pStyle w:val="TableFigureFooter"/>
      </w:pPr>
      <w:r w:rsidRPr="00B24C99">
        <w:t>Source: Figure 7.2.1-1, p84 of the CheckMate 743 CSR.</w:t>
      </w:r>
    </w:p>
    <w:p w:rsidR="00A53546" w:rsidRPr="00B24C99" w:rsidRDefault="00A53546" w:rsidP="001B29CF">
      <w:pPr>
        <w:pStyle w:val="3-BodyText"/>
        <w:numPr>
          <w:ilvl w:val="0"/>
          <w:numId w:val="0"/>
        </w:numPr>
        <w:ind w:left="720" w:hanging="720"/>
      </w:pPr>
    </w:p>
    <w:p w:rsidR="00034F4E" w:rsidRPr="00B24C99" w:rsidRDefault="00034F4E" w:rsidP="00034F4E">
      <w:pPr>
        <w:pStyle w:val="3-BodyText"/>
      </w:pPr>
      <w:r w:rsidRPr="00B24C99">
        <w:t xml:space="preserve">In CheckMate 743, randomisation was stratified according to tumour histology (epithelioid vs non-epithelioid [sarcomatoid or mixed histology subtypes]), and gender. A secondary objective was to assess whether PD-L1 expression is a predictive biomarker for the objective response rate (ORR), progression free survival (PFS), and OS. </w:t>
      </w:r>
    </w:p>
    <w:p w:rsidR="007C220D" w:rsidRPr="00B24C99" w:rsidRDefault="007C220D" w:rsidP="00A24F2C">
      <w:pPr>
        <w:pStyle w:val="3-BodyText"/>
      </w:pPr>
      <w:r w:rsidRPr="00B24C99">
        <w:t>The NIVO+IPI arm demonstrated statistically significant improvements in OS compared with the pemetrexed-based chemotherapy arm only for the subgroup with non-epithelioid histology (HR 0.46, 95% CI 0.31-0.70), and not for those with epithelioid histology (HR 0.85, 95% CI 0.6</w:t>
      </w:r>
      <w:r w:rsidR="00150571" w:rsidRPr="00B24C99">
        <w:t>8</w:t>
      </w:r>
      <w:r w:rsidRPr="00B24C99">
        <w:t xml:space="preserve">-1.06). </w:t>
      </w:r>
      <w:r w:rsidR="00A24F2C" w:rsidRPr="00B24C99">
        <w:t xml:space="preserve">The PSCR noted CheckMate 743 was not powered to detect an improvement in OS in histological subgroups. The PSCR stated the median OS in the pembrolizumab arm was similar across the histological subgroups (16.9 months in non-epithelioid, 18.7 months in epithelioid). In contrast, patients treated with chemotherapy reported substantial variation in median OS </w:t>
      </w:r>
      <w:r w:rsidR="0058391B" w:rsidRPr="00B24C99">
        <w:t xml:space="preserve">benefit </w:t>
      </w:r>
      <w:r w:rsidR="00A24F2C" w:rsidRPr="00B24C99">
        <w:t>(8.8 months in non-epithelioid, 16.2 months in epithelioid</w:t>
      </w:r>
      <w:r w:rsidR="0058391B" w:rsidRPr="00B24C99">
        <w:t xml:space="preserve">), consistent with histology predicting a response to chemotherapy. </w:t>
      </w:r>
      <w:r w:rsidR="00394ACE" w:rsidRPr="00B24C99">
        <w:t>The ESC considered a variable response to chemotherapy did not adequately address the concerns regarding the variability of response to immune checkpoint inhibitors</w:t>
      </w:r>
      <w:r w:rsidR="0026617C" w:rsidRPr="00B24C99">
        <w:t>.</w:t>
      </w:r>
      <w:r w:rsidR="0026617C" w:rsidRPr="00B24C99">
        <w:rPr>
          <w:i/>
        </w:rPr>
        <w:t xml:space="preserve"> </w:t>
      </w:r>
      <w:r w:rsidRPr="00B24C99">
        <w:t>PD-L1 positive tumours (</w:t>
      </w:r>
      <w:r w:rsidRPr="00B24C99">
        <w:rPr>
          <w:rFonts w:cs="Calibri"/>
        </w:rPr>
        <w:t>≥</w:t>
      </w:r>
      <w:r w:rsidRPr="00B24C99">
        <w:t xml:space="preserve"> 1%) </w:t>
      </w:r>
      <w:r w:rsidR="00EB54B0">
        <w:t xml:space="preserve">were associated with </w:t>
      </w:r>
      <w:r w:rsidRPr="00B24C99">
        <w:t>predicted improvement with NIVO+IPI over pemetrexed-based chemotherapy (HR 0.69, 95% CI 0.55 – 0.87); while results for the complement (PD-L1 expression &lt;1%) did not reach statistical significance (HR 0.94, 95% CI 0.62, 1.40).</w:t>
      </w:r>
    </w:p>
    <w:p w:rsidR="00034F4E" w:rsidRPr="00B24C99" w:rsidRDefault="00034F4E" w:rsidP="00034F4E">
      <w:pPr>
        <w:pStyle w:val="3-BodyText"/>
      </w:pPr>
      <w:r w:rsidRPr="00B24C99">
        <w:t>The submission claimed that the histology of patients in CheckMate 743 was consistent with Australian patients, based on data from Nowak et al</w:t>
      </w:r>
      <w:r w:rsidR="000742D9" w:rsidRPr="00B24C99">
        <w:t>.</w:t>
      </w:r>
      <w:r w:rsidRPr="00B24C99">
        <w:t xml:space="preserve"> 2020 and Metaxas et al</w:t>
      </w:r>
      <w:r w:rsidR="000742D9" w:rsidRPr="00B24C99">
        <w:t>.</w:t>
      </w:r>
      <w:r w:rsidRPr="00B24C99">
        <w:t xml:space="preserve"> 2018</w:t>
      </w:r>
      <w:r w:rsidR="00B24C99">
        <w:t xml:space="preserve">. </w:t>
      </w:r>
      <w:r w:rsidRPr="00B24C99">
        <w:t xml:space="preserve">However, based on other Australian sources reviewed during the </w:t>
      </w:r>
      <w:r w:rsidRPr="00B24C99">
        <w:lastRenderedPageBreak/>
        <w:t>evaluation, the split between epithelioid and non-epithelioid histology may be more even in Australia, with the Australian Mesothelioma Registry (which has been tracking all newly diagnosed patients since 2010) reporting a split close to 50/50</w:t>
      </w:r>
      <w:r w:rsidR="00B24C99">
        <w:t xml:space="preserve">. </w:t>
      </w:r>
      <w:r w:rsidR="00E04215" w:rsidRPr="00B24C99">
        <w:t>The ESC considered that, in clinical practice, the proportion of patients with non-</w:t>
      </w:r>
      <w:r w:rsidR="00886D89" w:rsidRPr="00B24C99">
        <w:t>epithelioid</w:t>
      </w:r>
      <w:r w:rsidR="00E04215" w:rsidRPr="00B24C99">
        <w:t xml:space="preserve"> histology was likely to be </w:t>
      </w:r>
      <w:r w:rsidR="00786337" w:rsidRPr="00B24C99">
        <w:t xml:space="preserve">around 50%, rather </w:t>
      </w:r>
      <w:r w:rsidR="00E04215" w:rsidRPr="00B24C99">
        <w:t xml:space="preserve">than </w:t>
      </w:r>
      <w:r w:rsidR="00786337" w:rsidRPr="00B24C99">
        <w:t>the 22%</w:t>
      </w:r>
      <w:r w:rsidR="007C1677" w:rsidRPr="00B24C99">
        <w:t xml:space="preserve"> seen</w:t>
      </w:r>
      <w:r w:rsidR="00786337" w:rsidRPr="00B24C99">
        <w:t xml:space="preserve"> in CheckMate 743.</w:t>
      </w:r>
    </w:p>
    <w:p w:rsidR="001B29CF" w:rsidRPr="00B24C99" w:rsidRDefault="00756AC3" w:rsidP="001B29CF">
      <w:pPr>
        <w:pStyle w:val="3-BodyText"/>
      </w:pPr>
      <w:r w:rsidRPr="00B24C99">
        <w:t>I</w:t>
      </w:r>
      <w:r w:rsidR="004313EF" w:rsidRPr="00B24C99">
        <w:t xml:space="preserve">n CheckMate 743, HRs for OS favoured (HR&lt;1) NIVO+IPI </w:t>
      </w:r>
      <w:r w:rsidR="00B379E4" w:rsidRPr="00B24C99">
        <w:t xml:space="preserve">over </w:t>
      </w:r>
      <w:r w:rsidR="004313EF" w:rsidRPr="00B24C99">
        <w:t xml:space="preserve">chemotherapy in the pre-defined subgroups with the exception of subjects with age </w:t>
      </w:r>
      <w:r w:rsidR="004313EF" w:rsidRPr="00B24C99">
        <w:rPr>
          <w:rFonts w:cs="Calibri"/>
        </w:rPr>
        <w:t>≥</w:t>
      </w:r>
      <w:r w:rsidR="004313EF" w:rsidRPr="00B24C99">
        <w:t>75 years, Stage I/II disease, and subjects who received prior radiotherapy.</w:t>
      </w:r>
      <w:r w:rsidR="00B379E4" w:rsidRPr="00B24C99">
        <w:t xml:space="preserve"> </w:t>
      </w:r>
      <w:bookmarkStart w:id="26" w:name="_Hlk61248969"/>
      <w:r w:rsidR="00B379E4" w:rsidRPr="00B24C99">
        <w:t>These results however are not conclusive as the trial was not powered to detect OS differences in th</w:t>
      </w:r>
      <w:r w:rsidR="0056109B" w:rsidRPr="00B24C99">
        <w:t>e individual</w:t>
      </w:r>
      <w:r w:rsidR="00B379E4" w:rsidRPr="00B24C99">
        <w:t xml:space="preserve"> subgroups.</w:t>
      </w:r>
      <w:r w:rsidR="00892E98" w:rsidRPr="00B24C99">
        <w:t xml:space="preserve"> The PBAC noted </w:t>
      </w:r>
      <w:r w:rsidR="00CD0317">
        <w:t>that the evidence for</w:t>
      </w:r>
      <w:r w:rsidR="00892E98" w:rsidRPr="00B24C99">
        <w:t xml:space="preserve"> </w:t>
      </w:r>
      <w:r w:rsidR="00CD0317">
        <w:t xml:space="preserve">benefit in </w:t>
      </w:r>
      <w:r w:rsidR="00892E98" w:rsidRPr="00B24C99">
        <w:t xml:space="preserve">people aged 75 years or older </w:t>
      </w:r>
      <w:r w:rsidR="00CD0317">
        <w:t xml:space="preserve">was highly uncertain </w:t>
      </w:r>
      <w:r w:rsidR="00892E98" w:rsidRPr="00B24C99">
        <w:t xml:space="preserve">(HR for OS 1.02 (95% CI: 0.70, 1.48)) and </w:t>
      </w:r>
      <w:r w:rsidR="00AD489C" w:rsidRPr="00B24C99">
        <w:t xml:space="preserve">this </w:t>
      </w:r>
      <w:r w:rsidR="00892E98" w:rsidRPr="00B24C99">
        <w:t xml:space="preserve">was consistent with previous considerations </w:t>
      </w:r>
      <w:r w:rsidR="00AD489C" w:rsidRPr="00B24C99">
        <w:t xml:space="preserve">of immunotherapy </w:t>
      </w:r>
      <w:r w:rsidR="00892E98" w:rsidRPr="00B24C99">
        <w:t xml:space="preserve">in NSCLC. The PBAC noted the median age of diagnosis for MPM in Australia was 75 years and </w:t>
      </w:r>
      <w:r w:rsidR="00AD489C" w:rsidRPr="00B24C99">
        <w:t xml:space="preserve">considered the </w:t>
      </w:r>
      <w:r w:rsidR="00A25B48" w:rsidRPr="00B24C99">
        <w:t>average improvement in OS</w:t>
      </w:r>
      <w:r w:rsidR="00892E98" w:rsidRPr="00B24C99">
        <w:t xml:space="preserve"> of NIVO + IPI</w:t>
      </w:r>
      <w:r w:rsidR="00AD489C" w:rsidRPr="00B24C99">
        <w:t xml:space="preserve"> observed in CheckMate 743 may not be fully</w:t>
      </w:r>
      <w:r w:rsidR="00892E98" w:rsidRPr="00B24C99">
        <w:t xml:space="preserve"> realised in clinical practice</w:t>
      </w:r>
      <w:r w:rsidR="00B24C99">
        <w:t xml:space="preserve">. </w:t>
      </w:r>
    </w:p>
    <w:bookmarkEnd w:id="26"/>
    <w:p w:rsidR="00D96BF7" w:rsidRPr="00B24C99" w:rsidRDefault="00D96BF7" w:rsidP="00D96BF7">
      <w:pPr>
        <w:pStyle w:val="3-BodyText"/>
      </w:pPr>
      <w:r w:rsidRPr="00B24C99">
        <w:t xml:space="preserve">The Kaplan-Meier curve for PFS is presented in Figure </w:t>
      </w:r>
      <w:r w:rsidR="00835205" w:rsidRPr="00B24C99">
        <w:t>3</w:t>
      </w:r>
      <w:r w:rsidR="00B24C99">
        <w:t xml:space="preserve">. </w:t>
      </w:r>
    </w:p>
    <w:p w:rsidR="003A1840" w:rsidRPr="00B24C99" w:rsidRDefault="003A1840" w:rsidP="00E753FC">
      <w:pPr>
        <w:pStyle w:val="TableFigureHeading"/>
        <w:keepLines/>
      </w:pPr>
      <w:r w:rsidRPr="00B24C99">
        <w:t xml:space="preserve">Figure </w:t>
      </w:r>
      <w:r w:rsidR="00835205" w:rsidRPr="00B24C99">
        <w:t>3</w:t>
      </w:r>
      <w:r w:rsidRPr="00B24C99">
        <w:t>: Kaplan-Meier plot of PFS – NIVO+IPI vs pemetrexed-based chemotherapy (ITT)</w:t>
      </w:r>
    </w:p>
    <w:p w:rsidR="003A1840" w:rsidRPr="00B24C99" w:rsidRDefault="003A1840" w:rsidP="00E753FC">
      <w:pPr>
        <w:keepNext/>
        <w:keepLines/>
      </w:pPr>
      <w:r w:rsidRPr="00B24C99">
        <w:rPr>
          <w:noProof/>
        </w:rPr>
        <w:drawing>
          <wp:inline distT="0" distB="0" distL="0" distR="0" wp14:anchorId="371B827A" wp14:editId="35694814">
            <wp:extent cx="5731510" cy="3536950"/>
            <wp:effectExtent l="0" t="0" r="2540" b="6350"/>
            <wp:docPr id="2" name="Picture 2" title="Figure 3: Kaplan-Meier plot of PFS – NIVO+IPI vs pemetrexed-based chemotherapy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536950"/>
                    </a:xfrm>
                    <a:prstGeom prst="rect">
                      <a:avLst/>
                    </a:prstGeom>
                  </pic:spPr>
                </pic:pic>
              </a:graphicData>
            </a:graphic>
          </wp:inline>
        </w:drawing>
      </w:r>
    </w:p>
    <w:p w:rsidR="005B47EF" w:rsidRPr="00B24C99" w:rsidRDefault="005B47EF" w:rsidP="00E753FC">
      <w:pPr>
        <w:pStyle w:val="TableFigureFooter"/>
        <w:keepNext/>
        <w:keepLines/>
      </w:pPr>
      <w:r w:rsidRPr="00B24C99">
        <w:t>BICR, blinded independent central review; Chemo, pemetrexed plus cisplatin/carboplatin; CI, confidence interval; IPI, ipilimumab; ITT, intention to treat; NIVO, nivolumab; PFS, progression-free survival.</w:t>
      </w:r>
    </w:p>
    <w:p w:rsidR="003A1840" w:rsidRPr="00B24C99" w:rsidRDefault="003A1840" w:rsidP="00E753FC">
      <w:pPr>
        <w:pStyle w:val="TableFigureFooter"/>
        <w:keepNext/>
        <w:keepLines/>
      </w:pPr>
      <w:r w:rsidRPr="00B24C99">
        <w:t>Source: Figure 12, p87 of the submission.</w:t>
      </w:r>
    </w:p>
    <w:p w:rsidR="009F00B1" w:rsidRPr="00B24C99" w:rsidRDefault="00DC752B" w:rsidP="009F00B1">
      <w:pPr>
        <w:pStyle w:val="3-BodyText"/>
      </w:pPr>
      <w:r w:rsidRPr="00B24C99">
        <w:t xml:space="preserve">Median </w:t>
      </w:r>
      <w:r w:rsidRPr="00B24C99">
        <w:rPr>
          <w:rFonts w:cs="Calibri"/>
        </w:rPr>
        <w:t>PFS as assessed by BICR, truncated at subsequent therapy (primary definition) was similar between treatment groups (6.8 months versus 7.2 months for NIVO+IPI and pemetrexed-based chemotherapy, respectively)</w:t>
      </w:r>
      <w:r w:rsidR="00047DB3" w:rsidRPr="00B24C99">
        <w:rPr>
          <w:rFonts w:cs="Calibri"/>
        </w:rPr>
        <w:t xml:space="preserve"> (</w:t>
      </w:r>
      <w:r w:rsidRPr="00B24C99">
        <w:rPr>
          <w:rFonts w:cs="Calibri"/>
        </w:rPr>
        <w:t>HR 1.00</w:t>
      </w:r>
      <w:r w:rsidR="00047DB3" w:rsidRPr="00B24C99">
        <w:rPr>
          <w:rFonts w:cs="Calibri"/>
        </w:rPr>
        <w:t xml:space="preserve">, </w:t>
      </w:r>
      <w:r w:rsidRPr="00B24C99">
        <w:rPr>
          <w:rFonts w:cs="Calibri"/>
        </w:rPr>
        <w:t>95% CI 0.82</w:t>
      </w:r>
      <w:r w:rsidR="00047DB3" w:rsidRPr="00B24C99">
        <w:rPr>
          <w:rFonts w:cs="Calibri"/>
        </w:rPr>
        <w:t>-</w:t>
      </w:r>
      <w:r w:rsidRPr="00B24C99">
        <w:rPr>
          <w:rFonts w:cs="Calibri"/>
        </w:rPr>
        <w:t>1.21)</w:t>
      </w:r>
      <w:r w:rsidR="00B24C99">
        <w:rPr>
          <w:rFonts w:cs="Calibri"/>
        </w:rPr>
        <w:t xml:space="preserve">. </w:t>
      </w:r>
      <w:r w:rsidRPr="00B24C99">
        <w:rPr>
          <w:rFonts w:cs="Calibri"/>
        </w:rPr>
        <w:t>No statistically significant difference for PFS was observed</w:t>
      </w:r>
      <w:r w:rsidR="00B24C99">
        <w:rPr>
          <w:rFonts w:cs="Calibri"/>
        </w:rPr>
        <w:t xml:space="preserve">. </w:t>
      </w:r>
      <w:r w:rsidRPr="00B24C99">
        <w:rPr>
          <w:rFonts w:cs="Calibri"/>
        </w:rPr>
        <w:t xml:space="preserve">The Kaplan-Meier curves for </w:t>
      </w:r>
      <w:r w:rsidRPr="00B24C99">
        <w:rPr>
          <w:rFonts w:cs="Calibri"/>
        </w:rPr>
        <w:lastRenderedPageBreak/>
        <w:t>PFS showed an advantage for chemotherapy during the initial part of the curve with the curves crossing at approximately 8 months and then subsequently favouring NIVO+IPI</w:t>
      </w:r>
      <w:r w:rsidR="00B24C99">
        <w:rPr>
          <w:rFonts w:cs="Calibri"/>
        </w:rPr>
        <w:t xml:space="preserve">. </w:t>
      </w:r>
    </w:p>
    <w:p w:rsidR="00DB040E" w:rsidRPr="00B24C99" w:rsidRDefault="00DB040E" w:rsidP="00084810">
      <w:pPr>
        <w:pStyle w:val="3-BodyText"/>
      </w:pPr>
      <w:r w:rsidRPr="00B24C99">
        <w:t>Objective response rate (ORR) was similar between both treatment arms</w:t>
      </w:r>
      <w:r w:rsidR="00B24C99">
        <w:t xml:space="preserve">. </w:t>
      </w:r>
      <w:r w:rsidRPr="00B24C99">
        <w:t>The disease control rate (DCR) was lower for NIVO+IPI compared to pemetrexed-based chemotherapy</w:t>
      </w:r>
      <w:r w:rsidR="00B24C99">
        <w:t xml:space="preserve">. </w:t>
      </w:r>
      <w:r w:rsidRPr="00B24C99">
        <w:t xml:space="preserve">While the median time to response was similar for NIVO+IPI and pemetrexed-based chemotherapy, the duration of response was longer for NIVO+IPI compared with pemetrexed-based chemotherapy (11.0 months versus 6.7 months). </w:t>
      </w:r>
    </w:p>
    <w:p w:rsidR="00084810" w:rsidRPr="00B24C99" w:rsidRDefault="00D23FF8" w:rsidP="00CB223B">
      <w:pPr>
        <w:pStyle w:val="3-BodyText"/>
      </w:pPr>
      <w:r w:rsidRPr="00B24C99">
        <w:t xml:space="preserve">Improvements were observed in HRQoL for </w:t>
      </w:r>
      <w:r w:rsidR="00084810" w:rsidRPr="00B24C99">
        <w:t xml:space="preserve">NIVO+IPI </w:t>
      </w:r>
      <w:r w:rsidRPr="00B24C99">
        <w:t xml:space="preserve">patients over those who received pemetrexed-based </w:t>
      </w:r>
      <w:r w:rsidR="00084810" w:rsidRPr="00B24C99">
        <w:t xml:space="preserve">chemotherapy, as measured by the EQ-5D-3L utility index and VAS scores, and LCSS-Meso </w:t>
      </w:r>
      <w:r w:rsidR="00175A73" w:rsidRPr="00B24C99">
        <w:t>(</w:t>
      </w:r>
      <w:r w:rsidR="00175A73" w:rsidRPr="00B24C99">
        <w:rPr>
          <w:rFonts w:cstheme="minorHAnsi"/>
        </w:rPr>
        <w:t xml:space="preserve">mesothelioma adaptation of the Lung Cancer Symptom Score) </w:t>
      </w:r>
      <w:r w:rsidR="00084810" w:rsidRPr="00B24C99">
        <w:t>scales</w:t>
      </w:r>
      <w:r w:rsidR="00B24C99">
        <w:t xml:space="preserve">. </w:t>
      </w:r>
      <w:r w:rsidR="00CF3F18" w:rsidRPr="00B24C99">
        <w:t xml:space="preserve">However, </w:t>
      </w:r>
      <w:r w:rsidRPr="00B24C99">
        <w:t>the HRQOL results were informed by very small</w:t>
      </w:r>
      <w:r w:rsidR="00CF3F18" w:rsidRPr="00B24C99">
        <w:t xml:space="preserve"> patient numbers over time</w:t>
      </w:r>
      <w:r w:rsidR="00B24C99">
        <w:t xml:space="preserve">. </w:t>
      </w:r>
      <w:r w:rsidRPr="00B24C99">
        <w:t>T</w:t>
      </w:r>
      <w:r w:rsidR="00CB223B" w:rsidRPr="00B24C99">
        <w:rPr>
          <w:rFonts w:cs="Calibri"/>
        </w:rPr>
        <w:t xml:space="preserve">here were no consistent long-term utility difference across the various HRQoL outcome measures, </w:t>
      </w:r>
      <w:r w:rsidRPr="00B24C99">
        <w:rPr>
          <w:rFonts w:cs="Calibri"/>
        </w:rPr>
        <w:t xml:space="preserve">and </w:t>
      </w:r>
      <w:r w:rsidR="00CB223B" w:rsidRPr="00B24C99">
        <w:t>these results are not considered conclusive.</w:t>
      </w:r>
    </w:p>
    <w:p w:rsidR="00DD380E" w:rsidRPr="00B24C99" w:rsidRDefault="00DD380E" w:rsidP="00C64EB0">
      <w:pPr>
        <w:pStyle w:val="3-BodyText"/>
      </w:pPr>
      <w:r w:rsidRPr="00B24C99">
        <w:t>The results for OS and PFS in the second-</w:t>
      </w:r>
      <w:r w:rsidR="00020CBD" w:rsidRPr="00B24C99">
        <w:t xml:space="preserve"> or later-</w:t>
      </w:r>
      <w:r w:rsidRPr="00B24C99">
        <w:t>line studies are presented in the table below.</w:t>
      </w:r>
    </w:p>
    <w:p w:rsidR="00DD380E" w:rsidRPr="00B24C99" w:rsidRDefault="00DD380E" w:rsidP="00DD380E">
      <w:pPr>
        <w:keepNext/>
        <w:keepLines/>
        <w:rPr>
          <w:rStyle w:val="CommentReference"/>
        </w:rPr>
      </w:pPr>
      <w:r w:rsidRPr="00B24C99">
        <w:rPr>
          <w:rStyle w:val="CommentReference"/>
        </w:rPr>
        <w:t xml:space="preserve">Table </w:t>
      </w:r>
      <w:r w:rsidR="00A93999" w:rsidRPr="00B24C99">
        <w:rPr>
          <w:rStyle w:val="CommentReference"/>
        </w:rPr>
        <w:t>7</w:t>
      </w:r>
      <w:r w:rsidRPr="00B24C99">
        <w:rPr>
          <w:rStyle w:val="CommentReference"/>
        </w:rPr>
        <w:t xml:space="preserve">: Summary of </w:t>
      </w:r>
      <w:r w:rsidR="00B808C3" w:rsidRPr="00B24C99">
        <w:rPr>
          <w:rStyle w:val="CommentReference"/>
        </w:rPr>
        <w:t>OS results from</w:t>
      </w:r>
      <w:r w:rsidRPr="00B24C99">
        <w:rPr>
          <w:rStyle w:val="CommentReference"/>
        </w:rPr>
        <w:t xml:space="preserve"> second</w:t>
      </w:r>
      <w:r w:rsidR="00AB2541" w:rsidRPr="00B24C99">
        <w:rPr>
          <w:rStyle w:val="CommentReference"/>
        </w:rPr>
        <w:t>- or later</w:t>
      </w:r>
      <w:r w:rsidRPr="00B24C99">
        <w:rPr>
          <w:rStyle w:val="CommentReference"/>
        </w:rPr>
        <w:t>-line studies (first-line CheckMate 743 included for comparison purposes)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0"/>
        <w:gridCol w:w="1459"/>
        <w:gridCol w:w="1309"/>
        <w:gridCol w:w="1244"/>
        <w:gridCol w:w="1323"/>
        <w:gridCol w:w="1087"/>
        <w:gridCol w:w="1134"/>
      </w:tblGrid>
      <w:tr w:rsidR="00DD380E" w:rsidRPr="00B24C99" w:rsidTr="009A75AF">
        <w:tc>
          <w:tcPr>
            <w:tcW w:w="1370" w:type="dxa"/>
            <w:vMerge w:val="restart"/>
            <w:vAlign w:val="center"/>
          </w:tcPr>
          <w:p w:rsidR="00DD380E" w:rsidRPr="00B24C99" w:rsidRDefault="00DD380E" w:rsidP="00DF2E85">
            <w:pPr>
              <w:pStyle w:val="In-tableHeading"/>
              <w:keepLines/>
              <w:rPr>
                <w:lang w:val="en-AU"/>
              </w:rPr>
            </w:pPr>
            <w:r w:rsidRPr="00B24C99">
              <w:rPr>
                <w:lang w:val="en-AU"/>
              </w:rPr>
              <w:t>Outcome</w:t>
            </w:r>
          </w:p>
        </w:tc>
        <w:tc>
          <w:tcPr>
            <w:tcW w:w="1459" w:type="dxa"/>
            <w:shd w:val="clear" w:color="auto" w:fill="auto"/>
          </w:tcPr>
          <w:p w:rsidR="00DD380E" w:rsidRPr="00B24C99" w:rsidRDefault="00DD380E" w:rsidP="00DF2E85">
            <w:pPr>
              <w:pStyle w:val="In-tableHeading"/>
              <w:keepLines/>
              <w:jc w:val="center"/>
              <w:rPr>
                <w:lang w:val="en-AU"/>
              </w:rPr>
            </w:pPr>
            <w:r w:rsidRPr="00B24C99">
              <w:rPr>
                <w:lang w:val="en-AU"/>
              </w:rPr>
              <w:t>1</w:t>
            </w:r>
            <w:r w:rsidRPr="00B24C99">
              <w:rPr>
                <w:vertAlign w:val="superscript"/>
                <w:lang w:val="en-AU"/>
              </w:rPr>
              <w:t>st</w:t>
            </w:r>
            <w:r w:rsidRPr="00B24C99">
              <w:rPr>
                <w:lang w:val="en-AU"/>
              </w:rPr>
              <w:t xml:space="preserve"> line</w:t>
            </w:r>
          </w:p>
        </w:tc>
        <w:tc>
          <w:tcPr>
            <w:tcW w:w="6097" w:type="dxa"/>
            <w:gridSpan w:val="5"/>
            <w:vAlign w:val="center"/>
          </w:tcPr>
          <w:p w:rsidR="00DD380E" w:rsidRPr="00B24C99" w:rsidRDefault="00DD380E" w:rsidP="00DF2E85">
            <w:pPr>
              <w:pStyle w:val="In-tableHeading"/>
              <w:keepLines/>
              <w:jc w:val="center"/>
              <w:rPr>
                <w:lang w:val="en-AU"/>
              </w:rPr>
            </w:pPr>
            <w:r w:rsidRPr="00B24C99">
              <w:rPr>
                <w:lang w:val="en-AU"/>
              </w:rPr>
              <w:t>2</w:t>
            </w:r>
            <w:r w:rsidRPr="00B24C99">
              <w:rPr>
                <w:vertAlign w:val="superscript"/>
                <w:lang w:val="en-AU"/>
              </w:rPr>
              <w:t>nd</w:t>
            </w:r>
            <w:r w:rsidRPr="00B24C99">
              <w:rPr>
                <w:lang w:val="en-AU"/>
              </w:rPr>
              <w:t xml:space="preserve"> </w:t>
            </w:r>
            <w:r w:rsidR="00020CBD" w:rsidRPr="00B24C99">
              <w:rPr>
                <w:lang w:val="en-AU"/>
              </w:rPr>
              <w:t>or later-</w:t>
            </w:r>
            <w:r w:rsidRPr="00B24C99">
              <w:rPr>
                <w:lang w:val="en-AU"/>
              </w:rPr>
              <w:t>line evidence</w:t>
            </w:r>
          </w:p>
        </w:tc>
      </w:tr>
      <w:tr w:rsidR="00DD380E" w:rsidRPr="00B24C99" w:rsidTr="009A75AF">
        <w:tc>
          <w:tcPr>
            <w:tcW w:w="1370" w:type="dxa"/>
            <w:vMerge/>
            <w:vAlign w:val="center"/>
          </w:tcPr>
          <w:p w:rsidR="00DD380E" w:rsidRPr="00B24C99" w:rsidRDefault="00DD380E" w:rsidP="00DF2E85">
            <w:pPr>
              <w:pStyle w:val="In-tableHeading"/>
              <w:keepLines/>
              <w:rPr>
                <w:lang w:val="en-AU"/>
              </w:rPr>
            </w:pPr>
          </w:p>
        </w:tc>
        <w:tc>
          <w:tcPr>
            <w:tcW w:w="1459" w:type="dxa"/>
            <w:shd w:val="clear" w:color="auto" w:fill="auto"/>
          </w:tcPr>
          <w:p w:rsidR="00DD380E" w:rsidRPr="00B24C99" w:rsidRDefault="00DD380E" w:rsidP="00DF2E85">
            <w:pPr>
              <w:pStyle w:val="In-tableHeading"/>
              <w:keepLines/>
              <w:jc w:val="center"/>
              <w:rPr>
                <w:lang w:val="en-AU"/>
              </w:rPr>
            </w:pPr>
            <w:r w:rsidRPr="00B24C99">
              <w:rPr>
                <w:lang w:val="en-AU"/>
              </w:rPr>
              <w:t>CheckMate 743</w:t>
            </w:r>
          </w:p>
        </w:tc>
        <w:tc>
          <w:tcPr>
            <w:tcW w:w="2553" w:type="dxa"/>
            <w:gridSpan w:val="2"/>
            <w:vAlign w:val="center"/>
          </w:tcPr>
          <w:p w:rsidR="00DD380E" w:rsidRPr="00B24C99" w:rsidRDefault="00DD380E" w:rsidP="00DF2E85">
            <w:pPr>
              <w:pStyle w:val="In-tableHeading"/>
              <w:keepLines/>
              <w:jc w:val="center"/>
              <w:rPr>
                <w:lang w:val="en-AU"/>
              </w:rPr>
            </w:pPr>
            <w:r w:rsidRPr="00B24C99">
              <w:rPr>
                <w:lang w:val="en-AU"/>
              </w:rPr>
              <w:t>MAPS2</w:t>
            </w:r>
          </w:p>
        </w:tc>
        <w:tc>
          <w:tcPr>
            <w:tcW w:w="1323" w:type="dxa"/>
            <w:vAlign w:val="center"/>
          </w:tcPr>
          <w:p w:rsidR="00DD380E" w:rsidRPr="00B24C99" w:rsidRDefault="00DD380E" w:rsidP="00DF2E85">
            <w:pPr>
              <w:pStyle w:val="In-tableHeading"/>
              <w:keepLines/>
              <w:jc w:val="center"/>
              <w:rPr>
                <w:lang w:val="en-AU"/>
              </w:rPr>
            </w:pPr>
            <w:r w:rsidRPr="00B24C99">
              <w:rPr>
                <w:lang w:val="en-AU"/>
              </w:rPr>
              <w:t>INITIATE</w:t>
            </w:r>
          </w:p>
        </w:tc>
        <w:tc>
          <w:tcPr>
            <w:tcW w:w="2221" w:type="dxa"/>
            <w:gridSpan w:val="2"/>
            <w:vAlign w:val="center"/>
          </w:tcPr>
          <w:p w:rsidR="00DD380E" w:rsidRPr="00B24C99" w:rsidRDefault="00DD380E" w:rsidP="00DF2E85">
            <w:pPr>
              <w:pStyle w:val="In-tableHeading"/>
              <w:keepLines/>
              <w:jc w:val="center"/>
              <w:rPr>
                <w:lang w:val="en-AU"/>
              </w:rPr>
            </w:pPr>
            <w:r w:rsidRPr="00B24C99">
              <w:rPr>
                <w:lang w:val="en-AU"/>
              </w:rPr>
              <w:t>Jassem 2008</w:t>
            </w:r>
          </w:p>
        </w:tc>
      </w:tr>
      <w:tr w:rsidR="00DD380E" w:rsidRPr="00B24C99" w:rsidTr="009A75AF">
        <w:tc>
          <w:tcPr>
            <w:tcW w:w="1370" w:type="dxa"/>
            <w:vMerge/>
            <w:vAlign w:val="center"/>
          </w:tcPr>
          <w:p w:rsidR="00DD380E" w:rsidRPr="00B24C99" w:rsidRDefault="00DD380E" w:rsidP="00DF2E85">
            <w:pPr>
              <w:pStyle w:val="In-tableHeading"/>
              <w:keepLines/>
              <w:rPr>
                <w:lang w:val="en-AU"/>
              </w:rPr>
            </w:pPr>
          </w:p>
        </w:tc>
        <w:tc>
          <w:tcPr>
            <w:tcW w:w="1459" w:type="dxa"/>
            <w:shd w:val="clear" w:color="auto" w:fill="auto"/>
            <w:vAlign w:val="center"/>
          </w:tcPr>
          <w:p w:rsidR="00DD380E" w:rsidRPr="00B24C99" w:rsidRDefault="00DD380E" w:rsidP="00DF2E85">
            <w:pPr>
              <w:pStyle w:val="In-tableHeading"/>
              <w:keepLines/>
              <w:jc w:val="center"/>
              <w:rPr>
                <w:lang w:val="en-AU"/>
              </w:rPr>
            </w:pPr>
            <w:r w:rsidRPr="00B24C99">
              <w:rPr>
                <w:lang w:val="en-AU"/>
              </w:rPr>
              <w:t xml:space="preserve">NIVO+IPI </w:t>
            </w:r>
          </w:p>
          <w:p w:rsidR="00DD380E" w:rsidRPr="00B24C99" w:rsidRDefault="00DD380E" w:rsidP="00DF2E85">
            <w:pPr>
              <w:pStyle w:val="In-tableHeading"/>
              <w:keepLines/>
              <w:jc w:val="center"/>
              <w:rPr>
                <w:lang w:val="en-AU"/>
              </w:rPr>
            </w:pPr>
            <w:r w:rsidRPr="00B24C99">
              <w:rPr>
                <w:lang w:val="en-AU"/>
              </w:rPr>
              <w:t>N=303</w:t>
            </w:r>
          </w:p>
        </w:tc>
        <w:tc>
          <w:tcPr>
            <w:tcW w:w="1309" w:type="dxa"/>
            <w:vAlign w:val="center"/>
          </w:tcPr>
          <w:p w:rsidR="00DD380E" w:rsidRPr="00B24C99" w:rsidRDefault="00DD380E" w:rsidP="00DF2E85">
            <w:pPr>
              <w:pStyle w:val="In-tableHeading"/>
              <w:keepLines/>
              <w:jc w:val="center"/>
              <w:rPr>
                <w:lang w:val="en-AU"/>
              </w:rPr>
            </w:pPr>
            <w:r w:rsidRPr="00B24C99">
              <w:rPr>
                <w:lang w:val="en-AU"/>
              </w:rPr>
              <w:t xml:space="preserve">NIVO+IPI </w:t>
            </w:r>
          </w:p>
          <w:p w:rsidR="00DD380E" w:rsidRPr="00B24C99" w:rsidRDefault="00DD380E" w:rsidP="00DF2E85">
            <w:pPr>
              <w:pStyle w:val="In-tableHeading"/>
              <w:keepLines/>
              <w:jc w:val="center"/>
              <w:rPr>
                <w:lang w:val="en-AU"/>
              </w:rPr>
            </w:pPr>
            <w:r w:rsidRPr="00B24C99">
              <w:rPr>
                <w:lang w:val="en-AU"/>
              </w:rPr>
              <w:t>N=62</w:t>
            </w:r>
          </w:p>
        </w:tc>
        <w:tc>
          <w:tcPr>
            <w:tcW w:w="1244" w:type="dxa"/>
            <w:shd w:val="clear" w:color="auto" w:fill="D9D9D9" w:themeFill="background1" w:themeFillShade="D9"/>
            <w:vAlign w:val="center"/>
          </w:tcPr>
          <w:p w:rsidR="00DD380E" w:rsidRPr="00B24C99" w:rsidRDefault="00DD380E" w:rsidP="00DF2E85">
            <w:pPr>
              <w:pStyle w:val="In-tableHeading"/>
              <w:keepLines/>
              <w:jc w:val="center"/>
              <w:rPr>
                <w:lang w:val="en-AU"/>
              </w:rPr>
            </w:pPr>
            <w:r w:rsidRPr="00B24C99">
              <w:rPr>
                <w:lang w:val="en-AU"/>
              </w:rPr>
              <w:t>NIVO mono</w:t>
            </w:r>
          </w:p>
          <w:p w:rsidR="00DD380E" w:rsidRPr="00B24C99" w:rsidRDefault="00DD380E" w:rsidP="00DF2E85">
            <w:pPr>
              <w:pStyle w:val="In-tableHeading"/>
              <w:keepLines/>
              <w:jc w:val="center"/>
              <w:rPr>
                <w:lang w:val="en-AU"/>
              </w:rPr>
            </w:pPr>
            <w:r w:rsidRPr="00B24C99">
              <w:rPr>
                <w:lang w:val="en-AU"/>
              </w:rPr>
              <w:t>N=63</w:t>
            </w:r>
          </w:p>
        </w:tc>
        <w:tc>
          <w:tcPr>
            <w:tcW w:w="1323" w:type="dxa"/>
            <w:vAlign w:val="center"/>
          </w:tcPr>
          <w:p w:rsidR="00DD380E" w:rsidRPr="00B24C99" w:rsidRDefault="00DD380E" w:rsidP="00DF2E85">
            <w:pPr>
              <w:pStyle w:val="In-tableHeading"/>
              <w:keepLines/>
              <w:jc w:val="center"/>
              <w:rPr>
                <w:lang w:val="en-AU"/>
              </w:rPr>
            </w:pPr>
            <w:r w:rsidRPr="00B24C99">
              <w:rPr>
                <w:lang w:val="en-AU"/>
              </w:rPr>
              <w:t xml:space="preserve">NIVO+IPI </w:t>
            </w:r>
          </w:p>
          <w:p w:rsidR="00DD380E" w:rsidRPr="00B24C99" w:rsidRDefault="00DD380E" w:rsidP="00DF2E85">
            <w:pPr>
              <w:pStyle w:val="In-tableHeading"/>
              <w:keepLines/>
              <w:jc w:val="center"/>
              <w:rPr>
                <w:lang w:val="en-AU"/>
              </w:rPr>
            </w:pPr>
            <w:r w:rsidRPr="00B24C99">
              <w:rPr>
                <w:lang w:val="en-AU"/>
              </w:rPr>
              <w:t>N=34</w:t>
            </w:r>
          </w:p>
        </w:tc>
        <w:tc>
          <w:tcPr>
            <w:tcW w:w="1087" w:type="dxa"/>
            <w:vAlign w:val="center"/>
          </w:tcPr>
          <w:p w:rsidR="00DD380E" w:rsidRPr="00B24C99" w:rsidRDefault="00DD380E" w:rsidP="00DF2E85">
            <w:pPr>
              <w:pStyle w:val="In-tableHeading"/>
              <w:keepLines/>
              <w:jc w:val="center"/>
              <w:rPr>
                <w:lang w:val="en-AU"/>
              </w:rPr>
            </w:pPr>
            <w:r w:rsidRPr="00B24C99">
              <w:rPr>
                <w:lang w:val="en-AU"/>
              </w:rPr>
              <w:t>Pemetrexed + BSC</w:t>
            </w:r>
          </w:p>
          <w:p w:rsidR="00DD380E" w:rsidRPr="00B24C99" w:rsidRDefault="00DD380E" w:rsidP="00DF2E85">
            <w:pPr>
              <w:pStyle w:val="In-tableHeading"/>
              <w:keepLines/>
              <w:jc w:val="center"/>
              <w:rPr>
                <w:lang w:val="en-AU"/>
              </w:rPr>
            </w:pPr>
            <w:r w:rsidRPr="00B24C99">
              <w:rPr>
                <w:lang w:val="en-AU"/>
              </w:rPr>
              <w:t>N=123</w:t>
            </w:r>
          </w:p>
        </w:tc>
        <w:tc>
          <w:tcPr>
            <w:tcW w:w="1134" w:type="dxa"/>
            <w:vAlign w:val="center"/>
          </w:tcPr>
          <w:p w:rsidR="00DD380E" w:rsidRPr="00B24C99" w:rsidRDefault="00DD380E" w:rsidP="00DF2E85">
            <w:pPr>
              <w:pStyle w:val="In-tableHeading"/>
              <w:keepLines/>
              <w:jc w:val="center"/>
              <w:rPr>
                <w:lang w:val="en-AU"/>
              </w:rPr>
            </w:pPr>
            <w:r w:rsidRPr="00B24C99">
              <w:rPr>
                <w:lang w:val="en-AU"/>
              </w:rPr>
              <w:t>BSC</w:t>
            </w:r>
          </w:p>
          <w:p w:rsidR="00DD380E" w:rsidRPr="00B24C99" w:rsidRDefault="00DD380E" w:rsidP="00DF2E85">
            <w:pPr>
              <w:pStyle w:val="In-tableHeading"/>
              <w:keepLines/>
              <w:jc w:val="center"/>
              <w:rPr>
                <w:lang w:val="en-AU"/>
              </w:rPr>
            </w:pPr>
            <w:r w:rsidRPr="00B24C99">
              <w:rPr>
                <w:lang w:val="en-AU"/>
              </w:rPr>
              <w:t>N=120</w:t>
            </w:r>
          </w:p>
        </w:tc>
      </w:tr>
      <w:tr w:rsidR="00DD380E" w:rsidRPr="00B24C99" w:rsidTr="009A75AF">
        <w:tc>
          <w:tcPr>
            <w:tcW w:w="1370" w:type="dxa"/>
            <w:vAlign w:val="center"/>
          </w:tcPr>
          <w:p w:rsidR="00DD380E" w:rsidRPr="00B24C99" w:rsidRDefault="00DD380E" w:rsidP="00DF2E85">
            <w:pPr>
              <w:pStyle w:val="In-tableHeading"/>
              <w:keepLines/>
              <w:rPr>
                <w:b w:val="0"/>
                <w:lang w:val="en-AU"/>
              </w:rPr>
            </w:pPr>
            <w:r w:rsidRPr="00B24C99">
              <w:rPr>
                <w:b w:val="0"/>
                <w:lang w:val="en-AU"/>
              </w:rPr>
              <w:t>Median follow-up</w:t>
            </w:r>
          </w:p>
        </w:tc>
        <w:tc>
          <w:tcPr>
            <w:tcW w:w="1459" w:type="dxa"/>
            <w:shd w:val="clear" w:color="auto" w:fill="auto"/>
            <w:vAlign w:val="center"/>
          </w:tcPr>
          <w:p w:rsidR="00DD380E" w:rsidRPr="00B24C99" w:rsidRDefault="00DD380E" w:rsidP="00DF2E85">
            <w:pPr>
              <w:pStyle w:val="In-tableHeading"/>
              <w:keepLines/>
              <w:jc w:val="center"/>
              <w:rPr>
                <w:b w:val="0"/>
                <w:lang w:val="en-AU"/>
              </w:rPr>
            </w:pPr>
            <w:r w:rsidRPr="00B24C99">
              <w:rPr>
                <w:b w:val="0"/>
                <w:lang w:val="en-AU"/>
              </w:rPr>
              <w:t>29.7 months</w:t>
            </w:r>
            <w:r w:rsidRPr="00B24C99">
              <w:rPr>
                <w:b w:val="0"/>
                <w:vertAlign w:val="superscript"/>
                <w:lang w:val="en-AU"/>
              </w:rPr>
              <w:t>c</w:t>
            </w:r>
          </w:p>
        </w:tc>
        <w:tc>
          <w:tcPr>
            <w:tcW w:w="2553" w:type="dxa"/>
            <w:gridSpan w:val="2"/>
            <w:vAlign w:val="center"/>
          </w:tcPr>
          <w:p w:rsidR="00DD380E" w:rsidRPr="00B24C99" w:rsidRDefault="00DD380E" w:rsidP="00DF2E85">
            <w:pPr>
              <w:pStyle w:val="In-tableHeading"/>
              <w:keepLines/>
              <w:jc w:val="center"/>
              <w:rPr>
                <w:b w:val="0"/>
                <w:lang w:val="en-AU"/>
              </w:rPr>
            </w:pPr>
            <w:r w:rsidRPr="00B24C99">
              <w:rPr>
                <w:b w:val="0"/>
                <w:lang w:val="en-AU"/>
              </w:rPr>
              <w:t>20.1 months</w:t>
            </w:r>
          </w:p>
        </w:tc>
        <w:tc>
          <w:tcPr>
            <w:tcW w:w="1323" w:type="dxa"/>
            <w:vAlign w:val="center"/>
          </w:tcPr>
          <w:p w:rsidR="00DD380E" w:rsidRPr="00B24C99" w:rsidRDefault="00DD380E" w:rsidP="00DF2E85">
            <w:pPr>
              <w:pStyle w:val="In-tableHeading"/>
              <w:keepLines/>
              <w:jc w:val="center"/>
              <w:rPr>
                <w:b w:val="0"/>
                <w:lang w:val="en-AU"/>
              </w:rPr>
            </w:pPr>
            <w:r w:rsidRPr="00B24C99">
              <w:rPr>
                <w:b w:val="0"/>
                <w:lang w:val="en-AU"/>
              </w:rPr>
              <w:t>14.3 months</w:t>
            </w:r>
          </w:p>
        </w:tc>
        <w:tc>
          <w:tcPr>
            <w:tcW w:w="2221" w:type="dxa"/>
            <w:gridSpan w:val="2"/>
            <w:vAlign w:val="center"/>
          </w:tcPr>
          <w:p w:rsidR="00DD380E" w:rsidRPr="00B24C99" w:rsidRDefault="00DD380E" w:rsidP="00DF2E85">
            <w:pPr>
              <w:pStyle w:val="In-tableHeading"/>
              <w:keepLines/>
              <w:jc w:val="center"/>
              <w:rPr>
                <w:b w:val="0"/>
                <w:lang w:val="en-AU"/>
              </w:rPr>
            </w:pPr>
            <w:r w:rsidRPr="00B24C99">
              <w:rPr>
                <w:b w:val="0"/>
                <w:lang w:val="en-AU"/>
              </w:rPr>
              <w:t>14.5 months</w:t>
            </w:r>
          </w:p>
        </w:tc>
      </w:tr>
      <w:tr w:rsidR="00DD380E" w:rsidRPr="00B24C99" w:rsidTr="009A75AF">
        <w:tc>
          <w:tcPr>
            <w:tcW w:w="1370" w:type="dxa"/>
            <w:vAlign w:val="center"/>
          </w:tcPr>
          <w:p w:rsidR="00DD380E" w:rsidRPr="00B24C99" w:rsidRDefault="00DD380E" w:rsidP="00DF2E85">
            <w:pPr>
              <w:pStyle w:val="TableText0"/>
              <w:keepLines/>
            </w:pPr>
            <w:r w:rsidRPr="00B24C99">
              <w:t xml:space="preserve">Patients died at data cut-off </w:t>
            </w:r>
            <w:r w:rsidRPr="00B24C99">
              <w:rPr>
                <w:vertAlign w:val="superscript"/>
              </w:rPr>
              <w:t>a</w:t>
            </w:r>
          </w:p>
        </w:tc>
        <w:tc>
          <w:tcPr>
            <w:tcW w:w="1459" w:type="dxa"/>
            <w:shd w:val="clear" w:color="auto" w:fill="auto"/>
            <w:vAlign w:val="center"/>
          </w:tcPr>
          <w:p w:rsidR="00DD380E" w:rsidRPr="00B24C99" w:rsidRDefault="00DD380E" w:rsidP="00DF2E85">
            <w:pPr>
              <w:pStyle w:val="TableText0"/>
              <w:keepLines/>
              <w:jc w:val="center"/>
            </w:pPr>
            <w:r w:rsidRPr="00B24C99">
              <w:t>200/303 (66.0%)</w:t>
            </w:r>
          </w:p>
        </w:tc>
        <w:tc>
          <w:tcPr>
            <w:tcW w:w="1309" w:type="dxa"/>
            <w:vAlign w:val="center"/>
          </w:tcPr>
          <w:p w:rsidR="00DD380E" w:rsidRPr="00B24C99" w:rsidRDefault="00DD380E" w:rsidP="00DF2E85">
            <w:pPr>
              <w:pStyle w:val="TableText0"/>
              <w:keepLines/>
              <w:jc w:val="center"/>
            </w:pPr>
            <w:r w:rsidRPr="00B24C99">
              <w:t>32/62 (51.6%)</w:t>
            </w:r>
          </w:p>
        </w:tc>
        <w:tc>
          <w:tcPr>
            <w:tcW w:w="1244" w:type="dxa"/>
            <w:shd w:val="clear" w:color="auto" w:fill="D9D9D9" w:themeFill="background1" w:themeFillShade="D9"/>
            <w:vAlign w:val="center"/>
          </w:tcPr>
          <w:p w:rsidR="00DD380E" w:rsidRPr="00B24C99" w:rsidRDefault="00DD380E" w:rsidP="00DF2E85">
            <w:pPr>
              <w:pStyle w:val="TableText0"/>
              <w:keepLines/>
              <w:jc w:val="center"/>
            </w:pPr>
            <w:r w:rsidRPr="00B24C99">
              <w:t>41/63 (65.1%)</w:t>
            </w:r>
          </w:p>
        </w:tc>
        <w:tc>
          <w:tcPr>
            <w:tcW w:w="1323" w:type="dxa"/>
            <w:vAlign w:val="center"/>
          </w:tcPr>
          <w:p w:rsidR="00DD380E" w:rsidRPr="00B24C99" w:rsidRDefault="00DD380E" w:rsidP="00DF2E85">
            <w:pPr>
              <w:pStyle w:val="TableText0"/>
              <w:keepLines/>
              <w:jc w:val="center"/>
            </w:pPr>
            <w:r w:rsidRPr="00B24C99">
              <w:t>13/34 (38.2%)</w:t>
            </w:r>
          </w:p>
        </w:tc>
        <w:tc>
          <w:tcPr>
            <w:tcW w:w="1087" w:type="dxa"/>
            <w:vAlign w:val="center"/>
          </w:tcPr>
          <w:p w:rsidR="00DD380E" w:rsidRPr="00B24C99" w:rsidRDefault="00DD380E" w:rsidP="00DF2E85">
            <w:pPr>
              <w:pStyle w:val="TableText0"/>
              <w:keepLines/>
              <w:jc w:val="center"/>
            </w:pPr>
            <w:r w:rsidRPr="00B24C99">
              <w:t>NR</w:t>
            </w:r>
          </w:p>
        </w:tc>
        <w:tc>
          <w:tcPr>
            <w:tcW w:w="1134" w:type="dxa"/>
            <w:vAlign w:val="center"/>
          </w:tcPr>
          <w:p w:rsidR="00DD380E" w:rsidRPr="00B24C99" w:rsidRDefault="00DD380E" w:rsidP="00DF2E85">
            <w:pPr>
              <w:pStyle w:val="TableText0"/>
              <w:keepLines/>
              <w:jc w:val="center"/>
            </w:pPr>
            <w:r w:rsidRPr="00B24C99">
              <w:t>NR</w:t>
            </w:r>
          </w:p>
        </w:tc>
      </w:tr>
      <w:tr w:rsidR="00DD380E" w:rsidRPr="00B24C99" w:rsidTr="009A75AF">
        <w:tc>
          <w:tcPr>
            <w:tcW w:w="1370" w:type="dxa"/>
            <w:vAlign w:val="center"/>
          </w:tcPr>
          <w:p w:rsidR="00DD380E" w:rsidRPr="00B24C99" w:rsidRDefault="00DD380E" w:rsidP="00DF2E85">
            <w:pPr>
              <w:pStyle w:val="TableText0"/>
              <w:keepLines/>
            </w:pPr>
            <w:r w:rsidRPr="00B24C99">
              <w:t>12-month OS rate (95% CI)</w:t>
            </w:r>
          </w:p>
        </w:tc>
        <w:tc>
          <w:tcPr>
            <w:tcW w:w="1459" w:type="dxa"/>
            <w:tcBorders>
              <w:bottom w:val="single" w:sz="4" w:space="0" w:color="auto"/>
            </w:tcBorders>
            <w:shd w:val="clear" w:color="auto" w:fill="auto"/>
            <w:vAlign w:val="center"/>
          </w:tcPr>
          <w:p w:rsidR="00DD380E" w:rsidRPr="00B24C99" w:rsidRDefault="00DD380E" w:rsidP="00DF2E85">
            <w:pPr>
              <w:pStyle w:val="TableText0"/>
              <w:keepLines/>
              <w:jc w:val="center"/>
            </w:pPr>
            <w:r w:rsidRPr="00B24C99">
              <w:t>67.9 (62.3, 72.8)</w:t>
            </w:r>
          </w:p>
        </w:tc>
        <w:tc>
          <w:tcPr>
            <w:tcW w:w="1309" w:type="dxa"/>
            <w:vAlign w:val="center"/>
          </w:tcPr>
          <w:p w:rsidR="00DD380E" w:rsidRPr="00B24C99" w:rsidRDefault="00DD380E" w:rsidP="00DF2E85">
            <w:pPr>
              <w:pStyle w:val="TableText0"/>
              <w:keepLines/>
              <w:jc w:val="center"/>
            </w:pPr>
            <w:r w:rsidRPr="00B24C99">
              <w:t>58.1</w:t>
            </w:r>
          </w:p>
          <w:p w:rsidR="00DD380E" w:rsidRPr="00B24C99" w:rsidRDefault="00DD380E" w:rsidP="00DF2E85">
            <w:pPr>
              <w:pStyle w:val="TableText0"/>
              <w:keepLines/>
              <w:jc w:val="center"/>
            </w:pPr>
            <w:r w:rsidRPr="00B24C99">
              <w:t>(45.8, 70.3)</w:t>
            </w:r>
          </w:p>
        </w:tc>
        <w:tc>
          <w:tcPr>
            <w:tcW w:w="1244" w:type="dxa"/>
            <w:shd w:val="clear" w:color="auto" w:fill="D9D9D9" w:themeFill="background1" w:themeFillShade="D9"/>
            <w:vAlign w:val="center"/>
          </w:tcPr>
          <w:p w:rsidR="00DD380E" w:rsidRPr="00B24C99" w:rsidRDefault="00DD380E" w:rsidP="00DF2E85">
            <w:pPr>
              <w:pStyle w:val="TableText0"/>
              <w:keepLines/>
              <w:jc w:val="center"/>
            </w:pPr>
            <w:r w:rsidRPr="00B24C99">
              <w:t>49.2</w:t>
            </w:r>
          </w:p>
          <w:p w:rsidR="00DD380E" w:rsidRPr="00B24C99" w:rsidRDefault="00DD380E" w:rsidP="00DF2E85">
            <w:pPr>
              <w:pStyle w:val="TableText0"/>
              <w:keepLines/>
              <w:jc w:val="center"/>
            </w:pPr>
            <w:r w:rsidRPr="00B24C99">
              <w:t>(36.9, 61.6)</w:t>
            </w:r>
          </w:p>
        </w:tc>
        <w:tc>
          <w:tcPr>
            <w:tcW w:w="1323" w:type="dxa"/>
            <w:vAlign w:val="center"/>
          </w:tcPr>
          <w:p w:rsidR="00DD380E" w:rsidRPr="00B24C99" w:rsidRDefault="00DD380E" w:rsidP="00DF2E85">
            <w:pPr>
              <w:pStyle w:val="TableText0"/>
              <w:keepLines/>
              <w:jc w:val="center"/>
            </w:pPr>
            <w:r w:rsidRPr="00B24C99">
              <w:t>64</w:t>
            </w:r>
          </w:p>
          <w:p w:rsidR="00DD380E" w:rsidRPr="00B24C99" w:rsidRDefault="00DD380E" w:rsidP="00DF2E85">
            <w:pPr>
              <w:pStyle w:val="TableText0"/>
              <w:keepLines/>
              <w:jc w:val="center"/>
            </w:pPr>
            <w:r w:rsidRPr="00B24C99">
              <w:t>(50, 83)</w:t>
            </w:r>
          </w:p>
        </w:tc>
        <w:tc>
          <w:tcPr>
            <w:tcW w:w="1087" w:type="dxa"/>
            <w:vAlign w:val="center"/>
          </w:tcPr>
          <w:p w:rsidR="00DD380E" w:rsidRPr="00B24C99" w:rsidRDefault="00DD380E" w:rsidP="00DF2E85">
            <w:pPr>
              <w:pStyle w:val="TableText0"/>
              <w:keepLines/>
              <w:jc w:val="center"/>
            </w:pPr>
            <w:r w:rsidRPr="00B24C99">
              <w:t>NR</w:t>
            </w:r>
          </w:p>
        </w:tc>
        <w:tc>
          <w:tcPr>
            <w:tcW w:w="1134" w:type="dxa"/>
            <w:vAlign w:val="center"/>
          </w:tcPr>
          <w:p w:rsidR="00DD380E" w:rsidRPr="00B24C99" w:rsidRDefault="00DD380E" w:rsidP="00DF2E85">
            <w:pPr>
              <w:pStyle w:val="TableText0"/>
              <w:keepLines/>
              <w:jc w:val="center"/>
            </w:pPr>
            <w:r w:rsidRPr="00B24C99">
              <w:t>NR</w:t>
            </w:r>
          </w:p>
        </w:tc>
      </w:tr>
      <w:tr w:rsidR="00DD380E" w:rsidRPr="00B24C99" w:rsidTr="009A75AF">
        <w:tc>
          <w:tcPr>
            <w:tcW w:w="1370" w:type="dxa"/>
            <w:vAlign w:val="center"/>
          </w:tcPr>
          <w:p w:rsidR="00DD380E" w:rsidRPr="00B24C99" w:rsidRDefault="00DD380E" w:rsidP="00DF2E85">
            <w:pPr>
              <w:pStyle w:val="TableText0"/>
              <w:keepLines/>
            </w:pPr>
            <w:r w:rsidRPr="00B24C99">
              <w:t>Median OS months (95% CI)</w:t>
            </w:r>
          </w:p>
        </w:tc>
        <w:tc>
          <w:tcPr>
            <w:tcW w:w="1459" w:type="dxa"/>
            <w:shd w:val="clear" w:color="auto" w:fill="auto"/>
            <w:vAlign w:val="center"/>
          </w:tcPr>
          <w:p w:rsidR="00DD380E" w:rsidRPr="00B24C99" w:rsidRDefault="00DD380E" w:rsidP="00DF2E85">
            <w:pPr>
              <w:pStyle w:val="TableText0"/>
              <w:keepLines/>
              <w:jc w:val="center"/>
            </w:pPr>
            <w:r w:rsidRPr="00B24C99">
              <w:t>18.1 (16.8, 21.5)</w:t>
            </w:r>
          </w:p>
        </w:tc>
        <w:tc>
          <w:tcPr>
            <w:tcW w:w="1309" w:type="dxa"/>
            <w:vAlign w:val="center"/>
          </w:tcPr>
          <w:p w:rsidR="00DD380E" w:rsidRPr="00B24C99" w:rsidRDefault="00DD380E" w:rsidP="00DF2E85">
            <w:pPr>
              <w:pStyle w:val="TableText0"/>
              <w:keepLines/>
              <w:jc w:val="center"/>
            </w:pPr>
            <w:r w:rsidRPr="00B24C99">
              <w:t>15.9 (10.7, NR)</w:t>
            </w:r>
          </w:p>
        </w:tc>
        <w:tc>
          <w:tcPr>
            <w:tcW w:w="1244" w:type="dxa"/>
            <w:shd w:val="clear" w:color="auto" w:fill="D9D9D9" w:themeFill="background1" w:themeFillShade="D9"/>
            <w:vAlign w:val="center"/>
          </w:tcPr>
          <w:p w:rsidR="00DD380E" w:rsidRPr="00B24C99" w:rsidRDefault="00DD380E" w:rsidP="00DF2E85">
            <w:pPr>
              <w:pStyle w:val="TableText0"/>
              <w:keepLines/>
              <w:jc w:val="center"/>
            </w:pPr>
            <w:r w:rsidRPr="00B24C99">
              <w:t>11.9 (6.7, 17.7)</w:t>
            </w:r>
          </w:p>
        </w:tc>
        <w:tc>
          <w:tcPr>
            <w:tcW w:w="1323" w:type="dxa"/>
            <w:vAlign w:val="center"/>
          </w:tcPr>
          <w:p w:rsidR="00DD380E" w:rsidRPr="00B24C99" w:rsidRDefault="00DD380E" w:rsidP="00DF2E85">
            <w:pPr>
              <w:pStyle w:val="TableText0"/>
              <w:keepLines/>
              <w:jc w:val="center"/>
            </w:pPr>
            <w:r w:rsidRPr="00B24C99">
              <w:t>NR (12.7, NR)</w:t>
            </w:r>
          </w:p>
        </w:tc>
        <w:tc>
          <w:tcPr>
            <w:tcW w:w="1087" w:type="dxa"/>
            <w:vAlign w:val="center"/>
          </w:tcPr>
          <w:p w:rsidR="00DD380E" w:rsidRPr="00B24C99" w:rsidRDefault="00DD380E" w:rsidP="00DF2E85">
            <w:pPr>
              <w:pStyle w:val="TableText0"/>
              <w:keepLines/>
              <w:jc w:val="center"/>
            </w:pPr>
            <w:r w:rsidRPr="00B24C99">
              <w:t>8.4 (6.2, 10.5)</w:t>
            </w:r>
          </w:p>
        </w:tc>
        <w:tc>
          <w:tcPr>
            <w:tcW w:w="1134" w:type="dxa"/>
            <w:vAlign w:val="center"/>
          </w:tcPr>
          <w:p w:rsidR="00DD380E" w:rsidRPr="00B24C99" w:rsidRDefault="00DD380E" w:rsidP="00DF2E85">
            <w:pPr>
              <w:pStyle w:val="TableText0"/>
              <w:keepLines/>
              <w:jc w:val="center"/>
            </w:pPr>
            <w:r w:rsidRPr="00B24C99">
              <w:t>9.7 (8.4, 10.9)</w:t>
            </w:r>
          </w:p>
        </w:tc>
      </w:tr>
    </w:tbl>
    <w:p w:rsidR="00DD380E" w:rsidRPr="00B24C99" w:rsidRDefault="009A75AF" w:rsidP="00DD380E">
      <w:pPr>
        <w:pStyle w:val="TableFigureFooter"/>
        <w:keepNext/>
        <w:keepLines/>
        <w:rPr>
          <w:sz w:val="20"/>
          <w:szCs w:val="20"/>
        </w:rPr>
      </w:pPr>
      <w:r w:rsidRPr="00B24C99">
        <w:rPr>
          <w:sz w:val="20"/>
          <w:szCs w:val="20"/>
          <w:highlight w:val="lightGray"/>
          <w:shd w:val="clear" w:color="auto" w:fill="F2F2F2" w:themeFill="background1" w:themeFillShade="F2"/>
        </w:rPr>
        <w:t>G</w:t>
      </w:r>
      <w:r w:rsidR="00DD380E" w:rsidRPr="00B24C99">
        <w:rPr>
          <w:sz w:val="20"/>
          <w:szCs w:val="20"/>
          <w:highlight w:val="lightGray"/>
          <w:shd w:val="clear" w:color="auto" w:fill="F2F2F2" w:themeFill="background1" w:themeFillShade="F2"/>
        </w:rPr>
        <w:t>rey shading</w:t>
      </w:r>
      <w:r w:rsidR="00DD380E" w:rsidRPr="00B24C99">
        <w:rPr>
          <w:sz w:val="20"/>
          <w:szCs w:val="20"/>
          <w:highlight w:val="lightGray"/>
        </w:rPr>
        <w:t>:</w:t>
      </w:r>
      <w:r w:rsidR="00DD380E" w:rsidRPr="00B24C99">
        <w:rPr>
          <w:sz w:val="20"/>
          <w:szCs w:val="20"/>
        </w:rPr>
        <w:t xml:space="preserve"> nivolumab monotherapy, presented here for completeness.</w:t>
      </w:r>
    </w:p>
    <w:p w:rsidR="005B47EF" w:rsidRPr="00B24C99" w:rsidRDefault="005B47EF" w:rsidP="005B47EF">
      <w:pPr>
        <w:pStyle w:val="TableFigureFooter"/>
        <w:keepNext/>
        <w:keepLines/>
        <w:rPr>
          <w:sz w:val="20"/>
          <w:szCs w:val="20"/>
        </w:rPr>
      </w:pPr>
      <w:r w:rsidRPr="00B24C99">
        <w:rPr>
          <w:sz w:val="20"/>
          <w:szCs w:val="20"/>
          <w:vertAlign w:val="superscript"/>
        </w:rPr>
        <w:t xml:space="preserve">a </w:t>
      </w:r>
      <w:r w:rsidRPr="00B24C99">
        <w:rPr>
          <w:sz w:val="20"/>
          <w:szCs w:val="20"/>
        </w:rPr>
        <w:t>MAPS2: 28</w:t>
      </w:r>
      <w:r w:rsidRPr="00B24C99">
        <w:rPr>
          <w:sz w:val="20"/>
          <w:szCs w:val="20"/>
          <w:vertAlign w:val="superscript"/>
        </w:rPr>
        <w:t>th</w:t>
      </w:r>
      <w:r w:rsidRPr="00B24C99">
        <w:rPr>
          <w:sz w:val="20"/>
          <w:szCs w:val="20"/>
        </w:rPr>
        <w:t xml:space="preserve"> December 2017; INITIATE: 1</w:t>
      </w:r>
      <w:r w:rsidRPr="00B24C99">
        <w:rPr>
          <w:sz w:val="20"/>
          <w:szCs w:val="20"/>
          <w:vertAlign w:val="superscript"/>
        </w:rPr>
        <w:t>st</w:t>
      </w:r>
      <w:r w:rsidRPr="00B24C99">
        <w:rPr>
          <w:sz w:val="20"/>
          <w:szCs w:val="20"/>
        </w:rPr>
        <w:t xml:space="preserve"> June 2018.</w:t>
      </w:r>
    </w:p>
    <w:p w:rsidR="005B47EF" w:rsidRPr="00B24C99" w:rsidRDefault="005B47EF" w:rsidP="005B47EF">
      <w:pPr>
        <w:pStyle w:val="TableFigureFooter"/>
        <w:keepNext/>
        <w:keepLines/>
        <w:rPr>
          <w:sz w:val="20"/>
          <w:szCs w:val="20"/>
        </w:rPr>
      </w:pPr>
      <w:r w:rsidRPr="00B24C99">
        <w:rPr>
          <w:sz w:val="20"/>
          <w:szCs w:val="20"/>
          <w:vertAlign w:val="superscript"/>
        </w:rPr>
        <w:t xml:space="preserve">b </w:t>
      </w:r>
      <w:r w:rsidRPr="00B24C99">
        <w:rPr>
          <w:sz w:val="20"/>
          <w:szCs w:val="20"/>
        </w:rPr>
        <w:t>Jassem 2008 used the Southwest Oncology Group criteria whilst all the other included studies used mRECIST criteria.</w:t>
      </w:r>
    </w:p>
    <w:p w:rsidR="005B47EF" w:rsidRPr="00B24C99" w:rsidRDefault="005B47EF" w:rsidP="005B47EF">
      <w:pPr>
        <w:pStyle w:val="TableFigureFooter"/>
        <w:keepNext/>
        <w:keepLines/>
        <w:rPr>
          <w:sz w:val="20"/>
          <w:szCs w:val="20"/>
          <w:vertAlign w:val="superscript"/>
        </w:rPr>
      </w:pPr>
      <w:r w:rsidRPr="00B24C99">
        <w:rPr>
          <w:sz w:val="20"/>
          <w:szCs w:val="20"/>
          <w:vertAlign w:val="superscript"/>
        </w:rPr>
        <w:t>c</w:t>
      </w:r>
      <w:r w:rsidR="006B5145" w:rsidRPr="00B24C99">
        <w:rPr>
          <w:sz w:val="20"/>
          <w:szCs w:val="20"/>
          <w:vertAlign w:val="superscript"/>
        </w:rPr>
        <w:t xml:space="preserve"> </w:t>
      </w:r>
      <w:r w:rsidRPr="00B24C99">
        <w:rPr>
          <w:sz w:val="20"/>
          <w:szCs w:val="20"/>
        </w:rPr>
        <w:t>calculated as median time from randomisation date the clinical data cut-off for OS (ie, 25 March 2020).</w:t>
      </w:r>
    </w:p>
    <w:p w:rsidR="005B47EF" w:rsidRPr="00B24C99" w:rsidRDefault="005B47EF" w:rsidP="00DD380E">
      <w:pPr>
        <w:pStyle w:val="TableFigureFooter"/>
        <w:keepNext/>
        <w:keepLines/>
        <w:rPr>
          <w:szCs w:val="18"/>
        </w:rPr>
      </w:pPr>
      <w:r w:rsidRPr="00B24C99">
        <w:rPr>
          <w:szCs w:val="18"/>
        </w:rPr>
        <w:t>IPI, ipilimumab; NIVO, nivolumab; NR, not reached; OS, overall survival; PFS, progression-free survival.</w:t>
      </w:r>
    </w:p>
    <w:p w:rsidR="00DD380E" w:rsidRPr="00B24C99" w:rsidRDefault="00DD380E" w:rsidP="00DD380E">
      <w:pPr>
        <w:pStyle w:val="TableFigureFooter"/>
        <w:keepNext/>
        <w:keepLines/>
      </w:pPr>
      <w:r w:rsidRPr="00B24C99">
        <w:t>Source: Table 51, Tables 54-55, pp.94-98 of the submission; Table 2 of Jassem 2008, p247 of MAPS2 publication; INITIATE publication.</w:t>
      </w:r>
    </w:p>
    <w:p w:rsidR="0049053A" w:rsidRPr="00B24C99" w:rsidRDefault="0049053A" w:rsidP="0049053A">
      <w:pPr>
        <w:pStyle w:val="3-BodyText"/>
      </w:pPr>
      <w:r w:rsidRPr="00B24C99">
        <w:t>In second-</w:t>
      </w:r>
      <w:r w:rsidR="00020CBD" w:rsidRPr="00B24C99">
        <w:t xml:space="preserve"> or later-</w:t>
      </w:r>
      <w:r w:rsidRPr="00B24C99">
        <w:t>line use, in the absence of a common comparator arm, the submission presented a naïve unadjusted indirect comparison of NIVO+IPI versus pemetrexed + BSC or BSC, for the outcome of OS</w:t>
      </w:r>
      <w:r w:rsidR="00B24C99">
        <w:t xml:space="preserve">. </w:t>
      </w:r>
      <w:r w:rsidRPr="00B24C99">
        <w:rPr>
          <w:snapToGrid/>
        </w:rPr>
        <w:t>The indirect comparison of OS is presented in the table below.</w:t>
      </w:r>
    </w:p>
    <w:p w:rsidR="0049053A" w:rsidRPr="00B24C99" w:rsidRDefault="0049053A" w:rsidP="0049053A">
      <w:pPr>
        <w:pStyle w:val="3-BodyText"/>
      </w:pPr>
      <w:r w:rsidRPr="00B24C99">
        <w:t xml:space="preserve">The second-line patients in </w:t>
      </w:r>
      <w:r w:rsidR="00C76519">
        <w:t xml:space="preserve">the </w:t>
      </w:r>
      <w:r w:rsidRPr="00B24C99">
        <w:t>Jassem 2008 study had not received the current standard of care</w:t>
      </w:r>
      <w:r w:rsidR="00C76519">
        <w:t>,</w:t>
      </w:r>
      <w:r w:rsidRPr="00B24C99">
        <w:t xml:space="preserve"> which is first-line treatment of pemetrexed-based chemotherapy</w:t>
      </w:r>
      <w:r w:rsidR="00B24C99">
        <w:t xml:space="preserve">. </w:t>
      </w:r>
    </w:p>
    <w:p w:rsidR="0049053A" w:rsidRPr="00B24C99" w:rsidRDefault="0049053A" w:rsidP="0049053A">
      <w:pPr>
        <w:pStyle w:val="3-BodyText"/>
      </w:pPr>
      <w:r w:rsidRPr="00B24C99">
        <w:lastRenderedPageBreak/>
        <w:t>A reasonable amount of heterogeneity was observed between trials in the second-line setting:</w:t>
      </w:r>
    </w:p>
    <w:p w:rsidR="0049053A" w:rsidRPr="00B24C99" w:rsidRDefault="0049053A" w:rsidP="00C64B2B">
      <w:pPr>
        <w:pStyle w:val="ListParagraph"/>
        <w:numPr>
          <w:ilvl w:val="0"/>
          <w:numId w:val="6"/>
        </w:numPr>
        <w:ind w:left="1134"/>
      </w:pPr>
      <w:r w:rsidRPr="00B24C99">
        <w:t>A higher proportion of NIVO+IPI patients in MAPS2 and INITIATE had epithelioid histology compared to BSC patients in Jassem 2008 (approx. 85% versus approx. 72%)</w:t>
      </w:r>
      <w:r w:rsidR="00B24C99">
        <w:t xml:space="preserve">. </w:t>
      </w:r>
      <w:r w:rsidRPr="00B24C99">
        <w:t>This has the potential to confound the results from Jassem 2008.</w:t>
      </w:r>
    </w:p>
    <w:p w:rsidR="0049053A" w:rsidRPr="00B24C99" w:rsidRDefault="0049053A" w:rsidP="00C64B2B">
      <w:pPr>
        <w:pStyle w:val="ListParagraph"/>
        <w:numPr>
          <w:ilvl w:val="0"/>
          <w:numId w:val="6"/>
        </w:numPr>
        <w:ind w:left="1134"/>
      </w:pPr>
      <w:r w:rsidRPr="00B24C99">
        <w:t>The NIVO+IPI patients in MAPS2 and INITIATE tended to be older than the BSC patients in Jassem 2008.</w:t>
      </w:r>
    </w:p>
    <w:p w:rsidR="0049053A" w:rsidRPr="00B24C99" w:rsidRDefault="0049053A" w:rsidP="00C64B2B">
      <w:pPr>
        <w:pStyle w:val="ListParagraph"/>
        <w:numPr>
          <w:ilvl w:val="0"/>
          <w:numId w:val="6"/>
        </w:numPr>
        <w:ind w:left="1134"/>
      </w:pPr>
      <w:r w:rsidRPr="00B24C99">
        <w:t>The best supportive trial Jassem 2008 was conducted at least 8-10 years before the NIVO+IPI trials (MAPS2 and INITIATE)</w:t>
      </w:r>
      <w:r w:rsidR="00B24C99">
        <w:t xml:space="preserve">. </w:t>
      </w:r>
      <w:r w:rsidRPr="00B24C99">
        <w:t>During this period of time, diagnosis and treatment of MPM has changed</w:t>
      </w:r>
      <w:r w:rsidR="00B24C99">
        <w:t xml:space="preserve">. </w:t>
      </w:r>
    </w:p>
    <w:p w:rsidR="001049C0" w:rsidRPr="00B24C99" w:rsidRDefault="001049C0" w:rsidP="001049C0">
      <w:pPr>
        <w:pStyle w:val="TableFigureHeading"/>
        <w:rPr>
          <w:rStyle w:val="CommentReference"/>
          <w:b/>
          <w:szCs w:val="24"/>
        </w:rPr>
      </w:pPr>
      <w:r w:rsidRPr="00B24C99">
        <w:rPr>
          <w:rStyle w:val="CommentReference"/>
          <w:b/>
          <w:szCs w:val="24"/>
        </w:rPr>
        <w:t xml:space="preserve">Table </w:t>
      </w:r>
      <w:r w:rsidR="008F0DF2" w:rsidRPr="00B24C99">
        <w:rPr>
          <w:rStyle w:val="CommentReference"/>
          <w:b/>
          <w:szCs w:val="24"/>
        </w:rPr>
        <w:t>8</w:t>
      </w:r>
      <w:r w:rsidRPr="00B24C99">
        <w:rPr>
          <w:rStyle w:val="CommentReference"/>
          <w:b/>
          <w:szCs w:val="24"/>
        </w:rPr>
        <w:t>: Results of the naive indirect comparison for the outcome of median OS (months) – second-</w:t>
      </w:r>
      <w:r w:rsidR="00020CBD" w:rsidRPr="00B24C99">
        <w:rPr>
          <w:rStyle w:val="CommentReference"/>
          <w:b/>
          <w:szCs w:val="24"/>
        </w:rPr>
        <w:t xml:space="preserve"> or later-</w:t>
      </w:r>
      <w:r w:rsidRPr="00B24C99">
        <w:rPr>
          <w:rStyle w:val="CommentReference"/>
          <w:b/>
          <w:szCs w:val="24"/>
        </w:rPr>
        <w:t>line setting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3147"/>
        <w:gridCol w:w="2435"/>
        <w:gridCol w:w="2005"/>
      </w:tblGrid>
      <w:tr w:rsidR="001049C0" w:rsidRPr="00B24C99" w:rsidTr="005E6D6B">
        <w:trPr>
          <w:tblHeader/>
        </w:trPr>
        <w:tc>
          <w:tcPr>
            <w:tcW w:w="793" w:type="pct"/>
            <w:vAlign w:val="center"/>
          </w:tcPr>
          <w:p w:rsidR="001049C0" w:rsidRPr="00B24C99" w:rsidRDefault="001049C0" w:rsidP="007C1C3B">
            <w:pPr>
              <w:pStyle w:val="In-tableHeading"/>
              <w:rPr>
                <w:lang w:val="en-AU"/>
              </w:rPr>
            </w:pPr>
            <w:r w:rsidRPr="00B24C99">
              <w:rPr>
                <w:lang w:val="en-AU"/>
              </w:rPr>
              <w:t>Trial</w:t>
            </w:r>
          </w:p>
        </w:tc>
        <w:tc>
          <w:tcPr>
            <w:tcW w:w="3095" w:type="pct"/>
            <w:gridSpan w:val="2"/>
            <w:shd w:val="clear" w:color="auto" w:fill="auto"/>
            <w:vAlign w:val="center"/>
          </w:tcPr>
          <w:p w:rsidR="001049C0" w:rsidRPr="00B24C99" w:rsidRDefault="001049C0" w:rsidP="007C1C3B">
            <w:pPr>
              <w:pStyle w:val="In-tableHeading"/>
              <w:jc w:val="center"/>
              <w:rPr>
                <w:iCs/>
                <w:lang w:val="en-AU"/>
              </w:rPr>
            </w:pPr>
            <w:r w:rsidRPr="00B24C99">
              <w:rPr>
                <w:iCs/>
                <w:lang w:val="en-AU"/>
              </w:rPr>
              <w:t>NIVO+IPI</w:t>
            </w:r>
          </w:p>
          <w:p w:rsidR="001049C0" w:rsidRPr="00B24C99" w:rsidRDefault="001049C0" w:rsidP="007C1C3B">
            <w:pPr>
              <w:pStyle w:val="In-tableHeading"/>
              <w:jc w:val="center"/>
              <w:rPr>
                <w:iCs/>
                <w:lang w:val="en-AU"/>
              </w:rPr>
            </w:pPr>
            <w:r w:rsidRPr="00B24C99">
              <w:rPr>
                <w:iCs/>
                <w:lang w:val="en-AU"/>
              </w:rPr>
              <w:t>Median OS (95% CI)</w:t>
            </w:r>
          </w:p>
        </w:tc>
        <w:tc>
          <w:tcPr>
            <w:tcW w:w="1112" w:type="pct"/>
            <w:shd w:val="clear" w:color="auto" w:fill="auto"/>
            <w:vAlign w:val="center"/>
          </w:tcPr>
          <w:p w:rsidR="001049C0" w:rsidRPr="00B24C99" w:rsidRDefault="001049C0" w:rsidP="007C1C3B">
            <w:pPr>
              <w:pStyle w:val="In-tableHeading"/>
              <w:jc w:val="center"/>
              <w:rPr>
                <w:lang w:val="en-AU"/>
              </w:rPr>
            </w:pPr>
            <w:r w:rsidRPr="00B24C99">
              <w:rPr>
                <w:lang w:val="en-AU"/>
              </w:rPr>
              <w:t>Common reference</w:t>
            </w:r>
          </w:p>
          <w:p w:rsidR="001049C0" w:rsidRPr="00B24C99" w:rsidRDefault="001049C0" w:rsidP="007C1C3B">
            <w:pPr>
              <w:pStyle w:val="In-tableHeading"/>
              <w:jc w:val="center"/>
              <w:rPr>
                <w:lang w:val="en-AU"/>
              </w:rPr>
            </w:pPr>
          </w:p>
        </w:tc>
      </w:tr>
      <w:tr w:rsidR="001049C0" w:rsidRPr="00B24C99" w:rsidTr="005E6D6B">
        <w:tc>
          <w:tcPr>
            <w:tcW w:w="793" w:type="pct"/>
            <w:tcBorders>
              <w:bottom w:val="single" w:sz="4" w:space="0" w:color="auto"/>
            </w:tcBorders>
            <w:vAlign w:val="center"/>
          </w:tcPr>
          <w:p w:rsidR="001049C0" w:rsidRPr="00B24C99" w:rsidRDefault="001049C0" w:rsidP="007C1C3B">
            <w:pPr>
              <w:pStyle w:val="TableText0"/>
            </w:pPr>
            <w:r w:rsidRPr="00B24C99">
              <w:t>MAPS2</w:t>
            </w:r>
          </w:p>
        </w:tc>
        <w:tc>
          <w:tcPr>
            <w:tcW w:w="3095" w:type="pct"/>
            <w:gridSpan w:val="2"/>
            <w:tcBorders>
              <w:bottom w:val="single" w:sz="4" w:space="0" w:color="auto"/>
            </w:tcBorders>
            <w:shd w:val="clear" w:color="auto" w:fill="auto"/>
            <w:vAlign w:val="center"/>
          </w:tcPr>
          <w:p w:rsidR="001049C0" w:rsidRPr="00B24C99" w:rsidRDefault="001049C0" w:rsidP="007C1C3B">
            <w:pPr>
              <w:pStyle w:val="TableText0"/>
              <w:jc w:val="center"/>
              <w:rPr>
                <w:iCs/>
              </w:rPr>
            </w:pPr>
            <w:r w:rsidRPr="00B24C99">
              <w:t>15.9 (10.7, NR)</w:t>
            </w:r>
          </w:p>
        </w:tc>
        <w:tc>
          <w:tcPr>
            <w:tcW w:w="1112" w:type="pct"/>
            <w:tcBorders>
              <w:bottom w:val="single" w:sz="4" w:space="0" w:color="auto"/>
            </w:tcBorders>
            <w:shd w:val="clear" w:color="auto" w:fill="auto"/>
            <w:vAlign w:val="center"/>
          </w:tcPr>
          <w:p w:rsidR="001049C0" w:rsidRPr="00B24C99" w:rsidRDefault="001049C0" w:rsidP="007C1C3B">
            <w:pPr>
              <w:pStyle w:val="TableText0"/>
              <w:jc w:val="center"/>
              <w:rPr>
                <w:iCs/>
              </w:rPr>
            </w:pPr>
            <w:r w:rsidRPr="00B24C99">
              <w:rPr>
                <w:iCs/>
              </w:rPr>
              <w:t>NA</w:t>
            </w:r>
          </w:p>
        </w:tc>
      </w:tr>
      <w:tr w:rsidR="001049C0" w:rsidRPr="00B24C99" w:rsidTr="005E6D6B">
        <w:tc>
          <w:tcPr>
            <w:tcW w:w="793" w:type="pct"/>
            <w:tcBorders>
              <w:bottom w:val="single" w:sz="4" w:space="0" w:color="auto"/>
            </w:tcBorders>
            <w:vAlign w:val="center"/>
          </w:tcPr>
          <w:p w:rsidR="001049C0" w:rsidRPr="00B24C99" w:rsidRDefault="001049C0" w:rsidP="007C1C3B">
            <w:pPr>
              <w:pStyle w:val="TableText0"/>
            </w:pPr>
            <w:r w:rsidRPr="00B24C99">
              <w:t>INITIATE</w:t>
            </w:r>
          </w:p>
        </w:tc>
        <w:tc>
          <w:tcPr>
            <w:tcW w:w="3095" w:type="pct"/>
            <w:gridSpan w:val="2"/>
            <w:tcBorders>
              <w:bottom w:val="single" w:sz="4" w:space="0" w:color="auto"/>
            </w:tcBorders>
            <w:shd w:val="clear" w:color="auto" w:fill="auto"/>
            <w:vAlign w:val="center"/>
          </w:tcPr>
          <w:p w:rsidR="001049C0" w:rsidRPr="00B24C99" w:rsidRDefault="001049C0" w:rsidP="007C1C3B">
            <w:pPr>
              <w:pStyle w:val="TableText0"/>
              <w:jc w:val="center"/>
              <w:rPr>
                <w:iCs/>
              </w:rPr>
            </w:pPr>
            <w:r w:rsidRPr="00B24C99">
              <w:t>NR (12.7, NR)</w:t>
            </w:r>
          </w:p>
        </w:tc>
        <w:tc>
          <w:tcPr>
            <w:tcW w:w="1112" w:type="pct"/>
            <w:tcBorders>
              <w:bottom w:val="single" w:sz="4" w:space="0" w:color="auto"/>
            </w:tcBorders>
            <w:shd w:val="clear" w:color="auto" w:fill="auto"/>
            <w:vAlign w:val="center"/>
          </w:tcPr>
          <w:p w:rsidR="001049C0" w:rsidRPr="00B24C99" w:rsidRDefault="001049C0" w:rsidP="007C1C3B">
            <w:pPr>
              <w:pStyle w:val="TableText0"/>
              <w:jc w:val="center"/>
              <w:rPr>
                <w:iCs/>
              </w:rPr>
            </w:pPr>
            <w:r w:rsidRPr="00B24C99">
              <w:rPr>
                <w:iCs/>
              </w:rPr>
              <w:t>NA</w:t>
            </w:r>
          </w:p>
        </w:tc>
      </w:tr>
      <w:tr w:rsidR="001049C0" w:rsidRPr="00B24C99" w:rsidTr="005E6D6B">
        <w:tc>
          <w:tcPr>
            <w:tcW w:w="793" w:type="pct"/>
            <w:tcBorders>
              <w:top w:val="single" w:sz="4" w:space="0" w:color="auto"/>
              <w:bottom w:val="single" w:sz="4" w:space="0" w:color="auto"/>
            </w:tcBorders>
            <w:vAlign w:val="center"/>
          </w:tcPr>
          <w:p w:rsidR="001049C0" w:rsidRPr="00B24C99" w:rsidRDefault="001049C0" w:rsidP="007C1C3B">
            <w:pPr>
              <w:pStyle w:val="In-tableHeading"/>
              <w:rPr>
                <w:lang w:val="en-AU"/>
              </w:rPr>
            </w:pPr>
            <w:r w:rsidRPr="00B24C99">
              <w:rPr>
                <w:lang w:val="en-AU"/>
              </w:rPr>
              <w:t>Comparators</w:t>
            </w:r>
          </w:p>
        </w:tc>
        <w:tc>
          <w:tcPr>
            <w:tcW w:w="1745" w:type="pct"/>
            <w:tcBorders>
              <w:top w:val="single" w:sz="4" w:space="0" w:color="auto"/>
              <w:bottom w:val="single" w:sz="4" w:space="0" w:color="auto"/>
            </w:tcBorders>
            <w:shd w:val="clear" w:color="auto" w:fill="auto"/>
            <w:vAlign w:val="center"/>
          </w:tcPr>
          <w:p w:rsidR="001049C0" w:rsidRPr="00B24C99" w:rsidRDefault="001049C0" w:rsidP="007C1C3B">
            <w:pPr>
              <w:pStyle w:val="In-tableHeading"/>
              <w:jc w:val="center"/>
              <w:rPr>
                <w:lang w:val="en-AU"/>
              </w:rPr>
            </w:pPr>
            <w:r w:rsidRPr="00B24C99">
              <w:rPr>
                <w:lang w:val="en-AU"/>
              </w:rPr>
              <w:t>Pemetrexed + BSC</w:t>
            </w:r>
          </w:p>
          <w:p w:rsidR="001049C0" w:rsidRPr="00B24C99" w:rsidRDefault="001049C0" w:rsidP="007C1C3B">
            <w:pPr>
              <w:pStyle w:val="In-tableHeading"/>
              <w:jc w:val="center"/>
              <w:rPr>
                <w:lang w:val="en-AU"/>
              </w:rPr>
            </w:pPr>
            <w:r w:rsidRPr="00B24C99">
              <w:rPr>
                <w:lang w:val="en-AU"/>
              </w:rPr>
              <w:t>Median OS (95% CI)</w:t>
            </w:r>
          </w:p>
        </w:tc>
        <w:tc>
          <w:tcPr>
            <w:tcW w:w="1350" w:type="pct"/>
            <w:tcBorders>
              <w:top w:val="single" w:sz="4" w:space="0" w:color="auto"/>
              <w:bottom w:val="single" w:sz="4" w:space="0" w:color="auto"/>
            </w:tcBorders>
          </w:tcPr>
          <w:p w:rsidR="001049C0" w:rsidRPr="00B24C99" w:rsidRDefault="001049C0" w:rsidP="007C1C3B">
            <w:pPr>
              <w:pStyle w:val="In-tableHeading"/>
              <w:jc w:val="center"/>
              <w:rPr>
                <w:lang w:val="en-AU"/>
              </w:rPr>
            </w:pPr>
            <w:r w:rsidRPr="00B24C99">
              <w:rPr>
                <w:lang w:val="en-AU"/>
              </w:rPr>
              <w:t>BSC</w:t>
            </w:r>
          </w:p>
          <w:p w:rsidR="001049C0" w:rsidRPr="00B24C99" w:rsidRDefault="001049C0" w:rsidP="007C1C3B">
            <w:pPr>
              <w:pStyle w:val="In-tableHeading"/>
              <w:jc w:val="center"/>
              <w:rPr>
                <w:lang w:val="en-AU"/>
              </w:rPr>
            </w:pPr>
            <w:r w:rsidRPr="00B24C99">
              <w:rPr>
                <w:lang w:val="en-AU"/>
              </w:rPr>
              <w:t>Median OS (95% CI)</w:t>
            </w:r>
          </w:p>
        </w:tc>
        <w:tc>
          <w:tcPr>
            <w:tcW w:w="1112" w:type="pct"/>
            <w:tcBorders>
              <w:top w:val="single" w:sz="4" w:space="0" w:color="auto"/>
              <w:bottom w:val="single" w:sz="4" w:space="0" w:color="auto"/>
            </w:tcBorders>
            <w:shd w:val="clear" w:color="auto" w:fill="auto"/>
            <w:vAlign w:val="center"/>
          </w:tcPr>
          <w:p w:rsidR="001049C0" w:rsidRPr="00B24C99" w:rsidRDefault="001049C0" w:rsidP="007C1C3B">
            <w:pPr>
              <w:pStyle w:val="In-tableHeading"/>
              <w:jc w:val="center"/>
              <w:rPr>
                <w:lang w:val="en-AU"/>
              </w:rPr>
            </w:pPr>
            <w:r w:rsidRPr="00B24C99">
              <w:rPr>
                <w:lang w:val="en-AU"/>
              </w:rPr>
              <w:t>Common reference</w:t>
            </w:r>
          </w:p>
          <w:p w:rsidR="001049C0" w:rsidRPr="00B24C99" w:rsidRDefault="001049C0" w:rsidP="007C1C3B">
            <w:pPr>
              <w:pStyle w:val="In-tableHeading"/>
              <w:jc w:val="center"/>
              <w:rPr>
                <w:lang w:val="en-AU"/>
              </w:rPr>
            </w:pPr>
          </w:p>
        </w:tc>
      </w:tr>
      <w:tr w:rsidR="001049C0" w:rsidRPr="00B24C99" w:rsidTr="005E6D6B">
        <w:tc>
          <w:tcPr>
            <w:tcW w:w="793" w:type="pct"/>
            <w:vAlign w:val="center"/>
          </w:tcPr>
          <w:p w:rsidR="001049C0" w:rsidRPr="00B24C99" w:rsidRDefault="001049C0" w:rsidP="007C1C3B">
            <w:pPr>
              <w:pStyle w:val="TableText0"/>
            </w:pPr>
            <w:r w:rsidRPr="00B24C99">
              <w:t>Jassem 2008</w:t>
            </w:r>
          </w:p>
        </w:tc>
        <w:tc>
          <w:tcPr>
            <w:tcW w:w="1745" w:type="pct"/>
            <w:shd w:val="clear" w:color="auto" w:fill="auto"/>
            <w:vAlign w:val="center"/>
          </w:tcPr>
          <w:p w:rsidR="001049C0" w:rsidRPr="00B24C99" w:rsidRDefault="001049C0" w:rsidP="007C1C3B">
            <w:pPr>
              <w:pStyle w:val="TableText0"/>
              <w:jc w:val="center"/>
            </w:pPr>
            <w:r w:rsidRPr="00B24C99">
              <w:t>8.4 (6.2, 10.5)</w:t>
            </w:r>
          </w:p>
        </w:tc>
        <w:tc>
          <w:tcPr>
            <w:tcW w:w="1350" w:type="pct"/>
          </w:tcPr>
          <w:p w:rsidR="001049C0" w:rsidRPr="00B24C99" w:rsidRDefault="001049C0" w:rsidP="007C1C3B">
            <w:pPr>
              <w:pStyle w:val="TableText0"/>
              <w:jc w:val="center"/>
            </w:pPr>
            <w:r w:rsidRPr="00B24C99">
              <w:t>9.7 (8.4, 10.9)</w:t>
            </w:r>
          </w:p>
        </w:tc>
        <w:tc>
          <w:tcPr>
            <w:tcW w:w="1112" w:type="pct"/>
            <w:shd w:val="clear" w:color="auto" w:fill="auto"/>
            <w:vAlign w:val="center"/>
          </w:tcPr>
          <w:p w:rsidR="001049C0" w:rsidRPr="00B24C99" w:rsidRDefault="001049C0" w:rsidP="007C1C3B">
            <w:pPr>
              <w:pStyle w:val="TableText0"/>
              <w:jc w:val="center"/>
            </w:pPr>
            <w:r w:rsidRPr="00B24C99">
              <w:t>NA</w:t>
            </w:r>
          </w:p>
        </w:tc>
      </w:tr>
    </w:tbl>
    <w:p w:rsidR="001049C0" w:rsidRPr="00B24C99" w:rsidRDefault="00E753FC" w:rsidP="001049C0">
      <w:pPr>
        <w:pStyle w:val="TableFigureFooter"/>
      </w:pPr>
      <w:r w:rsidRPr="00B24C99">
        <w:t xml:space="preserve">BSC, best supportive care; IPI, ipilimumab; NIVO, nivolumab; </w:t>
      </w:r>
      <w:r w:rsidR="001049C0" w:rsidRPr="00B24C99">
        <w:t>NA</w:t>
      </w:r>
      <w:r w:rsidR="005B47EF" w:rsidRPr="00B24C99">
        <w:t>,</w:t>
      </w:r>
      <w:r w:rsidR="001049C0" w:rsidRPr="00B24C99">
        <w:t xml:space="preserve"> not available; NR</w:t>
      </w:r>
      <w:r w:rsidR="005B47EF" w:rsidRPr="00B24C99">
        <w:t>,</w:t>
      </w:r>
      <w:r w:rsidR="001049C0" w:rsidRPr="00B24C99">
        <w:t xml:space="preserve"> not reported, OS</w:t>
      </w:r>
      <w:r w:rsidR="005B47EF" w:rsidRPr="00B24C99">
        <w:t>,</w:t>
      </w:r>
      <w:r w:rsidR="001049C0" w:rsidRPr="00B24C99">
        <w:t xml:space="preserve"> overall survival.</w:t>
      </w:r>
    </w:p>
    <w:p w:rsidR="005B47EF" w:rsidRPr="00B24C99" w:rsidRDefault="005B47EF" w:rsidP="001049C0">
      <w:pPr>
        <w:pStyle w:val="TableFigureFooter"/>
      </w:pPr>
      <w:r w:rsidRPr="00B24C99">
        <w:t>Source: Table 58, p102 of the submission.</w:t>
      </w:r>
    </w:p>
    <w:p w:rsidR="00B60939" w:rsidRPr="00B24C99" w:rsidRDefault="00B60939" w:rsidP="00D86231">
      <w:pPr>
        <w:pStyle w:val="4-SubsectionHeading"/>
      </w:pPr>
      <w:bookmarkStart w:id="27" w:name="_Toc22897642"/>
      <w:bookmarkStart w:id="28" w:name="_Toc62036364"/>
      <w:r w:rsidRPr="00B24C99">
        <w:t>Comparative harms</w:t>
      </w:r>
      <w:bookmarkEnd w:id="27"/>
      <w:bookmarkEnd w:id="28"/>
    </w:p>
    <w:p w:rsidR="000F68B7" w:rsidRPr="00B24C99" w:rsidRDefault="00CA097E" w:rsidP="00BB614D">
      <w:pPr>
        <w:pStyle w:val="3-BodyText"/>
      </w:pPr>
      <w:r w:rsidRPr="00B24C99">
        <w:t>The key AEs occurring in the CheckMate 743 trial are summarised in the table below.</w:t>
      </w:r>
    </w:p>
    <w:p w:rsidR="005D26B4" w:rsidRPr="00B24C99" w:rsidRDefault="00173565" w:rsidP="005E6D6B">
      <w:pPr>
        <w:pStyle w:val="TableFigureHeading"/>
        <w:keepLines/>
      </w:pPr>
      <w:r w:rsidRPr="00B24C99">
        <w:rPr>
          <w:rStyle w:val="CommentReference"/>
          <w:b/>
          <w:szCs w:val="24"/>
        </w:rPr>
        <w:lastRenderedPageBreak/>
        <w:t xml:space="preserve">Table </w:t>
      </w:r>
      <w:r w:rsidR="008F0DF2" w:rsidRPr="00B24C99">
        <w:rPr>
          <w:rStyle w:val="CommentReference"/>
          <w:b/>
          <w:szCs w:val="24"/>
        </w:rPr>
        <w:t>9</w:t>
      </w:r>
      <w:r w:rsidR="005D26B4" w:rsidRPr="00B24C99">
        <w:rPr>
          <w:rStyle w:val="CommentReference"/>
          <w:b/>
          <w:szCs w:val="24"/>
        </w:rPr>
        <w:t>:</w:t>
      </w:r>
      <w:r w:rsidR="00BC591F" w:rsidRPr="00B24C99">
        <w:rPr>
          <w:rStyle w:val="CommentReference"/>
          <w:b/>
          <w:szCs w:val="24"/>
        </w:rPr>
        <w:t xml:space="preserve"> </w:t>
      </w:r>
      <w:r w:rsidR="005D26B4" w:rsidRPr="00B24C99">
        <w:rPr>
          <w:rStyle w:val="CommentReference"/>
          <w:b/>
          <w:szCs w:val="24"/>
        </w:rPr>
        <w:t xml:space="preserve">Summary of key adverse events in </w:t>
      </w:r>
      <w:r w:rsidR="00E02F78" w:rsidRPr="00B24C99">
        <w:rPr>
          <w:rStyle w:val="CommentReference"/>
          <w:b/>
          <w:szCs w:val="24"/>
        </w:rPr>
        <w:t>CheckMate 743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1631"/>
        <w:gridCol w:w="1560"/>
        <w:gridCol w:w="1701"/>
        <w:gridCol w:w="1792"/>
      </w:tblGrid>
      <w:tr w:rsidR="009C0BF3" w:rsidRPr="00B24C99" w:rsidTr="0056109B">
        <w:trPr>
          <w:tblHeader/>
        </w:trPr>
        <w:tc>
          <w:tcPr>
            <w:tcW w:w="2333" w:type="dxa"/>
            <w:vAlign w:val="center"/>
          </w:tcPr>
          <w:p w:rsidR="009C0BF3" w:rsidRPr="00B24C99" w:rsidRDefault="009C0BF3" w:rsidP="005E6D6B">
            <w:pPr>
              <w:pStyle w:val="In-tableHeading"/>
              <w:keepLines/>
              <w:rPr>
                <w:lang w:val="en-AU"/>
              </w:rPr>
            </w:pPr>
          </w:p>
        </w:tc>
        <w:tc>
          <w:tcPr>
            <w:tcW w:w="1631" w:type="dxa"/>
            <w:vAlign w:val="center"/>
          </w:tcPr>
          <w:p w:rsidR="009C0BF3" w:rsidRPr="00B24C99" w:rsidRDefault="009C0BF3" w:rsidP="005E6D6B">
            <w:pPr>
              <w:pStyle w:val="In-tableHeading"/>
              <w:keepLines/>
              <w:jc w:val="center"/>
              <w:rPr>
                <w:lang w:val="en-AU"/>
              </w:rPr>
            </w:pPr>
            <w:r w:rsidRPr="00B24C99">
              <w:rPr>
                <w:lang w:val="en-AU"/>
              </w:rPr>
              <w:t>NIVO+IPI</w:t>
            </w:r>
          </w:p>
          <w:p w:rsidR="009C0BF3" w:rsidRPr="00B24C99" w:rsidRDefault="009C0BF3" w:rsidP="005E6D6B">
            <w:pPr>
              <w:pStyle w:val="In-tableHeading"/>
              <w:keepLines/>
              <w:jc w:val="center"/>
              <w:rPr>
                <w:lang w:val="en-AU"/>
              </w:rPr>
            </w:pPr>
            <w:r w:rsidRPr="00B24C99">
              <w:rPr>
                <w:lang w:val="en-AU"/>
              </w:rPr>
              <w:t>N=300</w:t>
            </w:r>
          </w:p>
          <w:p w:rsidR="009C0BF3" w:rsidRPr="00B24C99" w:rsidRDefault="009C0BF3" w:rsidP="005E6D6B">
            <w:pPr>
              <w:pStyle w:val="In-tableHeading"/>
              <w:keepLines/>
              <w:jc w:val="center"/>
              <w:rPr>
                <w:lang w:val="en-AU"/>
              </w:rPr>
            </w:pPr>
            <w:r w:rsidRPr="00B24C99">
              <w:rPr>
                <w:lang w:val="en-AU"/>
              </w:rPr>
              <w:t>n (%)</w:t>
            </w:r>
          </w:p>
        </w:tc>
        <w:tc>
          <w:tcPr>
            <w:tcW w:w="1560" w:type="dxa"/>
            <w:vAlign w:val="center"/>
          </w:tcPr>
          <w:p w:rsidR="009C0BF3" w:rsidRPr="00B24C99" w:rsidRDefault="009C0BF3" w:rsidP="005E6D6B">
            <w:pPr>
              <w:pStyle w:val="In-tableHeading"/>
              <w:keepLines/>
              <w:jc w:val="center"/>
              <w:rPr>
                <w:lang w:val="en-AU"/>
              </w:rPr>
            </w:pPr>
            <w:r w:rsidRPr="00B24C99">
              <w:rPr>
                <w:lang w:val="en-AU"/>
              </w:rPr>
              <w:t>chemo</w:t>
            </w:r>
          </w:p>
          <w:p w:rsidR="009C0BF3" w:rsidRPr="00B24C99" w:rsidRDefault="009C0BF3" w:rsidP="005E6D6B">
            <w:pPr>
              <w:pStyle w:val="In-tableHeading"/>
              <w:keepLines/>
              <w:jc w:val="center"/>
              <w:rPr>
                <w:lang w:val="en-AU"/>
              </w:rPr>
            </w:pPr>
            <w:r w:rsidRPr="00B24C99">
              <w:rPr>
                <w:lang w:val="en-AU"/>
              </w:rPr>
              <w:t>N=284</w:t>
            </w:r>
          </w:p>
          <w:p w:rsidR="009C0BF3" w:rsidRPr="00B24C99" w:rsidRDefault="009C0BF3" w:rsidP="005E6D6B">
            <w:pPr>
              <w:pStyle w:val="In-tableHeading"/>
              <w:keepLines/>
              <w:jc w:val="center"/>
              <w:rPr>
                <w:lang w:val="en-AU"/>
              </w:rPr>
            </w:pPr>
            <w:r w:rsidRPr="00B24C99">
              <w:rPr>
                <w:lang w:val="en-AU"/>
              </w:rPr>
              <w:t>n (%)</w:t>
            </w:r>
          </w:p>
        </w:tc>
        <w:tc>
          <w:tcPr>
            <w:tcW w:w="1701" w:type="dxa"/>
            <w:vAlign w:val="center"/>
          </w:tcPr>
          <w:p w:rsidR="009C0BF3" w:rsidRPr="00B24C99" w:rsidRDefault="009C0BF3" w:rsidP="005E6D6B">
            <w:pPr>
              <w:pStyle w:val="In-tableHeading"/>
              <w:keepLines/>
              <w:jc w:val="center"/>
              <w:rPr>
                <w:lang w:val="en-AU"/>
              </w:rPr>
            </w:pPr>
            <w:r w:rsidRPr="00B24C99">
              <w:rPr>
                <w:lang w:val="en-AU"/>
              </w:rPr>
              <w:t>RR</w:t>
            </w:r>
            <w:r w:rsidRPr="00B24C99">
              <w:rPr>
                <w:lang w:val="en-AU"/>
              </w:rPr>
              <w:br/>
              <w:t>(95% CI)</w:t>
            </w:r>
          </w:p>
        </w:tc>
        <w:tc>
          <w:tcPr>
            <w:tcW w:w="1792" w:type="dxa"/>
            <w:vAlign w:val="center"/>
          </w:tcPr>
          <w:p w:rsidR="009C0BF3" w:rsidRPr="00B24C99" w:rsidRDefault="009C0BF3" w:rsidP="005E6D6B">
            <w:pPr>
              <w:pStyle w:val="In-tableHeading"/>
              <w:keepLines/>
              <w:jc w:val="center"/>
              <w:rPr>
                <w:lang w:val="en-AU"/>
              </w:rPr>
            </w:pPr>
            <w:r w:rsidRPr="00B24C99">
              <w:rPr>
                <w:lang w:val="en-AU"/>
              </w:rPr>
              <w:t>RD</w:t>
            </w:r>
            <w:r w:rsidRPr="00B24C99">
              <w:rPr>
                <w:lang w:val="en-AU"/>
              </w:rPr>
              <w:br/>
              <w:t>(95% CI)</w:t>
            </w:r>
          </w:p>
        </w:tc>
      </w:tr>
      <w:tr w:rsidR="009C0BF3" w:rsidRPr="00B24C99" w:rsidTr="007C1C3B">
        <w:tc>
          <w:tcPr>
            <w:tcW w:w="9017" w:type="dxa"/>
            <w:gridSpan w:val="5"/>
            <w:vAlign w:val="center"/>
          </w:tcPr>
          <w:p w:rsidR="009C0BF3" w:rsidRPr="00B24C99" w:rsidRDefault="009C0BF3" w:rsidP="005E6D6B">
            <w:pPr>
              <w:pStyle w:val="TableText0"/>
              <w:keepLines/>
            </w:pPr>
            <w:r w:rsidRPr="00B24C99">
              <w:t>AEs</w:t>
            </w:r>
          </w:p>
        </w:tc>
      </w:tr>
      <w:tr w:rsidR="009C0BF3" w:rsidRPr="00B24C99" w:rsidTr="0056109B">
        <w:tc>
          <w:tcPr>
            <w:tcW w:w="2333" w:type="dxa"/>
            <w:vAlign w:val="center"/>
          </w:tcPr>
          <w:p w:rsidR="009C0BF3" w:rsidRPr="00B24C99" w:rsidRDefault="009C0BF3" w:rsidP="005E6D6B">
            <w:pPr>
              <w:pStyle w:val="TableText0"/>
              <w:keepLines/>
              <w:ind w:left="171"/>
            </w:pPr>
            <w:r w:rsidRPr="00B24C99">
              <w:t>Any Grade</w:t>
            </w:r>
          </w:p>
        </w:tc>
        <w:tc>
          <w:tcPr>
            <w:tcW w:w="1631" w:type="dxa"/>
            <w:vAlign w:val="center"/>
          </w:tcPr>
          <w:p w:rsidR="009C0BF3" w:rsidRPr="00B24C99" w:rsidRDefault="009C0BF3" w:rsidP="005E6D6B">
            <w:pPr>
              <w:pStyle w:val="TableText0"/>
              <w:keepLines/>
              <w:jc w:val="center"/>
            </w:pPr>
            <w:r w:rsidRPr="00B24C99">
              <w:t>299 (99.7)</w:t>
            </w:r>
          </w:p>
        </w:tc>
        <w:tc>
          <w:tcPr>
            <w:tcW w:w="1560" w:type="dxa"/>
            <w:vAlign w:val="center"/>
          </w:tcPr>
          <w:p w:rsidR="009C0BF3" w:rsidRPr="00B24C99" w:rsidRDefault="009C0BF3" w:rsidP="005E6D6B">
            <w:pPr>
              <w:pStyle w:val="TableText0"/>
              <w:keepLines/>
              <w:jc w:val="center"/>
            </w:pPr>
            <w:r w:rsidRPr="00B24C99">
              <w:t>277 (97.5)</w:t>
            </w:r>
          </w:p>
        </w:tc>
        <w:tc>
          <w:tcPr>
            <w:tcW w:w="1701" w:type="dxa"/>
            <w:vAlign w:val="center"/>
          </w:tcPr>
          <w:p w:rsidR="009C0BF3" w:rsidRPr="00105AC0" w:rsidRDefault="009C0BF3" w:rsidP="005E6D6B">
            <w:pPr>
              <w:pStyle w:val="TableText0"/>
              <w:keepLines/>
              <w:jc w:val="center"/>
              <w:rPr>
                <w:i/>
              </w:rPr>
            </w:pPr>
            <w:r w:rsidRPr="00105AC0">
              <w:rPr>
                <w:i/>
              </w:rPr>
              <w:t>1.02 (1.00, 1.04)</w:t>
            </w:r>
          </w:p>
        </w:tc>
        <w:tc>
          <w:tcPr>
            <w:tcW w:w="1792" w:type="dxa"/>
            <w:vAlign w:val="center"/>
          </w:tcPr>
          <w:p w:rsidR="009C0BF3" w:rsidRPr="00105AC0" w:rsidRDefault="009C0BF3" w:rsidP="005E6D6B">
            <w:pPr>
              <w:pStyle w:val="TableText0"/>
              <w:keepLines/>
              <w:jc w:val="center"/>
              <w:rPr>
                <w:i/>
              </w:rPr>
            </w:pPr>
            <w:r w:rsidRPr="00105AC0">
              <w:rPr>
                <w:i/>
              </w:rPr>
              <w:t>0.02 (0.00, 0.04)</w:t>
            </w:r>
          </w:p>
        </w:tc>
      </w:tr>
      <w:tr w:rsidR="009C0BF3" w:rsidRPr="00B24C99" w:rsidTr="0056109B">
        <w:tc>
          <w:tcPr>
            <w:tcW w:w="2333" w:type="dxa"/>
            <w:vAlign w:val="center"/>
          </w:tcPr>
          <w:p w:rsidR="009C0BF3" w:rsidRPr="00B24C99" w:rsidRDefault="009C0BF3" w:rsidP="005E6D6B">
            <w:pPr>
              <w:pStyle w:val="TableText0"/>
              <w:keepLines/>
              <w:ind w:left="171"/>
            </w:pPr>
            <w:r w:rsidRPr="00B24C99">
              <w:t>Grade 3-4</w:t>
            </w:r>
          </w:p>
        </w:tc>
        <w:tc>
          <w:tcPr>
            <w:tcW w:w="1631" w:type="dxa"/>
            <w:vAlign w:val="center"/>
          </w:tcPr>
          <w:p w:rsidR="009C0BF3" w:rsidRPr="00B24C99" w:rsidRDefault="009C0BF3" w:rsidP="005E6D6B">
            <w:pPr>
              <w:pStyle w:val="TableText0"/>
              <w:keepLines/>
              <w:jc w:val="center"/>
            </w:pPr>
            <w:r w:rsidRPr="00B24C99">
              <w:t>159 (53.0)</w:t>
            </w:r>
          </w:p>
        </w:tc>
        <w:tc>
          <w:tcPr>
            <w:tcW w:w="1560" w:type="dxa"/>
            <w:vAlign w:val="center"/>
          </w:tcPr>
          <w:p w:rsidR="009C0BF3" w:rsidRPr="00B24C99" w:rsidRDefault="009C0BF3" w:rsidP="005E6D6B">
            <w:pPr>
              <w:pStyle w:val="TableText0"/>
              <w:keepLines/>
              <w:jc w:val="center"/>
            </w:pPr>
            <w:r w:rsidRPr="00B24C99">
              <w:t>121 (42.6)</w:t>
            </w:r>
          </w:p>
        </w:tc>
        <w:tc>
          <w:tcPr>
            <w:tcW w:w="1701" w:type="dxa"/>
            <w:vAlign w:val="center"/>
          </w:tcPr>
          <w:p w:rsidR="009C0BF3" w:rsidRPr="007E5299" w:rsidRDefault="009C0BF3" w:rsidP="005E6D6B">
            <w:pPr>
              <w:pStyle w:val="TableText0"/>
              <w:keepLines/>
              <w:jc w:val="center"/>
              <w:rPr>
                <w:i/>
              </w:rPr>
            </w:pPr>
            <w:r w:rsidRPr="007E5299">
              <w:rPr>
                <w:i/>
              </w:rPr>
              <w:t>1.24 (1.05, 1.48)</w:t>
            </w:r>
          </w:p>
        </w:tc>
        <w:tc>
          <w:tcPr>
            <w:tcW w:w="1792" w:type="dxa"/>
            <w:vAlign w:val="center"/>
          </w:tcPr>
          <w:p w:rsidR="009C0BF3" w:rsidRPr="007E5299" w:rsidRDefault="009C0BF3" w:rsidP="005E6D6B">
            <w:pPr>
              <w:pStyle w:val="TableText0"/>
              <w:keepLines/>
              <w:jc w:val="center"/>
              <w:rPr>
                <w:i/>
              </w:rPr>
            </w:pPr>
            <w:r w:rsidRPr="007E5299">
              <w:rPr>
                <w:i/>
              </w:rPr>
              <w:t>0.10 (0.02, 0.18)</w:t>
            </w:r>
          </w:p>
        </w:tc>
      </w:tr>
      <w:tr w:rsidR="009C0BF3" w:rsidRPr="00B24C99" w:rsidTr="007C1C3B">
        <w:tc>
          <w:tcPr>
            <w:tcW w:w="9017" w:type="dxa"/>
            <w:gridSpan w:val="5"/>
            <w:vAlign w:val="center"/>
          </w:tcPr>
          <w:p w:rsidR="009C0BF3" w:rsidRPr="00B24C99" w:rsidRDefault="009C0BF3" w:rsidP="005E6D6B">
            <w:pPr>
              <w:pStyle w:val="TableText0"/>
              <w:keepLines/>
              <w:rPr>
                <w:i/>
              </w:rPr>
            </w:pPr>
            <w:r w:rsidRPr="00B24C99">
              <w:rPr>
                <w:i/>
              </w:rPr>
              <w:t>Serious AEs</w:t>
            </w:r>
          </w:p>
        </w:tc>
      </w:tr>
      <w:tr w:rsidR="009C0BF3" w:rsidRPr="00B24C99" w:rsidTr="0056109B">
        <w:tc>
          <w:tcPr>
            <w:tcW w:w="2333" w:type="dxa"/>
            <w:vAlign w:val="center"/>
          </w:tcPr>
          <w:p w:rsidR="009C0BF3" w:rsidRPr="00B24C99" w:rsidRDefault="009C0BF3" w:rsidP="005E6D6B">
            <w:pPr>
              <w:pStyle w:val="TableText0"/>
              <w:keepLines/>
              <w:ind w:left="171"/>
            </w:pPr>
            <w:r w:rsidRPr="00B24C99">
              <w:t>Any Grade</w:t>
            </w:r>
          </w:p>
        </w:tc>
        <w:tc>
          <w:tcPr>
            <w:tcW w:w="1631" w:type="dxa"/>
            <w:vAlign w:val="center"/>
          </w:tcPr>
          <w:p w:rsidR="009C0BF3" w:rsidRPr="004E3484" w:rsidRDefault="009C0BF3" w:rsidP="005E6D6B">
            <w:pPr>
              <w:pStyle w:val="TableText0"/>
              <w:keepLines/>
              <w:jc w:val="center"/>
            </w:pPr>
            <w:r w:rsidRPr="004E3484">
              <w:t>164 (54.7)</w:t>
            </w:r>
          </w:p>
        </w:tc>
        <w:tc>
          <w:tcPr>
            <w:tcW w:w="1560" w:type="dxa"/>
            <w:vAlign w:val="center"/>
          </w:tcPr>
          <w:p w:rsidR="009C0BF3" w:rsidRPr="004E3484" w:rsidRDefault="009C0BF3" w:rsidP="005E6D6B">
            <w:pPr>
              <w:pStyle w:val="TableText0"/>
              <w:keepLines/>
              <w:jc w:val="center"/>
            </w:pPr>
            <w:r w:rsidRPr="004E3484">
              <w:t>72 (25.4)</w:t>
            </w:r>
          </w:p>
        </w:tc>
        <w:tc>
          <w:tcPr>
            <w:tcW w:w="1701" w:type="dxa"/>
            <w:vAlign w:val="center"/>
          </w:tcPr>
          <w:p w:rsidR="009C0BF3" w:rsidRPr="007E5299" w:rsidRDefault="009C0BF3" w:rsidP="005E6D6B">
            <w:pPr>
              <w:pStyle w:val="TableText0"/>
              <w:keepLines/>
              <w:jc w:val="center"/>
              <w:rPr>
                <w:i/>
              </w:rPr>
            </w:pPr>
            <w:r w:rsidRPr="007E5299">
              <w:rPr>
                <w:i/>
              </w:rPr>
              <w:t>2.16 (1.72, 2.70)</w:t>
            </w:r>
          </w:p>
        </w:tc>
        <w:tc>
          <w:tcPr>
            <w:tcW w:w="1792" w:type="dxa"/>
            <w:vAlign w:val="center"/>
          </w:tcPr>
          <w:p w:rsidR="009C0BF3" w:rsidRPr="007E5299" w:rsidRDefault="009C0BF3" w:rsidP="005E6D6B">
            <w:pPr>
              <w:pStyle w:val="TableText0"/>
              <w:keepLines/>
              <w:jc w:val="center"/>
              <w:rPr>
                <w:i/>
              </w:rPr>
            </w:pPr>
            <w:r w:rsidRPr="007E5299">
              <w:rPr>
                <w:i/>
              </w:rPr>
              <w:t>0.29 (0.22, 0.37)</w:t>
            </w:r>
          </w:p>
        </w:tc>
      </w:tr>
      <w:tr w:rsidR="009C0BF3" w:rsidRPr="00B24C99" w:rsidTr="0056109B">
        <w:tc>
          <w:tcPr>
            <w:tcW w:w="2333" w:type="dxa"/>
            <w:vAlign w:val="center"/>
          </w:tcPr>
          <w:p w:rsidR="009C0BF3" w:rsidRPr="00B24C99" w:rsidRDefault="009C0BF3" w:rsidP="005E6D6B">
            <w:pPr>
              <w:pStyle w:val="TableText0"/>
              <w:keepLines/>
              <w:ind w:left="171"/>
            </w:pPr>
            <w:r w:rsidRPr="00B24C99">
              <w:t>Grade 3-4</w:t>
            </w:r>
          </w:p>
        </w:tc>
        <w:tc>
          <w:tcPr>
            <w:tcW w:w="1631" w:type="dxa"/>
            <w:vAlign w:val="center"/>
          </w:tcPr>
          <w:p w:rsidR="009C0BF3" w:rsidRPr="004E3484" w:rsidRDefault="009C0BF3" w:rsidP="005E6D6B">
            <w:pPr>
              <w:pStyle w:val="TableText0"/>
              <w:keepLines/>
              <w:jc w:val="center"/>
            </w:pPr>
            <w:r w:rsidRPr="004E3484">
              <w:t>103 (34.3)</w:t>
            </w:r>
          </w:p>
        </w:tc>
        <w:tc>
          <w:tcPr>
            <w:tcW w:w="1560" w:type="dxa"/>
            <w:vAlign w:val="center"/>
          </w:tcPr>
          <w:p w:rsidR="009C0BF3" w:rsidRPr="004E3484" w:rsidRDefault="009C0BF3" w:rsidP="005E6D6B">
            <w:pPr>
              <w:pStyle w:val="TableText0"/>
              <w:keepLines/>
              <w:jc w:val="center"/>
            </w:pPr>
            <w:r w:rsidRPr="004E3484">
              <w:t>54 (19.0)</w:t>
            </w:r>
          </w:p>
        </w:tc>
        <w:tc>
          <w:tcPr>
            <w:tcW w:w="1701" w:type="dxa"/>
            <w:vAlign w:val="center"/>
          </w:tcPr>
          <w:p w:rsidR="009C0BF3" w:rsidRPr="007E5299" w:rsidRDefault="009C0BF3" w:rsidP="005E6D6B">
            <w:pPr>
              <w:pStyle w:val="TableText0"/>
              <w:keepLines/>
              <w:jc w:val="center"/>
              <w:rPr>
                <w:i/>
              </w:rPr>
            </w:pPr>
            <w:r w:rsidRPr="007E5299">
              <w:rPr>
                <w:i/>
              </w:rPr>
              <w:t>1.81 (1.36, 2.40)</w:t>
            </w:r>
          </w:p>
        </w:tc>
        <w:tc>
          <w:tcPr>
            <w:tcW w:w="1792" w:type="dxa"/>
            <w:vAlign w:val="center"/>
          </w:tcPr>
          <w:p w:rsidR="009C0BF3" w:rsidRPr="007E5299" w:rsidRDefault="009C0BF3" w:rsidP="005E6D6B">
            <w:pPr>
              <w:pStyle w:val="TableText0"/>
              <w:keepLines/>
              <w:jc w:val="center"/>
              <w:rPr>
                <w:i/>
              </w:rPr>
            </w:pPr>
            <w:r w:rsidRPr="007E5299">
              <w:rPr>
                <w:i/>
              </w:rPr>
              <w:t>0.15 (0.08, 0.22)</w:t>
            </w:r>
          </w:p>
        </w:tc>
      </w:tr>
      <w:tr w:rsidR="009C0BF3" w:rsidRPr="00B24C99" w:rsidTr="007C1C3B">
        <w:tc>
          <w:tcPr>
            <w:tcW w:w="9017" w:type="dxa"/>
            <w:gridSpan w:val="5"/>
            <w:vAlign w:val="center"/>
          </w:tcPr>
          <w:p w:rsidR="009C0BF3" w:rsidRPr="004E3484" w:rsidRDefault="00E13435" w:rsidP="005E6D6B">
            <w:pPr>
              <w:pStyle w:val="TableText0"/>
              <w:keepLines/>
              <w:rPr>
                <w:i/>
              </w:rPr>
            </w:pPr>
            <w:r w:rsidRPr="004E3484">
              <w:rPr>
                <w:i/>
              </w:rPr>
              <w:t>Treatment</w:t>
            </w:r>
            <w:r w:rsidR="009C0BF3" w:rsidRPr="004E3484">
              <w:rPr>
                <w:i/>
              </w:rPr>
              <w:t>-related serious AEs</w:t>
            </w:r>
          </w:p>
        </w:tc>
      </w:tr>
      <w:tr w:rsidR="009C0BF3" w:rsidRPr="00B24C99" w:rsidTr="0056109B">
        <w:tc>
          <w:tcPr>
            <w:tcW w:w="2333" w:type="dxa"/>
            <w:vAlign w:val="center"/>
          </w:tcPr>
          <w:p w:rsidR="009C0BF3" w:rsidRPr="00B24C99" w:rsidRDefault="009C0BF3" w:rsidP="005E6D6B">
            <w:pPr>
              <w:pStyle w:val="TableText0"/>
              <w:keepLines/>
              <w:ind w:left="171"/>
            </w:pPr>
            <w:r w:rsidRPr="00B24C99">
              <w:t>Any Grade</w:t>
            </w:r>
          </w:p>
        </w:tc>
        <w:tc>
          <w:tcPr>
            <w:tcW w:w="1631" w:type="dxa"/>
            <w:vAlign w:val="center"/>
          </w:tcPr>
          <w:p w:rsidR="009C0BF3" w:rsidRPr="004E3484" w:rsidRDefault="009C0BF3" w:rsidP="005E6D6B">
            <w:pPr>
              <w:pStyle w:val="TableText0"/>
              <w:keepLines/>
              <w:jc w:val="center"/>
            </w:pPr>
            <w:r w:rsidRPr="004E3484">
              <w:t>64 (21.3)</w:t>
            </w:r>
          </w:p>
        </w:tc>
        <w:tc>
          <w:tcPr>
            <w:tcW w:w="1560" w:type="dxa"/>
            <w:vAlign w:val="center"/>
          </w:tcPr>
          <w:p w:rsidR="009C0BF3" w:rsidRPr="004E3484" w:rsidRDefault="009C0BF3" w:rsidP="005E6D6B">
            <w:pPr>
              <w:pStyle w:val="TableText0"/>
              <w:keepLines/>
              <w:jc w:val="center"/>
            </w:pPr>
            <w:r w:rsidRPr="004E3484">
              <w:t>22 (7.7)</w:t>
            </w:r>
          </w:p>
        </w:tc>
        <w:tc>
          <w:tcPr>
            <w:tcW w:w="1701" w:type="dxa"/>
            <w:vAlign w:val="center"/>
          </w:tcPr>
          <w:p w:rsidR="009C0BF3" w:rsidRPr="007E5299" w:rsidRDefault="009C0BF3" w:rsidP="005E6D6B">
            <w:pPr>
              <w:pStyle w:val="TableText0"/>
              <w:keepLines/>
              <w:jc w:val="center"/>
              <w:rPr>
                <w:i/>
              </w:rPr>
            </w:pPr>
            <w:r w:rsidRPr="007E5299">
              <w:rPr>
                <w:i/>
              </w:rPr>
              <w:t>2.75 (1.74, 4.35)</w:t>
            </w:r>
          </w:p>
        </w:tc>
        <w:tc>
          <w:tcPr>
            <w:tcW w:w="1792" w:type="dxa"/>
            <w:vAlign w:val="center"/>
          </w:tcPr>
          <w:p w:rsidR="009C0BF3" w:rsidRPr="007E5299" w:rsidRDefault="009C0BF3" w:rsidP="005E6D6B">
            <w:pPr>
              <w:pStyle w:val="TableText0"/>
              <w:keepLines/>
              <w:jc w:val="center"/>
              <w:rPr>
                <w:i/>
              </w:rPr>
            </w:pPr>
            <w:r w:rsidRPr="007E5299">
              <w:rPr>
                <w:i/>
              </w:rPr>
              <w:t>0.14 (0.08, 0.19)</w:t>
            </w:r>
          </w:p>
        </w:tc>
      </w:tr>
      <w:tr w:rsidR="009C0BF3" w:rsidRPr="00B24C99" w:rsidTr="0056109B">
        <w:tc>
          <w:tcPr>
            <w:tcW w:w="2333" w:type="dxa"/>
            <w:vAlign w:val="center"/>
          </w:tcPr>
          <w:p w:rsidR="009C0BF3" w:rsidRPr="00B24C99" w:rsidRDefault="009C0BF3" w:rsidP="005E6D6B">
            <w:pPr>
              <w:pStyle w:val="TableText0"/>
              <w:keepLines/>
              <w:ind w:left="171"/>
            </w:pPr>
            <w:r w:rsidRPr="00B24C99">
              <w:t>Grade 3-4</w:t>
            </w:r>
          </w:p>
        </w:tc>
        <w:tc>
          <w:tcPr>
            <w:tcW w:w="1631" w:type="dxa"/>
            <w:vAlign w:val="center"/>
          </w:tcPr>
          <w:p w:rsidR="009C0BF3" w:rsidRPr="004E3484" w:rsidRDefault="009C0BF3" w:rsidP="005E6D6B">
            <w:pPr>
              <w:pStyle w:val="TableText0"/>
              <w:keepLines/>
              <w:jc w:val="center"/>
            </w:pPr>
            <w:r w:rsidRPr="004E3484">
              <w:t>46 (15.3)</w:t>
            </w:r>
          </w:p>
        </w:tc>
        <w:tc>
          <w:tcPr>
            <w:tcW w:w="1560" w:type="dxa"/>
            <w:vAlign w:val="center"/>
          </w:tcPr>
          <w:p w:rsidR="009C0BF3" w:rsidRPr="004E3484" w:rsidRDefault="009C0BF3" w:rsidP="005E6D6B">
            <w:pPr>
              <w:pStyle w:val="TableText0"/>
              <w:keepLines/>
              <w:jc w:val="center"/>
            </w:pPr>
            <w:r w:rsidRPr="004E3484">
              <w:t>17 (6.0)</w:t>
            </w:r>
          </w:p>
        </w:tc>
        <w:tc>
          <w:tcPr>
            <w:tcW w:w="1701" w:type="dxa"/>
            <w:vAlign w:val="center"/>
          </w:tcPr>
          <w:p w:rsidR="009C0BF3" w:rsidRPr="007E5299" w:rsidRDefault="009C0BF3" w:rsidP="005E6D6B">
            <w:pPr>
              <w:pStyle w:val="TableText0"/>
              <w:keepLines/>
              <w:jc w:val="center"/>
              <w:rPr>
                <w:i/>
              </w:rPr>
            </w:pPr>
            <w:r w:rsidRPr="007E5299">
              <w:rPr>
                <w:i/>
              </w:rPr>
              <w:t>2.56 (1.50, 4.36)</w:t>
            </w:r>
          </w:p>
        </w:tc>
        <w:tc>
          <w:tcPr>
            <w:tcW w:w="1792" w:type="dxa"/>
            <w:vAlign w:val="center"/>
          </w:tcPr>
          <w:p w:rsidR="009C0BF3" w:rsidRPr="007E5299" w:rsidRDefault="009C0BF3" w:rsidP="005E6D6B">
            <w:pPr>
              <w:pStyle w:val="TableText0"/>
              <w:keepLines/>
              <w:jc w:val="center"/>
              <w:rPr>
                <w:i/>
              </w:rPr>
            </w:pPr>
            <w:r w:rsidRPr="007E5299">
              <w:rPr>
                <w:i/>
              </w:rPr>
              <w:t>0.09 (0.04, 0.14)</w:t>
            </w:r>
          </w:p>
        </w:tc>
      </w:tr>
      <w:tr w:rsidR="009C0BF3" w:rsidRPr="00B24C99" w:rsidTr="007C1C3B">
        <w:tc>
          <w:tcPr>
            <w:tcW w:w="9017" w:type="dxa"/>
            <w:gridSpan w:val="5"/>
            <w:vAlign w:val="center"/>
          </w:tcPr>
          <w:p w:rsidR="009C0BF3" w:rsidRPr="004E3484" w:rsidRDefault="009C0BF3" w:rsidP="005E6D6B">
            <w:pPr>
              <w:pStyle w:val="TableText0"/>
              <w:keepLines/>
              <w:rPr>
                <w:i/>
              </w:rPr>
            </w:pPr>
            <w:r w:rsidRPr="004E3484">
              <w:rPr>
                <w:i/>
              </w:rPr>
              <w:t>AEs leading to discontinuation</w:t>
            </w:r>
            <w:r w:rsidRPr="004E3484">
              <w:rPr>
                <w:i/>
                <w:vertAlign w:val="superscript"/>
              </w:rPr>
              <w:t>a</w:t>
            </w:r>
          </w:p>
        </w:tc>
      </w:tr>
      <w:tr w:rsidR="009C0BF3" w:rsidRPr="00B24C99" w:rsidTr="0056109B">
        <w:tc>
          <w:tcPr>
            <w:tcW w:w="2333" w:type="dxa"/>
            <w:vAlign w:val="center"/>
          </w:tcPr>
          <w:p w:rsidR="009C0BF3" w:rsidRPr="00B24C99" w:rsidRDefault="009C0BF3" w:rsidP="005E6D6B">
            <w:pPr>
              <w:pStyle w:val="TableText0"/>
              <w:keepLines/>
              <w:ind w:left="171"/>
            </w:pPr>
            <w:r w:rsidRPr="00B24C99">
              <w:t>Any Grade</w:t>
            </w:r>
          </w:p>
        </w:tc>
        <w:tc>
          <w:tcPr>
            <w:tcW w:w="1631" w:type="dxa"/>
            <w:vAlign w:val="center"/>
          </w:tcPr>
          <w:p w:rsidR="009C0BF3" w:rsidRPr="004E3484" w:rsidRDefault="009C0BF3" w:rsidP="005E6D6B">
            <w:pPr>
              <w:pStyle w:val="TableText0"/>
              <w:keepLines/>
              <w:jc w:val="center"/>
            </w:pPr>
            <w:r w:rsidRPr="004E3484">
              <w:t>88 (29.3)</w:t>
            </w:r>
          </w:p>
        </w:tc>
        <w:tc>
          <w:tcPr>
            <w:tcW w:w="1560" w:type="dxa"/>
            <w:vAlign w:val="center"/>
          </w:tcPr>
          <w:p w:rsidR="009C0BF3" w:rsidRPr="004E3484" w:rsidRDefault="009C0BF3" w:rsidP="005E6D6B">
            <w:pPr>
              <w:pStyle w:val="TableText0"/>
              <w:keepLines/>
              <w:jc w:val="center"/>
            </w:pPr>
            <w:r w:rsidRPr="004E3484">
              <w:t>58 (20.4)</w:t>
            </w:r>
          </w:p>
        </w:tc>
        <w:tc>
          <w:tcPr>
            <w:tcW w:w="1701" w:type="dxa"/>
            <w:vAlign w:val="center"/>
          </w:tcPr>
          <w:p w:rsidR="009C0BF3" w:rsidRPr="007E5299" w:rsidRDefault="009C0BF3" w:rsidP="005E6D6B">
            <w:pPr>
              <w:pStyle w:val="TableText0"/>
              <w:keepLines/>
              <w:jc w:val="center"/>
              <w:rPr>
                <w:i/>
              </w:rPr>
            </w:pPr>
            <w:r w:rsidRPr="007E5299">
              <w:rPr>
                <w:i/>
              </w:rPr>
              <w:t>1.44 (1.08, 1.92)</w:t>
            </w:r>
          </w:p>
        </w:tc>
        <w:tc>
          <w:tcPr>
            <w:tcW w:w="1792" w:type="dxa"/>
            <w:vAlign w:val="center"/>
          </w:tcPr>
          <w:p w:rsidR="009C0BF3" w:rsidRPr="007E5299" w:rsidRDefault="009C0BF3" w:rsidP="005E6D6B">
            <w:pPr>
              <w:pStyle w:val="TableText0"/>
              <w:keepLines/>
              <w:jc w:val="center"/>
              <w:rPr>
                <w:i/>
              </w:rPr>
            </w:pPr>
            <w:r w:rsidRPr="007E5299">
              <w:rPr>
                <w:i/>
              </w:rPr>
              <w:t>0.09 (0.02, 0.16)</w:t>
            </w:r>
          </w:p>
        </w:tc>
      </w:tr>
      <w:tr w:rsidR="009C0BF3" w:rsidRPr="00B24C99" w:rsidTr="0056109B">
        <w:tc>
          <w:tcPr>
            <w:tcW w:w="2333" w:type="dxa"/>
            <w:vAlign w:val="center"/>
          </w:tcPr>
          <w:p w:rsidR="009C0BF3" w:rsidRPr="00B24C99" w:rsidRDefault="009C0BF3" w:rsidP="005E6D6B">
            <w:pPr>
              <w:pStyle w:val="TableText0"/>
              <w:keepLines/>
              <w:ind w:left="171"/>
            </w:pPr>
            <w:r w:rsidRPr="00B24C99">
              <w:t>Grade 3-4</w:t>
            </w:r>
          </w:p>
        </w:tc>
        <w:tc>
          <w:tcPr>
            <w:tcW w:w="1631" w:type="dxa"/>
            <w:vAlign w:val="center"/>
          </w:tcPr>
          <w:p w:rsidR="009C0BF3" w:rsidRPr="004E3484" w:rsidRDefault="009C0BF3" w:rsidP="005E6D6B">
            <w:pPr>
              <w:pStyle w:val="TableText0"/>
              <w:keepLines/>
              <w:jc w:val="center"/>
            </w:pPr>
            <w:r w:rsidRPr="004E3484">
              <w:t>59 (19.7)</w:t>
            </w:r>
          </w:p>
        </w:tc>
        <w:tc>
          <w:tcPr>
            <w:tcW w:w="1560" w:type="dxa"/>
            <w:vAlign w:val="center"/>
          </w:tcPr>
          <w:p w:rsidR="009C0BF3" w:rsidRPr="004E3484" w:rsidRDefault="009C0BF3" w:rsidP="005E6D6B">
            <w:pPr>
              <w:pStyle w:val="TableText0"/>
              <w:keepLines/>
              <w:jc w:val="center"/>
            </w:pPr>
            <w:r w:rsidRPr="004E3484">
              <w:t>28 (9.9)</w:t>
            </w:r>
          </w:p>
        </w:tc>
        <w:tc>
          <w:tcPr>
            <w:tcW w:w="1701" w:type="dxa"/>
            <w:vAlign w:val="center"/>
          </w:tcPr>
          <w:p w:rsidR="009C0BF3" w:rsidRPr="007E5299" w:rsidRDefault="009C0BF3" w:rsidP="005E6D6B">
            <w:pPr>
              <w:pStyle w:val="TableText0"/>
              <w:keepLines/>
              <w:jc w:val="center"/>
              <w:rPr>
                <w:i/>
              </w:rPr>
            </w:pPr>
            <w:r w:rsidRPr="007E5299">
              <w:rPr>
                <w:i/>
              </w:rPr>
              <w:t>1.99 (1.31, 3.03)</w:t>
            </w:r>
          </w:p>
        </w:tc>
        <w:tc>
          <w:tcPr>
            <w:tcW w:w="1792" w:type="dxa"/>
            <w:vAlign w:val="center"/>
          </w:tcPr>
          <w:p w:rsidR="009C0BF3" w:rsidRPr="007E5299" w:rsidRDefault="009C0BF3" w:rsidP="005E6D6B">
            <w:pPr>
              <w:pStyle w:val="TableText0"/>
              <w:keepLines/>
              <w:jc w:val="center"/>
              <w:rPr>
                <w:i/>
              </w:rPr>
            </w:pPr>
            <w:r w:rsidRPr="007E5299">
              <w:rPr>
                <w:i/>
              </w:rPr>
              <w:t>0.10 (0.04, 0.15)</w:t>
            </w:r>
          </w:p>
        </w:tc>
      </w:tr>
      <w:tr w:rsidR="009C0BF3" w:rsidRPr="00B24C99" w:rsidTr="007C1C3B">
        <w:tc>
          <w:tcPr>
            <w:tcW w:w="9017" w:type="dxa"/>
            <w:gridSpan w:val="5"/>
            <w:vAlign w:val="center"/>
          </w:tcPr>
          <w:p w:rsidR="009C0BF3" w:rsidRPr="004E3484" w:rsidRDefault="00E13435" w:rsidP="005E6D6B">
            <w:pPr>
              <w:pStyle w:val="TableText0"/>
              <w:keepLines/>
              <w:rPr>
                <w:i/>
              </w:rPr>
            </w:pPr>
            <w:r w:rsidRPr="004E3484">
              <w:rPr>
                <w:i/>
              </w:rPr>
              <w:t>Treatment</w:t>
            </w:r>
            <w:r w:rsidR="009C0BF3" w:rsidRPr="004E3484">
              <w:rPr>
                <w:i/>
              </w:rPr>
              <w:t>-related AEs leading to discontinuation</w:t>
            </w:r>
            <w:r w:rsidR="009C0BF3" w:rsidRPr="004E3484">
              <w:rPr>
                <w:i/>
                <w:vertAlign w:val="superscript"/>
              </w:rPr>
              <w:t>b</w:t>
            </w:r>
          </w:p>
        </w:tc>
      </w:tr>
      <w:tr w:rsidR="009C0BF3" w:rsidRPr="00B24C99" w:rsidTr="0056109B">
        <w:tc>
          <w:tcPr>
            <w:tcW w:w="2333" w:type="dxa"/>
            <w:vAlign w:val="center"/>
          </w:tcPr>
          <w:p w:rsidR="009C0BF3" w:rsidRPr="00B24C99" w:rsidRDefault="009C0BF3" w:rsidP="005E6D6B">
            <w:pPr>
              <w:pStyle w:val="TableText0"/>
              <w:keepLines/>
              <w:ind w:left="171"/>
            </w:pPr>
            <w:r w:rsidRPr="00B24C99">
              <w:t>Any Grade</w:t>
            </w:r>
          </w:p>
        </w:tc>
        <w:tc>
          <w:tcPr>
            <w:tcW w:w="1631" w:type="dxa"/>
            <w:vAlign w:val="center"/>
          </w:tcPr>
          <w:p w:rsidR="009C0BF3" w:rsidRPr="004E3484" w:rsidRDefault="009C0BF3" w:rsidP="005E6D6B">
            <w:pPr>
              <w:pStyle w:val="TableText0"/>
              <w:keepLines/>
              <w:jc w:val="center"/>
            </w:pPr>
            <w:r w:rsidRPr="004E3484">
              <w:t>69 (23.0)</w:t>
            </w:r>
          </w:p>
        </w:tc>
        <w:tc>
          <w:tcPr>
            <w:tcW w:w="1560" w:type="dxa"/>
            <w:vAlign w:val="center"/>
          </w:tcPr>
          <w:p w:rsidR="009C0BF3" w:rsidRPr="004E3484" w:rsidRDefault="009C0BF3" w:rsidP="005E6D6B">
            <w:pPr>
              <w:pStyle w:val="TableText0"/>
              <w:keepLines/>
              <w:jc w:val="center"/>
            </w:pPr>
            <w:r w:rsidRPr="004E3484">
              <w:t>45 (15.8)</w:t>
            </w:r>
          </w:p>
        </w:tc>
        <w:tc>
          <w:tcPr>
            <w:tcW w:w="1701" w:type="dxa"/>
            <w:vAlign w:val="center"/>
          </w:tcPr>
          <w:p w:rsidR="009C0BF3" w:rsidRPr="007E5299" w:rsidRDefault="009C0BF3" w:rsidP="005E6D6B">
            <w:pPr>
              <w:pStyle w:val="TableText0"/>
              <w:keepLines/>
              <w:jc w:val="center"/>
              <w:rPr>
                <w:i/>
              </w:rPr>
            </w:pPr>
            <w:r w:rsidRPr="007E5299">
              <w:rPr>
                <w:i/>
              </w:rPr>
              <w:t>1.45 (1.03, 2.04)</w:t>
            </w:r>
          </w:p>
        </w:tc>
        <w:tc>
          <w:tcPr>
            <w:tcW w:w="1792" w:type="dxa"/>
            <w:vAlign w:val="center"/>
          </w:tcPr>
          <w:p w:rsidR="009C0BF3" w:rsidRPr="007E5299" w:rsidRDefault="009C0BF3" w:rsidP="005E6D6B">
            <w:pPr>
              <w:pStyle w:val="TableText0"/>
              <w:keepLines/>
              <w:jc w:val="center"/>
              <w:rPr>
                <w:i/>
              </w:rPr>
            </w:pPr>
            <w:r w:rsidRPr="007E5299">
              <w:rPr>
                <w:i/>
              </w:rPr>
              <w:t>0.07 (0.01, 0.14)</w:t>
            </w:r>
          </w:p>
        </w:tc>
      </w:tr>
      <w:tr w:rsidR="009C0BF3" w:rsidRPr="00B24C99" w:rsidTr="0056109B">
        <w:tc>
          <w:tcPr>
            <w:tcW w:w="2333" w:type="dxa"/>
            <w:vAlign w:val="center"/>
          </w:tcPr>
          <w:p w:rsidR="009C0BF3" w:rsidRPr="00B24C99" w:rsidRDefault="009C0BF3" w:rsidP="005E6D6B">
            <w:pPr>
              <w:pStyle w:val="TableText0"/>
              <w:keepLines/>
              <w:ind w:left="171"/>
            </w:pPr>
            <w:r w:rsidRPr="00B24C99">
              <w:t>Grade 3-4</w:t>
            </w:r>
          </w:p>
        </w:tc>
        <w:tc>
          <w:tcPr>
            <w:tcW w:w="1631" w:type="dxa"/>
            <w:vAlign w:val="center"/>
          </w:tcPr>
          <w:p w:rsidR="009C0BF3" w:rsidRPr="004E3484" w:rsidRDefault="009C0BF3" w:rsidP="005E6D6B">
            <w:pPr>
              <w:pStyle w:val="TableText0"/>
              <w:keepLines/>
              <w:jc w:val="center"/>
            </w:pPr>
            <w:r w:rsidRPr="004E3484">
              <w:t>45 (15.0)</w:t>
            </w:r>
          </w:p>
        </w:tc>
        <w:tc>
          <w:tcPr>
            <w:tcW w:w="1560" w:type="dxa"/>
            <w:vAlign w:val="center"/>
          </w:tcPr>
          <w:p w:rsidR="009C0BF3" w:rsidRPr="004E3484" w:rsidRDefault="009C0BF3" w:rsidP="005E6D6B">
            <w:pPr>
              <w:pStyle w:val="TableText0"/>
              <w:keepLines/>
              <w:jc w:val="center"/>
            </w:pPr>
            <w:r w:rsidRPr="004E3484">
              <w:t>21 (7.4)</w:t>
            </w:r>
          </w:p>
        </w:tc>
        <w:tc>
          <w:tcPr>
            <w:tcW w:w="1701" w:type="dxa"/>
            <w:vAlign w:val="center"/>
          </w:tcPr>
          <w:p w:rsidR="009C0BF3" w:rsidRPr="007E5299" w:rsidRDefault="009C0BF3" w:rsidP="005E6D6B">
            <w:pPr>
              <w:pStyle w:val="TableText0"/>
              <w:keepLines/>
              <w:jc w:val="center"/>
              <w:rPr>
                <w:i/>
              </w:rPr>
            </w:pPr>
            <w:r w:rsidRPr="007E5299">
              <w:rPr>
                <w:i/>
              </w:rPr>
              <w:t>2.03 (1.24, 3.32)</w:t>
            </w:r>
          </w:p>
        </w:tc>
        <w:tc>
          <w:tcPr>
            <w:tcW w:w="1792" w:type="dxa"/>
            <w:vAlign w:val="center"/>
          </w:tcPr>
          <w:p w:rsidR="009C0BF3" w:rsidRPr="007E5299" w:rsidRDefault="009C0BF3" w:rsidP="005E6D6B">
            <w:pPr>
              <w:pStyle w:val="TableText0"/>
              <w:keepLines/>
              <w:jc w:val="center"/>
              <w:rPr>
                <w:i/>
              </w:rPr>
            </w:pPr>
            <w:r w:rsidRPr="007E5299">
              <w:rPr>
                <w:i/>
              </w:rPr>
              <w:t>0.08 (0.03, 0.13)</w:t>
            </w:r>
          </w:p>
        </w:tc>
      </w:tr>
      <w:tr w:rsidR="009C0BF3" w:rsidRPr="00B24C99" w:rsidTr="0056109B">
        <w:tc>
          <w:tcPr>
            <w:tcW w:w="2333" w:type="dxa"/>
            <w:vAlign w:val="center"/>
          </w:tcPr>
          <w:p w:rsidR="009C0BF3" w:rsidRPr="00B24C99" w:rsidRDefault="009C0BF3" w:rsidP="005E6D6B">
            <w:pPr>
              <w:pStyle w:val="TableText0"/>
              <w:keepLines/>
            </w:pPr>
            <w:r w:rsidRPr="00B24C99">
              <w:t>Deaths</w:t>
            </w:r>
          </w:p>
        </w:tc>
        <w:tc>
          <w:tcPr>
            <w:tcW w:w="1631" w:type="dxa"/>
            <w:vAlign w:val="center"/>
          </w:tcPr>
          <w:p w:rsidR="009C0BF3" w:rsidRPr="004E3484" w:rsidRDefault="009C0BF3" w:rsidP="005E6D6B">
            <w:pPr>
              <w:pStyle w:val="TableText0"/>
              <w:keepLines/>
              <w:jc w:val="center"/>
            </w:pPr>
            <w:r w:rsidRPr="004E3484">
              <w:t>198 (66.0)</w:t>
            </w:r>
          </w:p>
        </w:tc>
        <w:tc>
          <w:tcPr>
            <w:tcW w:w="1560" w:type="dxa"/>
            <w:vAlign w:val="center"/>
          </w:tcPr>
          <w:p w:rsidR="009C0BF3" w:rsidRPr="004E3484" w:rsidRDefault="009C0BF3" w:rsidP="005E6D6B">
            <w:pPr>
              <w:pStyle w:val="TableText0"/>
              <w:keepLines/>
              <w:jc w:val="center"/>
            </w:pPr>
            <w:r w:rsidRPr="004E3484">
              <w:t>212 (74.6)</w:t>
            </w:r>
          </w:p>
        </w:tc>
        <w:tc>
          <w:tcPr>
            <w:tcW w:w="1701" w:type="dxa"/>
            <w:vAlign w:val="center"/>
          </w:tcPr>
          <w:p w:rsidR="009C0BF3" w:rsidRPr="007E5299" w:rsidRDefault="009C0BF3" w:rsidP="005E6D6B">
            <w:pPr>
              <w:pStyle w:val="TableText0"/>
              <w:keepLines/>
              <w:jc w:val="center"/>
              <w:rPr>
                <w:i/>
              </w:rPr>
            </w:pPr>
            <w:r w:rsidRPr="007E5299">
              <w:rPr>
                <w:i/>
              </w:rPr>
              <w:t>0.88 (0.80, 0.98)</w:t>
            </w:r>
          </w:p>
        </w:tc>
        <w:tc>
          <w:tcPr>
            <w:tcW w:w="1792" w:type="dxa"/>
            <w:vAlign w:val="center"/>
          </w:tcPr>
          <w:p w:rsidR="009C0BF3" w:rsidRPr="007E5299" w:rsidRDefault="009C0BF3" w:rsidP="005E6D6B">
            <w:pPr>
              <w:pStyle w:val="TableText0"/>
              <w:keepLines/>
              <w:jc w:val="center"/>
              <w:rPr>
                <w:i/>
              </w:rPr>
            </w:pPr>
            <w:r w:rsidRPr="007E5299">
              <w:rPr>
                <w:i/>
              </w:rPr>
              <w:t>-0.09 (-0.16, -0.01)</w:t>
            </w:r>
          </w:p>
        </w:tc>
      </w:tr>
      <w:tr w:rsidR="009C0BF3" w:rsidRPr="00B24C99" w:rsidTr="0056109B">
        <w:tc>
          <w:tcPr>
            <w:tcW w:w="2333" w:type="dxa"/>
            <w:vAlign w:val="center"/>
          </w:tcPr>
          <w:p w:rsidR="009C0BF3" w:rsidRPr="00B24C99" w:rsidRDefault="009C0BF3" w:rsidP="005E6D6B">
            <w:pPr>
              <w:pStyle w:val="TableText0"/>
              <w:keepLines/>
              <w:ind w:left="171"/>
            </w:pPr>
            <w:r w:rsidRPr="00B24C99">
              <w:t>Within 30 days of last dose</w:t>
            </w:r>
          </w:p>
        </w:tc>
        <w:tc>
          <w:tcPr>
            <w:tcW w:w="1631" w:type="dxa"/>
            <w:vAlign w:val="center"/>
          </w:tcPr>
          <w:p w:rsidR="009C0BF3" w:rsidRPr="004E3484" w:rsidRDefault="009C0BF3" w:rsidP="005E6D6B">
            <w:pPr>
              <w:pStyle w:val="TableText0"/>
              <w:keepLines/>
              <w:jc w:val="center"/>
            </w:pPr>
            <w:r w:rsidRPr="004E3484">
              <w:t>28 (9.3)</w:t>
            </w:r>
          </w:p>
        </w:tc>
        <w:tc>
          <w:tcPr>
            <w:tcW w:w="1560" w:type="dxa"/>
            <w:vAlign w:val="center"/>
          </w:tcPr>
          <w:p w:rsidR="009C0BF3" w:rsidRPr="004E3484" w:rsidRDefault="009C0BF3" w:rsidP="005E6D6B">
            <w:pPr>
              <w:pStyle w:val="TableText0"/>
              <w:keepLines/>
              <w:jc w:val="center"/>
            </w:pPr>
            <w:r w:rsidRPr="004E3484">
              <w:t>14 (4.9)</w:t>
            </w:r>
          </w:p>
        </w:tc>
        <w:tc>
          <w:tcPr>
            <w:tcW w:w="1701" w:type="dxa"/>
            <w:vAlign w:val="center"/>
          </w:tcPr>
          <w:p w:rsidR="009C0BF3" w:rsidRPr="00B24C99" w:rsidRDefault="009C0BF3" w:rsidP="005E6D6B">
            <w:pPr>
              <w:pStyle w:val="TableText0"/>
              <w:keepLines/>
              <w:jc w:val="center"/>
              <w:rPr>
                <w:i/>
              </w:rPr>
            </w:pPr>
            <w:r w:rsidRPr="00B24C99">
              <w:rPr>
                <w:i/>
              </w:rPr>
              <w:t>1.89 (1.02, 3.52)</w:t>
            </w:r>
          </w:p>
        </w:tc>
        <w:tc>
          <w:tcPr>
            <w:tcW w:w="1792" w:type="dxa"/>
            <w:vAlign w:val="center"/>
          </w:tcPr>
          <w:p w:rsidR="009C0BF3" w:rsidRPr="00B24C99" w:rsidRDefault="009C0BF3" w:rsidP="005E6D6B">
            <w:pPr>
              <w:pStyle w:val="TableText0"/>
              <w:keepLines/>
              <w:jc w:val="center"/>
              <w:rPr>
                <w:i/>
              </w:rPr>
            </w:pPr>
            <w:r w:rsidRPr="00B24C99">
              <w:rPr>
                <w:i/>
              </w:rPr>
              <w:t>0.04 (0.00, 0.09)</w:t>
            </w:r>
          </w:p>
        </w:tc>
      </w:tr>
      <w:tr w:rsidR="009C0BF3" w:rsidRPr="00B24C99" w:rsidTr="0056109B">
        <w:tc>
          <w:tcPr>
            <w:tcW w:w="2333" w:type="dxa"/>
            <w:vAlign w:val="center"/>
          </w:tcPr>
          <w:p w:rsidR="009C0BF3" w:rsidRPr="00B24C99" w:rsidRDefault="009C0BF3" w:rsidP="005E6D6B">
            <w:pPr>
              <w:pStyle w:val="TableText0"/>
              <w:keepLines/>
              <w:ind w:left="171"/>
            </w:pPr>
            <w:r w:rsidRPr="00B24C99">
              <w:t>Within 100 days of last dose</w:t>
            </w:r>
          </w:p>
        </w:tc>
        <w:tc>
          <w:tcPr>
            <w:tcW w:w="1631" w:type="dxa"/>
            <w:vAlign w:val="center"/>
          </w:tcPr>
          <w:p w:rsidR="009C0BF3" w:rsidRPr="004E3484" w:rsidRDefault="009C0BF3" w:rsidP="005E6D6B">
            <w:pPr>
              <w:pStyle w:val="TableText0"/>
              <w:keepLines/>
              <w:jc w:val="center"/>
            </w:pPr>
            <w:r w:rsidRPr="004E3484">
              <w:t>55 (18.3)</w:t>
            </w:r>
          </w:p>
        </w:tc>
        <w:tc>
          <w:tcPr>
            <w:tcW w:w="1560" w:type="dxa"/>
            <w:vAlign w:val="center"/>
          </w:tcPr>
          <w:p w:rsidR="009C0BF3" w:rsidRPr="004E3484" w:rsidRDefault="009C0BF3" w:rsidP="005E6D6B">
            <w:pPr>
              <w:pStyle w:val="TableText0"/>
              <w:keepLines/>
              <w:jc w:val="center"/>
            </w:pPr>
            <w:r w:rsidRPr="004E3484">
              <w:t>50 (17.6)</w:t>
            </w:r>
          </w:p>
        </w:tc>
        <w:tc>
          <w:tcPr>
            <w:tcW w:w="1701" w:type="dxa"/>
            <w:vAlign w:val="center"/>
          </w:tcPr>
          <w:p w:rsidR="009C0BF3" w:rsidRPr="00B24C99" w:rsidRDefault="009C0BF3" w:rsidP="005E6D6B">
            <w:pPr>
              <w:pStyle w:val="TableText0"/>
              <w:keepLines/>
              <w:jc w:val="center"/>
              <w:rPr>
                <w:i/>
              </w:rPr>
            </w:pPr>
            <w:r w:rsidRPr="00B24C99">
              <w:rPr>
                <w:i/>
              </w:rPr>
              <w:t>1.04 (0.74, 1.47)</w:t>
            </w:r>
          </w:p>
        </w:tc>
        <w:tc>
          <w:tcPr>
            <w:tcW w:w="1792" w:type="dxa"/>
            <w:vAlign w:val="center"/>
          </w:tcPr>
          <w:p w:rsidR="009C0BF3" w:rsidRPr="007E5299" w:rsidRDefault="009C0BF3" w:rsidP="005E6D6B">
            <w:pPr>
              <w:pStyle w:val="TableText0"/>
              <w:keepLines/>
              <w:jc w:val="center"/>
              <w:rPr>
                <w:i/>
              </w:rPr>
            </w:pPr>
            <w:r w:rsidRPr="007E5299">
              <w:rPr>
                <w:i/>
              </w:rPr>
              <w:t>0.01 (-0.06, 0.07)</w:t>
            </w:r>
          </w:p>
        </w:tc>
      </w:tr>
      <w:tr w:rsidR="009C0BF3" w:rsidRPr="00B24C99" w:rsidTr="0056109B">
        <w:tc>
          <w:tcPr>
            <w:tcW w:w="2333" w:type="dxa"/>
            <w:vAlign w:val="center"/>
          </w:tcPr>
          <w:p w:rsidR="009C0BF3" w:rsidRPr="00B24C99" w:rsidRDefault="009C0BF3" w:rsidP="005E6D6B">
            <w:pPr>
              <w:pStyle w:val="TableText0"/>
              <w:keepLines/>
            </w:pPr>
            <w:r w:rsidRPr="00B24C99">
              <w:t>Deaths by primary reason</w:t>
            </w:r>
          </w:p>
        </w:tc>
        <w:tc>
          <w:tcPr>
            <w:tcW w:w="1631" w:type="dxa"/>
            <w:vAlign w:val="center"/>
          </w:tcPr>
          <w:p w:rsidR="009C0BF3" w:rsidRPr="004E3484" w:rsidRDefault="009C0BF3" w:rsidP="005E6D6B">
            <w:pPr>
              <w:pStyle w:val="TableText0"/>
              <w:keepLines/>
              <w:jc w:val="center"/>
            </w:pPr>
          </w:p>
        </w:tc>
        <w:tc>
          <w:tcPr>
            <w:tcW w:w="1560" w:type="dxa"/>
            <w:vAlign w:val="center"/>
          </w:tcPr>
          <w:p w:rsidR="009C0BF3" w:rsidRPr="004E3484" w:rsidRDefault="009C0BF3" w:rsidP="005E6D6B">
            <w:pPr>
              <w:pStyle w:val="TableText0"/>
              <w:keepLines/>
              <w:jc w:val="center"/>
            </w:pPr>
          </w:p>
        </w:tc>
        <w:tc>
          <w:tcPr>
            <w:tcW w:w="1701" w:type="dxa"/>
            <w:vAlign w:val="center"/>
          </w:tcPr>
          <w:p w:rsidR="009C0BF3" w:rsidRPr="00B24C99" w:rsidRDefault="009C0BF3" w:rsidP="005E6D6B">
            <w:pPr>
              <w:pStyle w:val="TableText0"/>
              <w:keepLines/>
              <w:jc w:val="center"/>
              <w:rPr>
                <w:i/>
              </w:rPr>
            </w:pPr>
          </w:p>
        </w:tc>
        <w:tc>
          <w:tcPr>
            <w:tcW w:w="1792" w:type="dxa"/>
            <w:vAlign w:val="center"/>
          </w:tcPr>
          <w:p w:rsidR="009C0BF3" w:rsidRPr="00B24C99" w:rsidRDefault="009C0BF3" w:rsidP="005E6D6B">
            <w:pPr>
              <w:pStyle w:val="TableText0"/>
              <w:keepLines/>
              <w:jc w:val="center"/>
              <w:rPr>
                <w:b/>
                <w:i/>
              </w:rPr>
            </w:pPr>
          </w:p>
        </w:tc>
      </w:tr>
      <w:tr w:rsidR="009C0BF3" w:rsidRPr="00B24C99" w:rsidTr="0056109B">
        <w:tc>
          <w:tcPr>
            <w:tcW w:w="2333" w:type="dxa"/>
            <w:vAlign w:val="center"/>
          </w:tcPr>
          <w:p w:rsidR="009C0BF3" w:rsidRPr="00B24C99" w:rsidRDefault="009C0BF3" w:rsidP="005E6D6B">
            <w:pPr>
              <w:pStyle w:val="TableText0"/>
              <w:keepLines/>
              <w:ind w:left="171"/>
            </w:pPr>
            <w:r w:rsidRPr="00B24C99">
              <w:t>Deaths due to disease</w:t>
            </w:r>
          </w:p>
        </w:tc>
        <w:tc>
          <w:tcPr>
            <w:tcW w:w="1631" w:type="dxa"/>
            <w:vAlign w:val="center"/>
          </w:tcPr>
          <w:p w:rsidR="009C0BF3" w:rsidRPr="004E3484" w:rsidRDefault="009C0BF3" w:rsidP="005E6D6B">
            <w:pPr>
              <w:pStyle w:val="TableText0"/>
              <w:keepLines/>
              <w:jc w:val="center"/>
            </w:pPr>
            <w:r w:rsidRPr="004E3484">
              <w:t>183 (61.0)</w:t>
            </w:r>
          </w:p>
        </w:tc>
        <w:tc>
          <w:tcPr>
            <w:tcW w:w="1560" w:type="dxa"/>
            <w:vAlign w:val="center"/>
          </w:tcPr>
          <w:p w:rsidR="009C0BF3" w:rsidRPr="004E3484" w:rsidRDefault="009C0BF3" w:rsidP="005E6D6B">
            <w:pPr>
              <w:pStyle w:val="TableText0"/>
              <w:keepLines/>
              <w:jc w:val="center"/>
            </w:pPr>
            <w:r w:rsidRPr="004E3484">
              <w:t>199 (70.1)</w:t>
            </w:r>
          </w:p>
        </w:tc>
        <w:tc>
          <w:tcPr>
            <w:tcW w:w="1701" w:type="dxa"/>
            <w:vAlign w:val="center"/>
          </w:tcPr>
          <w:p w:rsidR="009C0BF3" w:rsidRPr="007E5299" w:rsidRDefault="009C0BF3" w:rsidP="005E6D6B">
            <w:pPr>
              <w:pStyle w:val="TableText0"/>
              <w:keepLines/>
              <w:jc w:val="center"/>
              <w:rPr>
                <w:i/>
              </w:rPr>
            </w:pPr>
            <w:r w:rsidRPr="007E5299">
              <w:rPr>
                <w:i/>
              </w:rPr>
              <w:t>0.87 (0.77, 0.98)</w:t>
            </w:r>
          </w:p>
        </w:tc>
        <w:tc>
          <w:tcPr>
            <w:tcW w:w="1792" w:type="dxa"/>
            <w:vAlign w:val="center"/>
          </w:tcPr>
          <w:p w:rsidR="009C0BF3" w:rsidRPr="007E5299" w:rsidRDefault="009C0BF3" w:rsidP="005E6D6B">
            <w:pPr>
              <w:pStyle w:val="TableText0"/>
              <w:keepLines/>
              <w:jc w:val="center"/>
              <w:rPr>
                <w:i/>
              </w:rPr>
            </w:pPr>
            <w:r w:rsidRPr="007E5299">
              <w:rPr>
                <w:i/>
              </w:rPr>
              <w:t>-0.09 (-0.17, -0.01)</w:t>
            </w:r>
          </w:p>
        </w:tc>
      </w:tr>
      <w:tr w:rsidR="009C0BF3" w:rsidRPr="00B24C99" w:rsidTr="0056109B">
        <w:tc>
          <w:tcPr>
            <w:tcW w:w="2333" w:type="dxa"/>
            <w:vAlign w:val="center"/>
          </w:tcPr>
          <w:p w:rsidR="009C0BF3" w:rsidRPr="00B24C99" w:rsidRDefault="009C0BF3" w:rsidP="005E6D6B">
            <w:pPr>
              <w:pStyle w:val="TableText0"/>
              <w:keepLines/>
              <w:ind w:left="171"/>
            </w:pPr>
            <w:r w:rsidRPr="00B24C99">
              <w:t>Deaths due to study drug toxicity</w:t>
            </w:r>
          </w:p>
        </w:tc>
        <w:tc>
          <w:tcPr>
            <w:tcW w:w="1631" w:type="dxa"/>
            <w:vAlign w:val="center"/>
          </w:tcPr>
          <w:p w:rsidR="009C0BF3" w:rsidRPr="004E3484" w:rsidRDefault="009C0BF3" w:rsidP="005E6D6B">
            <w:pPr>
              <w:pStyle w:val="TableText0"/>
              <w:keepLines/>
              <w:jc w:val="center"/>
            </w:pPr>
            <w:r w:rsidRPr="004E3484">
              <w:t>3</w:t>
            </w:r>
            <w:r w:rsidRPr="004E3484">
              <w:rPr>
                <w:vertAlign w:val="superscript"/>
              </w:rPr>
              <w:t>c</w:t>
            </w:r>
            <w:r w:rsidRPr="004E3484">
              <w:t xml:space="preserve"> (1.0)</w:t>
            </w:r>
          </w:p>
        </w:tc>
        <w:tc>
          <w:tcPr>
            <w:tcW w:w="1560" w:type="dxa"/>
            <w:vAlign w:val="center"/>
          </w:tcPr>
          <w:p w:rsidR="009C0BF3" w:rsidRPr="004E3484" w:rsidRDefault="009C0BF3" w:rsidP="005E6D6B">
            <w:pPr>
              <w:pStyle w:val="TableText0"/>
              <w:keepLines/>
              <w:jc w:val="center"/>
            </w:pPr>
            <w:r w:rsidRPr="004E3484">
              <w:t>1</w:t>
            </w:r>
            <w:r w:rsidRPr="004E3484">
              <w:rPr>
                <w:vertAlign w:val="superscript"/>
              </w:rPr>
              <w:t>d</w:t>
            </w:r>
            <w:r w:rsidRPr="004E3484">
              <w:t xml:space="preserve"> (0.4)</w:t>
            </w:r>
          </w:p>
        </w:tc>
        <w:tc>
          <w:tcPr>
            <w:tcW w:w="1701" w:type="dxa"/>
            <w:vAlign w:val="center"/>
          </w:tcPr>
          <w:p w:rsidR="009C0BF3" w:rsidRPr="00B24C99" w:rsidRDefault="009C0BF3" w:rsidP="005E6D6B">
            <w:pPr>
              <w:pStyle w:val="TableText0"/>
              <w:keepLines/>
              <w:jc w:val="center"/>
              <w:rPr>
                <w:i/>
              </w:rPr>
            </w:pPr>
            <w:r w:rsidRPr="00B24C99">
              <w:rPr>
                <w:i/>
              </w:rPr>
              <w:t>2.84 (0.30, 27.14)</w:t>
            </w:r>
          </w:p>
        </w:tc>
        <w:tc>
          <w:tcPr>
            <w:tcW w:w="1792" w:type="dxa"/>
            <w:vAlign w:val="center"/>
          </w:tcPr>
          <w:p w:rsidR="009C0BF3" w:rsidRPr="00B24C99" w:rsidRDefault="009C0BF3" w:rsidP="005E6D6B">
            <w:pPr>
              <w:pStyle w:val="TableText0"/>
              <w:keepLines/>
              <w:jc w:val="center"/>
              <w:rPr>
                <w:i/>
              </w:rPr>
            </w:pPr>
            <w:r w:rsidRPr="00B24C99">
              <w:rPr>
                <w:i/>
              </w:rPr>
              <w:t>0.01 (-0.01, 0.02)</w:t>
            </w:r>
          </w:p>
        </w:tc>
      </w:tr>
    </w:tbl>
    <w:p w:rsidR="005B47EF" w:rsidRPr="00B24C99" w:rsidRDefault="005B47EF" w:rsidP="005E6D6B">
      <w:pPr>
        <w:pStyle w:val="TableFigureFooter"/>
        <w:keepNext/>
        <w:keepLines/>
        <w:rPr>
          <w:i/>
          <w:sz w:val="20"/>
          <w:szCs w:val="20"/>
        </w:rPr>
      </w:pPr>
      <w:r w:rsidRPr="00B24C99">
        <w:rPr>
          <w:i/>
          <w:sz w:val="20"/>
          <w:szCs w:val="20"/>
        </w:rPr>
        <w:t>Figures in italics were calculated during the evaluation.</w:t>
      </w:r>
    </w:p>
    <w:p w:rsidR="005B47EF" w:rsidRPr="00B24C99" w:rsidRDefault="005B47EF" w:rsidP="005E6D6B">
      <w:pPr>
        <w:pStyle w:val="TableFigureFooter"/>
        <w:keepNext/>
        <w:keepLines/>
        <w:rPr>
          <w:sz w:val="20"/>
          <w:szCs w:val="20"/>
        </w:rPr>
      </w:pPr>
      <w:r w:rsidRPr="00B24C99">
        <w:rPr>
          <w:sz w:val="20"/>
          <w:szCs w:val="20"/>
          <w:vertAlign w:val="superscript"/>
        </w:rPr>
        <w:t>a</w:t>
      </w:r>
      <w:r w:rsidRPr="00B24C99">
        <w:rPr>
          <w:sz w:val="20"/>
          <w:szCs w:val="20"/>
        </w:rPr>
        <w:t xml:space="preserve">Exposure-adjusted AEs leading to discontinuation incidence rates (per 100 person-years) were 47.7% and 76.2% for NIVO+IPI and chemotherapy, respectively (CheckMate 743 CSR). </w:t>
      </w:r>
    </w:p>
    <w:p w:rsidR="005B47EF" w:rsidRPr="00B24C99" w:rsidRDefault="005B47EF" w:rsidP="005E6D6B">
      <w:pPr>
        <w:pStyle w:val="TableFigureFooter"/>
        <w:keepNext/>
        <w:keepLines/>
        <w:rPr>
          <w:sz w:val="20"/>
          <w:szCs w:val="20"/>
        </w:rPr>
      </w:pPr>
      <w:r w:rsidRPr="00B24C99">
        <w:rPr>
          <w:sz w:val="20"/>
          <w:szCs w:val="20"/>
          <w:vertAlign w:val="superscript"/>
        </w:rPr>
        <w:t xml:space="preserve">b </w:t>
      </w:r>
      <w:r w:rsidRPr="00B24C99">
        <w:rPr>
          <w:sz w:val="20"/>
          <w:szCs w:val="20"/>
        </w:rPr>
        <w:t xml:space="preserve">Exposure-adjusted </w:t>
      </w:r>
      <w:r w:rsidR="00D70D9A" w:rsidRPr="00B24C99">
        <w:rPr>
          <w:sz w:val="20"/>
          <w:szCs w:val="20"/>
        </w:rPr>
        <w:t xml:space="preserve">treatment-related </w:t>
      </w:r>
      <w:r w:rsidRPr="00B24C99">
        <w:rPr>
          <w:sz w:val="20"/>
          <w:szCs w:val="20"/>
        </w:rPr>
        <w:t xml:space="preserve">AEs leading to discontinuation incidence rates (per 100 person-years) were 37.7% and 59.2% for NIVO+IPI and chemotherapy, respectively (CheckMate 743 CSR). </w:t>
      </w:r>
    </w:p>
    <w:p w:rsidR="005B47EF" w:rsidRPr="00B24C99" w:rsidRDefault="005B47EF" w:rsidP="005E6D6B">
      <w:pPr>
        <w:pStyle w:val="TableFigureFooter"/>
        <w:keepNext/>
        <w:keepLines/>
        <w:rPr>
          <w:sz w:val="20"/>
          <w:szCs w:val="20"/>
        </w:rPr>
      </w:pPr>
      <w:r w:rsidRPr="00B24C99">
        <w:rPr>
          <w:sz w:val="20"/>
          <w:szCs w:val="20"/>
          <w:vertAlign w:val="superscript"/>
        </w:rPr>
        <w:t xml:space="preserve">c </w:t>
      </w:r>
      <w:r w:rsidRPr="00B24C99">
        <w:rPr>
          <w:sz w:val="20"/>
          <w:szCs w:val="20"/>
        </w:rPr>
        <w:t>Causes of death: pneumonitis, toxicity of immunotherapy and development of neurological complications, and acute heart failure.</w:t>
      </w:r>
    </w:p>
    <w:p w:rsidR="005B47EF" w:rsidRPr="00B24C99" w:rsidRDefault="005B47EF" w:rsidP="005E6D6B">
      <w:pPr>
        <w:pStyle w:val="TableFigureFooter"/>
        <w:keepNext/>
        <w:keepLines/>
        <w:rPr>
          <w:sz w:val="20"/>
          <w:szCs w:val="20"/>
        </w:rPr>
      </w:pPr>
      <w:r w:rsidRPr="00B24C99">
        <w:rPr>
          <w:sz w:val="20"/>
          <w:szCs w:val="20"/>
          <w:vertAlign w:val="superscript"/>
        </w:rPr>
        <w:t xml:space="preserve">d </w:t>
      </w:r>
      <w:r w:rsidRPr="00B24C99">
        <w:rPr>
          <w:sz w:val="20"/>
          <w:szCs w:val="20"/>
        </w:rPr>
        <w:t>Cause of death myelosuppression due to drugs and salmonella sepsis.</w:t>
      </w:r>
    </w:p>
    <w:p w:rsidR="009C0BF3" w:rsidRPr="00B24C99" w:rsidRDefault="009C0BF3" w:rsidP="005E6D6B">
      <w:pPr>
        <w:pStyle w:val="TableFigureFooter"/>
        <w:keepNext/>
        <w:keepLines/>
        <w:rPr>
          <w:rFonts w:eastAsia="Calibri"/>
        </w:rPr>
      </w:pPr>
      <w:r w:rsidRPr="00B24C99">
        <w:rPr>
          <w:rFonts w:eastAsia="Calibri"/>
        </w:rPr>
        <w:t>AE</w:t>
      </w:r>
      <w:r w:rsidR="005B47EF" w:rsidRPr="00B24C99">
        <w:rPr>
          <w:rFonts w:eastAsia="Calibri"/>
        </w:rPr>
        <w:t>,</w:t>
      </w:r>
      <w:r w:rsidRPr="00B24C99">
        <w:rPr>
          <w:rFonts w:eastAsia="Calibri"/>
        </w:rPr>
        <w:t xml:space="preserve"> adverse event; </w:t>
      </w:r>
      <w:r w:rsidR="00A95C16" w:rsidRPr="00B24C99">
        <w:rPr>
          <w:rFonts w:eastAsia="Calibri"/>
        </w:rPr>
        <w:t>Chemo</w:t>
      </w:r>
      <w:r w:rsidR="00BF394A" w:rsidRPr="00B24C99">
        <w:rPr>
          <w:rFonts w:eastAsia="Calibri"/>
        </w:rPr>
        <w:t>,</w:t>
      </w:r>
      <w:r w:rsidR="00A95C16" w:rsidRPr="00B24C99">
        <w:rPr>
          <w:rFonts w:eastAsia="Calibri"/>
        </w:rPr>
        <w:t xml:space="preserve"> </w:t>
      </w:r>
      <w:r w:rsidR="00A95C16" w:rsidRPr="00B24C99">
        <w:t>pemetrexed plus cisplatin/carboplatin</w:t>
      </w:r>
      <w:r w:rsidR="00A95C16" w:rsidRPr="00B24C99">
        <w:rPr>
          <w:rFonts w:eastAsia="Calibri"/>
        </w:rPr>
        <w:t xml:space="preserve">; </w:t>
      </w:r>
      <w:r w:rsidRPr="00B24C99">
        <w:rPr>
          <w:rFonts w:eastAsia="Calibri"/>
        </w:rPr>
        <w:t>CI</w:t>
      </w:r>
      <w:r w:rsidR="00BF394A" w:rsidRPr="00B24C99">
        <w:rPr>
          <w:rFonts w:eastAsia="Calibri"/>
        </w:rPr>
        <w:t>,</w:t>
      </w:r>
      <w:r w:rsidRPr="00B24C99">
        <w:rPr>
          <w:rFonts w:eastAsia="Calibri"/>
        </w:rPr>
        <w:t xml:space="preserve"> confidence interval; IPI</w:t>
      </w:r>
      <w:r w:rsidR="00BF394A" w:rsidRPr="00B24C99">
        <w:rPr>
          <w:rFonts w:eastAsia="Calibri"/>
        </w:rPr>
        <w:t>,</w:t>
      </w:r>
      <w:r w:rsidRPr="00B24C99">
        <w:rPr>
          <w:rFonts w:eastAsia="Calibri"/>
        </w:rPr>
        <w:t xml:space="preserve"> ipilimumab; NIVO</w:t>
      </w:r>
      <w:r w:rsidR="00BF394A" w:rsidRPr="00B24C99">
        <w:rPr>
          <w:rFonts w:eastAsia="Calibri"/>
        </w:rPr>
        <w:t>,</w:t>
      </w:r>
      <w:r w:rsidRPr="00B24C99">
        <w:rPr>
          <w:rFonts w:eastAsia="Calibri"/>
        </w:rPr>
        <w:t xml:space="preserve"> nivolumab; n</w:t>
      </w:r>
      <w:r w:rsidR="00BF394A" w:rsidRPr="00B24C99">
        <w:rPr>
          <w:rFonts w:eastAsia="Calibri"/>
        </w:rPr>
        <w:t>,</w:t>
      </w:r>
      <w:r w:rsidRPr="00B24C99">
        <w:rPr>
          <w:rFonts w:eastAsia="Calibri"/>
        </w:rPr>
        <w:t xml:space="preserve"> number of participants reporting data; N</w:t>
      </w:r>
      <w:r w:rsidR="00BF394A" w:rsidRPr="00B24C99">
        <w:rPr>
          <w:rFonts w:eastAsia="Calibri"/>
        </w:rPr>
        <w:t>,</w:t>
      </w:r>
      <w:r w:rsidRPr="00B24C99">
        <w:rPr>
          <w:rFonts w:eastAsia="Calibri"/>
        </w:rPr>
        <w:t xml:space="preserve"> total participants in group; RD</w:t>
      </w:r>
      <w:r w:rsidR="00BF394A" w:rsidRPr="00B24C99">
        <w:rPr>
          <w:rFonts w:eastAsia="Calibri"/>
        </w:rPr>
        <w:t>,</w:t>
      </w:r>
      <w:r w:rsidRPr="00B24C99">
        <w:rPr>
          <w:rFonts w:eastAsia="Calibri"/>
        </w:rPr>
        <w:t xml:space="preserve"> risk difference; RR</w:t>
      </w:r>
      <w:r w:rsidR="00BF394A" w:rsidRPr="00B24C99">
        <w:rPr>
          <w:rFonts w:eastAsia="Calibri"/>
        </w:rPr>
        <w:t>,</w:t>
      </w:r>
      <w:r w:rsidRPr="00B24C99">
        <w:rPr>
          <w:rFonts w:eastAsia="Calibri"/>
        </w:rPr>
        <w:t xml:space="preserve"> relative risk.</w:t>
      </w:r>
    </w:p>
    <w:p w:rsidR="005B47EF" w:rsidRPr="00B24C99" w:rsidRDefault="005B47EF" w:rsidP="005E6D6B">
      <w:pPr>
        <w:pStyle w:val="TableFigureFooter"/>
        <w:keepNext/>
        <w:keepLines/>
        <w:rPr>
          <w:i/>
          <w:sz w:val="20"/>
        </w:rPr>
      </w:pPr>
      <w:r w:rsidRPr="00B24C99">
        <w:t>Source: Table 60, p104 of submission; Table 8.1-1, p110 of CSR.</w:t>
      </w:r>
    </w:p>
    <w:p w:rsidR="005B47EF" w:rsidRPr="00B24C99" w:rsidRDefault="005B47EF" w:rsidP="009C0BF3">
      <w:pPr>
        <w:pStyle w:val="TableFigureFooter"/>
        <w:rPr>
          <w:rFonts w:eastAsia="Calibri"/>
        </w:rPr>
      </w:pPr>
    </w:p>
    <w:p w:rsidR="00A50308" w:rsidRPr="00B24C99" w:rsidRDefault="00F257C1" w:rsidP="00CE1995">
      <w:pPr>
        <w:pStyle w:val="3-BodyText"/>
      </w:pPr>
      <w:r w:rsidRPr="00B24C99">
        <w:t>In Checkmate 743, higher proportions of patients treated with NIVO+IPI compared to chemotherapy experienced Grade 3-4 AEs and serious AEs (regardless of causality), as well as treatment related serious AEs and AEs leading to discontinuation (treatment related and regardless of causality)</w:t>
      </w:r>
      <w:r w:rsidR="00B24C99">
        <w:t xml:space="preserve">. </w:t>
      </w:r>
      <w:r w:rsidR="00A50308" w:rsidRPr="00B24C99">
        <w:t>However, incidence rates of exposure-adjusted AEs leading to discontinuation were lower in the NIPO+IPI arm compared to the pemetrexed based chemotherapy arm.</w:t>
      </w:r>
      <w:r w:rsidR="00CE1995" w:rsidRPr="00B24C99">
        <w:t xml:space="preserve"> </w:t>
      </w:r>
    </w:p>
    <w:p w:rsidR="00A50308" w:rsidRPr="00B24C99" w:rsidRDefault="00A50308" w:rsidP="00A50308">
      <w:pPr>
        <w:pStyle w:val="3-BodyText"/>
      </w:pPr>
      <w:r w:rsidRPr="00B24C99">
        <w:t>The use of NIVO+IPI was associated with an increased rate of immune-mediated adverse events (IMAEs)</w:t>
      </w:r>
      <w:r w:rsidR="00B24C99">
        <w:t xml:space="preserve">. </w:t>
      </w:r>
      <w:r w:rsidRPr="00B24C99">
        <w:t>The proportion of patients with diarrhoea/colitis, hepatitis, pneumonitis, rash, hyopophysitis, hypothyroidism and hyperthyroidism was higher for NIVO+IPI versus pemetrexed-based chemotherapy</w:t>
      </w:r>
      <w:r w:rsidR="00B24C99">
        <w:t xml:space="preserve">. </w:t>
      </w:r>
      <w:r w:rsidRPr="00B24C99">
        <w:t>Most IMAEs were Grade 1-2, with the exception of hepatitis and nephritis/ renal dysfunction</w:t>
      </w:r>
      <w:r w:rsidR="00B24C99">
        <w:t xml:space="preserve">. </w:t>
      </w:r>
      <w:r w:rsidRPr="00B24C99">
        <w:t xml:space="preserve">Overall, the nature of </w:t>
      </w:r>
      <w:r w:rsidRPr="00B24C99">
        <w:lastRenderedPageBreak/>
        <w:t>these IMAEs was consistent with the established IMAE profile of immunotherapy-based treatment regimens.</w:t>
      </w:r>
    </w:p>
    <w:p w:rsidR="00AF720A" w:rsidRPr="00B24C99" w:rsidRDefault="00BB614D" w:rsidP="00AF720A">
      <w:pPr>
        <w:pStyle w:val="3-BodyText"/>
      </w:pPr>
      <w:r w:rsidRPr="00B24C99">
        <w:t>A comparison of key adverse events across the second</w:t>
      </w:r>
      <w:r w:rsidR="00020CBD" w:rsidRPr="00B24C99">
        <w:t xml:space="preserve"> or later</w:t>
      </w:r>
      <w:r w:rsidRPr="00B24C99">
        <w:t>-line NIVO+IPI and pemetrexed and BSC studies is provided in the table below.</w:t>
      </w:r>
    </w:p>
    <w:p w:rsidR="00AF720A" w:rsidRPr="00B24C99" w:rsidRDefault="00AF720A" w:rsidP="00AF720A">
      <w:pPr>
        <w:pStyle w:val="TableFigureHeading"/>
      </w:pPr>
      <w:r w:rsidRPr="00B24C99">
        <w:t xml:space="preserve">Table </w:t>
      </w:r>
      <w:r w:rsidR="008F0DF2" w:rsidRPr="00B24C99">
        <w:t>10</w:t>
      </w:r>
      <w:r w:rsidRPr="00B24C99">
        <w:t>: Summary of key adverse events in MAPS2, INITIATE and Jassem 2008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1243"/>
        <w:gridCol w:w="1276"/>
        <w:gridCol w:w="1276"/>
        <w:gridCol w:w="1701"/>
        <w:gridCol w:w="1225"/>
      </w:tblGrid>
      <w:tr w:rsidR="00AF720A" w:rsidRPr="00B24C99" w:rsidTr="00BD36D7">
        <w:trPr>
          <w:tblHeader/>
        </w:trPr>
        <w:tc>
          <w:tcPr>
            <w:tcW w:w="2296" w:type="dxa"/>
            <w:vAlign w:val="center"/>
          </w:tcPr>
          <w:p w:rsidR="00AF720A" w:rsidRPr="00B24C99" w:rsidRDefault="00AF720A" w:rsidP="00BD36D7">
            <w:pPr>
              <w:pStyle w:val="In-tableHeading"/>
              <w:rPr>
                <w:lang w:val="en-AU"/>
              </w:rPr>
            </w:pPr>
          </w:p>
        </w:tc>
        <w:tc>
          <w:tcPr>
            <w:tcW w:w="2519" w:type="dxa"/>
            <w:gridSpan w:val="2"/>
            <w:vAlign w:val="center"/>
          </w:tcPr>
          <w:p w:rsidR="00AF720A" w:rsidRPr="00B24C99" w:rsidRDefault="00AF720A" w:rsidP="00BD36D7">
            <w:pPr>
              <w:pStyle w:val="In-tableHeading"/>
              <w:jc w:val="center"/>
              <w:rPr>
                <w:lang w:val="en-AU"/>
              </w:rPr>
            </w:pPr>
            <w:r w:rsidRPr="00B24C99">
              <w:rPr>
                <w:lang w:val="en-AU"/>
              </w:rPr>
              <w:t>MAPS2</w:t>
            </w:r>
          </w:p>
        </w:tc>
        <w:tc>
          <w:tcPr>
            <w:tcW w:w="1276" w:type="dxa"/>
            <w:vAlign w:val="center"/>
          </w:tcPr>
          <w:p w:rsidR="00AF720A" w:rsidRPr="00B24C99" w:rsidRDefault="00AF720A" w:rsidP="00BD36D7">
            <w:pPr>
              <w:pStyle w:val="In-tableHeading"/>
              <w:jc w:val="center"/>
              <w:rPr>
                <w:lang w:val="en-AU"/>
              </w:rPr>
            </w:pPr>
            <w:r w:rsidRPr="00B24C99">
              <w:rPr>
                <w:lang w:val="en-AU"/>
              </w:rPr>
              <w:t>INITIATE</w:t>
            </w:r>
          </w:p>
        </w:tc>
        <w:tc>
          <w:tcPr>
            <w:tcW w:w="2926" w:type="dxa"/>
            <w:gridSpan w:val="2"/>
            <w:vAlign w:val="center"/>
          </w:tcPr>
          <w:p w:rsidR="00AF720A" w:rsidRPr="00B24C99" w:rsidRDefault="00AF720A" w:rsidP="00BD36D7">
            <w:pPr>
              <w:pStyle w:val="In-tableHeading"/>
              <w:jc w:val="center"/>
              <w:rPr>
                <w:lang w:val="en-AU"/>
              </w:rPr>
            </w:pPr>
            <w:r w:rsidRPr="00B24C99">
              <w:rPr>
                <w:lang w:val="en-AU"/>
              </w:rPr>
              <w:t>Jassem 2008</w:t>
            </w:r>
          </w:p>
        </w:tc>
      </w:tr>
      <w:tr w:rsidR="00AF720A" w:rsidRPr="00B24C99" w:rsidTr="00AF720A">
        <w:trPr>
          <w:tblHeader/>
        </w:trPr>
        <w:tc>
          <w:tcPr>
            <w:tcW w:w="2296" w:type="dxa"/>
            <w:vAlign w:val="center"/>
          </w:tcPr>
          <w:p w:rsidR="00AF720A" w:rsidRPr="00B24C99" w:rsidRDefault="00AF720A" w:rsidP="00BD36D7">
            <w:pPr>
              <w:pStyle w:val="In-tableHeading"/>
              <w:rPr>
                <w:lang w:val="en-AU"/>
              </w:rPr>
            </w:pPr>
          </w:p>
        </w:tc>
        <w:tc>
          <w:tcPr>
            <w:tcW w:w="1243" w:type="dxa"/>
            <w:shd w:val="clear" w:color="auto" w:fill="F2F2F2" w:themeFill="background1" w:themeFillShade="F2"/>
            <w:vAlign w:val="center"/>
          </w:tcPr>
          <w:p w:rsidR="00AF720A" w:rsidRPr="00105AC0" w:rsidRDefault="00AF720A" w:rsidP="00BD36D7">
            <w:pPr>
              <w:pStyle w:val="In-tableHeading"/>
              <w:jc w:val="center"/>
              <w:rPr>
                <w:lang w:val="en-AU"/>
              </w:rPr>
            </w:pPr>
            <w:r w:rsidRPr="00105AC0">
              <w:rPr>
                <w:lang w:val="en-AU"/>
              </w:rPr>
              <w:t>NIVO mono</w:t>
            </w:r>
          </w:p>
          <w:p w:rsidR="00AF720A" w:rsidRPr="00105AC0" w:rsidRDefault="00AF720A" w:rsidP="00BD36D7">
            <w:pPr>
              <w:pStyle w:val="In-tableHeading"/>
              <w:jc w:val="center"/>
              <w:rPr>
                <w:lang w:val="en-AU"/>
              </w:rPr>
            </w:pPr>
            <w:r w:rsidRPr="00105AC0">
              <w:rPr>
                <w:lang w:val="en-AU"/>
              </w:rPr>
              <w:t>N=63</w:t>
            </w:r>
          </w:p>
          <w:p w:rsidR="00AF720A" w:rsidRPr="00B24C99" w:rsidRDefault="00AF720A" w:rsidP="00BD36D7">
            <w:pPr>
              <w:pStyle w:val="In-tableHeading"/>
              <w:jc w:val="center"/>
              <w:rPr>
                <w:i/>
                <w:lang w:val="en-AU"/>
              </w:rPr>
            </w:pPr>
            <w:r w:rsidRPr="00105AC0">
              <w:rPr>
                <w:lang w:val="en-AU"/>
              </w:rPr>
              <w:t>n (%)</w:t>
            </w:r>
          </w:p>
        </w:tc>
        <w:tc>
          <w:tcPr>
            <w:tcW w:w="1276" w:type="dxa"/>
            <w:vAlign w:val="center"/>
          </w:tcPr>
          <w:p w:rsidR="00AF720A" w:rsidRPr="00B24C99" w:rsidRDefault="00AF720A" w:rsidP="00BD36D7">
            <w:pPr>
              <w:pStyle w:val="In-tableHeading"/>
              <w:jc w:val="center"/>
              <w:rPr>
                <w:lang w:val="en-AU"/>
              </w:rPr>
            </w:pPr>
            <w:r w:rsidRPr="00B24C99">
              <w:rPr>
                <w:lang w:val="en-AU"/>
              </w:rPr>
              <w:t>NIVO+IPI</w:t>
            </w:r>
          </w:p>
          <w:p w:rsidR="00AF720A" w:rsidRPr="00B24C99" w:rsidRDefault="00AF720A" w:rsidP="00BD36D7">
            <w:pPr>
              <w:pStyle w:val="In-tableHeading"/>
              <w:jc w:val="center"/>
              <w:rPr>
                <w:lang w:val="en-AU"/>
              </w:rPr>
            </w:pPr>
            <w:r w:rsidRPr="00B24C99">
              <w:rPr>
                <w:lang w:val="en-AU"/>
              </w:rPr>
              <w:t>N=61</w:t>
            </w:r>
          </w:p>
          <w:p w:rsidR="00AF720A" w:rsidRPr="00B24C99" w:rsidRDefault="00AF720A" w:rsidP="00BD36D7">
            <w:pPr>
              <w:pStyle w:val="In-tableHeading"/>
              <w:jc w:val="center"/>
              <w:rPr>
                <w:lang w:val="en-AU"/>
              </w:rPr>
            </w:pPr>
            <w:r w:rsidRPr="00B24C99">
              <w:rPr>
                <w:lang w:val="en-AU"/>
              </w:rPr>
              <w:t>n (%)</w:t>
            </w:r>
          </w:p>
        </w:tc>
        <w:tc>
          <w:tcPr>
            <w:tcW w:w="1276" w:type="dxa"/>
            <w:vAlign w:val="center"/>
          </w:tcPr>
          <w:p w:rsidR="00AF720A" w:rsidRPr="00B24C99" w:rsidRDefault="00AF720A" w:rsidP="00BD36D7">
            <w:pPr>
              <w:pStyle w:val="In-tableHeading"/>
              <w:jc w:val="center"/>
              <w:rPr>
                <w:lang w:val="en-AU"/>
              </w:rPr>
            </w:pPr>
            <w:r w:rsidRPr="00B24C99">
              <w:rPr>
                <w:lang w:val="en-AU"/>
              </w:rPr>
              <w:t>NIVO+IPI</w:t>
            </w:r>
          </w:p>
          <w:p w:rsidR="00AF720A" w:rsidRPr="00B24C99" w:rsidRDefault="00AF720A" w:rsidP="00BD36D7">
            <w:pPr>
              <w:pStyle w:val="In-tableHeading"/>
              <w:jc w:val="center"/>
              <w:rPr>
                <w:lang w:val="en-AU"/>
              </w:rPr>
            </w:pPr>
            <w:r w:rsidRPr="00B24C99">
              <w:rPr>
                <w:lang w:val="en-AU"/>
              </w:rPr>
              <w:t>N=35</w:t>
            </w:r>
          </w:p>
          <w:p w:rsidR="00AF720A" w:rsidRPr="00B24C99" w:rsidRDefault="00AF720A" w:rsidP="00BD36D7">
            <w:pPr>
              <w:pStyle w:val="In-tableHeading"/>
              <w:jc w:val="center"/>
              <w:rPr>
                <w:lang w:val="en-AU"/>
              </w:rPr>
            </w:pPr>
            <w:r w:rsidRPr="00B24C99">
              <w:rPr>
                <w:lang w:val="en-AU"/>
              </w:rPr>
              <w:t>n (%)</w:t>
            </w:r>
          </w:p>
        </w:tc>
        <w:tc>
          <w:tcPr>
            <w:tcW w:w="1701" w:type="dxa"/>
            <w:vAlign w:val="center"/>
          </w:tcPr>
          <w:p w:rsidR="00AF720A" w:rsidRPr="00B24C99" w:rsidRDefault="00AF720A" w:rsidP="00BD36D7">
            <w:pPr>
              <w:pStyle w:val="In-tableHeading"/>
              <w:jc w:val="center"/>
              <w:rPr>
                <w:lang w:val="en-AU"/>
              </w:rPr>
            </w:pPr>
            <w:r w:rsidRPr="00B24C99">
              <w:rPr>
                <w:lang w:val="en-AU"/>
              </w:rPr>
              <w:t>Pemetrexed + BSC</w:t>
            </w:r>
          </w:p>
          <w:p w:rsidR="00AF720A" w:rsidRPr="00B24C99" w:rsidRDefault="00AF720A" w:rsidP="00BD36D7">
            <w:pPr>
              <w:pStyle w:val="In-tableHeading"/>
              <w:jc w:val="center"/>
              <w:rPr>
                <w:lang w:val="en-AU"/>
              </w:rPr>
            </w:pPr>
            <w:r w:rsidRPr="00B24C99">
              <w:rPr>
                <w:lang w:val="en-AU"/>
              </w:rPr>
              <w:t>N=123</w:t>
            </w:r>
          </w:p>
          <w:p w:rsidR="00AF720A" w:rsidRPr="00B24C99" w:rsidRDefault="00AF720A" w:rsidP="00BD36D7">
            <w:pPr>
              <w:pStyle w:val="In-tableHeading"/>
              <w:jc w:val="center"/>
              <w:rPr>
                <w:lang w:val="en-AU"/>
              </w:rPr>
            </w:pPr>
            <w:r w:rsidRPr="00B24C99">
              <w:rPr>
                <w:lang w:val="en-AU"/>
              </w:rPr>
              <w:t>n (%)</w:t>
            </w:r>
          </w:p>
        </w:tc>
        <w:tc>
          <w:tcPr>
            <w:tcW w:w="1225" w:type="dxa"/>
            <w:vAlign w:val="center"/>
          </w:tcPr>
          <w:p w:rsidR="00AF720A" w:rsidRPr="00B24C99" w:rsidRDefault="00AF720A" w:rsidP="00BD36D7">
            <w:pPr>
              <w:pStyle w:val="In-tableHeading"/>
              <w:jc w:val="center"/>
              <w:rPr>
                <w:lang w:val="en-AU"/>
              </w:rPr>
            </w:pPr>
            <w:r w:rsidRPr="00B24C99">
              <w:rPr>
                <w:lang w:val="en-AU"/>
              </w:rPr>
              <w:t>BSC</w:t>
            </w:r>
          </w:p>
          <w:p w:rsidR="00AF720A" w:rsidRPr="00B24C99" w:rsidRDefault="00AF720A" w:rsidP="00BD36D7">
            <w:pPr>
              <w:pStyle w:val="In-tableHeading"/>
              <w:jc w:val="center"/>
              <w:rPr>
                <w:lang w:val="en-AU"/>
              </w:rPr>
            </w:pPr>
            <w:r w:rsidRPr="00B24C99">
              <w:rPr>
                <w:lang w:val="en-AU"/>
              </w:rPr>
              <w:t>N=120</w:t>
            </w:r>
          </w:p>
          <w:p w:rsidR="00AF720A" w:rsidRPr="00B24C99" w:rsidRDefault="00AF720A" w:rsidP="00BD36D7">
            <w:pPr>
              <w:pStyle w:val="In-tableHeading"/>
              <w:jc w:val="center"/>
              <w:rPr>
                <w:lang w:val="en-AU"/>
              </w:rPr>
            </w:pPr>
            <w:r w:rsidRPr="00B24C99">
              <w:rPr>
                <w:lang w:val="en-AU"/>
              </w:rPr>
              <w:t>n (%)</w:t>
            </w:r>
          </w:p>
        </w:tc>
      </w:tr>
      <w:tr w:rsidR="00AF720A" w:rsidRPr="00B24C99" w:rsidTr="00BD36D7">
        <w:tc>
          <w:tcPr>
            <w:tcW w:w="9017" w:type="dxa"/>
            <w:gridSpan w:val="6"/>
            <w:vAlign w:val="center"/>
          </w:tcPr>
          <w:p w:rsidR="00AF720A" w:rsidRPr="00B24C99" w:rsidRDefault="00AF720A" w:rsidP="00BD36D7">
            <w:pPr>
              <w:pStyle w:val="TableText0"/>
              <w:keepNext w:val="0"/>
            </w:pPr>
            <w:r w:rsidRPr="00B24C99">
              <w:t>Treatment-related AEs</w:t>
            </w:r>
          </w:p>
        </w:tc>
      </w:tr>
      <w:tr w:rsidR="00AF720A" w:rsidRPr="00B24C99" w:rsidTr="00BD36D7">
        <w:tc>
          <w:tcPr>
            <w:tcW w:w="2296" w:type="dxa"/>
            <w:vAlign w:val="center"/>
          </w:tcPr>
          <w:p w:rsidR="00AF720A" w:rsidRPr="00B24C99" w:rsidRDefault="00AF720A" w:rsidP="00BD36D7">
            <w:pPr>
              <w:pStyle w:val="TableText0"/>
              <w:keepNext w:val="0"/>
              <w:ind w:left="171"/>
            </w:pPr>
            <w:r w:rsidRPr="00B24C99">
              <w:t>Any Grade</w:t>
            </w:r>
          </w:p>
        </w:tc>
        <w:tc>
          <w:tcPr>
            <w:tcW w:w="1243" w:type="dxa"/>
            <w:vAlign w:val="center"/>
          </w:tcPr>
          <w:p w:rsidR="00AF720A" w:rsidRPr="00105AC0" w:rsidRDefault="00AF720A" w:rsidP="00BD36D7">
            <w:pPr>
              <w:pStyle w:val="TableText0"/>
              <w:keepNext w:val="0"/>
              <w:jc w:val="center"/>
            </w:pPr>
            <w:r w:rsidRPr="00105AC0">
              <w:t>56 (88.9)</w:t>
            </w:r>
          </w:p>
        </w:tc>
        <w:tc>
          <w:tcPr>
            <w:tcW w:w="1276" w:type="dxa"/>
            <w:vAlign w:val="center"/>
          </w:tcPr>
          <w:p w:rsidR="00AF720A" w:rsidRPr="00105AC0" w:rsidRDefault="00AF720A" w:rsidP="00BD36D7">
            <w:pPr>
              <w:pStyle w:val="TableText0"/>
              <w:keepNext w:val="0"/>
              <w:jc w:val="center"/>
            </w:pPr>
            <w:r w:rsidRPr="00105AC0">
              <w:t>57</w:t>
            </w:r>
            <w:r w:rsidRPr="00105AC0">
              <w:rPr>
                <w:vertAlign w:val="superscript"/>
              </w:rPr>
              <w:t>b</w:t>
            </w:r>
            <w:r w:rsidRPr="00105AC0">
              <w:t xml:space="preserve"> (93.4)</w:t>
            </w:r>
          </w:p>
        </w:tc>
        <w:tc>
          <w:tcPr>
            <w:tcW w:w="1276" w:type="dxa"/>
            <w:vAlign w:val="center"/>
          </w:tcPr>
          <w:p w:rsidR="00AF720A" w:rsidRPr="00105AC0" w:rsidRDefault="00AF720A" w:rsidP="00BD36D7">
            <w:pPr>
              <w:pStyle w:val="TableText0"/>
              <w:keepNext w:val="0"/>
              <w:jc w:val="center"/>
            </w:pPr>
            <w:r w:rsidRPr="00105AC0">
              <w:t>33 (94.3)</w:t>
            </w:r>
          </w:p>
        </w:tc>
        <w:tc>
          <w:tcPr>
            <w:tcW w:w="1701" w:type="dxa"/>
            <w:vAlign w:val="center"/>
          </w:tcPr>
          <w:p w:rsidR="00AF720A" w:rsidRPr="00105AC0" w:rsidRDefault="00AF720A" w:rsidP="00BD36D7">
            <w:pPr>
              <w:pStyle w:val="TableText0"/>
              <w:keepNext w:val="0"/>
              <w:jc w:val="center"/>
            </w:pPr>
            <w:r w:rsidRPr="00105AC0">
              <w:t>NR</w:t>
            </w:r>
          </w:p>
        </w:tc>
        <w:tc>
          <w:tcPr>
            <w:tcW w:w="1225" w:type="dxa"/>
            <w:vAlign w:val="center"/>
          </w:tcPr>
          <w:p w:rsidR="00AF720A" w:rsidRPr="00105AC0" w:rsidRDefault="00AF720A" w:rsidP="00BD36D7">
            <w:pPr>
              <w:pStyle w:val="TableText0"/>
              <w:keepNext w:val="0"/>
              <w:jc w:val="center"/>
            </w:pPr>
            <w:r w:rsidRPr="00105AC0">
              <w:t>NR</w:t>
            </w:r>
          </w:p>
        </w:tc>
      </w:tr>
      <w:tr w:rsidR="00AF720A" w:rsidRPr="00B24C99" w:rsidTr="00BD36D7">
        <w:tc>
          <w:tcPr>
            <w:tcW w:w="2296" w:type="dxa"/>
            <w:vAlign w:val="center"/>
          </w:tcPr>
          <w:p w:rsidR="00AF720A" w:rsidRPr="00B24C99" w:rsidRDefault="00AF720A" w:rsidP="00BD36D7">
            <w:pPr>
              <w:pStyle w:val="TableText0"/>
              <w:keepNext w:val="0"/>
              <w:ind w:left="171"/>
            </w:pPr>
            <w:r w:rsidRPr="00B24C99">
              <w:t>Grade 3-4</w:t>
            </w:r>
          </w:p>
        </w:tc>
        <w:tc>
          <w:tcPr>
            <w:tcW w:w="1243" w:type="dxa"/>
            <w:vAlign w:val="center"/>
          </w:tcPr>
          <w:p w:rsidR="00AF720A" w:rsidRPr="00105AC0" w:rsidRDefault="00AF720A" w:rsidP="00BD36D7">
            <w:pPr>
              <w:pStyle w:val="TableText0"/>
              <w:keepNext w:val="0"/>
              <w:jc w:val="center"/>
            </w:pPr>
            <w:r w:rsidRPr="00105AC0">
              <w:t>9 (14.3)</w:t>
            </w:r>
          </w:p>
        </w:tc>
        <w:tc>
          <w:tcPr>
            <w:tcW w:w="1276" w:type="dxa"/>
            <w:vAlign w:val="center"/>
          </w:tcPr>
          <w:p w:rsidR="00AF720A" w:rsidRPr="00105AC0" w:rsidRDefault="00AF720A" w:rsidP="00BD36D7">
            <w:pPr>
              <w:pStyle w:val="TableText0"/>
              <w:keepNext w:val="0"/>
              <w:jc w:val="center"/>
            </w:pPr>
            <w:r w:rsidRPr="00105AC0">
              <w:t>16 (26.2)</w:t>
            </w:r>
          </w:p>
        </w:tc>
        <w:tc>
          <w:tcPr>
            <w:tcW w:w="1276" w:type="dxa"/>
            <w:vAlign w:val="center"/>
          </w:tcPr>
          <w:p w:rsidR="00AF720A" w:rsidRPr="00105AC0" w:rsidRDefault="00AF720A" w:rsidP="00BD36D7">
            <w:pPr>
              <w:pStyle w:val="TableText0"/>
              <w:keepNext w:val="0"/>
              <w:jc w:val="center"/>
            </w:pPr>
            <w:r w:rsidRPr="00105AC0">
              <w:t>13 (37.1)</w:t>
            </w:r>
          </w:p>
        </w:tc>
        <w:tc>
          <w:tcPr>
            <w:tcW w:w="1701" w:type="dxa"/>
            <w:vAlign w:val="center"/>
          </w:tcPr>
          <w:p w:rsidR="00AF720A" w:rsidRPr="00105AC0" w:rsidRDefault="00AF720A" w:rsidP="00BD36D7">
            <w:pPr>
              <w:pStyle w:val="TableText0"/>
              <w:keepNext w:val="0"/>
              <w:jc w:val="center"/>
            </w:pPr>
            <w:r w:rsidRPr="00105AC0">
              <w:t>NR</w:t>
            </w:r>
          </w:p>
        </w:tc>
        <w:tc>
          <w:tcPr>
            <w:tcW w:w="1225" w:type="dxa"/>
            <w:vAlign w:val="center"/>
          </w:tcPr>
          <w:p w:rsidR="00AF720A" w:rsidRPr="00105AC0" w:rsidRDefault="00AF720A" w:rsidP="00BD36D7">
            <w:pPr>
              <w:pStyle w:val="TableText0"/>
              <w:keepNext w:val="0"/>
              <w:jc w:val="center"/>
            </w:pPr>
            <w:r w:rsidRPr="00105AC0">
              <w:t>NR</w:t>
            </w:r>
          </w:p>
        </w:tc>
      </w:tr>
      <w:tr w:rsidR="00AF720A" w:rsidRPr="00B24C99" w:rsidTr="00BD36D7">
        <w:tc>
          <w:tcPr>
            <w:tcW w:w="9017" w:type="dxa"/>
            <w:gridSpan w:val="6"/>
            <w:vAlign w:val="center"/>
          </w:tcPr>
          <w:p w:rsidR="00AF720A" w:rsidRPr="00B24C99" w:rsidRDefault="00AF720A" w:rsidP="00BD36D7">
            <w:pPr>
              <w:pStyle w:val="TableText0"/>
              <w:keepNext w:val="0"/>
            </w:pPr>
            <w:r w:rsidRPr="00B24C99">
              <w:t>Treatment-related Serious AEs</w:t>
            </w:r>
          </w:p>
        </w:tc>
      </w:tr>
      <w:tr w:rsidR="00AF720A" w:rsidRPr="00B24C99" w:rsidTr="00BD36D7">
        <w:tc>
          <w:tcPr>
            <w:tcW w:w="2296" w:type="dxa"/>
            <w:vAlign w:val="center"/>
          </w:tcPr>
          <w:p w:rsidR="00AF720A" w:rsidRPr="00B24C99" w:rsidRDefault="00AF720A" w:rsidP="00BD36D7">
            <w:pPr>
              <w:pStyle w:val="TableText0"/>
              <w:keepNext w:val="0"/>
              <w:ind w:left="171"/>
            </w:pPr>
            <w:r w:rsidRPr="00B24C99">
              <w:t>Any Grade</w:t>
            </w:r>
          </w:p>
        </w:tc>
        <w:tc>
          <w:tcPr>
            <w:tcW w:w="1243" w:type="dxa"/>
            <w:vAlign w:val="center"/>
          </w:tcPr>
          <w:p w:rsidR="00AF720A" w:rsidRPr="00105AC0" w:rsidRDefault="00AF720A" w:rsidP="00BD36D7">
            <w:pPr>
              <w:pStyle w:val="TableText0"/>
              <w:keepNext w:val="0"/>
              <w:jc w:val="center"/>
            </w:pPr>
            <w:r w:rsidRPr="00105AC0">
              <w:t>3 (4.8)</w:t>
            </w:r>
          </w:p>
        </w:tc>
        <w:tc>
          <w:tcPr>
            <w:tcW w:w="1276" w:type="dxa"/>
            <w:vAlign w:val="center"/>
          </w:tcPr>
          <w:p w:rsidR="00AF720A" w:rsidRPr="00105AC0" w:rsidRDefault="00AF720A" w:rsidP="00BD36D7">
            <w:pPr>
              <w:pStyle w:val="TableText0"/>
              <w:keepNext w:val="0"/>
              <w:jc w:val="center"/>
            </w:pPr>
            <w:r w:rsidRPr="00105AC0">
              <w:t>14 (23.0)</w:t>
            </w:r>
          </w:p>
        </w:tc>
        <w:tc>
          <w:tcPr>
            <w:tcW w:w="1276" w:type="dxa"/>
            <w:vAlign w:val="center"/>
          </w:tcPr>
          <w:p w:rsidR="00AF720A" w:rsidRPr="00105AC0" w:rsidRDefault="00AF720A" w:rsidP="00BD36D7">
            <w:pPr>
              <w:pStyle w:val="TableText0"/>
              <w:keepNext w:val="0"/>
              <w:jc w:val="center"/>
            </w:pPr>
            <w:r w:rsidRPr="00105AC0">
              <w:t>5 (14.3)</w:t>
            </w:r>
          </w:p>
        </w:tc>
        <w:tc>
          <w:tcPr>
            <w:tcW w:w="1701" w:type="dxa"/>
            <w:vAlign w:val="center"/>
          </w:tcPr>
          <w:p w:rsidR="00AF720A" w:rsidRPr="00105AC0" w:rsidRDefault="00AF720A" w:rsidP="00BD36D7">
            <w:pPr>
              <w:pStyle w:val="TableText0"/>
              <w:keepNext w:val="0"/>
              <w:jc w:val="center"/>
            </w:pPr>
            <w:r w:rsidRPr="00105AC0">
              <w:t>NR</w:t>
            </w:r>
          </w:p>
        </w:tc>
        <w:tc>
          <w:tcPr>
            <w:tcW w:w="1225" w:type="dxa"/>
            <w:vAlign w:val="center"/>
          </w:tcPr>
          <w:p w:rsidR="00AF720A" w:rsidRPr="00105AC0" w:rsidRDefault="00AF720A" w:rsidP="00BD36D7">
            <w:pPr>
              <w:pStyle w:val="TableText0"/>
              <w:keepNext w:val="0"/>
              <w:jc w:val="center"/>
            </w:pPr>
            <w:r w:rsidRPr="00105AC0">
              <w:t>NR</w:t>
            </w:r>
          </w:p>
        </w:tc>
      </w:tr>
      <w:tr w:rsidR="00AF720A" w:rsidRPr="00B24C99" w:rsidTr="00BD36D7">
        <w:tc>
          <w:tcPr>
            <w:tcW w:w="2296" w:type="dxa"/>
            <w:vAlign w:val="center"/>
          </w:tcPr>
          <w:p w:rsidR="00AF720A" w:rsidRPr="00B24C99" w:rsidRDefault="00AF720A" w:rsidP="00BD36D7">
            <w:pPr>
              <w:pStyle w:val="TableText0"/>
              <w:keepNext w:val="0"/>
              <w:ind w:left="171"/>
            </w:pPr>
            <w:r w:rsidRPr="00B24C99">
              <w:t>Grade 3-4</w:t>
            </w:r>
          </w:p>
        </w:tc>
        <w:tc>
          <w:tcPr>
            <w:tcW w:w="1243" w:type="dxa"/>
            <w:vAlign w:val="center"/>
          </w:tcPr>
          <w:p w:rsidR="00AF720A" w:rsidRPr="00105AC0" w:rsidRDefault="00AF720A" w:rsidP="00BD36D7">
            <w:pPr>
              <w:pStyle w:val="TableText0"/>
              <w:keepNext w:val="0"/>
              <w:jc w:val="center"/>
            </w:pPr>
            <w:r w:rsidRPr="00105AC0">
              <w:t>2 (3.2)</w:t>
            </w:r>
          </w:p>
        </w:tc>
        <w:tc>
          <w:tcPr>
            <w:tcW w:w="1276" w:type="dxa"/>
            <w:vAlign w:val="center"/>
          </w:tcPr>
          <w:p w:rsidR="00AF720A" w:rsidRPr="00105AC0" w:rsidRDefault="00AF720A" w:rsidP="00BD36D7">
            <w:pPr>
              <w:pStyle w:val="TableText0"/>
              <w:keepNext w:val="0"/>
              <w:jc w:val="center"/>
            </w:pPr>
            <w:r w:rsidRPr="00105AC0">
              <w:t>7 (11.5)</w:t>
            </w:r>
          </w:p>
        </w:tc>
        <w:tc>
          <w:tcPr>
            <w:tcW w:w="1276" w:type="dxa"/>
            <w:vAlign w:val="center"/>
          </w:tcPr>
          <w:p w:rsidR="00AF720A" w:rsidRPr="00105AC0" w:rsidRDefault="00AF720A" w:rsidP="00BD36D7">
            <w:pPr>
              <w:pStyle w:val="TableText0"/>
              <w:keepNext w:val="0"/>
              <w:jc w:val="center"/>
            </w:pPr>
            <w:r w:rsidRPr="00105AC0">
              <w:t>5 (14.3)</w:t>
            </w:r>
          </w:p>
        </w:tc>
        <w:tc>
          <w:tcPr>
            <w:tcW w:w="1701" w:type="dxa"/>
            <w:vAlign w:val="center"/>
          </w:tcPr>
          <w:p w:rsidR="00AF720A" w:rsidRPr="00105AC0" w:rsidRDefault="00AF720A" w:rsidP="00BD36D7">
            <w:pPr>
              <w:pStyle w:val="TableText0"/>
              <w:keepNext w:val="0"/>
              <w:jc w:val="center"/>
            </w:pPr>
            <w:r w:rsidRPr="00105AC0">
              <w:t>NR</w:t>
            </w:r>
          </w:p>
        </w:tc>
        <w:tc>
          <w:tcPr>
            <w:tcW w:w="1225" w:type="dxa"/>
            <w:vAlign w:val="center"/>
          </w:tcPr>
          <w:p w:rsidR="00AF720A" w:rsidRPr="00105AC0" w:rsidRDefault="00AF720A" w:rsidP="00BD36D7">
            <w:pPr>
              <w:pStyle w:val="TableText0"/>
              <w:keepNext w:val="0"/>
              <w:jc w:val="center"/>
            </w:pPr>
            <w:r w:rsidRPr="00105AC0">
              <w:t>NR</w:t>
            </w:r>
          </w:p>
        </w:tc>
      </w:tr>
      <w:tr w:rsidR="00AF720A" w:rsidRPr="00B24C99" w:rsidTr="00BD36D7">
        <w:tc>
          <w:tcPr>
            <w:tcW w:w="9017" w:type="dxa"/>
            <w:gridSpan w:val="6"/>
            <w:vAlign w:val="center"/>
          </w:tcPr>
          <w:p w:rsidR="00AF720A" w:rsidRPr="00B24C99" w:rsidRDefault="00AF720A" w:rsidP="00BD36D7">
            <w:pPr>
              <w:pStyle w:val="TableText0"/>
              <w:keepNext w:val="0"/>
              <w:rPr>
                <w:i/>
              </w:rPr>
            </w:pPr>
            <w:r w:rsidRPr="00B24C99">
              <w:t>Treatment-related AEs leading to discontinuation</w:t>
            </w:r>
          </w:p>
        </w:tc>
      </w:tr>
      <w:tr w:rsidR="00AF720A" w:rsidRPr="00B24C99" w:rsidTr="00BD36D7">
        <w:tc>
          <w:tcPr>
            <w:tcW w:w="2296" w:type="dxa"/>
            <w:vAlign w:val="center"/>
          </w:tcPr>
          <w:p w:rsidR="00AF720A" w:rsidRPr="00B24C99" w:rsidRDefault="00AF720A" w:rsidP="00BD36D7">
            <w:pPr>
              <w:pStyle w:val="TableText0"/>
              <w:keepNext w:val="0"/>
              <w:ind w:left="171"/>
            </w:pPr>
            <w:r w:rsidRPr="00B24C99">
              <w:t>Any Grade</w:t>
            </w:r>
          </w:p>
        </w:tc>
        <w:tc>
          <w:tcPr>
            <w:tcW w:w="1243" w:type="dxa"/>
            <w:vAlign w:val="center"/>
          </w:tcPr>
          <w:p w:rsidR="00AF720A" w:rsidRPr="00105AC0" w:rsidRDefault="00AF720A" w:rsidP="00BD36D7">
            <w:pPr>
              <w:pStyle w:val="TableText0"/>
              <w:keepNext w:val="0"/>
              <w:jc w:val="center"/>
            </w:pPr>
            <w:r w:rsidRPr="00105AC0">
              <w:t>3 (4.8)</w:t>
            </w:r>
          </w:p>
        </w:tc>
        <w:tc>
          <w:tcPr>
            <w:tcW w:w="1276" w:type="dxa"/>
            <w:vAlign w:val="center"/>
          </w:tcPr>
          <w:p w:rsidR="00AF720A" w:rsidRPr="00105AC0" w:rsidRDefault="00AF720A" w:rsidP="00BD36D7">
            <w:pPr>
              <w:pStyle w:val="TableText0"/>
              <w:keepNext w:val="0"/>
              <w:jc w:val="center"/>
            </w:pPr>
            <w:r w:rsidRPr="00105AC0">
              <w:t>13 (21.3)</w:t>
            </w:r>
          </w:p>
        </w:tc>
        <w:tc>
          <w:tcPr>
            <w:tcW w:w="1276" w:type="dxa"/>
            <w:vAlign w:val="center"/>
          </w:tcPr>
          <w:p w:rsidR="00AF720A" w:rsidRPr="00105AC0" w:rsidRDefault="00AF720A" w:rsidP="00BD36D7">
            <w:pPr>
              <w:pStyle w:val="TableText0"/>
              <w:keepNext w:val="0"/>
              <w:jc w:val="center"/>
            </w:pPr>
            <w:r w:rsidRPr="00105AC0">
              <w:t>1 (2.9)</w:t>
            </w:r>
          </w:p>
        </w:tc>
        <w:tc>
          <w:tcPr>
            <w:tcW w:w="1701" w:type="dxa"/>
            <w:vAlign w:val="center"/>
          </w:tcPr>
          <w:p w:rsidR="00AF720A" w:rsidRPr="00105AC0" w:rsidRDefault="00AF720A" w:rsidP="00BD36D7">
            <w:pPr>
              <w:pStyle w:val="TableText0"/>
              <w:keepNext w:val="0"/>
              <w:jc w:val="center"/>
            </w:pPr>
            <w:r w:rsidRPr="00105AC0">
              <w:t>2 (1.6)</w:t>
            </w:r>
            <w:r w:rsidRPr="00105AC0">
              <w:rPr>
                <w:vertAlign w:val="superscript"/>
              </w:rPr>
              <w:t>c</w:t>
            </w:r>
          </w:p>
        </w:tc>
        <w:tc>
          <w:tcPr>
            <w:tcW w:w="1225" w:type="dxa"/>
            <w:vAlign w:val="center"/>
          </w:tcPr>
          <w:p w:rsidR="00AF720A" w:rsidRPr="00105AC0" w:rsidRDefault="00AF720A" w:rsidP="00BD36D7">
            <w:pPr>
              <w:pStyle w:val="TableText0"/>
              <w:keepNext w:val="0"/>
              <w:jc w:val="center"/>
            </w:pPr>
            <w:r w:rsidRPr="00105AC0">
              <w:t>0</w:t>
            </w:r>
          </w:p>
        </w:tc>
      </w:tr>
      <w:tr w:rsidR="00AF720A" w:rsidRPr="00B24C99" w:rsidTr="00BD36D7">
        <w:tc>
          <w:tcPr>
            <w:tcW w:w="2296" w:type="dxa"/>
            <w:vAlign w:val="center"/>
          </w:tcPr>
          <w:p w:rsidR="00AF720A" w:rsidRPr="00B24C99" w:rsidRDefault="00AF720A" w:rsidP="00BD36D7">
            <w:pPr>
              <w:pStyle w:val="TableText0"/>
              <w:keepNext w:val="0"/>
              <w:ind w:left="171"/>
            </w:pPr>
            <w:r w:rsidRPr="00B24C99">
              <w:t>Grade 3-4</w:t>
            </w:r>
          </w:p>
        </w:tc>
        <w:tc>
          <w:tcPr>
            <w:tcW w:w="1243" w:type="dxa"/>
            <w:vAlign w:val="center"/>
          </w:tcPr>
          <w:p w:rsidR="00AF720A" w:rsidRPr="00105AC0" w:rsidRDefault="00AF720A" w:rsidP="00BD36D7">
            <w:pPr>
              <w:pStyle w:val="TableText0"/>
              <w:keepNext w:val="0"/>
              <w:jc w:val="center"/>
            </w:pPr>
            <w:r w:rsidRPr="00105AC0">
              <w:t>1 (1.6)</w:t>
            </w:r>
          </w:p>
        </w:tc>
        <w:tc>
          <w:tcPr>
            <w:tcW w:w="1276" w:type="dxa"/>
            <w:vAlign w:val="center"/>
          </w:tcPr>
          <w:p w:rsidR="00AF720A" w:rsidRPr="00105AC0" w:rsidRDefault="00AF720A" w:rsidP="00BD36D7">
            <w:pPr>
              <w:pStyle w:val="TableText0"/>
              <w:keepNext w:val="0"/>
              <w:jc w:val="center"/>
            </w:pPr>
            <w:r w:rsidRPr="00105AC0">
              <w:t>9 (14.8)</w:t>
            </w:r>
          </w:p>
        </w:tc>
        <w:tc>
          <w:tcPr>
            <w:tcW w:w="1276" w:type="dxa"/>
            <w:vAlign w:val="center"/>
          </w:tcPr>
          <w:p w:rsidR="00AF720A" w:rsidRPr="00105AC0" w:rsidRDefault="00AF720A" w:rsidP="00BD36D7">
            <w:pPr>
              <w:pStyle w:val="TableText0"/>
              <w:keepNext w:val="0"/>
              <w:jc w:val="center"/>
            </w:pPr>
            <w:r w:rsidRPr="00105AC0">
              <w:t>NR</w:t>
            </w:r>
          </w:p>
        </w:tc>
        <w:tc>
          <w:tcPr>
            <w:tcW w:w="1701" w:type="dxa"/>
            <w:vAlign w:val="center"/>
          </w:tcPr>
          <w:p w:rsidR="00AF720A" w:rsidRPr="00105AC0" w:rsidRDefault="00AF720A" w:rsidP="00BD36D7">
            <w:pPr>
              <w:pStyle w:val="TableText0"/>
              <w:keepNext w:val="0"/>
              <w:jc w:val="center"/>
            </w:pPr>
            <w:r w:rsidRPr="00105AC0">
              <w:t>NR</w:t>
            </w:r>
          </w:p>
        </w:tc>
        <w:tc>
          <w:tcPr>
            <w:tcW w:w="1225" w:type="dxa"/>
            <w:vAlign w:val="center"/>
          </w:tcPr>
          <w:p w:rsidR="00AF720A" w:rsidRPr="00105AC0" w:rsidRDefault="00AF720A" w:rsidP="00BD36D7">
            <w:pPr>
              <w:pStyle w:val="TableText0"/>
              <w:keepNext w:val="0"/>
              <w:jc w:val="center"/>
            </w:pPr>
            <w:r w:rsidRPr="00105AC0">
              <w:t>NR</w:t>
            </w:r>
          </w:p>
        </w:tc>
      </w:tr>
      <w:tr w:rsidR="00AF720A" w:rsidRPr="00B24C99" w:rsidTr="00BD36D7">
        <w:tc>
          <w:tcPr>
            <w:tcW w:w="2296" w:type="dxa"/>
            <w:vAlign w:val="center"/>
          </w:tcPr>
          <w:p w:rsidR="00AF720A" w:rsidRPr="00B24C99" w:rsidRDefault="00AF720A" w:rsidP="00BD36D7">
            <w:pPr>
              <w:pStyle w:val="TableText0"/>
              <w:keepNext w:val="0"/>
            </w:pPr>
            <w:r w:rsidRPr="00B24C99">
              <w:t>Deaths due to study drug toxicity</w:t>
            </w:r>
          </w:p>
        </w:tc>
        <w:tc>
          <w:tcPr>
            <w:tcW w:w="1243" w:type="dxa"/>
            <w:vAlign w:val="center"/>
          </w:tcPr>
          <w:p w:rsidR="00AF720A" w:rsidRPr="00105AC0" w:rsidRDefault="00AF720A" w:rsidP="00BD36D7">
            <w:pPr>
              <w:pStyle w:val="TableText0"/>
              <w:keepNext w:val="0"/>
              <w:jc w:val="center"/>
            </w:pPr>
            <w:r w:rsidRPr="00105AC0">
              <w:t>0</w:t>
            </w:r>
          </w:p>
        </w:tc>
        <w:tc>
          <w:tcPr>
            <w:tcW w:w="1276" w:type="dxa"/>
            <w:vAlign w:val="center"/>
          </w:tcPr>
          <w:p w:rsidR="00AF720A" w:rsidRPr="00105AC0" w:rsidRDefault="00AF720A" w:rsidP="00BD36D7">
            <w:pPr>
              <w:pStyle w:val="TableText0"/>
              <w:keepNext w:val="0"/>
              <w:jc w:val="center"/>
            </w:pPr>
            <w:r w:rsidRPr="00105AC0">
              <w:t>3</w:t>
            </w:r>
            <w:r w:rsidRPr="00105AC0">
              <w:rPr>
                <w:vertAlign w:val="superscript"/>
              </w:rPr>
              <w:t xml:space="preserve">a </w:t>
            </w:r>
            <w:r w:rsidRPr="00105AC0">
              <w:t>(4.9)</w:t>
            </w:r>
          </w:p>
        </w:tc>
        <w:tc>
          <w:tcPr>
            <w:tcW w:w="1276" w:type="dxa"/>
            <w:vAlign w:val="center"/>
          </w:tcPr>
          <w:p w:rsidR="00AF720A" w:rsidRPr="00105AC0" w:rsidRDefault="00AF720A" w:rsidP="00BD36D7">
            <w:pPr>
              <w:pStyle w:val="TableText0"/>
              <w:keepNext w:val="0"/>
              <w:jc w:val="center"/>
            </w:pPr>
            <w:r w:rsidRPr="00105AC0">
              <w:t>NR</w:t>
            </w:r>
          </w:p>
        </w:tc>
        <w:tc>
          <w:tcPr>
            <w:tcW w:w="1701" w:type="dxa"/>
            <w:vAlign w:val="center"/>
          </w:tcPr>
          <w:p w:rsidR="00AF720A" w:rsidRPr="00105AC0" w:rsidRDefault="00AF720A" w:rsidP="00BD36D7">
            <w:pPr>
              <w:pStyle w:val="TableText0"/>
              <w:keepNext w:val="0"/>
              <w:jc w:val="center"/>
            </w:pPr>
            <w:r w:rsidRPr="00105AC0">
              <w:t>0</w:t>
            </w:r>
          </w:p>
        </w:tc>
        <w:tc>
          <w:tcPr>
            <w:tcW w:w="1225" w:type="dxa"/>
            <w:vAlign w:val="center"/>
          </w:tcPr>
          <w:p w:rsidR="00AF720A" w:rsidRPr="00105AC0" w:rsidRDefault="00AF720A" w:rsidP="00BD36D7">
            <w:pPr>
              <w:pStyle w:val="TableText0"/>
              <w:keepNext w:val="0"/>
              <w:jc w:val="center"/>
            </w:pPr>
            <w:r w:rsidRPr="00105AC0">
              <w:t>0</w:t>
            </w:r>
          </w:p>
        </w:tc>
      </w:tr>
    </w:tbl>
    <w:p w:rsidR="00BF394A" w:rsidRPr="00B24C99" w:rsidRDefault="00BF394A" w:rsidP="00BF394A">
      <w:pPr>
        <w:pStyle w:val="TableFigureFooter"/>
        <w:rPr>
          <w:sz w:val="20"/>
          <w:szCs w:val="20"/>
        </w:rPr>
      </w:pPr>
      <w:r w:rsidRPr="00B24C99">
        <w:rPr>
          <w:sz w:val="20"/>
          <w:szCs w:val="20"/>
          <w:vertAlign w:val="superscript"/>
        </w:rPr>
        <w:t xml:space="preserve">a </w:t>
      </w:r>
      <w:r w:rsidRPr="00B24C99">
        <w:rPr>
          <w:sz w:val="20"/>
          <w:szCs w:val="20"/>
        </w:rPr>
        <w:t>Causes of death in MAPS2: one fulminant hepatitis, one encephalitis and one acute kidney failure in a patient with disease progression exhibiting recurrent pleural and peritoneal effusions needing daily punctures.</w:t>
      </w:r>
    </w:p>
    <w:p w:rsidR="00BF394A" w:rsidRPr="00B24C99" w:rsidRDefault="00BF394A" w:rsidP="00BF394A">
      <w:pPr>
        <w:pStyle w:val="TableFigureFooter"/>
        <w:rPr>
          <w:sz w:val="20"/>
          <w:szCs w:val="20"/>
        </w:rPr>
      </w:pPr>
      <w:r w:rsidRPr="00B24C99">
        <w:rPr>
          <w:sz w:val="20"/>
          <w:szCs w:val="20"/>
          <w:vertAlign w:val="superscript"/>
        </w:rPr>
        <w:t xml:space="preserve">b </w:t>
      </w:r>
      <w:r w:rsidRPr="00B24C99">
        <w:rPr>
          <w:sz w:val="20"/>
          <w:szCs w:val="20"/>
        </w:rPr>
        <w:t xml:space="preserve">MAPS2: 57 reported in the text on p247 of publication, compared to 54 Grade 1-4 AEs in Table 2, p248 of publication. </w:t>
      </w:r>
    </w:p>
    <w:p w:rsidR="00BF394A" w:rsidRPr="00B24C99" w:rsidRDefault="00BF394A" w:rsidP="00BF394A">
      <w:pPr>
        <w:pStyle w:val="TableFigureFooter"/>
        <w:rPr>
          <w:sz w:val="20"/>
          <w:szCs w:val="20"/>
        </w:rPr>
      </w:pPr>
      <w:r w:rsidRPr="00B24C99">
        <w:rPr>
          <w:sz w:val="20"/>
          <w:szCs w:val="20"/>
          <w:vertAlign w:val="superscript"/>
        </w:rPr>
        <w:t xml:space="preserve">c </w:t>
      </w:r>
      <w:r w:rsidRPr="00B24C99">
        <w:rPr>
          <w:sz w:val="20"/>
          <w:szCs w:val="20"/>
        </w:rPr>
        <w:t>One additional patient discontinued treatment but not treatment-related.</w:t>
      </w:r>
    </w:p>
    <w:p w:rsidR="00AF720A" w:rsidRPr="00B24C99" w:rsidRDefault="00AF720A" w:rsidP="00AF720A">
      <w:pPr>
        <w:pStyle w:val="TableFigureFooter"/>
        <w:rPr>
          <w:rFonts w:eastAsia="Calibri"/>
        </w:rPr>
      </w:pPr>
      <w:r w:rsidRPr="00B24C99">
        <w:rPr>
          <w:rFonts w:eastAsia="Calibri"/>
        </w:rPr>
        <w:t>AE</w:t>
      </w:r>
      <w:r w:rsidR="00020CBD" w:rsidRPr="00B24C99">
        <w:rPr>
          <w:rFonts w:eastAsia="Calibri"/>
        </w:rPr>
        <w:t>,</w:t>
      </w:r>
      <w:r w:rsidRPr="00B24C99">
        <w:rPr>
          <w:rFonts w:eastAsia="Calibri"/>
        </w:rPr>
        <w:t xml:space="preserve"> adverse event; CI</w:t>
      </w:r>
      <w:r w:rsidR="00020CBD" w:rsidRPr="00B24C99">
        <w:rPr>
          <w:rFonts w:eastAsia="Calibri"/>
        </w:rPr>
        <w:t>,</w:t>
      </w:r>
      <w:r w:rsidRPr="00B24C99">
        <w:rPr>
          <w:rFonts w:eastAsia="Calibri"/>
        </w:rPr>
        <w:t xml:space="preserve"> confidence interval; IPI</w:t>
      </w:r>
      <w:r w:rsidR="00020CBD" w:rsidRPr="00B24C99">
        <w:rPr>
          <w:rFonts w:eastAsia="Calibri"/>
        </w:rPr>
        <w:t>,</w:t>
      </w:r>
      <w:r w:rsidRPr="00B24C99">
        <w:rPr>
          <w:rFonts w:eastAsia="Calibri"/>
        </w:rPr>
        <w:t xml:space="preserve"> ipilimumab; NIVO</w:t>
      </w:r>
      <w:r w:rsidR="00020CBD" w:rsidRPr="00B24C99">
        <w:rPr>
          <w:rFonts w:eastAsia="Calibri"/>
        </w:rPr>
        <w:t>,</w:t>
      </w:r>
      <w:r w:rsidRPr="00B24C99">
        <w:rPr>
          <w:rFonts w:eastAsia="Calibri"/>
        </w:rPr>
        <w:t xml:space="preserve"> nivolumab</w:t>
      </w:r>
      <w:r w:rsidR="00A95C16" w:rsidRPr="00B24C99">
        <w:rPr>
          <w:rFonts w:eastAsia="Calibri"/>
        </w:rPr>
        <w:t>.</w:t>
      </w:r>
    </w:p>
    <w:p w:rsidR="00020CBD" w:rsidRPr="00B24C99" w:rsidRDefault="00020CBD" w:rsidP="00020CBD">
      <w:pPr>
        <w:pStyle w:val="TableFigureFooter"/>
        <w:rPr>
          <w:sz w:val="20"/>
        </w:rPr>
      </w:pPr>
      <w:r w:rsidRPr="00B24C99">
        <w:t>Source: Table 64, p109 of submission; Table 2 of MAPS2 publication.</w:t>
      </w:r>
    </w:p>
    <w:p w:rsidR="00020CBD" w:rsidRPr="00B24C99" w:rsidRDefault="00020CBD" w:rsidP="00AF720A">
      <w:pPr>
        <w:pStyle w:val="TableFigureFooter"/>
        <w:rPr>
          <w:rFonts w:eastAsia="Calibri"/>
        </w:rPr>
      </w:pPr>
    </w:p>
    <w:p w:rsidR="00AF720A" w:rsidRPr="00B24C99" w:rsidRDefault="00AF720A" w:rsidP="00AF720A">
      <w:pPr>
        <w:pStyle w:val="3-BodyText"/>
      </w:pPr>
      <w:r w:rsidRPr="00B24C99">
        <w:t>Given the paucity of safety data reported for the Jassem 2008 study, a meaningfully robust comparison of the overall safety of NIVO+IPI versus pemetrexed and BSC could not be made.</w:t>
      </w:r>
    </w:p>
    <w:p w:rsidR="007F1017" w:rsidRPr="00B24C99" w:rsidRDefault="007F1017" w:rsidP="00D86231">
      <w:pPr>
        <w:pStyle w:val="4-SubsectionHeading"/>
      </w:pPr>
      <w:bookmarkStart w:id="29" w:name="_Toc22897643"/>
      <w:bookmarkStart w:id="30" w:name="_Toc62036365"/>
      <w:r w:rsidRPr="00B24C99">
        <w:t>Benefits/harms</w:t>
      </w:r>
      <w:bookmarkEnd w:id="29"/>
      <w:bookmarkEnd w:id="30"/>
    </w:p>
    <w:p w:rsidR="00E723BA" w:rsidRPr="00B24C99" w:rsidRDefault="00EC00C9" w:rsidP="00D2155B">
      <w:pPr>
        <w:pStyle w:val="3-BodyText"/>
        <w:rPr>
          <w:rStyle w:val="CommentReference"/>
        </w:rPr>
      </w:pPr>
      <w:r w:rsidRPr="00B24C99">
        <w:t xml:space="preserve">A summary of the comparative benefits and harms for </w:t>
      </w:r>
      <w:r w:rsidR="001A2E4E" w:rsidRPr="00B24C99">
        <w:t>NIVO+IPI</w:t>
      </w:r>
      <w:r w:rsidRPr="00B24C99">
        <w:t xml:space="preserve"> versus </w:t>
      </w:r>
      <w:r w:rsidR="001A2E4E" w:rsidRPr="00B24C99">
        <w:t>pemetrexed-based chemotherapy in first-line use</w:t>
      </w:r>
      <w:r w:rsidRPr="00B24C99">
        <w:t xml:space="preserve"> is presented in the table below.</w:t>
      </w:r>
    </w:p>
    <w:p w:rsidR="00B62715" w:rsidRPr="00B24C99" w:rsidRDefault="00B62715" w:rsidP="00D2155B">
      <w:pPr>
        <w:pStyle w:val="TableFigureHeading"/>
        <w:rPr>
          <w:rStyle w:val="CommentReference"/>
          <w:b/>
          <w:szCs w:val="24"/>
        </w:rPr>
      </w:pPr>
      <w:r w:rsidRPr="00B24C99">
        <w:rPr>
          <w:rStyle w:val="CommentReference"/>
          <w:b/>
          <w:szCs w:val="24"/>
        </w:rPr>
        <w:lastRenderedPageBreak/>
        <w:t xml:space="preserve">Table </w:t>
      </w:r>
      <w:r w:rsidR="0078599A" w:rsidRPr="00B24C99">
        <w:rPr>
          <w:rStyle w:val="CommentReference"/>
          <w:b/>
          <w:szCs w:val="24"/>
        </w:rPr>
        <w:t>1</w:t>
      </w:r>
      <w:r w:rsidR="008F0DF2" w:rsidRPr="00B24C99">
        <w:rPr>
          <w:rStyle w:val="CommentReference"/>
          <w:b/>
          <w:szCs w:val="24"/>
        </w:rPr>
        <w:t>1</w:t>
      </w:r>
      <w:r w:rsidRPr="00B24C99">
        <w:rPr>
          <w:rStyle w:val="CommentReference"/>
          <w:b/>
          <w:szCs w:val="24"/>
        </w:rPr>
        <w:t xml:space="preserve">: Summary of comparative benefits and harms for </w:t>
      </w:r>
      <w:r w:rsidR="001A2E4E" w:rsidRPr="00B24C99">
        <w:rPr>
          <w:rStyle w:val="CommentReference"/>
          <w:b/>
          <w:szCs w:val="24"/>
        </w:rPr>
        <w:t>NIVO+IPI</w:t>
      </w:r>
      <w:r w:rsidRPr="00B24C99">
        <w:rPr>
          <w:rStyle w:val="CommentReference"/>
          <w:b/>
          <w:szCs w:val="24"/>
        </w:rPr>
        <w:t xml:space="preserve"> and </w:t>
      </w:r>
      <w:r w:rsidR="001A2E4E" w:rsidRPr="00B24C99">
        <w:rPr>
          <w:rStyle w:val="CommentReference"/>
          <w:b/>
          <w:szCs w:val="24"/>
        </w:rPr>
        <w:t>pemetrexed-based chemotherapy</w:t>
      </w:r>
      <w:r w:rsidR="00090C5A" w:rsidRPr="00B24C99">
        <w:rPr>
          <w:rStyle w:val="CommentReference"/>
          <w:b/>
          <w:szCs w:val="24"/>
        </w:rPr>
        <w:t xml:space="preserve"> – first-line setting based on CheckMate 743 trial</w:t>
      </w:r>
    </w:p>
    <w:tbl>
      <w:tblPr>
        <w:tblW w:w="5000" w:type="pct"/>
        <w:tblLayout w:type="fixed"/>
        <w:tblCellMar>
          <w:left w:w="28" w:type="dxa"/>
          <w:right w:w="28" w:type="dxa"/>
        </w:tblCellMar>
        <w:tblLook w:val="04A0" w:firstRow="1" w:lastRow="0" w:firstColumn="1" w:lastColumn="0" w:noHBand="0" w:noVBand="1"/>
        <w:tblCaption w:val="Table 11: Summary of comparative benefits and harms for NIVO+IPI and pemetrexed-based chemotherapy – first-line setting based on CheckMate 743 trial"/>
      </w:tblPr>
      <w:tblGrid>
        <w:gridCol w:w="1141"/>
        <w:gridCol w:w="1145"/>
        <w:gridCol w:w="1284"/>
        <w:gridCol w:w="1555"/>
        <w:gridCol w:w="1223"/>
        <w:gridCol w:w="1127"/>
        <w:gridCol w:w="1542"/>
      </w:tblGrid>
      <w:tr w:rsidR="007F4A61" w:rsidRPr="00B24C99" w:rsidTr="006B35E6">
        <w:trPr>
          <w:cantSplit/>
          <w:trHeight w:val="150"/>
          <w:tblHeader/>
        </w:trPr>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715" w:rsidRPr="00B24C99" w:rsidRDefault="00B62715" w:rsidP="00D2155B">
            <w:pPr>
              <w:pStyle w:val="In-tableHeading"/>
              <w:rPr>
                <w:lang w:val="en-AU"/>
              </w:rPr>
            </w:pPr>
            <w:r w:rsidRPr="00B24C99">
              <w:rPr>
                <w:lang w:val="en-AU"/>
              </w:rPr>
              <w:t>Trial</w:t>
            </w:r>
          </w:p>
        </w:tc>
        <w:tc>
          <w:tcPr>
            <w:tcW w:w="635" w:type="pct"/>
            <w:vMerge w:val="restart"/>
            <w:tcBorders>
              <w:top w:val="single" w:sz="4" w:space="0" w:color="auto"/>
              <w:left w:val="single" w:sz="4" w:space="0" w:color="auto"/>
              <w:bottom w:val="single" w:sz="4" w:space="0" w:color="auto"/>
              <w:right w:val="single" w:sz="4" w:space="0" w:color="auto"/>
            </w:tcBorders>
            <w:vAlign w:val="center"/>
          </w:tcPr>
          <w:p w:rsidR="00B24DF6" w:rsidRPr="00B24C99" w:rsidRDefault="003D4A87" w:rsidP="00D2155B">
            <w:pPr>
              <w:pStyle w:val="In-tableHeading"/>
              <w:jc w:val="center"/>
              <w:rPr>
                <w:lang w:val="en-AU"/>
              </w:rPr>
            </w:pPr>
            <w:r w:rsidRPr="00B24C99">
              <w:rPr>
                <w:lang w:val="en-AU"/>
              </w:rPr>
              <w:t>NIVO+IPI</w:t>
            </w:r>
          </w:p>
          <w:p w:rsidR="00B62715" w:rsidRPr="00B24C99" w:rsidRDefault="00B24DF6" w:rsidP="00D2155B">
            <w:pPr>
              <w:pStyle w:val="In-tableHeading"/>
              <w:jc w:val="center"/>
              <w:rPr>
                <w:lang w:val="en-AU"/>
              </w:rPr>
            </w:pPr>
            <w:r w:rsidRPr="00B24C99">
              <w:rPr>
                <w:lang w:val="en-AU"/>
              </w:rPr>
              <w:t>n/N</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rsidR="00B62715" w:rsidRPr="00B24C99" w:rsidRDefault="00B62715" w:rsidP="00D2155B">
            <w:pPr>
              <w:pStyle w:val="In-tableHeading"/>
              <w:jc w:val="center"/>
              <w:rPr>
                <w:lang w:val="en-AU"/>
              </w:rPr>
            </w:pPr>
            <w:r w:rsidRPr="00B24C99">
              <w:rPr>
                <w:lang w:val="en-AU"/>
              </w:rPr>
              <w:t>C</w:t>
            </w:r>
            <w:r w:rsidR="003D4A87" w:rsidRPr="00B24C99">
              <w:rPr>
                <w:lang w:val="en-AU"/>
              </w:rPr>
              <w:t>hemotherapy</w:t>
            </w:r>
          </w:p>
          <w:p w:rsidR="00B24DF6" w:rsidRPr="00B24C99" w:rsidRDefault="00B24DF6" w:rsidP="00D2155B">
            <w:pPr>
              <w:pStyle w:val="In-tableHeading"/>
              <w:jc w:val="center"/>
              <w:rPr>
                <w:lang w:val="en-AU"/>
              </w:rPr>
            </w:pPr>
            <w:r w:rsidRPr="00B24C99">
              <w:rPr>
                <w:lang w:val="en-AU"/>
              </w:rPr>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rsidR="00B62715" w:rsidRPr="00B24C99" w:rsidRDefault="00B62715" w:rsidP="00D2155B">
            <w:pPr>
              <w:pStyle w:val="In-tableHeading"/>
              <w:jc w:val="center"/>
              <w:rPr>
                <w:lang w:val="en-AU"/>
              </w:rPr>
            </w:pPr>
            <w:r w:rsidRPr="00B24C99">
              <w:rPr>
                <w:lang w:val="en-AU"/>
              </w:rPr>
              <w:t>RR</w:t>
            </w:r>
          </w:p>
          <w:p w:rsidR="00B62715" w:rsidRPr="00B24C99" w:rsidRDefault="00B62715" w:rsidP="00D2155B">
            <w:pPr>
              <w:pStyle w:val="In-tableHeading"/>
              <w:jc w:val="center"/>
              <w:rPr>
                <w:lang w:val="en-AU"/>
              </w:rPr>
            </w:pPr>
            <w:r w:rsidRPr="00B24C99">
              <w:rPr>
                <w:lang w:val="en-AU"/>
              </w:rPr>
              <w:t>(95% CI)</w:t>
            </w:r>
          </w:p>
        </w:tc>
        <w:tc>
          <w:tcPr>
            <w:tcW w:w="1303" w:type="pct"/>
            <w:gridSpan w:val="2"/>
            <w:tcBorders>
              <w:top w:val="single" w:sz="4" w:space="0" w:color="auto"/>
              <w:left w:val="single" w:sz="4" w:space="0" w:color="auto"/>
              <w:bottom w:val="single" w:sz="4" w:space="0" w:color="auto"/>
              <w:right w:val="single" w:sz="4" w:space="0" w:color="auto"/>
            </w:tcBorders>
            <w:vAlign w:val="center"/>
          </w:tcPr>
          <w:p w:rsidR="00B62715" w:rsidRPr="00B24C99" w:rsidRDefault="00B62715" w:rsidP="00D2155B">
            <w:pPr>
              <w:pStyle w:val="In-tableHeading"/>
              <w:jc w:val="center"/>
              <w:rPr>
                <w:lang w:val="en-AU"/>
              </w:rPr>
            </w:pPr>
            <w:r w:rsidRPr="00B24C99">
              <w:rPr>
                <w:lang w:val="en-AU"/>
              </w:rPr>
              <w:t>Event rate/100 patients*</w:t>
            </w:r>
          </w:p>
        </w:tc>
        <w:tc>
          <w:tcPr>
            <w:tcW w:w="855" w:type="pct"/>
            <w:vMerge w:val="restart"/>
            <w:tcBorders>
              <w:top w:val="single" w:sz="4" w:space="0" w:color="auto"/>
              <w:left w:val="single" w:sz="4" w:space="0" w:color="auto"/>
              <w:bottom w:val="single" w:sz="4" w:space="0" w:color="auto"/>
              <w:right w:val="single" w:sz="4" w:space="0" w:color="auto"/>
            </w:tcBorders>
            <w:vAlign w:val="center"/>
          </w:tcPr>
          <w:p w:rsidR="00B62715" w:rsidRPr="00B24C99" w:rsidRDefault="00B62715" w:rsidP="00D2155B">
            <w:pPr>
              <w:pStyle w:val="In-tableHeading"/>
              <w:jc w:val="center"/>
              <w:rPr>
                <w:lang w:val="en-AU"/>
              </w:rPr>
            </w:pPr>
            <w:r w:rsidRPr="00B24C99">
              <w:rPr>
                <w:lang w:val="en-AU"/>
              </w:rPr>
              <w:t>RD</w:t>
            </w:r>
          </w:p>
          <w:p w:rsidR="00B62715" w:rsidRPr="00B24C99" w:rsidRDefault="00B62715" w:rsidP="00D2155B">
            <w:pPr>
              <w:pStyle w:val="In-tableHeading"/>
              <w:jc w:val="center"/>
              <w:rPr>
                <w:lang w:val="en-AU"/>
              </w:rPr>
            </w:pPr>
            <w:r w:rsidRPr="00B24C99">
              <w:rPr>
                <w:lang w:val="en-AU"/>
              </w:rPr>
              <w:t>(95% CI)</w:t>
            </w:r>
          </w:p>
        </w:tc>
      </w:tr>
      <w:tr w:rsidR="007F4A61" w:rsidRPr="00B24C99" w:rsidTr="00663DA1">
        <w:trPr>
          <w:cantSplit/>
          <w:trHeight w:val="60"/>
        </w:trPr>
        <w:tc>
          <w:tcPr>
            <w:tcW w:w="633"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2715" w:rsidRPr="00B24C99" w:rsidRDefault="00B62715" w:rsidP="00D2155B">
            <w:pPr>
              <w:pStyle w:val="In-tableHeading"/>
              <w:jc w:val="center"/>
              <w:rPr>
                <w:lang w:val="en-AU"/>
              </w:rPr>
            </w:pPr>
          </w:p>
        </w:tc>
        <w:tc>
          <w:tcPr>
            <w:tcW w:w="635" w:type="pct"/>
            <w:vMerge/>
            <w:tcBorders>
              <w:top w:val="single" w:sz="4" w:space="0" w:color="auto"/>
              <w:left w:val="single" w:sz="4" w:space="0" w:color="auto"/>
              <w:bottom w:val="single" w:sz="4" w:space="0" w:color="auto"/>
              <w:right w:val="single" w:sz="4" w:space="0" w:color="auto"/>
            </w:tcBorders>
            <w:vAlign w:val="center"/>
          </w:tcPr>
          <w:p w:rsidR="00B62715" w:rsidRPr="00B24C99" w:rsidRDefault="00B62715" w:rsidP="00D2155B">
            <w:pPr>
              <w:pStyle w:val="In-tableHeading"/>
              <w:jc w:val="center"/>
              <w:rPr>
                <w:lang w:val="en-AU"/>
              </w:rPr>
            </w:pPr>
          </w:p>
        </w:tc>
        <w:tc>
          <w:tcPr>
            <w:tcW w:w="712" w:type="pct"/>
            <w:vMerge/>
            <w:tcBorders>
              <w:top w:val="single" w:sz="4" w:space="0" w:color="auto"/>
              <w:left w:val="single" w:sz="4" w:space="0" w:color="auto"/>
              <w:bottom w:val="single" w:sz="4" w:space="0" w:color="auto"/>
              <w:right w:val="single" w:sz="4" w:space="0" w:color="auto"/>
            </w:tcBorders>
            <w:vAlign w:val="center"/>
          </w:tcPr>
          <w:p w:rsidR="00B62715" w:rsidRPr="00B24C99" w:rsidRDefault="00B62715" w:rsidP="00D2155B">
            <w:pPr>
              <w:pStyle w:val="In-tableHeading"/>
              <w:jc w:val="center"/>
              <w:rPr>
                <w:lang w:val="en-AU"/>
              </w:rPr>
            </w:pPr>
          </w:p>
        </w:tc>
        <w:tc>
          <w:tcPr>
            <w:tcW w:w="862" w:type="pct"/>
            <w:vMerge/>
            <w:tcBorders>
              <w:top w:val="single" w:sz="4" w:space="0" w:color="auto"/>
              <w:left w:val="single" w:sz="4" w:space="0" w:color="auto"/>
              <w:bottom w:val="single" w:sz="4" w:space="0" w:color="auto"/>
              <w:right w:val="single" w:sz="4" w:space="0" w:color="auto"/>
            </w:tcBorders>
            <w:vAlign w:val="center"/>
          </w:tcPr>
          <w:p w:rsidR="00B62715" w:rsidRPr="00B24C99" w:rsidRDefault="00B62715" w:rsidP="00D2155B">
            <w:pPr>
              <w:pStyle w:val="In-tableHeading"/>
              <w:jc w:val="center"/>
              <w:rPr>
                <w:lang w:val="en-AU"/>
              </w:rPr>
            </w:pPr>
          </w:p>
        </w:tc>
        <w:tc>
          <w:tcPr>
            <w:tcW w:w="678" w:type="pct"/>
            <w:tcBorders>
              <w:top w:val="single" w:sz="4" w:space="0" w:color="auto"/>
              <w:left w:val="single" w:sz="4" w:space="0" w:color="auto"/>
              <w:bottom w:val="single" w:sz="4" w:space="0" w:color="auto"/>
              <w:right w:val="single" w:sz="4" w:space="0" w:color="auto"/>
            </w:tcBorders>
            <w:vAlign w:val="center"/>
          </w:tcPr>
          <w:p w:rsidR="00B62715" w:rsidRPr="00B24C99" w:rsidRDefault="003D4A87" w:rsidP="00D2155B">
            <w:pPr>
              <w:pStyle w:val="In-tableHeading"/>
              <w:jc w:val="center"/>
              <w:rPr>
                <w:lang w:val="en-AU"/>
              </w:rPr>
            </w:pPr>
            <w:r w:rsidRPr="00B24C99">
              <w:rPr>
                <w:lang w:val="en-AU"/>
              </w:rPr>
              <w:t>NIVO+IPI</w:t>
            </w:r>
          </w:p>
        </w:tc>
        <w:tc>
          <w:tcPr>
            <w:tcW w:w="625" w:type="pct"/>
            <w:tcBorders>
              <w:top w:val="single" w:sz="4" w:space="0" w:color="auto"/>
              <w:left w:val="single" w:sz="4" w:space="0" w:color="auto"/>
              <w:bottom w:val="single" w:sz="4" w:space="0" w:color="auto"/>
              <w:right w:val="single" w:sz="4" w:space="0" w:color="auto"/>
            </w:tcBorders>
            <w:vAlign w:val="center"/>
          </w:tcPr>
          <w:p w:rsidR="00B62715" w:rsidRPr="00B24C99" w:rsidRDefault="00B62715" w:rsidP="003D4A87">
            <w:pPr>
              <w:pStyle w:val="In-tableHeading"/>
              <w:jc w:val="center"/>
              <w:rPr>
                <w:lang w:val="en-AU"/>
              </w:rPr>
            </w:pPr>
            <w:r w:rsidRPr="00B24C99">
              <w:rPr>
                <w:lang w:val="en-AU"/>
              </w:rPr>
              <w:t>C</w:t>
            </w:r>
            <w:r w:rsidR="003D4A87" w:rsidRPr="00B24C99">
              <w:rPr>
                <w:lang w:val="en-AU"/>
              </w:rPr>
              <w:t>hemo</w:t>
            </w:r>
          </w:p>
        </w:tc>
        <w:tc>
          <w:tcPr>
            <w:tcW w:w="855" w:type="pct"/>
            <w:vMerge/>
            <w:tcBorders>
              <w:top w:val="single" w:sz="4" w:space="0" w:color="auto"/>
              <w:left w:val="single" w:sz="4" w:space="0" w:color="auto"/>
              <w:bottom w:val="single" w:sz="4" w:space="0" w:color="auto"/>
              <w:right w:val="single" w:sz="4" w:space="0" w:color="auto"/>
            </w:tcBorders>
            <w:vAlign w:val="center"/>
          </w:tcPr>
          <w:p w:rsidR="00B62715" w:rsidRPr="00B24C99" w:rsidRDefault="00B62715" w:rsidP="00D2155B">
            <w:pPr>
              <w:pStyle w:val="In-tableHeading"/>
              <w:jc w:val="center"/>
              <w:rPr>
                <w:lang w:val="en-AU"/>
              </w:rPr>
            </w:pPr>
          </w:p>
        </w:tc>
      </w:tr>
      <w:tr w:rsidR="00B62715" w:rsidRPr="00B24C99" w:rsidTr="006B35E6">
        <w:trPr>
          <w:cantSplit/>
        </w:trPr>
        <w:tc>
          <w:tcPr>
            <w:tcW w:w="5000" w:type="pct"/>
            <w:gridSpan w:val="7"/>
            <w:tcBorders>
              <w:top w:val="single" w:sz="4" w:space="0" w:color="auto"/>
              <w:left w:val="single" w:sz="4" w:space="0" w:color="auto"/>
              <w:bottom w:val="double" w:sz="4" w:space="0" w:color="auto"/>
              <w:right w:val="single" w:sz="4" w:space="0" w:color="auto"/>
            </w:tcBorders>
            <w:shd w:val="clear" w:color="auto" w:fill="auto"/>
            <w:vAlign w:val="center"/>
          </w:tcPr>
          <w:p w:rsidR="00B62715" w:rsidRPr="00B24C99" w:rsidRDefault="00B62715" w:rsidP="00D2155B">
            <w:pPr>
              <w:pStyle w:val="In-tableHeading"/>
              <w:rPr>
                <w:lang w:val="en-AU"/>
              </w:rPr>
            </w:pPr>
            <w:r w:rsidRPr="00B24C99">
              <w:rPr>
                <w:lang w:val="en-AU"/>
              </w:rPr>
              <w:t>Benefits</w:t>
            </w:r>
          </w:p>
        </w:tc>
      </w:tr>
    </w:tbl>
    <w:tbl>
      <w:tblPr>
        <w:tblStyle w:val="TableGrid"/>
        <w:tblW w:w="5000" w:type="pct"/>
        <w:tblLayout w:type="fixed"/>
        <w:tblCellMar>
          <w:left w:w="28" w:type="dxa"/>
          <w:right w:w="28" w:type="dxa"/>
        </w:tblCellMar>
        <w:tblLook w:val="04A0" w:firstRow="1" w:lastRow="0" w:firstColumn="1" w:lastColumn="0" w:noHBand="0" w:noVBand="1"/>
        <w:tblCaption w:val="Table 11: Summary of comparative benefits and harms for NIVO+IPI and pemetrexed-based chemotherapy – first-line setting based on CheckMate 743 trial"/>
      </w:tblPr>
      <w:tblGrid>
        <w:gridCol w:w="2263"/>
        <w:gridCol w:w="1647"/>
        <w:gridCol w:w="1897"/>
        <w:gridCol w:w="1625"/>
        <w:gridCol w:w="1585"/>
      </w:tblGrid>
      <w:tr w:rsidR="00330DAA" w:rsidRPr="00B24C99" w:rsidTr="00611FD3">
        <w:trPr>
          <w:trHeight w:val="20"/>
          <w:tblHeader/>
        </w:trPr>
        <w:tc>
          <w:tcPr>
            <w:tcW w:w="5000" w:type="pct"/>
            <w:gridSpan w:val="5"/>
            <w:shd w:val="clear" w:color="auto" w:fill="auto"/>
          </w:tcPr>
          <w:p w:rsidR="00330DAA" w:rsidRPr="00B24C99" w:rsidRDefault="00192C95" w:rsidP="00D2155B">
            <w:pPr>
              <w:pStyle w:val="In-tableHeading"/>
              <w:rPr>
                <w:lang w:val="en-AU"/>
              </w:rPr>
            </w:pPr>
            <w:r w:rsidRPr="00B24C99">
              <w:rPr>
                <w:lang w:val="en-AU"/>
              </w:rPr>
              <w:t>Overall</w:t>
            </w:r>
            <w:r w:rsidR="00330DAA" w:rsidRPr="00B24C99">
              <w:rPr>
                <w:lang w:val="en-AU"/>
              </w:rPr>
              <w:t xml:space="preserve"> survival (median duration of follow up </w:t>
            </w:r>
            <w:r w:rsidR="00DB040E" w:rsidRPr="00B24C99">
              <w:rPr>
                <w:lang w:val="en-AU"/>
              </w:rPr>
              <w:t>29.7</w:t>
            </w:r>
            <w:r w:rsidR="00330DAA" w:rsidRPr="00B24C99">
              <w:rPr>
                <w:lang w:val="en-AU"/>
              </w:rPr>
              <w:t xml:space="preserve"> months)</w:t>
            </w:r>
          </w:p>
        </w:tc>
      </w:tr>
      <w:tr w:rsidR="00330DAA" w:rsidRPr="00B24C99" w:rsidTr="00663DA1">
        <w:trPr>
          <w:trHeight w:val="20"/>
        </w:trPr>
        <w:tc>
          <w:tcPr>
            <w:tcW w:w="1255" w:type="pct"/>
            <w:tcBorders>
              <w:bottom w:val="single" w:sz="4" w:space="0" w:color="auto"/>
            </w:tcBorders>
            <w:shd w:val="clear" w:color="auto" w:fill="auto"/>
          </w:tcPr>
          <w:p w:rsidR="00330DAA" w:rsidRPr="00B24C99" w:rsidRDefault="00330DAA" w:rsidP="00D2155B">
            <w:pPr>
              <w:pStyle w:val="In-tableHeading"/>
              <w:rPr>
                <w:lang w:val="en-AU"/>
              </w:rPr>
            </w:pPr>
            <w:r w:rsidRPr="00B24C99">
              <w:rPr>
                <w:lang w:val="en-AU"/>
              </w:rPr>
              <w:t>Event</w:t>
            </w:r>
          </w:p>
        </w:tc>
        <w:tc>
          <w:tcPr>
            <w:tcW w:w="913" w:type="pct"/>
            <w:tcBorders>
              <w:bottom w:val="single" w:sz="4" w:space="0" w:color="auto"/>
            </w:tcBorders>
            <w:shd w:val="clear" w:color="auto" w:fill="auto"/>
          </w:tcPr>
          <w:p w:rsidR="00330DAA" w:rsidRPr="00B24C99" w:rsidRDefault="00EB78A6" w:rsidP="00D2155B">
            <w:pPr>
              <w:pStyle w:val="In-tableHeading"/>
              <w:jc w:val="center"/>
              <w:rPr>
                <w:lang w:val="en-AU"/>
              </w:rPr>
            </w:pPr>
            <w:r w:rsidRPr="00B24C99">
              <w:rPr>
                <w:lang w:val="en-AU"/>
              </w:rPr>
              <w:t>NIVO+IPI</w:t>
            </w:r>
          </w:p>
        </w:tc>
        <w:tc>
          <w:tcPr>
            <w:tcW w:w="1052" w:type="pct"/>
            <w:tcBorders>
              <w:bottom w:val="single" w:sz="4" w:space="0" w:color="auto"/>
            </w:tcBorders>
            <w:shd w:val="clear" w:color="auto" w:fill="auto"/>
          </w:tcPr>
          <w:p w:rsidR="00330DAA" w:rsidRPr="00B24C99" w:rsidRDefault="00EB78A6" w:rsidP="00D2155B">
            <w:pPr>
              <w:pStyle w:val="In-tableHeading"/>
              <w:jc w:val="center"/>
              <w:rPr>
                <w:lang w:val="en-AU"/>
              </w:rPr>
            </w:pPr>
            <w:r w:rsidRPr="00B24C99">
              <w:rPr>
                <w:lang w:val="en-AU"/>
              </w:rPr>
              <w:t>Chemotherapy</w:t>
            </w:r>
          </w:p>
        </w:tc>
        <w:tc>
          <w:tcPr>
            <w:tcW w:w="901" w:type="pct"/>
            <w:tcBorders>
              <w:bottom w:val="single" w:sz="4" w:space="0" w:color="auto"/>
            </w:tcBorders>
            <w:shd w:val="clear" w:color="auto" w:fill="auto"/>
          </w:tcPr>
          <w:p w:rsidR="00330DAA" w:rsidRPr="00B24C99" w:rsidRDefault="00330DAA" w:rsidP="00D2155B">
            <w:pPr>
              <w:pStyle w:val="In-tableHeading"/>
              <w:jc w:val="center"/>
              <w:rPr>
                <w:rFonts w:asciiTheme="minorHAnsi" w:hAnsiTheme="minorHAnsi"/>
                <w:lang w:val="en-AU"/>
              </w:rPr>
            </w:pPr>
            <w:r w:rsidRPr="00B24C99">
              <w:rPr>
                <w:lang w:val="en-AU"/>
              </w:rPr>
              <w:t>Absolute Difference</w:t>
            </w:r>
          </w:p>
        </w:tc>
        <w:tc>
          <w:tcPr>
            <w:tcW w:w="879" w:type="pct"/>
            <w:tcBorders>
              <w:bottom w:val="single" w:sz="4" w:space="0" w:color="auto"/>
            </w:tcBorders>
            <w:shd w:val="clear" w:color="auto" w:fill="auto"/>
          </w:tcPr>
          <w:p w:rsidR="00330DAA" w:rsidRPr="00B24C99" w:rsidRDefault="00330DAA" w:rsidP="00D2155B">
            <w:pPr>
              <w:pStyle w:val="In-tableHeading"/>
              <w:jc w:val="center"/>
              <w:rPr>
                <w:lang w:val="en-AU"/>
              </w:rPr>
            </w:pPr>
            <w:r w:rsidRPr="00B24C99">
              <w:rPr>
                <w:lang w:val="en-AU"/>
              </w:rPr>
              <w:t>HR (95% CI)</w:t>
            </w:r>
          </w:p>
        </w:tc>
      </w:tr>
      <w:tr w:rsidR="00C7603E" w:rsidRPr="00B24C99" w:rsidTr="00663DA1">
        <w:trPr>
          <w:trHeight w:val="20"/>
        </w:trPr>
        <w:tc>
          <w:tcPr>
            <w:tcW w:w="1255" w:type="pct"/>
            <w:tcBorders>
              <w:bottom w:val="single" w:sz="4" w:space="0" w:color="auto"/>
              <w:right w:val="single" w:sz="4" w:space="0" w:color="auto"/>
            </w:tcBorders>
            <w:shd w:val="clear" w:color="auto" w:fill="auto"/>
          </w:tcPr>
          <w:p w:rsidR="00C7603E" w:rsidRPr="00B24C99" w:rsidRDefault="00C7603E" w:rsidP="00816361">
            <w:pPr>
              <w:pStyle w:val="TableText0"/>
              <w:keepLines/>
              <w:widowControl w:val="0"/>
            </w:pPr>
            <w:r w:rsidRPr="00B24C99">
              <w:t>Deaths, n/N (%)</w:t>
            </w:r>
          </w:p>
        </w:tc>
        <w:tc>
          <w:tcPr>
            <w:tcW w:w="913" w:type="pct"/>
            <w:tcBorders>
              <w:left w:val="single" w:sz="4" w:space="0" w:color="auto"/>
              <w:bottom w:val="single" w:sz="4" w:space="0" w:color="auto"/>
              <w:right w:val="single" w:sz="4" w:space="0" w:color="auto"/>
            </w:tcBorders>
            <w:shd w:val="clear" w:color="auto" w:fill="auto"/>
          </w:tcPr>
          <w:p w:rsidR="00C7603E" w:rsidRPr="00B24C99" w:rsidRDefault="00C7603E" w:rsidP="00816361">
            <w:pPr>
              <w:pStyle w:val="TableText0"/>
              <w:keepLines/>
              <w:widowControl w:val="0"/>
              <w:jc w:val="center"/>
            </w:pPr>
            <w:r w:rsidRPr="00B24C99">
              <w:rPr>
                <w:rFonts w:cs="Times New Roman"/>
                <w:szCs w:val="20"/>
              </w:rPr>
              <w:t>200/303 (66.0%)</w:t>
            </w:r>
          </w:p>
        </w:tc>
        <w:tc>
          <w:tcPr>
            <w:tcW w:w="1052" w:type="pct"/>
            <w:tcBorders>
              <w:left w:val="single" w:sz="4" w:space="0" w:color="auto"/>
              <w:bottom w:val="single" w:sz="4" w:space="0" w:color="auto"/>
              <w:right w:val="single" w:sz="4" w:space="0" w:color="auto"/>
            </w:tcBorders>
            <w:shd w:val="clear" w:color="auto" w:fill="auto"/>
          </w:tcPr>
          <w:p w:rsidR="00C7603E" w:rsidRPr="00B24C99" w:rsidRDefault="00C7603E" w:rsidP="00816361">
            <w:pPr>
              <w:pStyle w:val="TableText0"/>
              <w:keepLines/>
              <w:widowControl w:val="0"/>
              <w:jc w:val="center"/>
            </w:pPr>
            <w:r w:rsidRPr="00B24C99">
              <w:rPr>
                <w:rFonts w:cs="Times New Roman"/>
                <w:szCs w:val="20"/>
              </w:rPr>
              <w:t>219/302 (72.5%)</w:t>
            </w:r>
          </w:p>
        </w:tc>
        <w:tc>
          <w:tcPr>
            <w:tcW w:w="901" w:type="pct"/>
            <w:tcBorders>
              <w:left w:val="single" w:sz="4" w:space="0" w:color="auto"/>
              <w:bottom w:val="single" w:sz="4" w:space="0" w:color="auto"/>
              <w:right w:val="single" w:sz="4" w:space="0" w:color="auto"/>
            </w:tcBorders>
            <w:shd w:val="clear" w:color="auto" w:fill="auto"/>
          </w:tcPr>
          <w:p w:rsidR="00C7603E" w:rsidRPr="00B24C99" w:rsidRDefault="008D7E5E" w:rsidP="00816361">
            <w:pPr>
              <w:pStyle w:val="TableText0"/>
              <w:keepLines/>
              <w:widowControl w:val="0"/>
              <w:jc w:val="center"/>
            </w:pPr>
            <w:r w:rsidRPr="00B24C99">
              <w:t>6.5%</w:t>
            </w:r>
          </w:p>
        </w:tc>
        <w:tc>
          <w:tcPr>
            <w:tcW w:w="879" w:type="pct"/>
            <w:vMerge w:val="restart"/>
            <w:tcBorders>
              <w:left w:val="single" w:sz="4" w:space="0" w:color="auto"/>
            </w:tcBorders>
            <w:shd w:val="clear" w:color="auto" w:fill="auto"/>
          </w:tcPr>
          <w:p w:rsidR="00C7603E" w:rsidRPr="00B24C99" w:rsidRDefault="008E5B97" w:rsidP="00816361">
            <w:pPr>
              <w:pStyle w:val="TableText0"/>
              <w:keepLines/>
              <w:widowControl w:val="0"/>
              <w:jc w:val="center"/>
              <w:rPr>
                <w:b/>
                <w:szCs w:val="20"/>
              </w:rPr>
            </w:pPr>
            <w:r w:rsidRPr="00B24C99">
              <w:rPr>
                <w:b/>
                <w:szCs w:val="20"/>
              </w:rPr>
              <w:t>0.74</w:t>
            </w:r>
            <w:r w:rsidR="00C7603E" w:rsidRPr="00B24C99">
              <w:rPr>
                <w:b/>
                <w:szCs w:val="20"/>
              </w:rPr>
              <w:t xml:space="preserve"> (</w:t>
            </w:r>
            <w:r w:rsidRPr="00B24C99">
              <w:rPr>
                <w:b/>
                <w:szCs w:val="20"/>
              </w:rPr>
              <w:t>0.61, 0.89</w:t>
            </w:r>
            <w:r w:rsidR="00C7603E" w:rsidRPr="00B24C99">
              <w:rPr>
                <w:b/>
                <w:szCs w:val="20"/>
              </w:rPr>
              <w:t>)</w:t>
            </w:r>
            <w:r w:rsidRPr="00B24C99">
              <w:rPr>
                <w:szCs w:val="20"/>
                <w:vertAlign w:val="superscript"/>
              </w:rPr>
              <w:t>a</w:t>
            </w:r>
          </w:p>
          <w:p w:rsidR="00C7603E" w:rsidRPr="00B24C99" w:rsidRDefault="00C7603E" w:rsidP="00816361">
            <w:pPr>
              <w:pStyle w:val="TableText0"/>
              <w:keepLines/>
              <w:widowControl w:val="0"/>
              <w:jc w:val="center"/>
            </w:pPr>
            <w:r w:rsidRPr="00B24C99">
              <w:rPr>
                <w:szCs w:val="20"/>
              </w:rPr>
              <w:t>P=</w:t>
            </w:r>
            <w:r w:rsidR="008E5B97" w:rsidRPr="00B24C99">
              <w:rPr>
                <w:b/>
                <w:szCs w:val="20"/>
              </w:rPr>
              <w:t>0.002</w:t>
            </w:r>
          </w:p>
        </w:tc>
      </w:tr>
      <w:tr w:rsidR="00C7603E" w:rsidRPr="00B24C99" w:rsidTr="00663DA1">
        <w:trPr>
          <w:trHeight w:val="20"/>
        </w:trPr>
        <w:tc>
          <w:tcPr>
            <w:tcW w:w="1255" w:type="pct"/>
            <w:tcBorders>
              <w:bottom w:val="single" w:sz="4" w:space="0" w:color="auto"/>
              <w:right w:val="single" w:sz="4" w:space="0" w:color="auto"/>
            </w:tcBorders>
            <w:shd w:val="clear" w:color="auto" w:fill="auto"/>
          </w:tcPr>
          <w:p w:rsidR="00C7603E" w:rsidRPr="00B24C99" w:rsidRDefault="00C7603E" w:rsidP="00DB040E">
            <w:pPr>
              <w:pStyle w:val="TableText0"/>
              <w:keepLines/>
              <w:widowControl w:val="0"/>
            </w:pPr>
            <w:r w:rsidRPr="00B24C99">
              <w:t>Median OS, months (95% CI)</w:t>
            </w:r>
          </w:p>
        </w:tc>
        <w:tc>
          <w:tcPr>
            <w:tcW w:w="913" w:type="pct"/>
            <w:vAlign w:val="center"/>
          </w:tcPr>
          <w:p w:rsidR="00C7603E" w:rsidRPr="00B24C99" w:rsidRDefault="00C7603E" w:rsidP="00663DA1">
            <w:pPr>
              <w:pStyle w:val="TableText0"/>
              <w:keepLines/>
              <w:widowControl w:val="0"/>
              <w:jc w:val="center"/>
              <w:rPr>
                <w:rFonts w:cs="Times New Roman"/>
                <w:szCs w:val="20"/>
              </w:rPr>
            </w:pPr>
            <w:r w:rsidRPr="00B24C99">
              <w:t>18.07 (16.82, 21.45)</w:t>
            </w:r>
          </w:p>
        </w:tc>
        <w:tc>
          <w:tcPr>
            <w:tcW w:w="1052" w:type="pct"/>
            <w:vAlign w:val="center"/>
          </w:tcPr>
          <w:p w:rsidR="00C7603E" w:rsidRPr="00B24C99" w:rsidRDefault="00C7603E" w:rsidP="00663DA1">
            <w:pPr>
              <w:pStyle w:val="TableText0"/>
              <w:keepLines/>
              <w:widowControl w:val="0"/>
              <w:jc w:val="center"/>
              <w:rPr>
                <w:rFonts w:cs="Times New Roman"/>
                <w:szCs w:val="20"/>
              </w:rPr>
            </w:pPr>
            <w:r w:rsidRPr="00B24C99">
              <w:t>14.09 (12.45, 16.23)</w:t>
            </w:r>
          </w:p>
        </w:tc>
        <w:tc>
          <w:tcPr>
            <w:tcW w:w="901" w:type="pct"/>
            <w:tcBorders>
              <w:left w:val="single" w:sz="4" w:space="0" w:color="auto"/>
              <w:bottom w:val="single" w:sz="4" w:space="0" w:color="auto"/>
              <w:right w:val="single" w:sz="4" w:space="0" w:color="auto"/>
            </w:tcBorders>
            <w:shd w:val="clear" w:color="auto" w:fill="auto"/>
          </w:tcPr>
          <w:p w:rsidR="00C7603E" w:rsidRPr="00B24C99" w:rsidRDefault="00C7603E" w:rsidP="00DB040E">
            <w:pPr>
              <w:pStyle w:val="TableText0"/>
              <w:keepLines/>
              <w:widowControl w:val="0"/>
              <w:jc w:val="center"/>
            </w:pPr>
            <w:r w:rsidRPr="00B24C99">
              <w:t>3.98</w:t>
            </w:r>
          </w:p>
        </w:tc>
        <w:tc>
          <w:tcPr>
            <w:tcW w:w="879" w:type="pct"/>
            <w:vMerge/>
            <w:tcBorders>
              <w:left w:val="single" w:sz="4" w:space="0" w:color="auto"/>
            </w:tcBorders>
            <w:shd w:val="clear" w:color="auto" w:fill="auto"/>
          </w:tcPr>
          <w:p w:rsidR="00C7603E" w:rsidRPr="00B24C99" w:rsidRDefault="00C7603E" w:rsidP="00DB040E">
            <w:pPr>
              <w:pStyle w:val="TableText0"/>
              <w:keepLines/>
              <w:widowControl w:val="0"/>
              <w:jc w:val="center"/>
              <w:rPr>
                <w:szCs w:val="20"/>
              </w:rPr>
            </w:pPr>
          </w:p>
        </w:tc>
      </w:tr>
    </w:tbl>
    <w:tbl>
      <w:tblPr>
        <w:tblW w:w="5000" w:type="pct"/>
        <w:tblLayout w:type="fixed"/>
        <w:tblCellMar>
          <w:left w:w="28" w:type="dxa"/>
          <w:right w:w="28" w:type="dxa"/>
        </w:tblCellMar>
        <w:tblLook w:val="04A0" w:firstRow="1" w:lastRow="0" w:firstColumn="1" w:lastColumn="0" w:noHBand="0" w:noVBand="1"/>
        <w:tblCaption w:val="Table 11: Summary of comparative benefits and harms for NIVO+IPI and pemetrexed-based chemotherapy – first-line setting based on CheckMate 743 trial"/>
      </w:tblPr>
      <w:tblGrid>
        <w:gridCol w:w="1269"/>
        <w:gridCol w:w="1013"/>
        <w:gridCol w:w="7"/>
        <w:gridCol w:w="1277"/>
        <w:gridCol w:w="1555"/>
        <w:gridCol w:w="1133"/>
        <w:gridCol w:w="1362"/>
        <w:gridCol w:w="1401"/>
      </w:tblGrid>
      <w:tr w:rsidR="0099451E" w:rsidRPr="00B24C99" w:rsidTr="003D1DE4">
        <w:tc>
          <w:tcPr>
            <w:tcW w:w="5000" w:type="pct"/>
            <w:gridSpan w:val="8"/>
            <w:tcBorders>
              <w:top w:val="double" w:sz="4" w:space="0" w:color="auto"/>
              <w:left w:val="single" w:sz="4" w:space="0" w:color="auto"/>
              <w:bottom w:val="single" w:sz="4" w:space="0" w:color="auto"/>
              <w:right w:val="single" w:sz="4" w:space="0" w:color="auto"/>
            </w:tcBorders>
            <w:shd w:val="clear" w:color="auto" w:fill="auto"/>
            <w:vAlign w:val="center"/>
          </w:tcPr>
          <w:p w:rsidR="0099451E" w:rsidRPr="00B24C99" w:rsidRDefault="0099451E" w:rsidP="00D2155B">
            <w:pPr>
              <w:pStyle w:val="In-tableHeading"/>
              <w:rPr>
                <w:lang w:val="en-AU"/>
              </w:rPr>
            </w:pPr>
            <w:r w:rsidRPr="00B24C99">
              <w:rPr>
                <w:lang w:val="en-AU"/>
              </w:rPr>
              <w:t xml:space="preserve">Harms </w:t>
            </w:r>
          </w:p>
        </w:tc>
      </w:tr>
      <w:tr w:rsidR="0099451E" w:rsidRPr="00B24C99" w:rsidTr="00105AC0">
        <w:trPr>
          <w:trHeight w:val="70"/>
        </w:trPr>
        <w:tc>
          <w:tcPr>
            <w:tcW w:w="7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51E" w:rsidRPr="00B24C99" w:rsidRDefault="0099451E" w:rsidP="00D2155B">
            <w:pPr>
              <w:pStyle w:val="In-tableHeading"/>
              <w:rPr>
                <w:lang w:val="en-AU"/>
              </w:rPr>
            </w:pPr>
          </w:p>
        </w:tc>
        <w:tc>
          <w:tcPr>
            <w:tcW w:w="562" w:type="pct"/>
            <w:vMerge w:val="restart"/>
            <w:tcBorders>
              <w:top w:val="single" w:sz="4" w:space="0" w:color="auto"/>
              <w:left w:val="single" w:sz="4" w:space="0" w:color="auto"/>
              <w:bottom w:val="single" w:sz="4" w:space="0" w:color="auto"/>
              <w:right w:val="single" w:sz="4" w:space="0" w:color="auto"/>
            </w:tcBorders>
            <w:vAlign w:val="center"/>
          </w:tcPr>
          <w:p w:rsidR="0099451E" w:rsidRPr="00B24C99" w:rsidRDefault="001518C7" w:rsidP="001E34DF">
            <w:pPr>
              <w:pStyle w:val="In-tableHeading"/>
              <w:jc w:val="center"/>
              <w:rPr>
                <w:lang w:val="en-AU"/>
              </w:rPr>
            </w:pPr>
            <w:r w:rsidRPr="00B24C99">
              <w:rPr>
                <w:lang w:val="en-AU"/>
              </w:rPr>
              <w:t>NIVO+IPI</w:t>
            </w:r>
          </w:p>
          <w:p w:rsidR="0099451E" w:rsidRPr="00B24C99" w:rsidRDefault="0099451E" w:rsidP="001E34DF">
            <w:pPr>
              <w:pStyle w:val="In-tableHeading"/>
              <w:jc w:val="center"/>
              <w:rPr>
                <w:lang w:val="en-AU"/>
              </w:rPr>
            </w:pPr>
            <w:r w:rsidRPr="00B24C99">
              <w:rPr>
                <w:lang w:val="en-AU"/>
              </w:rPr>
              <w:t>n/N</w:t>
            </w:r>
          </w:p>
        </w:tc>
        <w:tc>
          <w:tcPr>
            <w:tcW w:w="712" w:type="pct"/>
            <w:gridSpan w:val="2"/>
            <w:vMerge w:val="restart"/>
            <w:tcBorders>
              <w:top w:val="single" w:sz="4" w:space="0" w:color="auto"/>
              <w:left w:val="single" w:sz="4" w:space="0" w:color="auto"/>
              <w:bottom w:val="single" w:sz="4" w:space="0" w:color="auto"/>
              <w:right w:val="single" w:sz="4" w:space="0" w:color="auto"/>
            </w:tcBorders>
            <w:vAlign w:val="center"/>
          </w:tcPr>
          <w:p w:rsidR="0099451E" w:rsidRPr="00B24C99" w:rsidRDefault="0099451E" w:rsidP="001518C7">
            <w:pPr>
              <w:pStyle w:val="In-tableHeading"/>
              <w:jc w:val="center"/>
              <w:rPr>
                <w:lang w:val="en-AU"/>
              </w:rPr>
            </w:pPr>
            <w:r w:rsidRPr="00B24C99">
              <w:rPr>
                <w:lang w:val="en-AU"/>
              </w:rPr>
              <w:t>C</w:t>
            </w:r>
            <w:r w:rsidR="001518C7" w:rsidRPr="00B24C99">
              <w:rPr>
                <w:lang w:val="en-AU"/>
              </w:rPr>
              <w:t>hemotherapy</w:t>
            </w:r>
          </w:p>
          <w:p w:rsidR="0099451E" w:rsidRPr="00B24C99" w:rsidRDefault="0099451E" w:rsidP="001E34DF">
            <w:pPr>
              <w:pStyle w:val="In-tableHeading"/>
              <w:jc w:val="center"/>
              <w:rPr>
                <w:lang w:val="en-AU"/>
              </w:rPr>
            </w:pPr>
            <w:r w:rsidRPr="00B24C99">
              <w:rPr>
                <w:lang w:val="en-AU"/>
              </w:rPr>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rsidR="0099451E" w:rsidRPr="00B24C99" w:rsidRDefault="0099451E" w:rsidP="001E34DF">
            <w:pPr>
              <w:pStyle w:val="In-tableHeading"/>
              <w:jc w:val="center"/>
              <w:rPr>
                <w:lang w:val="en-AU"/>
              </w:rPr>
            </w:pPr>
            <w:r w:rsidRPr="00B24C99">
              <w:rPr>
                <w:lang w:val="en-AU"/>
              </w:rPr>
              <w:t>RR</w:t>
            </w:r>
          </w:p>
          <w:p w:rsidR="0099451E" w:rsidRPr="00B24C99" w:rsidRDefault="0099451E" w:rsidP="001E34DF">
            <w:pPr>
              <w:pStyle w:val="In-tableHeading"/>
              <w:jc w:val="center"/>
              <w:rPr>
                <w:lang w:val="en-AU"/>
              </w:rPr>
            </w:pPr>
            <w:r w:rsidRPr="00B24C99">
              <w:rPr>
                <w:lang w:val="en-AU"/>
              </w:rPr>
              <w:t>(95% CI)</w:t>
            </w:r>
          </w:p>
        </w:tc>
        <w:tc>
          <w:tcPr>
            <w:tcW w:w="1383" w:type="pct"/>
            <w:gridSpan w:val="2"/>
            <w:tcBorders>
              <w:top w:val="single" w:sz="4" w:space="0" w:color="auto"/>
              <w:left w:val="single" w:sz="4" w:space="0" w:color="auto"/>
              <w:bottom w:val="single" w:sz="4" w:space="0" w:color="auto"/>
              <w:right w:val="single" w:sz="4" w:space="0" w:color="auto"/>
            </w:tcBorders>
            <w:vAlign w:val="center"/>
          </w:tcPr>
          <w:p w:rsidR="0099451E" w:rsidRPr="00B24C99" w:rsidRDefault="0099451E" w:rsidP="001E34DF">
            <w:pPr>
              <w:pStyle w:val="In-tableHeading"/>
              <w:jc w:val="center"/>
              <w:rPr>
                <w:lang w:val="en-AU"/>
              </w:rPr>
            </w:pPr>
            <w:r w:rsidRPr="00B24C99">
              <w:rPr>
                <w:lang w:val="en-AU"/>
              </w:rPr>
              <w:t>Event rate/100 patients*</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rsidR="0099451E" w:rsidRPr="00B24C99" w:rsidRDefault="0099451E" w:rsidP="001E34DF">
            <w:pPr>
              <w:pStyle w:val="In-tableHeading"/>
              <w:jc w:val="center"/>
              <w:rPr>
                <w:lang w:val="en-AU"/>
              </w:rPr>
            </w:pPr>
            <w:r w:rsidRPr="00B24C99">
              <w:rPr>
                <w:lang w:val="en-AU"/>
              </w:rPr>
              <w:t>RD</w:t>
            </w:r>
          </w:p>
          <w:p w:rsidR="0099451E" w:rsidRPr="00B24C99" w:rsidRDefault="0099451E" w:rsidP="001E34DF">
            <w:pPr>
              <w:pStyle w:val="In-tableHeading"/>
              <w:jc w:val="center"/>
              <w:rPr>
                <w:lang w:val="en-AU"/>
              </w:rPr>
            </w:pPr>
            <w:r w:rsidRPr="00B24C99">
              <w:rPr>
                <w:lang w:val="en-AU"/>
              </w:rPr>
              <w:t>(95% CI)</w:t>
            </w:r>
          </w:p>
        </w:tc>
      </w:tr>
      <w:tr w:rsidR="0099451E" w:rsidRPr="00B24C99" w:rsidTr="00105AC0">
        <w:trPr>
          <w:trHeight w:val="60"/>
        </w:trPr>
        <w:tc>
          <w:tcPr>
            <w:tcW w:w="704" w:type="pct"/>
            <w:vMerge/>
            <w:tcBorders>
              <w:top w:val="single" w:sz="4" w:space="0" w:color="auto"/>
              <w:left w:val="single" w:sz="4" w:space="0" w:color="auto"/>
              <w:bottom w:val="single" w:sz="4" w:space="0" w:color="auto"/>
              <w:right w:val="single" w:sz="4" w:space="0" w:color="auto"/>
            </w:tcBorders>
            <w:shd w:val="clear" w:color="auto" w:fill="auto"/>
            <w:vAlign w:val="center"/>
          </w:tcPr>
          <w:p w:rsidR="0099451E" w:rsidRPr="00B24C99" w:rsidRDefault="0099451E" w:rsidP="00D2155B">
            <w:pPr>
              <w:pStyle w:val="In-tableHeading"/>
              <w:rPr>
                <w:lang w:val="en-AU"/>
              </w:rPr>
            </w:pPr>
          </w:p>
        </w:tc>
        <w:tc>
          <w:tcPr>
            <w:tcW w:w="562" w:type="pct"/>
            <w:vMerge/>
            <w:tcBorders>
              <w:top w:val="single" w:sz="4" w:space="0" w:color="auto"/>
              <w:left w:val="single" w:sz="4" w:space="0" w:color="auto"/>
              <w:bottom w:val="single" w:sz="4" w:space="0" w:color="auto"/>
              <w:right w:val="single" w:sz="4" w:space="0" w:color="auto"/>
            </w:tcBorders>
            <w:vAlign w:val="center"/>
          </w:tcPr>
          <w:p w:rsidR="0099451E" w:rsidRPr="00B24C99" w:rsidRDefault="0099451E" w:rsidP="00D2155B">
            <w:pPr>
              <w:pStyle w:val="In-tableHeading"/>
              <w:rPr>
                <w:lang w:val="en-AU"/>
              </w:rPr>
            </w:pPr>
          </w:p>
        </w:tc>
        <w:tc>
          <w:tcPr>
            <w:tcW w:w="712" w:type="pct"/>
            <w:gridSpan w:val="2"/>
            <w:vMerge/>
            <w:tcBorders>
              <w:top w:val="single" w:sz="4" w:space="0" w:color="auto"/>
              <w:left w:val="single" w:sz="4" w:space="0" w:color="auto"/>
              <w:bottom w:val="single" w:sz="4" w:space="0" w:color="auto"/>
              <w:right w:val="single" w:sz="4" w:space="0" w:color="auto"/>
            </w:tcBorders>
            <w:vAlign w:val="center"/>
          </w:tcPr>
          <w:p w:rsidR="0099451E" w:rsidRPr="00B24C99" w:rsidRDefault="0099451E" w:rsidP="00D2155B">
            <w:pPr>
              <w:pStyle w:val="In-tableHeading"/>
              <w:rPr>
                <w:lang w:val="en-AU"/>
              </w:rPr>
            </w:pPr>
          </w:p>
        </w:tc>
        <w:tc>
          <w:tcPr>
            <w:tcW w:w="862" w:type="pct"/>
            <w:vMerge/>
            <w:tcBorders>
              <w:top w:val="single" w:sz="4" w:space="0" w:color="auto"/>
              <w:left w:val="single" w:sz="4" w:space="0" w:color="auto"/>
              <w:bottom w:val="single" w:sz="4" w:space="0" w:color="auto"/>
              <w:right w:val="single" w:sz="4" w:space="0" w:color="auto"/>
            </w:tcBorders>
            <w:vAlign w:val="center"/>
          </w:tcPr>
          <w:p w:rsidR="0099451E" w:rsidRPr="00B24C99" w:rsidRDefault="0099451E" w:rsidP="00D2155B">
            <w:pPr>
              <w:pStyle w:val="In-tableHeading"/>
              <w:rPr>
                <w:lang w:val="en-AU"/>
              </w:rPr>
            </w:pPr>
          </w:p>
        </w:tc>
        <w:tc>
          <w:tcPr>
            <w:tcW w:w="628" w:type="pct"/>
            <w:tcBorders>
              <w:top w:val="single" w:sz="4" w:space="0" w:color="auto"/>
              <w:left w:val="single" w:sz="4" w:space="0" w:color="auto"/>
              <w:bottom w:val="single" w:sz="4" w:space="0" w:color="auto"/>
              <w:right w:val="single" w:sz="4" w:space="0" w:color="auto"/>
            </w:tcBorders>
            <w:vAlign w:val="center"/>
          </w:tcPr>
          <w:p w:rsidR="0099451E" w:rsidRPr="00B24C99" w:rsidRDefault="001518C7" w:rsidP="001E34DF">
            <w:pPr>
              <w:pStyle w:val="In-tableHeading"/>
              <w:jc w:val="center"/>
              <w:rPr>
                <w:lang w:val="en-AU"/>
              </w:rPr>
            </w:pPr>
            <w:r w:rsidRPr="00B24C99">
              <w:rPr>
                <w:lang w:val="en-AU"/>
              </w:rPr>
              <w:t>NIVO+IPI</w:t>
            </w:r>
          </w:p>
        </w:tc>
        <w:tc>
          <w:tcPr>
            <w:tcW w:w="755" w:type="pct"/>
            <w:tcBorders>
              <w:top w:val="single" w:sz="4" w:space="0" w:color="auto"/>
              <w:left w:val="single" w:sz="4" w:space="0" w:color="auto"/>
              <w:bottom w:val="single" w:sz="4" w:space="0" w:color="auto"/>
              <w:right w:val="single" w:sz="4" w:space="0" w:color="auto"/>
            </w:tcBorders>
            <w:vAlign w:val="center"/>
          </w:tcPr>
          <w:p w:rsidR="0099451E" w:rsidRPr="00B24C99" w:rsidRDefault="0099451E" w:rsidP="001518C7">
            <w:pPr>
              <w:pStyle w:val="In-tableHeading"/>
              <w:jc w:val="center"/>
              <w:rPr>
                <w:lang w:val="en-AU"/>
              </w:rPr>
            </w:pPr>
            <w:r w:rsidRPr="00B24C99">
              <w:rPr>
                <w:lang w:val="en-AU"/>
              </w:rPr>
              <w:t>C</w:t>
            </w:r>
            <w:r w:rsidR="001518C7" w:rsidRPr="00B24C99">
              <w:rPr>
                <w:lang w:val="en-AU"/>
              </w:rPr>
              <w:t>hemo</w:t>
            </w:r>
          </w:p>
        </w:tc>
        <w:tc>
          <w:tcPr>
            <w:tcW w:w="776" w:type="pct"/>
            <w:vMerge/>
            <w:tcBorders>
              <w:top w:val="single" w:sz="4" w:space="0" w:color="auto"/>
              <w:left w:val="single" w:sz="4" w:space="0" w:color="auto"/>
              <w:bottom w:val="single" w:sz="4" w:space="0" w:color="auto"/>
              <w:right w:val="single" w:sz="4" w:space="0" w:color="auto"/>
            </w:tcBorders>
            <w:vAlign w:val="center"/>
          </w:tcPr>
          <w:p w:rsidR="0099451E" w:rsidRPr="00B24C99" w:rsidRDefault="0099451E" w:rsidP="00D2155B">
            <w:pPr>
              <w:pStyle w:val="In-tableHeading"/>
              <w:rPr>
                <w:lang w:val="en-AU"/>
              </w:rPr>
            </w:pPr>
          </w:p>
        </w:tc>
      </w:tr>
      <w:tr w:rsidR="0099451E" w:rsidRPr="00B24C99" w:rsidTr="003D1DE4">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99451E" w:rsidRPr="00B24C99" w:rsidRDefault="0099451E" w:rsidP="00D2155B">
            <w:pPr>
              <w:pStyle w:val="In-tableHeading"/>
              <w:jc w:val="both"/>
              <w:rPr>
                <w:lang w:val="en-AU"/>
              </w:rPr>
            </w:pPr>
            <w:r w:rsidRPr="00B24C99">
              <w:rPr>
                <w:lang w:val="en-AU"/>
              </w:rPr>
              <w:t>A</w:t>
            </w:r>
            <w:r w:rsidR="00E16E39" w:rsidRPr="00B24C99">
              <w:rPr>
                <w:lang w:val="en-AU"/>
              </w:rPr>
              <w:t>ny Grade 3-4 AEs</w:t>
            </w:r>
          </w:p>
        </w:tc>
      </w:tr>
      <w:tr w:rsidR="0099451E" w:rsidRPr="00B24C99" w:rsidTr="00105AC0">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99451E" w:rsidRPr="00B24C99" w:rsidRDefault="001A2E4E" w:rsidP="001E34DF">
            <w:pPr>
              <w:pStyle w:val="TableText0"/>
            </w:pPr>
            <w:r w:rsidRPr="00B24C99">
              <w:t>CheckMate 743</w:t>
            </w:r>
          </w:p>
        </w:tc>
        <w:tc>
          <w:tcPr>
            <w:tcW w:w="566" w:type="pct"/>
            <w:gridSpan w:val="2"/>
            <w:tcBorders>
              <w:top w:val="single" w:sz="4" w:space="0" w:color="auto"/>
              <w:left w:val="single" w:sz="4" w:space="0" w:color="auto"/>
              <w:bottom w:val="single" w:sz="4" w:space="0" w:color="auto"/>
              <w:right w:val="single" w:sz="4" w:space="0" w:color="auto"/>
            </w:tcBorders>
            <w:vAlign w:val="center"/>
          </w:tcPr>
          <w:p w:rsidR="0099451E" w:rsidRPr="00B24C99" w:rsidRDefault="001A2E4E" w:rsidP="00D2155B">
            <w:pPr>
              <w:pStyle w:val="TableText0"/>
              <w:jc w:val="center"/>
            </w:pPr>
            <w:r w:rsidRPr="00B24C99">
              <w:t>159/300</w:t>
            </w:r>
          </w:p>
        </w:tc>
        <w:tc>
          <w:tcPr>
            <w:tcW w:w="708" w:type="pct"/>
            <w:tcBorders>
              <w:top w:val="single" w:sz="4" w:space="0" w:color="auto"/>
              <w:left w:val="single" w:sz="4" w:space="0" w:color="auto"/>
              <w:bottom w:val="single" w:sz="4" w:space="0" w:color="auto"/>
              <w:right w:val="single" w:sz="4" w:space="0" w:color="auto"/>
            </w:tcBorders>
            <w:vAlign w:val="center"/>
          </w:tcPr>
          <w:p w:rsidR="0099451E" w:rsidRPr="00B24C99" w:rsidRDefault="001A2E4E" w:rsidP="00D2155B">
            <w:pPr>
              <w:pStyle w:val="TableText0"/>
              <w:jc w:val="center"/>
            </w:pPr>
            <w:r w:rsidRPr="00B24C99">
              <w:t>121/284</w:t>
            </w:r>
          </w:p>
        </w:tc>
        <w:tc>
          <w:tcPr>
            <w:tcW w:w="862" w:type="pct"/>
            <w:tcBorders>
              <w:top w:val="single" w:sz="4" w:space="0" w:color="auto"/>
              <w:left w:val="single" w:sz="4" w:space="0" w:color="auto"/>
              <w:bottom w:val="single" w:sz="4" w:space="0" w:color="auto"/>
              <w:right w:val="single" w:sz="4" w:space="0" w:color="auto"/>
            </w:tcBorders>
            <w:vAlign w:val="center"/>
          </w:tcPr>
          <w:p w:rsidR="0099451E" w:rsidRPr="004E3484" w:rsidRDefault="0099451E" w:rsidP="00663DA1">
            <w:pPr>
              <w:pStyle w:val="TableText0"/>
              <w:jc w:val="center"/>
              <w:rPr>
                <w:i/>
              </w:rPr>
            </w:pPr>
            <w:r w:rsidRPr="004E3484">
              <w:rPr>
                <w:i/>
              </w:rPr>
              <w:t>1.</w:t>
            </w:r>
            <w:r w:rsidR="001A2E4E" w:rsidRPr="004E3484">
              <w:rPr>
                <w:i/>
              </w:rPr>
              <w:t>24</w:t>
            </w:r>
            <w:r w:rsidR="00663DA1" w:rsidRPr="004E3484">
              <w:rPr>
                <w:i/>
              </w:rPr>
              <w:t xml:space="preserve"> </w:t>
            </w:r>
            <w:r w:rsidRPr="004E3484">
              <w:rPr>
                <w:i/>
              </w:rPr>
              <w:t>(1.0</w:t>
            </w:r>
            <w:r w:rsidR="001A2E4E" w:rsidRPr="004E3484">
              <w:rPr>
                <w:i/>
              </w:rPr>
              <w:t>5</w:t>
            </w:r>
            <w:r w:rsidRPr="004E3484">
              <w:rPr>
                <w:i/>
              </w:rPr>
              <w:t>, 1.</w:t>
            </w:r>
            <w:r w:rsidR="001A2E4E" w:rsidRPr="004E3484">
              <w:rPr>
                <w:i/>
              </w:rPr>
              <w:t>48</w:t>
            </w:r>
            <w:r w:rsidRPr="004E3484">
              <w:rPr>
                <w:i/>
              </w:rPr>
              <w:t>)</w:t>
            </w:r>
          </w:p>
        </w:tc>
        <w:tc>
          <w:tcPr>
            <w:tcW w:w="628" w:type="pct"/>
            <w:tcBorders>
              <w:top w:val="single" w:sz="4" w:space="0" w:color="auto"/>
              <w:left w:val="single" w:sz="4" w:space="0" w:color="auto"/>
              <w:bottom w:val="single" w:sz="4" w:space="0" w:color="auto"/>
              <w:right w:val="single" w:sz="4" w:space="0" w:color="auto"/>
            </w:tcBorders>
            <w:vAlign w:val="center"/>
          </w:tcPr>
          <w:p w:rsidR="0099451E" w:rsidRPr="004E3484" w:rsidRDefault="0099451E" w:rsidP="00D2155B">
            <w:pPr>
              <w:pStyle w:val="TableText0"/>
              <w:jc w:val="center"/>
              <w:rPr>
                <w:i/>
              </w:rPr>
            </w:pPr>
            <w:r w:rsidRPr="004E3484">
              <w:rPr>
                <w:i/>
              </w:rPr>
              <w:t>5</w:t>
            </w:r>
            <w:r w:rsidR="001A2E4E" w:rsidRPr="004E3484">
              <w:rPr>
                <w:i/>
              </w:rPr>
              <w:t>3.0</w:t>
            </w:r>
          </w:p>
        </w:tc>
        <w:tc>
          <w:tcPr>
            <w:tcW w:w="755" w:type="pct"/>
            <w:tcBorders>
              <w:top w:val="single" w:sz="4" w:space="0" w:color="auto"/>
              <w:left w:val="single" w:sz="4" w:space="0" w:color="auto"/>
              <w:bottom w:val="single" w:sz="4" w:space="0" w:color="auto"/>
              <w:right w:val="single" w:sz="4" w:space="0" w:color="auto"/>
            </w:tcBorders>
            <w:vAlign w:val="center"/>
          </w:tcPr>
          <w:p w:rsidR="0099451E" w:rsidRPr="004E3484" w:rsidRDefault="0099451E" w:rsidP="00D2155B">
            <w:pPr>
              <w:pStyle w:val="TableText0"/>
              <w:jc w:val="center"/>
              <w:rPr>
                <w:i/>
              </w:rPr>
            </w:pPr>
            <w:r w:rsidRPr="004E3484">
              <w:rPr>
                <w:i/>
              </w:rPr>
              <w:t>42.</w:t>
            </w:r>
            <w:r w:rsidR="001A2E4E" w:rsidRPr="004E3484">
              <w:rPr>
                <w:i/>
              </w:rPr>
              <w:t>6</w:t>
            </w:r>
          </w:p>
        </w:tc>
        <w:tc>
          <w:tcPr>
            <w:tcW w:w="776" w:type="pct"/>
            <w:tcBorders>
              <w:top w:val="single" w:sz="4" w:space="0" w:color="auto"/>
              <w:left w:val="single" w:sz="4" w:space="0" w:color="auto"/>
              <w:bottom w:val="single" w:sz="4" w:space="0" w:color="auto"/>
              <w:right w:val="single" w:sz="4" w:space="0" w:color="auto"/>
            </w:tcBorders>
            <w:vAlign w:val="center"/>
          </w:tcPr>
          <w:p w:rsidR="0099451E" w:rsidRPr="004E3484" w:rsidRDefault="0099451E" w:rsidP="00663DA1">
            <w:pPr>
              <w:pStyle w:val="TableText0"/>
              <w:jc w:val="center"/>
              <w:rPr>
                <w:i/>
              </w:rPr>
            </w:pPr>
            <w:r w:rsidRPr="004E3484">
              <w:rPr>
                <w:i/>
              </w:rPr>
              <w:t>0.1</w:t>
            </w:r>
            <w:r w:rsidR="001A2E4E" w:rsidRPr="004E3484">
              <w:rPr>
                <w:i/>
              </w:rPr>
              <w:t>0</w:t>
            </w:r>
            <w:r w:rsidR="00663DA1" w:rsidRPr="004E3484">
              <w:rPr>
                <w:i/>
              </w:rPr>
              <w:t xml:space="preserve"> </w:t>
            </w:r>
            <w:r w:rsidRPr="004E3484">
              <w:rPr>
                <w:i/>
              </w:rPr>
              <w:t>(0.0</w:t>
            </w:r>
            <w:r w:rsidR="001A2E4E" w:rsidRPr="004E3484">
              <w:rPr>
                <w:i/>
              </w:rPr>
              <w:t>2</w:t>
            </w:r>
            <w:r w:rsidRPr="004E3484">
              <w:rPr>
                <w:i/>
              </w:rPr>
              <w:t>, 0.</w:t>
            </w:r>
            <w:r w:rsidR="001A2E4E" w:rsidRPr="004E3484">
              <w:rPr>
                <w:i/>
              </w:rPr>
              <w:t>18</w:t>
            </w:r>
            <w:r w:rsidRPr="004E3484">
              <w:rPr>
                <w:i/>
              </w:rPr>
              <w:t>)</w:t>
            </w:r>
          </w:p>
        </w:tc>
      </w:tr>
      <w:tr w:rsidR="0099451E" w:rsidRPr="00B24C99" w:rsidTr="003D1DE4">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99451E" w:rsidRPr="004E3484" w:rsidRDefault="00E16E39" w:rsidP="00D2155B">
            <w:pPr>
              <w:pStyle w:val="In-tableHeading"/>
              <w:rPr>
                <w:lang w:val="en-AU"/>
              </w:rPr>
            </w:pPr>
            <w:r w:rsidRPr="004E3484">
              <w:rPr>
                <w:lang w:val="en-AU"/>
              </w:rPr>
              <w:t>Serious AEs</w:t>
            </w:r>
            <w:r w:rsidR="009B0CE0" w:rsidRPr="004E3484">
              <w:rPr>
                <w:lang w:val="en-AU"/>
              </w:rPr>
              <w:t xml:space="preserve"> (any grade)</w:t>
            </w:r>
          </w:p>
        </w:tc>
      </w:tr>
      <w:tr w:rsidR="0099451E" w:rsidRPr="00B24C99" w:rsidTr="00105AC0">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99451E" w:rsidRPr="00B24C99" w:rsidRDefault="007C1C3B" w:rsidP="001E34DF">
            <w:pPr>
              <w:pStyle w:val="TableText0"/>
            </w:pPr>
            <w:r w:rsidRPr="00B24C99">
              <w:t>CheckMate 743</w:t>
            </w:r>
          </w:p>
        </w:tc>
        <w:tc>
          <w:tcPr>
            <w:tcW w:w="566" w:type="pct"/>
            <w:gridSpan w:val="2"/>
            <w:tcBorders>
              <w:top w:val="single" w:sz="4" w:space="0" w:color="auto"/>
              <w:left w:val="single" w:sz="4" w:space="0" w:color="auto"/>
              <w:bottom w:val="single" w:sz="4" w:space="0" w:color="auto"/>
              <w:right w:val="single" w:sz="4" w:space="0" w:color="auto"/>
            </w:tcBorders>
            <w:vAlign w:val="center"/>
          </w:tcPr>
          <w:p w:rsidR="0099451E" w:rsidRPr="003E490F" w:rsidRDefault="009B0CE0" w:rsidP="00D2155B">
            <w:pPr>
              <w:pStyle w:val="TableText0"/>
              <w:jc w:val="center"/>
            </w:pPr>
            <w:r w:rsidRPr="003E490F">
              <w:t>164/300</w:t>
            </w:r>
          </w:p>
        </w:tc>
        <w:tc>
          <w:tcPr>
            <w:tcW w:w="708" w:type="pct"/>
            <w:tcBorders>
              <w:top w:val="single" w:sz="4" w:space="0" w:color="auto"/>
              <w:left w:val="single" w:sz="4" w:space="0" w:color="auto"/>
              <w:bottom w:val="single" w:sz="4" w:space="0" w:color="auto"/>
              <w:right w:val="single" w:sz="4" w:space="0" w:color="auto"/>
            </w:tcBorders>
            <w:vAlign w:val="center"/>
          </w:tcPr>
          <w:p w:rsidR="0099451E" w:rsidRPr="003E490F" w:rsidRDefault="009B0CE0" w:rsidP="00D2155B">
            <w:pPr>
              <w:pStyle w:val="TableText0"/>
              <w:jc w:val="center"/>
            </w:pPr>
            <w:r w:rsidRPr="003E490F">
              <w:t>72</w:t>
            </w:r>
            <w:r w:rsidR="0099451E" w:rsidRPr="003E490F">
              <w:t>/</w:t>
            </w:r>
            <w:r w:rsidRPr="003E490F">
              <w:t>284</w:t>
            </w:r>
          </w:p>
        </w:tc>
        <w:tc>
          <w:tcPr>
            <w:tcW w:w="862" w:type="pct"/>
            <w:tcBorders>
              <w:top w:val="single" w:sz="4" w:space="0" w:color="auto"/>
              <w:left w:val="single" w:sz="4" w:space="0" w:color="auto"/>
              <w:bottom w:val="single" w:sz="4" w:space="0" w:color="auto"/>
              <w:right w:val="single" w:sz="4" w:space="0" w:color="auto"/>
            </w:tcBorders>
            <w:vAlign w:val="center"/>
          </w:tcPr>
          <w:p w:rsidR="0099451E" w:rsidRPr="004E3484" w:rsidRDefault="009B0CE0" w:rsidP="00663DA1">
            <w:pPr>
              <w:pStyle w:val="TableText0"/>
              <w:jc w:val="center"/>
              <w:rPr>
                <w:i/>
              </w:rPr>
            </w:pPr>
            <w:r w:rsidRPr="004E3484">
              <w:rPr>
                <w:i/>
              </w:rPr>
              <w:t>2.16</w:t>
            </w:r>
            <w:r w:rsidR="00663DA1" w:rsidRPr="004E3484">
              <w:rPr>
                <w:i/>
              </w:rPr>
              <w:t xml:space="preserve"> </w:t>
            </w:r>
            <w:r w:rsidR="0099451E" w:rsidRPr="004E3484">
              <w:rPr>
                <w:i/>
              </w:rPr>
              <w:t>(</w:t>
            </w:r>
            <w:r w:rsidRPr="004E3484">
              <w:rPr>
                <w:i/>
              </w:rPr>
              <w:t>1.72</w:t>
            </w:r>
            <w:r w:rsidR="0099451E" w:rsidRPr="004E3484">
              <w:rPr>
                <w:i/>
              </w:rPr>
              <w:t xml:space="preserve">, </w:t>
            </w:r>
            <w:r w:rsidRPr="004E3484">
              <w:rPr>
                <w:i/>
              </w:rPr>
              <w:t>2.70</w:t>
            </w:r>
            <w:r w:rsidR="0099451E" w:rsidRPr="004E3484">
              <w:rPr>
                <w:b/>
                <w:i/>
              </w:rPr>
              <w:t>)</w:t>
            </w:r>
          </w:p>
        </w:tc>
        <w:tc>
          <w:tcPr>
            <w:tcW w:w="628" w:type="pct"/>
            <w:tcBorders>
              <w:top w:val="single" w:sz="4" w:space="0" w:color="auto"/>
              <w:left w:val="single" w:sz="4" w:space="0" w:color="auto"/>
              <w:bottom w:val="single" w:sz="4" w:space="0" w:color="auto"/>
              <w:right w:val="single" w:sz="4" w:space="0" w:color="auto"/>
            </w:tcBorders>
            <w:vAlign w:val="center"/>
          </w:tcPr>
          <w:p w:rsidR="0099451E" w:rsidRPr="004E3484" w:rsidRDefault="009B0CE0" w:rsidP="00D2155B">
            <w:pPr>
              <w:pStyle w:val="TableText0"/>
              <w:jc w:val="center"/>
              <w:rPr>
                <w:i/>
              </w:rPr>
            </w:pPr>
            <w:r w:rsidRPr="004E3484">
              <w:rPr>
                <w:i/>
              </w:rPr>
              <w:t>54.7</w:t>
            </w:r>
          </w:p>
        </w:tc>
        <w:tc>
          <w:tcPr>
            <w:tcW w:w="755" w:type="pct"/>
            <w:tcBorders>
              <w:top w:val="single" w:sz="4" w:space="0" w:color="auto"/>
              <w:left w:val="single" w:sz="4" w:space="0" w:color="auto"/>
              <w:bottom w:val="single" w:sz="4" w:space="0" w:color="auto"/>
              <w:right w:val="single" w:sz="4" w:space="0" w:color="auto"/>
            </w:tcBorders>
            <w:vAlign w:val="center"/>
          </w:tcPr>
          <w:p w:rsidR="0099451E" w:rsidRPr="004E3484" w:rsidRDefault="009B0CE0" w:rsidP="00D2155B">
            <w:pPr>
              <w:pStyle w:val="TableText0"/>
              <w:jc w:val="center"/>
              <w:rPr>
                <w:i/>
              </w:rPr>
            </w:pPr>
            <w:r w:rsidRPr="004E3484">
              <w:rPr>
                <w:i/>
              </w:rPr>
              <w:t>25.4</w:t>
            </w:r>
          </w:p>
        </w:tc>
        <w:tc>
          <w:tcPr>
            <w:tcW w:w="776" w:type="pct"/>
            <w:tcBorders>
              <w:top w:val="single" w:sz="4" w:space="0" w:color="auto"/>
              <w:left w:val="single" w:sz="4" w:space="0" w:color="auto"/>
              <w:bottom w:val="single" w:sz="4" w:space="0" w:color="auto"/>
              <w:right w:val="single" w:sz="4" w:space="0" w:color="auto"/>
            </w:tcBorders>
            <w:vAlign w:val="center"/>
          </w:tcPr>
          <w:p w:rsidR="0099451E" w:rsidRPr="004E3484" w:rsidRDefault="0099451E" w:rsidP="00663DA1">
            <w:pPr>
              <w:pStyle w:val="TableText0"/>
              <w:jc w:val="center"/>
              <w:rPr>
                <w:i/>
              </w:rPr>
            </w:pPr>
            <w:r w:rsidRPr="004E3484">
              <w:rPr>
                <w:i/>
              </w:rPr>
              <w:t>0.</w:t>
            </w:r>
            <w:r w:rsidR="009B0CE0" w:rsidRPr="004E3484">
              <w:rPr>
                <w:i/>
              </w:rPr>
              <w:t>29</w:t>
            </w:r>
            <w:r w:rsidR="00663DA1" w:rsidRPr="004E3484">
              <w:rPr>
                <w:i/>
              </w:rPr>
              <w:t xml:space="preserve"> </w:t>
            </w:r>
            <w:r w:rsidRPr="004E3484">
              <w:rPr>
                <w:i/>
              </w:rPr>
              <w:t>(</w:t>
            </w:r>
            <w:r w:rsidR="009B0CE0" w:rsidRPr="004E3484">
              <w:rPr>
                <w:i/>
              </w:rPr>
              <w:t>0.22</w:t>
            </w:r>
            <w:r w:rsidRPr="004E3484">
              <w:rPr>
                <w:i/>
              </w:rPr>
              <w:t>, 0.</w:t>
            </w:r>
            <w:r w:rsidR="009B0CE0" w:rsidRPr="004E3484">
              <w:rPr>
                <w:i/>
              </w:rPr>
              <w:t>37</w:t>
            </w:r>
            <w:r w:rsidRPr="004E3484">
              <w:rPr>
                <w:i/>
              </w:rPr>
              <w:t>)</w:t>
            </w:r>
          </w:p>
        </w:tc>
      </w:tr>
      <w:tr w:rsidR="009B0CE0" w:rsidRPr="00B24C99" w:rsidTr="009B0CE0">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9B0CE0" w:rsidRPr="004E3484" w:rsidRDefault="009B0CE0" w:rsidP="009B0CE0">
            <w:pPr>
              <w:pStyle w:val="TableText0"/>
              <w:rPr>
                <w:b/>
              </w:rPr>
            </w:pPr>
            <w:r w:rsidRPr="004E3484">
              <w:rPr>
                <w:b/>
              </w:rPr>
              <w:t>Serious AEs (Grade 3-4)</w:t>
            </w:r>
          </w:p>
        </w:tc>
      </w:tr>
      <w:tr w:rsidR="009B0CE0" w:rsidRPr="00B24C99" w:rsidTr="00105AC0">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9B0CE0" w:rsidRPr="00B24C99" w:rsidRDefault="009B0CE0" w:rsidP="009B0CE0">
            <w:pPr>
              <w:pStyle w:val="TableText0"/>
            </w:pPr>
            <w:r w:rsidRPr="00B24C99">
              <w:t>CheckMate 743</w:t>
            </w:r>
          </w:p>
        </w:tc>
        <w:tc>
          <w:tcPr>
            <w:tcW w:w="566" w:type="pct"/>
            <w:gridSpan w:val="2"/>
            <w:tcBorders>
              <w:top w:val="single" w:sz="4" w:space="0" w:color="auto"/>
              <w:left w:val="single" w:sz="4" w:space="0" w:color="auto"/>
              <w:bottom w:val="single" w:sz="4" w:space="0" w:color="auto"/>
              <w:right w:val="single" w:sz="4" w:space="0" w:color="auto"/>
            </w:tcBorders>
            <w:vAlign w:val="center"/>
          </w:tcPr>
          <w:p w:rsidR="009B0CE0" w:rsidRPr="00B24C99" w:rsidRDefault="009B0CE0" w:rsidP="009B0CE0">
            <w:pPr>
              <w:pStyle w:val="TableText0"/>
              <w:jc w:val="center"/>
            </w:pPr>
            <w:r w:rsidRPr="00B24C99">
              <w:t>103/300</w:t>
            </w:r>
          </w:p>
        </w:tc>
        <w:tc>
          <w:tcPr>
            <w:tcW w:w="708" w:type="pct"/>
            <w:tcBorders>
              <w:top w:val="single" w:sz="4" w:space="0" w:color="auto"/>
              <w:left w:val="single" w:sz="4" w:space="0" w:color="auto"/>
              <w:bottom w:val="single" w:sz="4" w:space="0" w:color="auto"/>
              <w:right w:val="single" w:sz="4" w:space="0" w:color="auto"/>
            </w:tcBorders>
            <w:vAlign w:val="center"/>
          </w:tcPr>
          <w:p w:rsidR="009B0CE0" w:rsidRPr="00B24C99" w:rsidRDefault="009B0CE0" w:rsidP="009B0CE0">
            <w:pPr>
              <w:pStyle w:val="TableText0"/>
              <w:jc w:val="center"/>
            </w:pPr>
            <w:r w:rsidRPr="00B24C99">
              <w:t>54/284</w:t>
            </w:r>
          </w:p>
        </w:tc>
        <w:tc>
          <w:tcPr>
            <w:tcW w:w="862" w:type="pct"/>
            <w:tcBorders>
              <w:top w:val="single" w:sz="4" w:space="0" w:color="auto"/>
              <w:left w:val="single" w:sz="4" w:space="0" w:color="auto"/>
              <w:bottom w:val="single" w:sz="4" w:space="0" w:color="auto"/>
              <w:right w:val="single" w:sz="4" w:space="0" w:color="auto"/>
            </w:tcBorders>
            <w:vAlign w:val="center"/>
          </w:tcPr>
          <w:p w:rsidR="009B0CE0" w:rsidRPr="004E3484" w:rsidRDefault="009B0CE0" w:rsidP="00663DA1">
            <w:pPr>
              <w:pStyle w:val="TableText0"/>
              <w:jc w:val="center"/>
              <w:rPr>
                <w:i/>
              </w:rPr>
            </w:pPr>
            <w:r w:rsidRPr="004E3484">
              <w:rPr>
                <w:i/>
              </w:rPr>
              <w:t>1.81</w:t>
            </w:r>
            <w:r w:rsidR="00663DA1" w:rsidRPr="004E3484">
              <w:rPr>
                <w:i/>
              </w:rPr>
              <w:t xml:space="preserve"> </w:t>
            </w:r>
            <w:r w:rsidRPr="004E3484">
              <w:rPr>
                <w:i/>
              </w:rPr>
              <w:t>(1.36, 2.40)</w:t>
            </w:r>
          </w:p>
        </w:tc>
        <w:tc>
          <w:tcPr>
            <w:tcW w:w="628" w:type="pct"/>
            <w:tcBorders>
              <w:top w:val="single" w:sz="4" w:space="0" w:color="auto"/>
              <w:left w:val="single" w:sz="4" w:space="0" w:color="auto"/>
              <w:bottom w:val="single" w:sz="4" w:space="0" w:color="auto"/>
              <w:right w:val="single" w:sz="4" w:space="0" w:color="auto"/>
            </w:tcBorders>
            <w:vAlign w:val="center"/>
          </w:tcPr>
          <w:p w:rsidR="009B0CE0" w:rsidRPr="004E3484" w:rsidRDefault="009B0CE0" w:rsidP="009B0CE0">
            <w:pPr>
              <w:pStyle w:val="TableText0"/>
              <w:jc w:val="center"/>
              <w:rPr>
                <w:i/>
              </w:rPr>
            </w:pPr>
            <w:r w:rsidRPr="004E3484">
              <w:rPr>
                <w:i/>
              </w:rPr>
              <w:t>34.3</w:t>
            </w:r>
          </w:p>
        </w:tc>
        <w:tc>
          <w:tcPr>
            <w:tcW w:w="755" w:type="pct"/>
            <w:tcBorders>
              <w:top w:val="single" w:sz="4" w:space="0" w:color="auto"/>
              <w:left w:val="single" w:sz="4" w:space="0" w:color="auto"/>
              <w:bottom w:val="single" w:sz="4" w:space="0" w:color="auto"/>
              <w:right w:val="single" w:sz="4" w:space="0" w:color="auto"/>
            </w:tcBorders>
            <w:vAlign w:val="center"/>
          </w:tcPr>
          <w:p w:rsidR="009B0CE0" w:rsidRPr="004E3484" w:rsidRDefault="009B0CE0" w:rsidP="009B0CE0">
            <w:pPr>
              <w:pStyle w:val="TableText0"/>
              <w:jc w:val="center"/>
              <w:rPr>
                <w:i/>
              </w:rPr>
            </w:pPr>
            <w:r w:rsidRPr="004E3484">
              <w:rPr>
                <w:i/>
              </w:rPr>
              <w:t>19.0</w:t>
            </w:r>
          </w:p>
        </w:tc>
        <w:tc>
          <w:tcPr>
            <w:tcW w:w="776" w:type="pct"/>
            <w:tcBorders>
              <w:top w:val="single" w:sz="4" w:space="0" w:color="auto"/>
              <w:left w:val="single" w:sz="4" w:space="0" w:color="auto"/>
              <w:bottom w:val="single" w:sz="4" w:space="0" w:color="auto"/>
              <w:right w:val="single" w:sz="4" w:space="0" w:color="auto"/>
            </w:tcBorders>
            <w:vAlign w:val="center"/>
          </w:tcPr>
          <w:p w:rsidR="009B0CE0" w:rsidRPr="004E3484" w:rsidRDefault="009B0CE0" w:rsidP="00663DA1">
            <w:pPr>
              <w:pStyle w:val="TableText0"/>
              <w:jc w:val="center"/>
              <w:rPr>
                <w:i/>
              </w:rPr>
            </w:pPr>
            <w:r w:rsidRPr="004E3484">
              <w:rPr>
                <w:i/>
              </w:rPr>
              <w:t>0.15</w:t>
            </w:r>
            <w:r w:rsidR="00663DA1" w:rsidRPr="004E3484">
              <w:rPr>
                <w:i/>
              </w:rPr>
              <w:t xml:space="preserve"> </w:t>
            </w:r>
            <w:r w:rsidRPr="004E3484">
              <w:rPr>
                <w:i/>
              </w:rPr>
              <w:t>(0.08, 0.22</w:t>
            </w:r>
            <w:r w:rsidRPr="004E3484">
              <w:rPr>
                <w:b/>
                <w:i/>
              </w:rPr>
              <w:t>)</w:t>
            </w:r>
          </w:p>
        </w:tc>
      </w:tr>
      <w:tr w:rsidR="009B0CE0" w:rsidRPr="00B24C99" w:rsidTr="003D1DE4">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9B0CE0" w:rsidRPr="004E3484" w:rsidRDefault="009B0CE0" w:rsidP="009B0CE0">
            <w:pPr>
              <w:pStyle w:val="In-tableHeading"/>
              <w:rPr>
                <w:lang w:val="en-AU"/>
              </w:rPr>
            </w:pPr>
            <w:r w:rsidRPr="004E3484">
              <w:rPr>
                <w:lang w:val="en-AU"/>
              </w:rPr>
              <w:t>AEs leading to discontinuation</w:t>
            </w:r>
            <w:r w:rsidR="006569F7" w:rsidRPr="004E3484">
              <w:rPr>
                <w:lang w:val="en-AU"/>
              </w:rPr>
              <w:t xml:space="preserve"> (any grade)</w:t>
            </w:r>
          </w:p>
        </w:tc>
      </w:tr>
      <w:tr w:rsidR="009B0CE0" w:rsidRPr="00B24C99" w:rsidTr="00105AC0">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331961" w:rsidRPr="00B24C99" w:rsidRDefault="00331961" w:rsidP="00663DA1">
            <w:pPr>
              <w:pStyle w:val="TableText0"/>
            </w:pPr>
            <w:r w:rsidRPr="00B24C99">
              <w:t>CheckMate</w:t>
            </w:r>
            <w:r w:rsidR="00663DA1" w:rsidRPr="00B24C99">
              <w:t xml:space="preserve"> </w:t>
            </w:r>
            <w:r w:rsidRPr="00B24C99">
              <w:t>743</w:t>
            </w:r>
          </w:p>
        </w:tc>
        <w:tc>
          <w:tcPr>
            <w:tcW w:w="566" w:type="pct"/>
            <w:gridSpan w:val="2"/>
            <w:tcBorders>
              <w:top w:val="single" w:sz="4" w:space="0" w:color="auto"/>
              <w:left w:val="single" w:sz="4" w:space="0" w:color="auto"/>
              <w:bottom w:val="single" w:sz="4" w:space="0" w:color="auto"/>
              <w:right w:val="single" w:sz="4" w:space="0" w:color="auto"/>
            </w:tcBorders>
            <w:vAlign w:val="center"/>
          </w:tcPr>
          <w:p w:rsidR="009B0CE0" w:rsidRPr="00B24C99" w:rsidRDefault="00B140B0" w:rsidP="009B0CE0">
            <w:pPr>
              <w:pStyle w:val="TableText0"/>
              <w:jc w:val="center"/>
            </w:pPr>
            <w:r w:rsidRPr="00B24C99">
              <w:t>88</w:t>
            </w:r>
            <w:r w:rsidR="009B0CE0" w:rsidRPr="00B24C99">
              <w:t>/</w:t>
            </w:r>
            <w:r w:rsidR="007F484B">
              <w:t>30</w:t>
            </w:r>
            <w:r w:rsidR="007F484B" w:rsidRPr="004E3484">
              <w:t>0</w:t>
            </w:r>
            <w:bookmarkStart w:id="31" w:name="_GoBack"/>
            <w:bookmarkEnd w:id="31"/>
          </w:p>
        </w:tc>
        <w:tc>
          <w:tcPr>
            <w:tcW w:w="708" w:type="pct"/>
            <w:tcBorders>
              <w:top w:val="single" w:sz="4" w:space="0" w:color="auto"/>
              <w:left w:val="single" w:sz="4" w:space="0" w:color="auto"/>
              <w:bottom w:val="single" w:sz="4" w:space="0" w:color="auto"/>
              <w:right w:val="single" w:sz="4" w:space="0" w:color="auto"/>
            </w:tcBorders>
            <w:vAlign w:val="center"/>
          </w:tcPr>
          <w:p w:rsidR="009B0CE0" w:rsidRPr="00B24C99" w:rsidRDefault="00B140B0" w:rsidP="009B0CE0">
            <w:pPr>
              <w:pStyle w:val="TableText0"/>
              <w:jc w:val="center"/>
            </w:pPr>
            <w:r w:rsidRPr="003E490F">
              <w:t>58</w:t>
            </w:r>
            <w:r w:rsidR="009B0CE0" w:rsidRPr="003E490F">
              <w:t>/</w:t>
            </w:r>
            <w:r w:rsidR="007F484B" w:rsidRPr="003E490F">
              <w:t>284</w:t>
            </w:r>
          </w:p>
        </w:tc>
        <w:tc>
          <w:tcPr>
            <w:tcW w:w="862" w:type="pct"/>
            <w:tcBorders>
              <w:top w:val="single" w:sz="4" w:space="0" w:color="auto"/>
              <w:left w:val="single" w:sz="4" w:space="0" w:color="auto"/>
              <w:bottom w:val="single" w:sz="4" w:space="0" w:color="auto"/>
              <w:right w:val="single" w:sz="4" w:space="0" w:color="auto"/>
            </w:tcBorders>
            <w:vAlign w:val="center"/>
          </w:tcPr>
          <w:p w:rsidR="009B0CE0" w:rsidRPr="004E3484" w:rsidRDefault="009B0CE0" w:rsidP="00663DA1">
            <w:pPr>
              <w:pStyle w:val="TableText0"/>
              <w:jc w:val="center"/>
              <w:rPr>
                <w:i/>
              </w:rPr>
            </w:pPr>
            <w:r w:rsidRPr="004E3484">
              <w:rPr>
                <w:i/>
              </w:rPr>
              <w:t>1.4</w:t>
            </w:r>
            <w:r w:rsidR="00B140B0" w:rsidRPr="004E3484">
              <w:rPr>
                <w:i/>
              </w:rPr>
              <w:t>4</w:t>
            </w:r>
            <w:r w:rsidR="00663DA1" w:rsidRPr="004E3484">
              <w:rPr>
                <w:i/>
              </w:rPr>
              <w:t xml:space="preserve"> </w:t>
            </w:r>
            <w:r w:rsidRPr="004E3484">
              <w:rPr>
                <w:i/>
              </w:rPr>
              <w:t>(</w:t>
            </w:r>
            <w:r w:rsidR="00B140B0" w:rsidRPr="004E3484">
              <w:rPr>
                <w:i/>
              </w:rPr>
              <w:t>1.08</w:t>
            </w:r>
            <w:r w:rsidRPr="004E3484">
              <w:rPr>
                <w:i/>
              </w:rPr>
              <w:t xml:space="preserve">, </w:t>
            </w:r>
            <w:r w:rsidR="00B140B0" w:rsidRPr="004E3484">
              <w:rPr>
                <w:i/>
              </w:rPr>
              <w:t>1.92</w:t>
            </w:r>
            <w:r w:rsidRPr="004E3484">
              <w:rPr>
                <w:i/>
              </w:rPr>
              <w:t>)</w:t>
            </w:r>
          </w:p>
        </w:tc>
        <w:tc>
          <w:tcPr>
            <w:tcW w:w="628" w:type="pct"/>
            <w:tcBorders>
              <w:top w:val="single" w:sz="4" w:space="0" w:color="auto"/>
              <w:left w:val="single" w:sz="4" w:space="0" w:color="auto"/>
              <w:bottom w:val="single" w:sz="4" w:space="0" w:color="auto"/>
              <w:right w:val="single" w:sz="4" w:space="0" w:color="auto"/>
            </w:tcBorders>
            <w:vAlign w:val="center"/>
          </w:tcPr>
          <w:p w:rsidR="009B0CE0" w:rsidRPr="004E3484" w:rsidRDefault="00B140B0" w:rsidP="009B0CE0">
            <w:pPr>
              <w:pStyle w:val="TableText0"/>
              <w:jc w:val="center"/>
              <w:rPr>
                <w:i/>
              </w:rPr>
            </w:pPr>
            <w:r w:rsidRPr="004E3484">
              <w:rPr>
                <w:i/>
              </w:rPr>
              <w:t>29.3</w:t>
            </w:r>
          </w:p>
        </w:tc>
        <w:tc>
          <w:tcPr>
            <w:tcW w:w="755" w:type="pct"/>
            <w:tcBorders>
              <w:top w:val="single" w:sz="4" w:space="0" w:color="auto"/>
              <w:left w:val="single" w:sz="4" w:space="0" w:color="auto"/>
              <w:bottom w:val="single" w:sz="4" w:space="0" w:color="auto"/>
              <w:right w:val="single" w:sz="4" w:space="0" w:color="auto"/>
            </w:tcBorders>
            <w:vAlign w:val="center"/>
          </w:tcPr>
          <w:p w:rsidR="009B0CE0" w:rsidRPr="004E3484" w:rsidRDefault="00B140B0" w:rsidP="009B0CE0">
            <w:pPr>
              <w:pStyle w:val="TableText0"/>
              <w:jc w:val="center"/>
              <w:rPr>
                <w:i/>
              </w:rPr>
            </w:pPr>
            <w:r w:rsidRPr="004E3484">
              <w:rPr>
                <w:i/>
              </w:rPr>
              <w:t>20.4</w:t>
            </w:r>
          </w:p>
        </w:tc>
        <w:tc>
          <w:tcPr>
            <w:tcW w:w="776" w:type="pct"/>
            <w:tcBorders>
              <w:top w:val="single" w:sz="4" w:space="0" w:color="auto"/>
              <w:left w:val="single" w:sz="4" w:space="0" w:color="auto"/>
              <w:bottom w:val="single" w:sz="4" w:space="0" w:color="auto"/>
              <w:right w:val="single" w:sz="4" w:space="0" w:color="auto"/>
            </w:tcBorders>
            <w:vAlign w:val="center"/>
          </w:tcPr>
          <w:p w:rsidR="009B0CE0" w:rsidRPr="004E3484" w:rsidRDefault="009B0CE0" w:rsidP="00663DA1">
            <w:pPr>
              <w:pStyle w:val="TableText0"/>
              <w:jc w:val="center"/>
              <w:rPr>
                <w:i/>
              </w:rPr>
            </w:pPr>
            <w:r w:rsidRPr="004E3484">
              <w:rPr>
                <w:i/>
              </w:rPr>
              <w:t>0.0</w:t>
            </w:r>
            <w:r w:rsidR="00B140B0" w:rsidRPr="004E3484">
              <w:rPr>
                <w:i/>
              </w:rPr>
              <w:t>9</w:t>
            </w:r>
            <w:r w:rsidR="00663DA1" w:rsidRPr="004E3484">
              <w:rPr>
                <w:i/>
              </w:rPr>
              <w:t xml:space="preserve"> </w:t>
            </w:r>
            <w:r w:rsidRPr="004E3484">
              <w:rPr>
                <w:i/>
              </w:rPr>
              <w:t>(</w:t>
            </w:r>
            <w:r w:rsidR="00B140B0" w:rsidRPr="004E3484">
              <w:rPr>
                <w:i/>
              </w:rPr>
              <w:t>0.02</w:t>
            </w:r>
            <w:r w:rsidRPr="004E3484">
              <w:rPr>
                <w:i/>
              </w:rPr>
              <w:t>, 0.1</w:t>
            </w:r>
            <w:r w:rsidR="00B140B0" w:rsidRPr="004E3484">
              <w:rPr>
                <w:i/>
              </w:rPr>
              <w:t>6</w:t>
            </w:r>
            <w:r w:rsidRPr="004E3484">
              <w:rPr>
                <w:i/>
              </w:rPr>
              <w:t>)</w:t>
            </w:r>
          </w:p>
        </w:tc>
      </w:tr>
      <w:tr w:rsidR="00B140B0" w:rsidRPr="00B24C99" w:rsidTr="00B140B0">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B140B0" w:rsidRPr="004E3484" w:rsidRDefault="00B140B0" w:rsidP="00B140B0">
            <w:pPr>
              <w:pStyle w:val="TableText0"/>
              <w:rPr>
                <w:b/>
              </w:rPr>
            </w:pPr>
            <w:r w:rsidRPr="004E3484">
              <w:rPr>
                <w:b/>
              </w:rPr>
              <w:t>AEs leading to discontinuation (Grade 3-4)</w:t>
            </w:r>
          </w:p>
        </w:tc>
      </w:tr>
      <w:tr w:rsidR="00B140B0" w:rsidRPr="00B24C99" w:rsidTr="00105AC0">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B140B0" w:rsidRPr="00B24C99" w:rsidRDefault="00B140B0" w:rsidP="00663DA1">
            <w:pPr>
              <w:pStyle w:val="TableText0"/>
            </w:pPr>
            <w:r w:rsidRPr="00B24C99">
              <w:t>CheckMate</w:t>
            </w:r>
            <w:r w:rsidR="00663DA1" w:rsidRPr="00B24C99">
              <w:t xml:space="preserve"> </w:t>
            </w:r>
            <w:r w:rsidRPr="00B24C99">
              <w:t>743</w:t>
            </w:r>
          </w:p>
        </w:tc>
        <w:tc>
          <w:tcPr>
            <w:tcW w:w="566" w:type="pct"/>
            <w:gridSpan w:val="2"/>
            <w:tcBorders>
              <w:top w:val="single" w:sz="4" w:space="0" w:color="auto"/>
              <w:left w:val="single" w:sz="4" w:space="0" w:color="auto"/>
              <w:bottom w:val="single" w:sz="4" w:space="0" w:color="auto"/>
              <w:right w:val="single" w:sz="4" w:space="0" w:color="auto"/>
            </w:tcBorders>
            <w:vAlign w:val="center"/>
          </w:tcPr>
          <w:p w:rsidR="00B140B0" w:rsidRPr="003E490F" w:rsidRDefault="00B140B0" w:rsidP="00B140B0">
            <w:pPr>
              <w:pStyle w:val="TableText0"/>
              <w:jc w:val="center"/>
            </w:pPr>
            <w:r w:rsidRPr="003E490F">
              <w:t>59/</w:t>
            </w:r>
            <w:r w:rsidR="007F484B" w:rsidRPr="003E490F">
              <w:t>300</w:t>
            </w:r>
          </w:p>
        </w:tc>
        <w:tc>
          <w:tcPr>
            <w:tcW w:w="708" w:type="pct"/>
            <w:tcBorders>
              <w:top w:val="single" w:sz="4" w:space="0" w:color="auto"/>
              <w:left w:val="single" w:sz="4" w:space="0" w:color="auto"/>
              <w:bottom w:val="single" w:sz="4" w:space="0" w:color="auto"/>
              <w:right w:val="single" w:sz="4" w:space="0" w:color="auto"/>
            </w:tcBorders>
            <w:vAlign w:val="center"/>
          </w:tcPr>
          <w:p w:rsidR="00B140B0" w:rsidRPr="003E490F" w:rsidRDefault="00034B5A" w:rsidP="00B140B0">
            <w:pPr>
              <w:pStyle w:val="TableText0"/>
              <w:jc w:val="center"/>
            </w:pPr>
            <w:r w:rsidRPr="003E490F">
              <w:t>2</w:t>
            </w:r>
            <w:r w:rsidR="00B140B0" w:rsidRPr="003E490F">
              <w:t>8/</w:t>
            </w:r>
            <w:r w:rsidR="007F484B" w:rsidRPr="003E490F">
              <w:t>284</w:t>
            </w:r>
          </w:p>
        </w:tc>
        <w:tc>
          <w:tcPr>
            <w:tcW w:w="862" w:type="pct"/>
            <w:tcBorders>
              <w:top w:val="single" w:sz="4" w:space="0" w:color="auto"/>
              <w:left w:val="single" w:sz="4" w:space="0" w:color="auto"/>
              <w:bottom w:val="single" w:sz="4" w:space="0" w:color="auto"/>
              <w:right w:val="single" w:sz="4" w:space="0" w:color="auto"/>
            </w:tcBorders>
            <w:vAlign w:val="center"/>
          </w:tcPr>
          <w:p w:rsidR="00B140B0" w:rsidRPr="004E3484" w:rsidRDefault="00B140B0" w:rsidP="00663DA1">
            <w:pPr>
              <w:pStyle w:val="TableText0"/>
              <w:jc w:val="center"/>
              <w:rPr>
                <w:u w:val="single"/>
              </w:rPr>
            </w:pPr>
            <w:r w:rsidRPr="004E3484">
              <w:rPr>
                <w:u w:val="single"/>
              </w:rPr>
              <w:t>1.</w:t>
            </w:r>
            <w:r w:rsidR="00034B5A" w:rsidRPr="004E3484">
              <w:rPr>
                <w:u w:val="single"/>
              </w:rPr>
              <w:t>99</w:t>
            </w:r>
            <w:r w:rsidR="00663DA1" w:rsidRPr="004E3484">
              <w:rPr>
                <w:u w:val="single"/>
              </w:rPr>
              <w:t xml:space="preserve"> </w:t>
            </w:r>
            <w:r w:rsidRPr="004E3484">
              <w:rPr>
                <w:u w:val="single"/>
              </w:rPr>
              <w:t>(1.08, 1.92)</w:t>
            </w:r>
          </w:p>
        </w:tc>
        <w:tc>
          <w:tcPr>
            <w:tcW w:w="628" w:type="pct"/>
            <w:tcBorders>
              <w:top w:val="single" w:sz="4" w:space="0" w:color="auto"/>
              <w:left w:val="single" w:sz="4" w:space="0" w:color="auto"/>
              <w:bottom w:val="single" w:sz="4" w:space="0" w:color="auto"/>
              <w:right w:val="single" w:sz="4" w:space="0" w:color="auto"/>
            </w:tcBorders>
            <w:vAlign w:val="center"/>
          </w:tcPr>
          <w:p w:rsidR="00B140B0" w:rsidRPr="004E3484" w:rsidRDefault="00D439B3" w:rsidP="00B140B0">
            <w:pPr>
              <w:pStyle w:val="TableText0"/>
              <w:jc w:val="center"/>
              <w:rPr>
                <w:i/>
              </w:rPr>
            </w:pPr>
            <w:r w:rsidRPr="004E3484">
              <w:rPr>
                <w:i/>
              </w:rPr>
              <w:t>19.7</w:t>
            </w:r>
          </w:p>
        </w:tc>
        <w:tc>
          <w:tcPr>
            <w:tcW w:w="755" w:type="pct"/>
            <w:tcBorders>
              <w:top w:val="single" w:sz="4" w:space="0" w:color="auto"/>
              <w:left w:val="single" w:sz="4" w:space="0" w:color="auto"/>
              <w:bottom w:val="single" w:sz="4" w:space="0" w:color="auto"/>
              <w:right w:val="single" w:sz="4" w:space="0" w:color="auto"/>
            </w:tcBorders>
            <w:vAlign w:val="center"/>
          </w:tcPr>
          <w:p w:rsidR="00B140B0" w:rsidRPr="004E3484" w:rsidRDefault="00034B5A" w:rsidP="00B140B0">
            <w:pPr>
              <w:pStyle w:val="TableText0"/>
              <w:jc w:val="center"/>
              <w:rPr>
                <w:i/>
              </w:rPr>
            </w:pPr>
            <w:r w:rsidRPr="004E3484">
              <w:rPr>
                <w:i/>
              </w:rPr>
              <w:t>9.9</w:t>
            </w:r>
          </w:p>
        </w:tc>
        <w:tc>
          <w:tcPr>
            <w:tcW w:w="776" w:type="pct"/>
            <w:tcBorders>
              <w:top w:val="single" w:sz="4" w:space="0" w:color="auto"/>
              <w:left w:val="single" w:sz="4" w:space="0" w:color="auto"/>
              <w:bottom w:val="single" w:sz="4" w:space="0" w:color="auto"/>
              <w:right w:val="single" w:sz="4" w:space="0" w:color="auto"/>
            </w:tcBorders>
            <w:vAlign w:val="center"/>
          </w:tcPr>
          <w:p w:rsidR="00B140B0" w:rsidRPr="004E3484" w:rsidRDefault="00B140B0" w:rsidP="00663DA1">
            <w:pPr>
              <w:pStyle w:val="TableText0"/>
              <w:jc w:val="center"/>
              <w:rPr>
                <w:i/>
              </w:rPr>
            </w:pPr>
            <w:r w:rsidRPr="004E3484">
              <w:rPr>
                <w:i/>
              </w:rPr>
              <w:t>0.</w:t>
            </w:r>
            <w:r w:rsidR="00034B5A" w:rsidRPr="004E3484">
              <w:rPr>
                <w:i/>
              </w:rPr>
              <w:t>10</w:t>
            </w:r>
            <w:r w:rsidR="00663DA1" w:rsidRPr="004E3484">
              <w:rPr>
                <w:i/>
              </w:rPr>
              <w:t xml:space="preserve"> </w:t>
            </w:r>
            <w:r w:rsidRPr="004E3484">
              <w:rPr>
                <w:i/>
              </w:rPr>
              <w:t>(</w:t>
            </w:r>
            <w:r w:rsidR="00034B5A" w:rsidRPr="004E3484">
              <w:rPr>
                <w:i/>
              </w:rPr>
              <w:t>0.04, 0.15</w:t>
            </w:r>
            <w:r w:rsidRPr="004E3484">
              <w:rPr>
                <w:i/>
              </w:rPr>
              <w:t>)</w:t>
            </w:r>
          </w:p>
        </w:tc>
      </w:tr>
    </w:tbl>
    <w:p w:rsidR="00105AC0" w:rsidRDefault="00105AC0" w:rsidP="005903EE">
      <w:pPr>
        <w:pStyle w:val="TableFigureFooter"/>
        <w:rPr>
          <w:sz w:val="20"/>
          <w:szCs w:val="20"/>
        </w:rPr>
      </w:pPr>
      <w:r w:rsidRPr="00105AC0">
        <w:rPr>
          <w:i/>
          <w:sz w:val="20"/>
          <w:szCs w:val="20"/>
        </w:rPr>
        <w:t>Figures in italics were calculated during the evaluation.</w:t>
      </w:r>
    </w:p>
    <w:p w:rsidR="005903EE" w:rsidRPr="00B24C99" w:rsidRDefault="005903EE" w:rsidP="005903EE">
      <w:pPr>
        <w:pStyle w:val="TableFigureFooter"/>
        <w:rPr>
          <w:sz w:val="20"/>
          <w:szCs w:val="20"/>
        </w:rPr>
      </w:pPr>
      <w:r w:rsidRPr="00B24C99">
        <w:rPr>
          <w:sz w:val="20"/>
          <w:szCs w:val="20"/>
        </w:rPr>
        <w:t>* Median duration of follow-up (defined as time from clinical cut-off date to all subjects’ randomisation dates) was 29.7 months. Minimum follow-up 22.1 months.</w:t>
      </w:r>
    </w:p>
    <w:p w:rsidR="005903EE" w:rsidRPr="00B24C99" w:rsidRDefault="005903EE" w:rsidP="005903EE">
      <w:pPr>
        <w:pStyle w:val="TableFigureFooter"/>
        <w:rPr>
          <w:sz w:val="20"/>
          <w:szCs w:val="20"/>
        </w:rPr>
      </w:pPr>
      <w:r w:rsidRPr="00B24C99">
        <w:rPr>
          <w:sz w:val="20"/>
          <w:szCs w:val="20"/>
          <w:vertAlign w:val="superscript"/>
        </w:rPr>
        <w:t xml:space="preserve">a </w:t>
      </w:r>
      <w:r w:rsidRPr="00B24C99">
        <w:rPr>
          <w:sz w:val="20"/>
          <w:szCs w:val="20"/>
        </w:rPr>
        <w:t>Stratified Cox proportional hazard model.</w:t>
      </w:r>
    </w:p>
    <w:p w:rsidR="005903EE" w:rsidRPr="00B24C99" w:rsidRDefault="005903EE" w:rsidP="005903EE">
      <w:pPr>
        <w:pStyle w:val="TableFigureFooter"/>
      </w:pPr>
      <w:r w:rsidRPr="00B24C99">
        <w:t>HR</w:t>
      </w:r>
      <w:r w:rsidR="00020CBD" w:rsidRPr="00B24C99">
        <w:t>,</w:t>
      </w:r>
      <w:r w:rsidRPr="00B24C99">
        <w:t xml:space="preserve"> hazard ratio; PBO</w:t>
      </w:r>
      <w:r w:rsidR="00020CBD" w:rsidRPr="00B24C99">
        <w:t>,</w:t>
      </w:r>
      <w:r w:rsidRPr="00B24C99">
        <w:t xml:space="preserve"> placebo; RD</w:t>
      </w:r>
      <w:r w:rsidR="00020CBD" w:rsidRPr="00B24C99">
        <w:t>,</w:t>
      </w:r>
      <w:r w:rsidRPr="00B24C99">
        <w:t xml:space="preserve"> risk difference; RR</w:t>
      </w:r>
      <w:r w:rsidR="00020CBD" w:rsidRPr="00B24C99">
        <w:t>,</w:t>
      </w:r>
      <w:r w:rsidRPr="00B24C99">
        <w:t xml:space="preserve"> risk ratio; </w:t>
      </w:r>
      <w:bookmarkStart w:id="32" w:name="_Hlk60902763"/>
      <w:r w:rsidRPr="00B24C99">
        <w:t>AE</w:t>
      </w:r>
      <w:r w:rsidR="00020CBD" w:rsidRPr="00B24C99">
        <w:t>,</w:t>
      </w:r>
      <w:r w:rsidRPr="00B24C99">
        <w:t xml:space="preserve"> adverse event; Chemo</w:t>
      </w:r>
      <w:r w:rsidR="00020CBD" w:rsidRPr="00B24C99">
        <w:t>,</w:t>
      </w:r>
      <w:r w:rsidRPr="00B24C99">
        <w:t xml:space="preserve"> pemetrexed plus cisplatin/carboplatin; IPI</w:t>
      </w:r>
      <w:r w:rsidR="00020CBD" w:rsidRPr="00B24C99">
        <w:t>,</w:t>
      </w:r>
      <w:r w:rsidRPr="00B24C99">
        <w:t xml:space="preserve"> ipilimumab; NIVO</w:t>
      </w:r>
      <w:r w:rsidR="00020CBD" w:rsidRPr="00B24C99">
        <w:t>,</w:t>
      </w:r>
      <w:r w:rsidRPr="00B24C99">
        <w:t xml:space="preserve"> nivolumab; OS</w:t>
      </w:r>
      <w:r w:rsidR="00020CBD" w:rsidRPr="00B24C99">
        <w:t>,</w:t>
      </w:r>
      <w:r w:rsidRPr="00B24C99">
        <w:t xml:space="preserve"> overall survival; PFS</w:t>
      </w:r>
      <w:r w:rsidR="00020CBD" w:rsidRPr="00B24C99">
        <w:t>,</w:t>
      </w:r>
      <w:r w:rsidRPr="00B24C99">
        <w:t xml:space="preserve"> progression-fee survival.</w:t>
      </w:r>
    </w:p>
    <w:bookmarkEnd w:id="32"/>
    <w:p w:rsidR="00620C25" w:rsidRPr="00B24C99" w:rsidRDefault="00620C25" w:rsidP="00620C25">
      <w:pPr>
        <w:pStyle w:val="TableFigureFooter"/>
        <w:rPr>
          <w:sz w:val="20"/>
        </w:rPr>
      </w:pPr>
      <w:r w:rsidRPr="00B24C99">
        <w:t>Source</w:t>
      </w:r>
      <w:r w:rsidR="00090C5A" w:rsidRPr="00B24C99">
        <w:t xml:space="preserve"> Tables </w:t>
      </w:r>
      <w:r w:rsidR="007F484B">
        <w:t>39</w:t>
      </w:r>
      <w:r w:rsidR="003E490F">
        <w:t xml:space="preserve">, </w:t>
      </w:r>
      <w:r w:rsidR="00090C5A" w:rsidRPr="00B24C99">
        <w:t>60,</w:t>
      </w:r>
      <w:r w:rsidR="003E490F" w:rsidRPr="00B24C99" w:rsidDel="003E490F">
        <w:t xml:space="preserve"> </w:t>
      </w:r>
      <w:r w:rsidR="003E490F">
        <w:t xml:space="preserve">pp 82, </w:t>
      </w:r>
      <w:r w:rsidR="00090C5A" w:rsidRPr="00B24C99">
        <w:t>104 of submission</w:t>
      </w:r>
      <w:r w:rsidR="003E490F">
        <w:t xml:space="preserve">, </w:t>
      </w:r>
      <w:r w:rsidR="003E490F" w:rsidRPr="00B24C99">
        <w:t>Table 8.1-1, p110 of CSR.</w:t>
      </w:r>
      <w:r w:rsidRPr="00B24C99">
        <w:t>.</w:t>
      </w:r>
    </w:p>
    <w:p w:rsidR="008A0D77" w:rsidRPr="00B24C99" w:rsidRDefault="008A0D77" w:rsidP="00D2155B">
      <w:pPr>
        <w:pStyle w:val="TableFigureFooter"/>
      </w:pPr>
    </w:p>
    <w:p w:rsidR="002441D2" w:rsidRPr="00B24C99" w:rsidRDefault="002441D2" w:rsidP="00BB041B">
      <w:pPr>
        <w:pStyle w:val="3-BodyText"/>
      </w:pPr>
      <w:r w:rsidRPr="00B24C99">
        <w:t>On the basis of direct</w:t>
      </w:r>
      <w:r w:rsidR="008D7E5E" w:rsidRPr="00B24C99">
        <w:t xml:space="preserve"> </w:t>
      </w:r>
      <w:r w:rsidRPr="00B24C99">
        <w:t>compar</w:t>
      </w:r>
      <w:r w:rsidR="00663DA1" w:rsidRPr="00B24C99">
        <w:t>ative</w:t>
      </w:r>
      <w:r w:rsidRPr="00B24C99">
        <w:t xml:space="preserve"> evidence presented by the submission, for every 100 patients treated with </w:t>
      </w:r>
      <w:r w:rsidR="008D7E5E" w:rsidRPr="00B24C99">
        <w:t>NIVO+IPI</w:t>
      </w:r>
      <w:r w:rsidRPr="00B24C99">
        <w:t xml:space="preserve"> in comparison </w:t>
      </w:r>
      <w:r w:rsidR="006D68FB" w:rsidRPr="00B24C99">
        <w:t>with</w:t>
      </w:r>
      <w:r w:rsidRPr="00B24C99">
        <w:t xml:space="preserve"> </w:t>
      </w:r>
      <w:r w:rsidR="008D7E5E" w:rsidRPr="00B24C99">
        <w:t>pemetrexed-based chemotherapy</w:t>
      </w:r>
      <w:r w:rsidR="005903EE" w:rsidRPr="00B24C99">
        <w:t xml:space="preserve"> a</w:t>
      </w:r>
      <w:r w:rsidRPr="00B24C99">
        <w:t xml:space="preserve">pproximately </w:t>
      </w:r>
      <w:r w:rsidR="00F512BE" w:rsidRPr="00B24C99">
        <w:t>10</w:t>
      </w:r>
      <w:r w:rsidRPr="00B24C99">
        <w:t xml:space="preserve"> </w:t>
      </w:r>
      <w:r w:rsidR="00C41768" w:rsidRPr="00B24C99">
        <w:t>additional</w:t>
      </w:r>
      <w:r w:rsidRPr="00B24C99">
        <w:t xml:space="preserve"> patients </w:t>
      </w:r>
      <w:r w:rsidR="00C41768" w:rsidRPr="00B24C99">
        <w:t xml:space="preserve">will </w:t>
      </w:r>
      <w:r w:rsidR="008D7E5E" w:rsidRPr="00B24C99">
        <w:t>be alive</w:t>
      </w:r>
      <w:r w:rsidR="000435EE" w:rsidRPr="00B24C99">
        <w:t xml:space="preserve"> </w:t>
      </w:r>
      <w:r w:rsidRPr="00B24C99">
        <w:t xml:space="preserve">after </w:t>
      </w:r>
      <w:r w:rsidR="00F512BE" w:rsidRPr="00B24C99">
        <w:t>12</w:t>
      </w:r>
      <w:r w:rsidRPr="00B24C99">
        <w:t xml:space="preserve"> months.</w:t>
      </w:r>
    </w:p>
    <w:p w:rsidR="00F512BE" w:rsidRPr="00B24C99" w:rsidRDefault="00122F42" w:rsidP="005903EE">
      <w:pPr>
        <w:pStyle w:val="3-BodyText"/>
      </w:pPr>
      <w:r w:rsidRPr="00B24C99">
        <w:t>On the basis of direct compar</w:t>
      </w:r>
      <w:r w:rsidR="00663DA1" w:rsidRPr="00B24C99">
        <w:t xml:space="preserve">ative </w:t>
      </w:r>
      <w:r w:rsidRPr="00B24C99">
        <w:t>evidence presented by the submission, the comparison of NIVO+IPI and pemetrexed-based chemotherapy resulted in</w:t>
      </w:r>
      <w:r w:rsidR="005903EE" w:rsidRPr="00B24C99">
        <w:t xml:space="preserve"> </w:t>
      </w:r>
      <w:r w:rsidR="000742D9" w:rsidRPr="00B24C99">
        <w:rPr>
          <w:snapToGrid/>
        </w:rPr>
        <w:t>approximately</w:t>
      </w:r>
      <w:r w:rsidRPr="00B24C99">
        <w:rPr>
          <w:snapToGrid/>
        </w:rPr>
        <w:t xml:space="preserve"> a </w:t>
      </w:r>
      <w:r w:rsidR="005903EE" w:rsidRPr="00B24C99">
        <w:rPr>
          <w:snapToGrid/>
        </w:rPr>
        <w:t>four-month</w:t>
      </w:r>
      <w:r w:rsidRPr="00B24C99">
        <w:rPr>
          <w:snapToGrid/>
        </w:rPr>
        <w:t xml:space="preserve"> improvement in overall survival over a median duration of follow-up of 29.7 months</w:t>
      </w:r>
      <w:r w:rsidR="00B24C99">
        <w:rPr>
          <w:snapToGrid/>
        </w:rPr>
        <w:t xml:space="preserve">. </w:t>
      </w:r>
    </w:p>
    <w:p w:rsidR="00F55A71" w:rsidRPr="00B24C99" w:rsidRDefault="00EC00C9" w:rsidP="00F55A71">
      <w:pPr>
        <w:pStyle w:val="3-BodyText"/>
      </w:pPr>
      <w:r w:rsidRPr="00B24C99">
        <w:t xml:space="preserve">On the basis of direct </w:t>
      </w:r>
      <w:r w:rsidR="00663DA1" w:rsidRPr="00B24C99">
        <w:t xml:space="preserve">comparative </w:t>
      </w:r>
      <w:r w:rsidRPr="00B24C99">
        <w:t xml:space="preserve">evidence presented by the submission, for every 100 patients treated with </w:t>
      </w:r>
      <w:r w:rsidR="008D7E5E" w:rsidRPr="00B24C99">
        <w:t>NIVO+IPI</w:t>
      </w:r>
      <w:r w:rsidRPr="00B24C99">
        <w:t xml:space="preserve"> in comparison </w:t>
      </w:r>
      <w:r w:rsidR="006D68FB" w:rsidRPr="00B24C99">
        <w:t xml:space="preserve">with </w:t>
      </w:r>
      <w:r w:rsidR="008D7E5E" w:rsidRPr="00B24C99">
        <w:t>pemetrexed-based chemotherapy</w:t>
      </w:r>
      <w:r w:rsidR="00422260" w:rsidRPr="00B24C99">
        <w:t xml:space="preserve"> over a media</w:t>
      </w:r>
      <w:r w:rsidR="008D7E5E" w:rsidRPr="00B24C99">
        <w:t>n</w:t>
      </w:r>
      <w:r w:rsidR="00422260" w:rsidRPr="00B24C99">
        <w:t xml:space="preserve"> duration of </w:t>
      </w:r>
      <w:r w:rsidR="001C2A9B" w:rsidRPr="00B24C99">
        <w:t>follow</w:t>
      </w:r>
      <w:r w:rsidR="008D7E5E" w:rsidRPr="00B24C99">
        <w:t xml:space="preserve">-up </w:t>
      </w:r>
      <w:r w:rsidR="001C2A9B" w:rsidRPr="00B24C99">
        <w:t xml:space="preserve">of </w:t>
      </w:r>
      <w:r w:rsidR="008D7E5E" w:rsidRPr="00B24C99">
        <w:t>29.7</w:t>
      </w:r>
      <w:r w:rsidR="001C2A9B" w:rsidRPr="00B24C99">
        <w:t xml:space="preserve"> months:</w:t>
      </w:r>
      <w:r w:rsidR="00122F42" w:rsidRPr="00B24C99">
        <w:t xml:space="preserve"> </w:t>
      </w:r>
    </w:p>
    <w:p w:rsidR="00F55A71" w:rsidRPr="00B24C99" w:rsidRDefault="00F55A71" w:rsidP="00C64B2B">
      <w:pPr>
        <w:pStyle w:val="3-BodyText"/>
        <w:numPr>
          <w:ilvl w:val="0"/>
          <w:numId w:val="8"/>
        </w:numPr>
        <w:ind w:left="1134"/>
      </w:pPr>
      <w:r w:rsidRPr="00B24C99">
        <w:t>Approximately 10 additional patients would have grade 3-4 adverse events.</w:t>
      </w:r>
    </w:p>
    <w:p w:rsidR="00F55A71" w:rsidRPr="00B24C99" w:rsidRDefault="00F55A71" w:rsidP="00663DA1">
      <w:pPr>
        <w:pStyle w:val="ListParagraph"/>
        <w:ind w:left="1134"/>
      </w:pPr>
      <w:r w:rsidRPr="00B24C99">
        <w:t>Approximately 29 and 15 additional patients would experience serious adverse events, all grades and grades 3-4, respectively.</w:t>
      </w:r>
    </w:p>
    <w:p w:rsidR="00F55A71" w:rsidRPr="00B24C99" w:rsidRDefault="00F55A71" w:rsidP="00663DA1">
      <w:pPr>
        <w:pStyle w:val="ListParagraph"/>
        <w:ind w:left="1134"/>
      </w:pPr>
      <w:r w:rsidRPr="00B24C99">
        <w:t>Approximately 9 and 10 additional patients would experience adverse events leading to discontinuation, all grades and grades 3-4, respectively.</w:t>
      </w:r>
    </w:p>
    <w:p w:rsidR="00F55A71" w:rsidRPr="00B24C99" w:rsidRDefault="00F55A71" w:rsidP="009339A5">
      <w:pPr>
        <w:pStyle w:val="3-BodyText"/>
      </w:pPr>
      <w:r w:rsidRPr="00B24C99">
        <w:rPr>
          <w:snapToGrid/>
        </w:rPr>
        <w:lastRenderedPageBreak/>
        <w:t>The naïve indirect comparison presented in the submission for the second-</w:t>
      </w:r>
      <w:r w:rsidR="00020CBD" w:rsidRPr="00B24C99">
        <w:rPr>
          <w:snapToGrid/>
        </w:rPr>
        <w:t xml:space="preserve"> or later-</w:t>
      </w:r>
      <w:r w:rsidRPr="00B24C99">
        <w:rPr>
          <w:snapToGrid/>
        </w:rPr>
        <w:t>line setting did not allow for a quantitative comparison of the benefits and harms of NIVO+IPI and BSC</w:t>
      </w:r>
      <w:r w:rsidR="00B24C99">
        <w:rPr>
          <w:snapToGrid/>
        </w:rPr>
        <w:t xml:space="preserve">. </w:t>
      </w:r>
      <w:r w:rsidRPr="00B24C99">
        <w:rPr>
          <w:snapToGrid/>
        </w:rPr>
        <w:t>Accordingly, a benefits/harms table has not been presented.</w:t>
      </w:r>
    </w:p>
    <w:p w:rsidR="00B60939" w:rsidRPr="00B24C99" w:rsidRDefault="00B60939" w:rsidP="00E9094A">
      <w:pPr>
        <w:pStyle w:val="4-SubsectionHeading"/>
      </w:pPr>
      <w:bookmarkStart w:id="33" w:name="_Toc22897644"/>
      <w:bookmarkStart w:id="34" w:name="_Toc62036366"/>
      <w:r w:rsidRPr="00B24C99">
        <w:t>Clinical claim</w:t>
      </w:r>
      <w:bookmarkEnd w:id="33"/>
      <w:bookmarkEnd w:id="34"/>
    </w:p>
    <w:p w:rsidR="00EA0BD5" w:rsidRPr="00B24C99" w:rsidRDefault="00EA0BD5" w:rsidP="00EA0BD5">
      <w:pPr>
        <w:pStyle w:val="3-BodyText"/>
        <w:numPr>
          <w:ilvl w:val="0"/>
          <w:numId w:val="0"/>
        </w:numPr>
        <w:rPr>
          <w:b/>
        </w:rPr>
      </w:pPr>
      <w:r w:rsidRPr="00B24C99">
        <w:rPr>
          <w:b/>
        </w:rPr>
        <w:t>First-line setting</w:t>
      </w:r>
    </w:p>
    <w:p w:rsidR="00A704A0" w:rsidRPr="00B24C99" w:rsidRDefault="005F7588" w:rsidP="00A704A0">
      <w:pPr>
        <w:pStyle w:val="3-BodyText"/>
        <w:rPr>
          <w:rFonts w:eastAsia="Calibri"/>
        </w:rPr>
      </w:pPr>
      <w:r w:rsidRPr="00B24C99">
        <w:rPr>
          <w:rFonts w:eastAsia="Calibri"/>
        </w:rPr>
        <w:t xml:space="preserve">The submission described </w:t>
      </w:r>
      <w:r w:rsidR="008A42C2" w:rsidRPr="00B24C99">
        <w:rPr>
          <w:rFonts w:eastAsia="Calibri"/>
        </w:rPr>
        <w:t>NIVO+IPI</w:t>
      </w:r>
      <w:r w:rsidRPr="00B24C99">
        <w:rPr>
          <w:rFonts w:eastAsia="Calibri"/>
        </w:rPr>
        <w:t xml:space="preserve"> as superior in terms of effectiveness compared to </w:t>
      </w:r>
      <w:r w:rsidR="008A42C2" w:rsidRPr="00B24C99">
        <w:rPr>
          <w:rFonts w:eastAsia="Calibri"/>
        </w:rPr>
        <w:t>pemetrexed-based chemotherapy</w:t>
      </w:r>
      <w:r w:rsidR="00B24C99">
        <w:rPr>
          <w:rFonts w:eastAsia="Calibri"/>
        </w:rPr>
        <w:t xml:space="preserve">. </w:t>
      </w:r>
      <w:r w:rsidR="0084007F" w:rsidRPr="00B24C99">
        <w:t xml:space="preserve">The </w:t>
      </w:r>
      <w:r w:rsidR="002F396F" w:rsidRPr="00B24C99">
        <w:t>ESC considered</w:t>
      </w:r>
      <w:r w:rsidR="002F396F" w:rsidRPr="00B24C99">
        <w:rPr>
          <w:i/>
        </w:rPr>
        <w:t xml:space="preserve"> </w:t>
      </w:r>
      <w:r w:rsidR="002F396F" w:rsidRPr="00B24C99">
        <w:t xml:space="preserve">the </w:t>
      </w:r>
      <w:r w:rsidR="0084007F" w:rsidRPr="00B24C99">
        <w:t>therapeutic conclusion presented in the submission in regard to the comparative effectiveness of NIVO+IPI versus pemetrexed-based chemotherapy was supported by the evidence presented</w:t>
      </w:r>
      <w:r w:rsidR="00A704A0" w:rsidRPr="00B24C99">
        <w:t xml:space="preserve"> </w:t>
      </w:r>
    </w:p>
    <w:p w:rsidR="004D54E4" w:rsidRPr="00B24C99" w:rsidRDefault="005F7588" w:rsidP="004D54E4">
      <w:pPr>
        <w:pStyle w:val="3-BodyText"/>
        <w:rPr>
          <w:rFonts w:eastAsia="Calibri"/>
        </w:rPr>
      </w:pPr>
      <w:r w:rsidRPr="00B24C99">
        <w:rPr>
          <w:rFonts w:eastAsia="Calibri"/>
        </w:rPr>
        <w:t xml:space="preserve">The submission described </w:t>
      </w:r>
      <w:r w:rsidR="00EA0BD5" w:rsidRPr="00B24C99">
        <w:rPr>
          <w:rFonts w:eastAsia="Calibri"/>
        </w:rPr>
        <w:t>NIVO+IPI</w:t>
      </w:r>
      <w:r w:rsidRPr="00B24C99">
        <w:rPr>
          <w:rFonts w:eastAsia="Calibri"/>
        </w:rPr>
        <w:t xml:space="preserve"> as non-inferio</w:t>
      </w:r>
      <w:r w:rsidR="008A42C2" w:rsidRPr="00B24C99">
        <w:rPr>
          <w:rFonts w:eastAsia="Calibri"/>
        </w:rPr>
        <w:t>r</w:t>
      </w:r>
      <w:r w:rsidRPr="00B24C99">
        <w:rPr>
          <w:rFonts w:eastAsia="Calibri"/>
        </w:rPr>
        <w:t xml:space="preserve"> in term</w:t>
      </w:r>
      <w:r w:rsidR="00156F8F" w:rsidRPr="00B24C99">
        <w:rPr>
          <w:rFonts w:eastAsia="Calibri"/>
        </w:rPr>
        <w:t>s</w:t>
      </w:r>
      <w:r w:rsidRPr="00B24C99">
        <w:rPr>
          <w:rFonts w:eastAsia="Calibri"/>
        </w:rPr>
        <w:t xml:space="preserve"> of safety compared to </w:t>
      </w:r>
      <w:r w:rsidR="00EA0BD5" w:rsidRPr="00B24C99">
        <w:rPr>
          <w:rFonts w:eastAsia="Calibri"/>
        </w:rPr>
        <w:t>pemetrexed-based chemotherapy</w:t>
      </w:r>
      <w:r w:rsidR="004D54E4" w:rsidRPr="00B24C99">
        <w:rPr>
          <w:rFonts w:eastAsia="Calibri"/>
        </w:rPr>
        <w:t>, with a different safety profile</w:t>
      </w:r>
      <w:r w:rsidRPr="00B24C99">
        <w:rPr>
          <w:rFonts w:eastAsia="Calibri"/>
        </w:rPr>
        <w:t>. Th</w:t>
      </w:r>
      <w:r w:rsidR="002F396F" w:rsidRPr="00B24C99">
        <w:rPr>
          <w:rFonts w:eastAsia="Calibri"/>
        </w:rPr>
        <w:t>e ESC considered th</w:t>
      </w:r>
      <w:r w:rsidRPr="00B24C99">
        <w:rPr>
          <w:rFonts w:eastAsia="Calibri"/>
        </w:rPr>
        <w:t xml:space="preserve">is claim was </w:t>
      </w:r>
      <w:r w:rsidR="007C70FF" w:rsidRPr="00B24C99">
        <w:rPr>
          <w:rFonts w:eastAsia="Calibri"/>
        </w:rPr>
        <w:t>not</w:t>
      </w:r>
      <w:r w:rsidR="004D54E4" w:rsidRPr="00B24C99">
        <w:rPr>
          <w:rFonts w:eastAsia="Calibri"/>
        </w:rPr>
        <w:t xml:space="preserve"> </w:t>
      </w:r>
      <w:r w:rsidRPr="00B24C99">
        <w:rPr>
          <w:rFonts w:eastAsia="Calibri"/>
        </w:rPr>
        <w:t>adequately supported</w:t>
      </w:r>
      <w:r w:rsidR="00B24C99">
        <w:rPr>
          <w:rFonts w:eastAsia="Calibri"/>
        </w:rPr>
        <w:t xml:space="preserve">. </w:t>
      </w:r>
      <w:r w:rsidR="00E036E5" w:rsidRPr="00B24C99">
        <w:t>Considering the totality of the key safety outcomes, the proportions of patients experiencing</w:t>
      </w:r>
      <w:r w:rsidR="00042688" w:rsidRPr="00B24C99">
        <w:t xml:space="preserve"> any</w:t>
      </w:r>
      <w:r w:rsidR="00E036E5" w:rsidRPr="00B24C99">
        <w:t xml:space="preserve"> Grade 3-4 AEs and</w:t>
      </w:r>
      <w:r w:rsidR="00042688" w:rsidRPr="00B24C99">
        <w:t xml:space="preserve"> any</w:t>
      </w:r>
      <w:r w:rsidR="00E036E5" w:rsidRPr="00B24C99">
        <w:t xml:space="preserve"> serious AEs, treatment related serious AEs and </w:t>
      </w:r>
      <w:r w:rsidR="00042688" w:rsidRPr="00B24C99">
        <w:t xml:space="preserve">any </w:t>
      </w:r>
      <w:r w:rsidR="00E036E5" w:rsidRPr="00B24C99">
        <w:t>AEs leading to discontinuation were higher in the NIVO+IPI arm compared with the pemetrexed-based chemotherapy arm</w:t>
      </w:r>
      <w:r w:rsidR="00B24C99">
        <w:t xml:space="preserve">. </w:t>
      </w:r>
      <w:r w:rsidR="004D54E4" w:rsidRPr="00B24C99">
        <w:t>The use of NIVO+IPI was associated with an increased rate of</w:t>
      </w:r>
      <w:r w:rsidR="001D0CC7" w:rsidRPr="00B24C99">
        <w:t xml:space="preserve"> </w:t>
      </w:r>
      <w:r w:rsidR="004D54E4" w:rsidRPr="00B24C99">
        <w:t>IMAEs</w:t>
      </w:r>
      <w:r w:rsidR="00B24C99">
        <w:t xml:space="preserve">. </w:t>
      </w:r>
    </w:p>
    <w:p w:rsidR="001D4123" w:rsidRPr="00B24C99" w:rsidRDefault="001D4123" w:rsidP="001D4123">
      <w:pPr>
        <w:pStyle w:val="3-BodyText"/>
        <w:rPr>
          <w:rFonts w:eastAsia="Calibri"/>
        </w:rPr>
      </w:pPr>
      <w:r w:rsidRPr="00B24C99">
        <w:t>The PBAC considered that the claim of superior comparative effectiveness was reasonable</w:t>
      </w:r>
      <w:r w:rsidR="007039E3" w:rsidRPr="00B24C99">
        <w:t xml:space="preserve"> in the first line setting</w:t>
      </w:r>
      <w:r w:rsidRPr="00B24C99">
        <w:t>.</w:t>
      </w:r>
    </w:p>
    <w:p w:rsidR="001D4123" w:rsidRPr="00B24C99" w:rsidRDefault="001D4123" w:rsidP="001D0CC7">
      <w:pPr>
        <w:pStyle w:val="3-BodyText"/>
        <w:rPr>
          <w:rFonts w:eastAsia="Calibri"/>
        </w:rPr>
      </w:pPr>
      <w:r w:rsidRPr="00B24C99">
        <w:t xml:space="preserve">The PBAC considered that the claim of </w:t>
      </w:r>
      <w:r w:rsidR="00B27A5A" w:rsidRPr="00B24C99">
        <w:t xml:space="preserve">non-inferior comparative safety </w:t>
      </w:r>
      <w:r w:rsidRPr="00B24C99">
        <w:t>was not adequately supported by the data.</w:t>
      </w:r>
    </w:p>
    <w:p w:rsidR="00EF24D8" w:rsidRPr="00B24C99" w:rsidRDefault="00EF24D8" w:rsidP="00EF24D8">
      <w:pPr>
        <w:pStyle w:val="3-BodyText"/>
        <w:numPr>
          <w:ilvl w:val="0"/>
          <w:numId w:val="0"/>
        </w:numPr>
        <w:rPr>
          <w:b/>
        </w:rPr>
      </w:pPr>
      <w:r w:rsidRPr="00B24C99">
        <w:rPr>
          <w:b/>
        </w:rPr>
        <w:t>Second-</w:t>
      </w:r>
      <w:r w:rsidR="00020CBD" w:rsidRPr="00B24C99">
        <w:rPr>
          <w:b/>
        </w:rPr>
        <w:t xml:space="preserve"> or later-</w:t>
      </w:r>
      <w:r w:rsidRPr="00B24C99">
        <w:rPr>
          <w:b/>
        </w:rPr>
        <w:t>line setting (patients with disease progression on first-line systemic treatment)</w:t>
      </w:r>
    </w:p>
    <w:p w:rsidR="00E036E5" w:rsidRPr="00B24C99" w:rsidRDefault="00EF24D8" w:rsidP="005024E1">
      <w:pPr>
        <w:pStyle w:val="3-BodyText"/>
        <w:rPr>
          <w:rFonts w:eastAsia="Calibri"/>
        </w:rPr>
      </w:pPr>
      <w:r w:rsidRPr="00B24C99">
        <w:rPr>
          <w:rFonts w:eastAsia="Calibri"/>
        </w:rPr>
        <w:t xml:space="preserve">The submission described NIVO+IPI as superior in terms of effectiveness </w:t>
      </w:r>
      <w:r w:rsidR="00E036E5" w:rsidRPr="00B24C99">
        <w:rPr>
          <w:rFonts w:eastAsia="Calibri"/>
        </w:rPr>
        <w:t xml:space="preserve">(OS) </w:t>
      </w:r>
      <w:r w:rsidRPr="00B24C99">
        <w:rPr>
          <w:rFonts w:eastAsia="Calibri"/>
        </w:rPr>
        <w:t>compared to BSC, including pemetrexed rechallenge. Th</w:t>
      </w:r>
      <w:r w:rsidR="002F396F" w:rsidRPr="00B24C99">
        <w:rPr>
          <w:rFonts w:eastAsia="Calibri"/>
        </w:rPr>
        <w:t>e ESC considered this</w:t>
      </w:r>
      <w:r w:rsidRPr="00B24C99">
        <w:rPr>
          <w:rFonts w:eastAsia="Calibri"/>
        </w:rPr>
        <w:t xml:space="preserve"> claim </w:t>
      </w:r>
      <w:r w:rsidR="00B84A11" w:rsidRPr="00B24C99">
        <w:rPr>
          <w:rFonts w:eastAsia="Calibri"/>
        </w:rPr>
        <w:t>was highly</w:t>
      </w:r>
      <w:r w:rsidR="005F118E" w:rsidRPr="00B24C99">
        <w:rPr>
          <w:rFonts w:eastAsia="Calibri"/>
        </w:rPr>
        <w:t xml:space="preserve"> uncertain</w:t>
      </w:r>
      <w:r w:rsidRPr="00B24C99">
        <w:rPr>
          <w:rFonts w:eastAsia="Calibri"/>
        </w:rPr>
        <w:t>. The key issues were</w:t>
      </w:r>
      <w:r w:rsidR="00E036E5" w:rsidRPr="00B24C99">
        <w:rPr>
          <w:rFonts w:eastAsia="Calibri"/>
        </w:rPr>
        <w:t>:</w:t>
      </w:r>
    </w:p>
    <w:p w:rsidR="00E036E5" w:rsidRPr="00B24C99" w:rsidRDefault="00663DA1" w:rsidP="00C64B2B">
      <w:pPr>
        <w:pStyle w:val="3-BodyText"/>
        <w:numPr>
          <w:ilvl w:val="0"/>
          <w:numId w:val="8"/>
        </w:numPr>
        <w:ind w:left="1134"/>
        <w:rPr>
          <w:rFonts w:eastAsia="Calibri"/>
        </w:rPr>
      </w:pPr>
      <w:r w:rsidRPr="00B24C99">
        <w:rPr>
          <w:rFonts w:eastAsia="Calibri"/>
        </w:rPr>
        <w:t>O</w:t>
      </w:r>
      <w:r w:rsidR="00EF24D8" w:rsidRPr="00B24C99">
        <w:rPr>
          <w:rFonts w:eastAsia="Calibri"/>
        </w:rPr>
        <w:t>nly non-comparative studies were identified</w:t>
      </w:r>
      <w:r w:rsidR="00E036E5" w:rsidRPr="00B24C99">
        <w:rPr>
          <w:rFonts w:eastAsia="Calibri"/>
        </w:rPr>
        <w:t>.</w:t>
      </w:r>
    </w:p>
    <w:p w:rsidR="005024E1" w:rsidRPr="00B24C99" w:rsidRDefault="00663DA1" w:rsidP="00C64B2B">
      <w:pPr>
        <w:pStyle w:val="3-BodyText"/>
        <w:numPr>
          <w:ilvl w:val="0"/>
          <w:numId w:val="8"/>
        </w:numPr>
        <w:ind w:left="1134"/>
      </w:pPr>
      <w:r w:rsidRPr="00B24C99">
        <w:rPr>
          <w:rFonts w:eastAsia="Calibri"/>
        </w:rPr>
        <w:t>T</w:t>
      </w:r>
      <w:r w:rsidR="005024E1" w:rsidRPr="00B24C99">
        <w:rPr>
          <w:rFonts w:eastAsia="Calibri"/>
        </w:rPr>
        <w:t xml:space="preserve">he comparator </w:t>
      </w:r>
      <w:r w:rsidR="00E036E5" w:rsidRPr="00B24C99">
        <w:t>Jassem 2008 study assessed the use of pemetrexed in patients that had received treatment with one prior systemic chemotherapy regimen, excluding pemetrexed</w:t>
      </w:r>
      <w:r w:rsidR="00B24C99">
        <w:t xml:space="preserve">. </w:t>
      </w:r>
      <w:r w:rsidR="00E036E5" w:rsidRPr="00B24C99">
        <w:t xml:space="preserve">Hence, the patients had not received the current standard of care </w:t>
      </w:r>
      <w:r w:rsidR="007D42B6" w:rsidRPr="00B24C99">
        <w:t>(</w:t>
      </w:r>
      <w:r w:rsidR="00E036E5" w:rsidRPr="00B24C99">
        <w:t>first-line pemetrexed-based chemotherapy</w:t>
      </w:r>
      <w:r w:rsidR="007D42B6" w:rsidRPr="00B24C99">
        <w:t>) and are therefore not representative of the potential PBS population</w:t>
      </w:r>
      <w:r w:rsidR="00E036E5" w:rsidRPr="00B24C99">
        <w:t>.</w:t>
      </w:r>
    </w:p>
    <w:p w:rsidR="00E036E5" w:rsidRPr="00B24C99" w:rsidRDefault="00E036E5" w:rsidP="00C64B2B">
      <w:pPr>
        <w:pStyle w:val="3-BodyText"/>
        <w:numPr>
          <w:ilvl w:val="0"/>
          <w:numId w:val="8"/>
        </w:numPr>
        <w:ind w:left="1134"/>
      </w:pPr>
      <w:r w:rsidRPr="00B24C99">
        <w:t>An independent search located several other potentially relevant studies of pemetrexed rechallenge, which have reported longer OS than reported by Jassem 2008</w:t>
      </w:r>
      <w:r w:rsidR="008358F3" w:rsidRPr="00B24C99">
        <w:t>.</w:t>
      </w:r>
      <w:r w:rsidRPr="00B24C99">
        <w:t xml:space="preserve"> </w:t>
      </w:r>
    </w:p>
    <w:p w:rsidR="00E036E5" w:rsidRPr="00B24C99" w:rsidRDefault="00E036E5" w:rsidP="00C64B2B">
      <w:pPr>
        <w:pStyle w:val="3-BodyText"/>
        <w:numPr>
          <w:ilvl w:val="0"/>
          <w:numId w:val="8"/>
        </w:numPr>
        <w:ind w:left="1134"/>
      </w:pPr>
      <w:r w:rsidRPr="00B24C99">
        <w:t>The OS data for NIVO+IPI in second</w:t>
      </w:r>
      <w:r w:rsidR="00CB5D5E" w:rsidRPr="00B24C99">
        <w:t>- or later-</w:t>
      </w:r>
      <w:r w:rsidRPr="00B24C99">
        <w:t>line use was also limited, with only one of the studies (MAPS2 (N=62)) reaching median OS.</w:t>
      </w:r>
    </w:p>
    <w:p w:rsidR="00E036E5" w:rsidRPr="00B24C99" w:rsidRDefault="00E036E5" w:rsidP="00C64B2B">
      <w:pPr>
        <w:pStyle w:val="3-BodyText"/>
        <w:numPr>
          <w:ilvl w:val="0"/>
          <w:numId w:val="8"/>
        </w:numPr>
        <w:ind w:left="1134"/>
      </w:pPr>
      <w:r w:rsidRPr="00B24C99">
        <w:lastRenderedPageBreak/>
        <w:t>Given the limited data and low quality evidence presented in second</w:t>
      </w:r>
      <w:r w:rsidR="00826803" w:rsidRPr="00B24C99">
        <w:t>- or later-</w:t>
      </w:r>
      <w:r w:rsidRPr="00B24C99">
        <w:t>line use (relying on naïve indirect comparison), a robust conclusion on comparative efficacy in second</w:t>
      </w:r>
      <w:r w:rsidR="00826803" w:rsidRPr="00B24C99">
        <w:t>- or later-</w:t>
      </w:r>
      <w:r w:rsidRPr="00B24C99">
        <w:t>line use was not able to be reached.</w:t>
      </w:r>
    </w:p>
    <w:p w:rsidR="00605637" w:rsidRPr="00B24C99" w:rsidRDefault="005024E1" w:rsidP="00605637">
      <w:pPr>
        <w:pStyle w:val="3-BodyText"/>
        <w:rPr>
          <w:rFonts w:eastAsia="Calibri"/>
        </w:rPr>
      </w:pPr>
      <w:r w:rsidRPr="00B24C99">
        <w:t>The submission stated that it was unable to make a robust claim of NIVO+IPI versus BSC regarding safety, due to differential reporting of adverse events across trials.</w:t>
      </w:r>
      <w:r w:rsidR="005F118E" w:rsidRPr="00B24C99">
        <w:t xml:space="preserve"> The ESC considered that, given the safety profile observed in</w:t>
      </w:r>
      <w:r w:rsidR="00F8327C" w:rsidRPr="00B24C99">
        <w:t xml:space="preserve"> CheckMate 743</w:t>
      </w:r>
      <w:r w:rsidR="005F118E" w:rsidRPr="00B24C99">
        <w:t xml:space="preserve">, NIVO+IPI was </w:t>
      </w:r>
      <w:r w:rsidR="0047026D" w:rsidRPr="00B24C99">
        <w:t xml:space="preserve">also </w:t>
      </w:r>
      <w:r w:rsidR="005F118E" w:rsidRPr="00B24C99">
        <w:t xml:space="preserve">likely to be of inferior safety versus BSC. The ESC noted a small number of patients treated with NIVO+IPI died from an AE in the MAPS2 study. </w:t>
      </w:r>
    </w:p>
    <w:p w:rsidR="008857EC" w:rsidRPr="00B24C99" w:rsidRDefault="008857EC" w:rsidP="008857EC">
      <w:pPr>
        <w:pStyle w:val="3-BodyText"/>
        <w:rPr>
          <w:rFonts w:eastAsia="Calibri"/>
        </w:rPr>
      </w:pPr>
      <w:r w:rsidRPr="00B24C99">
        <w:t>The PBAC considered that the claim of superior comparative effectiveness was not adequately supported by the data</w:t>
      </w:r>
      <w:r w:rsidR="007039E3" w:rsidRPr="00B24C99">
        <w:t xml:space="preserve"> in the second line setting</w:t>
      </w:r>
      <w:r w:rsidRPr="00B24C99">
        <w:t>.</w:t>
      </w:r>
    </w:p>
    <w:p w:rsidR="00605637" w:rsidRPr="00B24C99" w:rsidRDefault="003B7C03" w:rsidP="003B7C03">
      <w:pPr>
        <w:pStyle w:val="3-BodyText"/>
        <w:rPr>
          <w:rFonts w:eastAsia="Calibri"/>
        </w:rPr>
      </w:pPr>
      <w:r w:rsidRPr="00B24C99">
        <w:t xml:space="preserve">The PBAC </w:t>
      </w:r>
      <w:r w:rsidR="00B27A5A" w:rsidRPr="00B24C99">
        <w:t xml:space="preserve">noted no safety claim was made in the submission but agreed with the ESC </w:t>
      </w:r>
      <w:r w:rsidRPr="00B24C99">
        <w:t xml:space="preserve">that </w:t>
      </w:r>
      <w:r w:rsidR="00B27A5A" w:rsidRPr="00B24C99">
        <w:t>NIVO+IPI was likely to be of inferior comparative safety to BSC</w:t>
      </w:r>
      <w:r w:rsidRPr="00B24C99">
        <w:t>.</w:t>
      </w:r>
    </w:p>
    <w:p w:rsidR="00B60939" w:rsidRPr="00B24C99" w:rsidRDefault="00B60939" w:rsidP="00E9094A">
      <w:pPr>
        <w:pStyle w:val="4-SubsectionHeading"/>
      </w:pPr>
      <w:bookmarkStart w:id="35" w:name="_Toc22897645"/>
      <w:bookmarkStart w:id="36" w:name="_Toc62036367"/>
      <w:r w:rsidRPr="00B24C99">
        <w:t>Economic analysis</w:t>
      </w:r>
      <w:bookmarkEnd w:id="35"/>
      <w:bookmarkEnd w:id="36"/>
      <w:r w:rsidR="00491B3A" w:rsidRPr="00B24C99">
        <w:t xml:space="preserve"> </w:t>
      </w:r>
    </w:p>
    <w:p w:rsidR="00C0080D" w:rsidRPr="00B24C99" w:rsidRDefault="00C0080D" w:rsidP="00C0080D">
      <w:pPr>
        <w:pStyle w:val="3-BodyText"/>
        <w:rPr>
          <w:b/>
          <w:bCs/>
        </w:rPr>
      </w:pPr>
      <w:r w:rsidRPr="00B24C99">
        <w:t>The submission presented a partitioned survival analysis model with three health states: alive without progression (PFS), alive following progression (PD), and dead.</w:t>
      </w:r>
    </w:p>
    <w:p w:rsidR="00C0080D" w:rsidRPr="00B24C99" w:rsidRDefault="00C0080D" w:rsidP="00C0080D">
      <w:pPr>
        <w:pStyle w:val="3-BodyText"/>
      </w:pPr>
      <w:r w:rsidRPr="00B24C99">
        <w:t>The economic evaluation presented a cost-utility analysis, with cost per life years (LY) gained also presented. A summary of the model is presented below.</w:t>
      </w:r>
    </w:p>
    <w:p w:rsidR="00C0080D" w:rsidRPr="00B24C99" w:rsidRDefault="00C0080D" w:rsidP="00C0080D">
      <w:pPr>
        <w:pStyle w:val="TableFigureHeading"/>
      </w:pPr>
      <w:r w:rsidRPr="00B24C99">
        <w:rPr>
          <w:rStyle w:val="CommentReference"/>
          <w:b/>
          <w:szCs w:val="24"/>
        </w:rPr>
        <w:t xml:space="preserve">Table </w:t>
      </w:r>
      <w:r w:rsidR="00833773" w:rsidRPr="00B24C99">
        <w:rPr>
          <w:rStyle w:val="CommentReference"/>
          <w:b/>
          <w:szCs w:val="24"/>
        </w:rPr>
        <w:t>1</w:t>
      </w:r>
      <w:r w:rsidR="00B34598" w:rsidRPr="00B24C99">
        <w:rPr>
          <w:rStyle w:val="CommentReference"/>
          <w:b/>
          <w:szCs w:val="24"/>
        </w:rPr>
        <w:t>2</w:t>
      </w:r>
      <w:r w:rsidRPr="00B24C99">
        <w:rPr>
          <w:rStyle w:val="CommentReference"/>
          <w:b/>
          <w:szCs w:val="24"/>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98"/>
        <w:gridCol w:w="3906"/>
        <w:gridCol w:w="3713"/>
      </w:tblGrid>
      <w:tr w:rsidR="00C0080D" w:rsidRPr="00B24C99" w:rsidTr="00F85810">
        <w:tc>
          <w:tcPr>
            <w:tcW w:w="775" w:type="pct"/>
            <w:vAlign w:val="center"/>
          </w:tcPr>
          <w:p w:rsidR="00C0080D" w:rsidRPr="00B24C99" w:rsidRDefault="00C0080D" w:rsidP="00F85810">
            <w:pPr>
              <w:pStyle w:val="In-tableHeading"/>
              <w:keepNext w:val="0"/>
              <w:rPr>
                <w:lang w:val="en-AU"/>
              </w:rPr>
            </w:pPr>
            <w:r w:rsidRPr="00B24C99">
              <w:rPr>
                <w:lang w:val="en-AU"/>
              </w:rPr>
              <w:t>Component</w:t>
            </w:r>
          </w:p>
        </w:tc>
        <w:tc>
          <w:tcPr>
            <w:tcW w:w="2166" w:type="pct"/>
          </w:tcPr>
          <w:p w:rsidR="00C0080D" w:rsidRPr="00B24C99" w:rsidRDefault="00C0080D" w:rsidP="00F85810">
            <w:pPr>
              <w:pStyle w:val="In-tableHeading"/>
              <w:keepNext w:val="0"/>
              <w:jc w:val="center"/>
              <w:rPr>
                <w:lang w:val="en-AU"/>
              </w:rPr>
            </w:pPr>
            <w:r w:rsidRPr="00B24C99">
              <w:rPr>
                <w:lang w:val="en-AU"/>
              </w:rPr>
              <w:t>Description</w:t>
            </w:r>
          </w:p>
        </w:tc>
        <w:tc>
          <w:tcPr>
            <w:tcW w:w="2059" w:type="pct"/>
            <w:vAlign w:val="center"/>
          </w:tcPr>
          <w:p w:rsidR="00C0080D" w:rsidRPr="00B24C99" w:rsidRDefault="00C0080D" w:rsidP="00F85810">
            <w:pPr>
              <w:pStyle w:val="In-tableHeading"/>
              <w:keepNext w:val="0"/>
              <w:jc w:val="center"/>
              <w:rPr>
                <w:lang w:val="en-AU"/>
              </w:rPr>
            </w:pPr>
            <w:r w:rsidRPr="00B24C99">
              <w:rPr>
                <w:lang w:val="en-AU"/>
              </w:rPr>
              <w:t>Justification/comments</w:t>
            </w:r>
          </w:p>
        </w:tc>
      </w:tr>
      <w:tr w:rsidR="00C0080D" w:rsidRPr="00B24C99" w:rsidTr="00F85810">
        <w:tc>
          <w:tcPr>
            <w:tcW w:w="775" w:type="pct"/>
            <w:vAlign w:val="center"/>
          </w:tcPr>
          <w:p w:rsidR="00C0080D" w:rsidRPr="00B24C99" w:rsidRDefault="00C0080D" w:rsidP="00F85810">
            <w:pPr>
              <w:pStyle w:val="TableText0"/>
              <w:keepNext w:val="0"/>
            </w:pPr>
            <w:r w:rsidRPr="00B24C99">
              <w:t>Type of analysis</w:t>
            </w:r>
          </w:p>
        </w:tc>
        <w:tc>
          <w:tcPr>
            <w:tcW w:w="2166" w:type="pct"/>
          </w:tcPr>
          <w:p w:rsidR="00C0080D" w:rsidRPr="00B24C99" w:rsidRDefault="00C0080D" w:rsidP="00F85810">
            <w:pPr>
              <w:pStyle w:val="TableText0"/>
              <w:keepNext w:val="0"/>
            </w:pPr>
            <w:r w:rsidRPr="00B24C99">
              <w:t>Cost-effectiveness analysis, cost-utility analysis</w:t>
            </w:r>
          </w:p>
        </w:tc>
        <w:tc>
          <w:tcPr>
            <w:tcW w:w="2059" w:type="pct"/>
            <w:vAlign w:val="center"/>
          </w:tcPr>
          <w:p w:rsidR="00C0080D" w:rsidRPr="00B24C99" w:rsidRDefault="00C0080D" w:rsidP="00F85810">
            <w:pPr>
              <w:pStyle w:val="TableText0"/>
              <w:keepNext w:val="0"/>
            </w:pPr>
            <w:r w:rsidRPr="00B24C99">
              <w:rPr>
                <w:rFonts w:cs="Times New Roman"/>
                <w:iCs/>
              </w:rPr>
              <w:t>Reasonable.</w:t>
            </w:r>
          </w:p>
        </w:tc>
      </w:tr>
      <w:tr w:rsidR="00C0080D" w:rsidRPr="00B24C99" w:rsidTr="00F85810">
        <w:tc>
          <w:tcPr>
            <w:tcW w:w="775" w:type="pct"/>
            <w:vAlign w:val="center"/>
          </w:tcPr>
          <w:p w:rsidR="00C0080D" w:rsidRPr="00B24C99" w:rsidRDefault="00C0080D" w:rsidP="00F85810">
            <w:pPr>
              <w:pStyle w:val="TableText0"/>
              <w:keepNext w:val="0"/>
            </w:pPr>
            <w:r w:rsidRPr="00B24C99">
              <w:t>Outcomes</w:t>
            </w:r>
          </w:p>
        </w:tc>
        <w:tc>
          <w:tcPr>
            <w:tcW w:w="2166" w:type="pct"/>
          </w:tcPr>
          <w:p w:rsidR="00C0080D" w:rsidRPr="00B24C99" w:rsidRDefault="00C0080D" w:rsidP="00F85810">
            <w:pPr>
              <w:pStyle w:val="TableText0"/>
              <w:keepNext w:val="0"/>
            </w:pPr>
            <w:r w:rsidRPr="00B24C99">
              <w:t>LYs and QALYs gained</w:t>
            </w:r>
          </w:p>
        </w:tc>
        <w:tc>
          <w:tcPr>
            <w:tcW w:w="2059" w:type="pct"/>
            <w:vAlign w:val="center"/>
          </w:tcPr>
          <w:p w:rsidR="00C0080D" w:rsidRPr="00B24C99" w:rsidRDefault="00C0080D" w:rsidP="00F85810">
            <w:pPr>
              <w:pStyle w:val="TableText0"/>
              <w:keepNext w:val="0"/>
            </w:pPr>
            <w:r w:rsidRPr="00B24C99">
              <w:rPr>
                <w:rFonts w:cs="Times New Roman"/>
                <w:iCs/>
              </w:rPr>
              <w:t>Reasonable.</w:t>
            </w:r>
          </w:p>
        </w:tc>
      </w:tr>
      <w:tr w:rsidR="00C0080D" w:rsidRPr="00B24C99" w:rsidTr="00F85810">
        <w:tc>
          <w:tcPr>
            <w:tcW w:w="775" w:type="pct"/>
            <w:vAlign w:val="center"/>
          </w:tcPr>
          <w:p w:rsidR="00C0080D" w:rsidRPr="00B24C99" w:rsidRDefault="00C0080D" w:rsidP="00F85810">
            <w:pPr>
              <w:pStyle w:val="TableText0"/>
              <w:keepNext w:val="0"/>
            </w:pPr>
            <w:r w:rsidRPr="00B24C99">
              <w:t>Treatments</w:t>
            </w:r>
          </w:p>
        </w:tc>
        <w:tc>
          <w:tcPr>
            <w:tcW w:w="2166" w:type="pct"/>
          </w:tcPr>
          <w:p w:rsidR="00C0080D" w:rsidRPr="00B24C99" w:rsidRDefault="00C0080D" w:rsidP="00F85810">
            <w:pPr>
              <w:pStyle w:val="TableText0"/>
              <w:keepNext w:val="0"/>
              <w:rPr>
                <w:rFonts w:cs="Times New Roman"/>
                <w:iCs/>
              </w:rPr>
            </w:pPr>
            <w:r w:rsidRPr="00B24C99">
              <w:t>NIVO+IPI vs pemetrexed-based chemotherapy (33% cisplatin, 67% carboplatin), based on the respective KM curves for TTD in CheckMate 743.</w:t>
            </w:r>
            <w:r w:rsidRPr="00B24C99">
              <w:rPr>
                <w:rFonts w:cs="Times New Roman"/>
                <w:iCs/>
              </w:rPr>
              <w:t xml:space="preserve"> </w:t>
            </w:r>
          </w:p>
          <w:p w:rsidR="00C0080D" w:rsidRPr="00B24C99" w:rsidRDefault="00C0080D" w:rsidP="00F85810">
            <w:pPr>
              <w:pStyle w:val="TableText0"/>
              <w:keepNext w:val="0"/>
            </w:pPr>
            <w:r w:rsidRPr="00B24C99">
              <w:rPr>
                <w:rFonts w:cs="Times New Roman"/>
                <w:iCs/>
              </w:rPr>
              <w:t xml:space="preserve">Median duration of therapy 5.6 and 3.5 months for NIVO+IPI and </w:t>
            </w:r>
            <w:r w:rsidRPr="00B24C99">
              <w:t xml:space="preserve">pemetrexed-based chemotherapy respectively. </w:t>
            </w:r>
          </w:p>
          <w:p w:rsidR="00C0080D" w:rsidRPr="00B24C99" w:rsidRDefault="00C0080D" w:rsidP="00F85810">
            <w:pPr>
              <w:pStyle w:val="TableText0"/>
              <w:keepNext w:val="0"/>
            </w:pPr>
            <w:r w:rsidRPr="00B24C99">
              <w:rPr>
                <w:rFonts w:cs="Times New Roman"/>
                <w:iCs/>
              </w:rPr>
              <w:t>Split of cisplatin and carboplatin taken from CheckMate 743.</w:t>
            </w:r>
          </w:p>
        </w:tc>
        <w:tc>
          <w:tcPr>
            <w:tcW w:w="2059" w:type="pct"/>
            <w:vAlign w:val="center"/>
          </w:tcPr>
          <w:p w:rsidR="00C0080D" w:rsidRPr="00B24C99" w:rsidRDefault="00C0080D" w:rsidP="001D4123">
            <w:pPr>
              <w:pStyle w:val="TableText0"/>
              <w:keepNext w:val="0"/>
              <w:rPr>
                <w:rFonts w:cs="Times New Roman"/>
                <w:iCs/>
              </w:rPr>
            </w:pPr>
            <w:r w:rsidRPr="00B24C99">
              <w:rPr>
                <w:rFonts w:cs="Times New Roman"/>
                <w:iCs/>
              </w:rPr>
              <w:t>Using trial-based TTD to model time on treatment was reasonable, however, the requested PBS restriction allows up to two years’ treatment. Pa</w:t>
            </w:r>
            <w:r w:rsidRPr="00B24C99">
              <w:t xml:space="preserve">tients in the PBS setting may continue NIVO+IPI for longer than in the trial, particularly in the context of limited effectiveness of second-line therapies. </w:t>
            </w:r>
          </w:p>
        </w:tc>
      </w:tr>
      <w:tr w:rsidR="00C0080D" w:rsidRPr="00B24C99" w:rsidTr="00B80743">
        <w:tc>
          <w:tcPr>
            <w:tcW w:w="775" w:type="pct"/>
            <w:vAlign w:val="center"/>
          </w:tcPr>
          <w:p w:rsidR="00C0080D" w:rsidRPr="00B24C99" w:rsidRDefault="00C0080D" w:rsidP="00F85810">
            <w:pPr>
              <w:pStyle w:val="TableText0"/>
              <w:keepNext w:val="0"/>
            </w:pPr>
            <w:r w:rsidRPr="00B24C99">
              <w:t>Methods used to generate results</w:t>
            </w:r>
          </w:p>
        </w:tc>
        <w:tc>
          <w:tcPr>
            <w:tcW w:w="2166" w:type="pct"/>
            <w:vAlign w:val="center"/>
          </w:tcPr>
          <w:p w:rsidR="00C0080D" w:rsidRPr="00B24C99" w:rsidRDefault="00C0080D" w:rsidP="00B80743">
            <w:pPr>
              <w:pStyle w:val="TableText0"/>
              <w:keepNext w:val="0"/>
            </w:pPr>
            <w:r w:rsidRPr="00B24C99">
              <w:t>Partitioned survival model</w:t>
            </w:r>
          </w:p>
        </w:tc>
        <w:tc>
          <w:tcPr>
            <w:tcW w:w="2059" w:type="pct"/>
            <w:vAlign w:val="center"/>
          </w:tcPr>
          <w:p w:rsidR="00C0080D" w:rsidRPr="00B24C99" w:rsidRDefault="00C0080D" w:rsidP="00F85810">
            <w:pPr>
              <w:pStyle w:val="TableText0"/>
              <w:keepNext w:val="0"/>
            </w:pPr>
            <w:r w:rsidRPr="00B24C99">
              <w:rPr>
                <w:rFonts w:cs="Times New Roman"/>
                <w:iCs/>
              </w:rPr>
              <w:t>Reasonable.</w:t>
            </w:r>
          </w:p>
        </w:tc>
      </w:tr>
      <w:tr w:rsidR="00C0080D" w:rsidRPr="00B24C99" w:rsidTr="00F85810">
        <w:tc>
          <w:tcPr>
            <w:tcW w:w="775" w:type="pct"/>
            <w:vAlign w:val="center"/>
          </w:tcPr>
          <w:p w:rsidR="00C0080D" w:rsidRPr="00B24C99" w:rsidRDefault="00C0080D" w:rsidP="00F85810">
            <w:pPr>
              <w:pStyle w:val="TableText0"/>
              <w:keepNext w:val="0"/>
            </w:pPr>
            <w:r w:rsidRPr="00B24C99">
              <w:t>Health states</w:t>
            </w:r>
          </w:p>
        </w:tc>
        <w:tc>
          <w:tcPr>
            <w:tcW w:w="2166" w:type="pct"/>
          </w:tcPr>
          <w:p w:rsidR="00C0080D" w:rsidRPr="00B24C99" w:rsidRDefault="00C0080D" w:rsidP="00F85810">
            <w:pPr>
              <w:pStyle w:val="TableText0"/>
              <w:keepNext w:val="0"/>
            </w:pPr>
            <w:r w:rsidRPr="00B24C99">
              <w:t>Alive without progression (PFS), progressive disease (PD) and death</w:t>
            </w:r>
          </w:p>
        </w:tc>
        <w:tc>
          <w:tcPr>
            <w:tcW w:w="2059" w:type="pct"/>
            <w:vAlign w:val="center"/>
          </w:tcPr>
          <w:p w:rsidR="00C0080D" w:rsidRPr="00B24C99" w:rsidRDefault="00C0080D" w:rsidP="00F85810">
            <w:pPr>
              <w:pStyle w:val="TableText0"/>
              <w:keepNext w:val="0"/>
            </w:pPr>
            <w:r w:rsidRPr="00B24C99">
              <w:rPr>
                <w:rFonts w:cs="Times New Roman"/>
                <w:iCs/>
              </w:rPr>
              <w:t>Reasonable.</w:t>
            </w:r>
          </w:p>
        </w:tc>
      </w:tr>
      <w:tr w:rsidR="00C0080D" w:rsidRPr="00B24C99" w:rsidTr="00F85810">
        <w:tc>
          <w:tcPr>
            <w:tcW w:w="775" w:type="pct"/>
            <w:vAlign w:val="center"/>
          </w:tcPr>
          <w:p w:rsidR="00C0080D" w:rsidRPr="00B24C99" w:rsidRDefault="00C0080D" w:rsidP="00F85810">
            <w:pPr>
              <w:pStyle w:val="TableText0"/>
              <w:keepNext w:val="0"/>
            </w:pPr>
            <w:r w:rsidRPr="00B24C99">
              <w:t>Cycle length</w:t>
            </w:r>
          </w:p>
        </w:tc>
        <w:tc>
          <w:tcPr>
            <w:tcW w:w="2166" w:type="pct"/>
          </w:tcPr>
          <w:p w:rsidR="00C0080D" w:rsidRPr="00B24C99" w:rsidRDefault="00C0080D" w:rsidP="00F85810">
            <w:pPr>
              <w:pStyle w:val="TableText0"/>
              <w:keepNext w:val="0"/>
            </w:pPr>
            <w:r w:rsidRPr="00B24C99">
              <w:t>1 week with half cycle correction</w:t>
            </w:r>
          </w:p>
        </w:tc>
        <w:tc>
          <w:tcPr>
            <w:tcW w:w="2059" w:type="pct"/>
            <w:vAlign w:val="center"/>
          </w:tcPr>
          <w:p w:rsidR="00C0080D" w:rsidRPr="00B24C99" w:rsidRDefault="00C0080D" w:rsidP="00F85810">
            <w:pPr>
              <w:pStyle w:val="TableText0"/>
              <w:keepNext w:val="0"/>
            </w:pPr>
            <w:r w:rsidRPr="00B24C99">
              <w:rPr>
                <w:rFonts w:cs="Times New Roman"/>
                <w:iCs/>
              </w:rPr>
              <w:t>Reasonable.</w:t>
            </w:r>
          </w:p>
        </w:tc>
      </w:tr>
      <w:tr w:rsidR="00C0080D" w:rsidRPr="00B24C99" w:rsidTr="00F85810">
        <w:tc>
          <w:tcPr>
            <w:tcW w:w="775" w:type="pct"/>
            <w:vAlign w:val="center"/>
          </w:tcPr>
          <w:p w:rsidR="00C0080D" w:rsidRPr="00B24C99" w:rsidRDefault="00C0080D" w:rsidP="00F85810">
            <w:pPr>
              <w:pStyle w:val="TableText0"/>
              <w:keepNext w:val="0"/>
            </w:pPr>
            <w:r w:rsidRPr="00B24C99">
              <w:t>Time horizon</w:t>
            </w:r>
          </w:p>
        </w:tc>
        <w:tc>
          <w:tcPr>
            <w:tcW w:w="2166" w:type="pct"/>
          </w:tcPr>
          <w:p w:rsidR="00C0080D" w:rsidRPr="00B24C99" w:rsidRDefault="00C0080D" w:rsidP="00F85810">
            <w:pPr>
              <w:pStyle w:val="TableText0"/>
              <w:keepNext w:val="0"/>
            </w:pPr>
            <w:r w:rsidRPr="00B24C99">
              <w:t>10 years in the model base case vs 29.7 months median follow-up for OS in CheckMate 743.</w:t>
            </w:r>
          </w:p>
        </w:tc>
        <w:tc>
          <w:tcPr>
            <w:tcW w:w="2059" w:type="pct"/>
            <w:vMerge w:val="restart"/>
            <w:vAlign w:val="center"/>
          </w:tcPr>
          <w:p w:rsidR="00C0080D" w:rsidRPr="00A15A9C" w:rsidRDefault="00C0080D" w:rsidP="00A15A9C">
            <w:pPr>
              <w:pStyle w:val="TableText0"/>
              <w:rPr>
                <w:vertAlign w:val="superscript"/>
              </w:rPr>
            </w:pPr>
            <w:r w:rsidRPr="00B24C99">
              <w:rPr>
                <w:iCs/>
              </w:rPr>
              <w:t xml:space="preserve">Altogether, commencement of extrapolation at the earlier timepoints, choice of extrapolations and the 10-year time horizon significantly favoured NIVO+IPI (see </w:t>
            </w:r>
            <w:r w:rsidR="008845C4" w:rsidRPr="00E753FC">
              <w:rPr>
                <w:iCs/>
              </w:rPr>
              <w:t>paragraphs 6.</w:t>
            </w:r>
            <w:r w:rsidR="00753B90" w:rsidRPr="00E753FC">
              <w:rPr>
                <w:iCs/>
              </w:rPr>
              <w:t>4</w:t>
            </w:r>
            <w:r w:rsidR="00CC65AD" w:rsidRPr="00E753FC">
              <w:rPr>
                <w:iCs/>
              </w:rPr>
              <w:t>9</w:t>
            </w:r>
            <w:r w:rsidR="00753B90" w:rsidRPr="00E753FC">
              <w:rPr>
                <w:iCs/>
              </w:rPr>
              <w:t xml:space="preserve"> </w:t>
            </w:r>
            <w:r w:rsidR="008845C4" w:rsidRPr="00E753FC">
              <w:rPr>
                <w:iCs/>
              </w:rPr>
              <w:t>– 6.</w:t>
            </w:r>
            <w:r w:rsidR="00CC65AD" w:rsidRPr="00E753FC">
              <w:rPr>
                <w:iCs/>
              </w:rPr>
              <w:t>52</w:t>
            </w:r>
            <w:r w:rsidRPr="00E753FC">
              <w:rPr>
                <w:iCs/>
              </w:rPr>
              <w:t>).</w:t>
            </w:r>
            <w:r w:rsidRPr="00B24C99">
              <w:rPr>
                <w:iCs/>
              </w:rPr>
              <w:t xml:space="preserve"> </w:t>
            </w:r>
            <w:r w:rsidRPr="00B24C99">
              <w:t>Multivariate sensitivity analysis using the OS and PFS KM data to 29.7 months for both arms, and using the Weibull (instead of log-logistic) function for the NIVO+IPI arm increased the ICER to from a base case of $</w:t>
            </w:r>
            <w:r w:rsidR="004E3484">
              <w:rPr>
                <w:noProof/>
                <w:color w:val="000000"/>
                <w:highlight w:val="black"/>
              </w:rPr>
              <w:t>'''''''''''''''</w:t>
            </w:r>
            <w:r w:rsidR="00A15A9C">
              <w:rPr>
                <w:vertAlign w:val="superscript"/>
              </w:rPr>
              <w:t>1</w:t>
            </w:r>
            <w:r w:rsidRPr="00B24C99">
              <w:t xml:space="preserve"> to $</w:t>
            </w:r>
            <w:r w:rsidR="004E3484">
              <w:rPr>
                <w:noProof/>
                <w:color w:val="000000"/>
                <w:highlight w:val="black"/>
              </w:rPr>
              <w:t>'''''''''''''''''''</w:t>
            </w:r>
            <w:r w:rsidR="00A15A9C">
              <w:rPr>
                <w:vertAlign w:val="superscript"/>
              </w:rPr>
              <w:t>2</w:t>
            </w:r>
            <w:r w:rsidRPr="00B24C99">
              <w:t xml:space="preserve"> per QALY gained (see</w:t>
            </w:r>
            <w:r w:rsidR="008845C4" w:rsidRPr="00B24C99">
              <w:t xml:space="preserve"> Figure</w:t>
            </w:r>
            <w:r w:rsidR="00D3759E" w:rsidRPr="00B24C99">
              <w:t xml:space="preserve"> </w:t>
            </w:r>
            <w:r w:rsidR="006F1825" w:rsidRPr="00B24C99">
              <w:t>6</w:t>
            </w:r>
            <w:r w:rsidRPr="00B24C99">
              <w:t>).</w:t>
            </w:r>
          </w:p>
        </w:tc>
      </w:tr>
      <w:tr w:rsidR="00C0080D" w:rsidRPr="00B24C99" w:rsidTr="00F85810">
        <w:tc>
          <w:tcPr>
            <w:tcW w:w="775" w:type="pct"/>
            <w:vAlign w:val="center"/>
          </w:tcPr>
          <w:p w:rsidR="00C0080D" w:rsidRPr="00B24C99" w:rsidRDefault="00C0080D" w:rsidP="00F85810">
            <w:pPr>
              <w:pStyle w:val="TableText0"/>
              <w:keepNext w:val="0"/>
            </w:pPr>
            <w:r w:rsidRPr="00B24C99">
              <w:t>Transition probabilities</w:t>
            </w:r>
          </w:p>
        </w:tc>
        <w:tc>
          <w:tcPr>
            <w:tcW w:w="2166" w:type="pct"/>
          </w:tcPr>
          <w:p w:rsidR="00C0080D" w:rsidRPr="00B24C99" w:rsidRDefault="00C0080D" w:rsidP="00F85810">
            <w:pPr>
              <w:pStyle w:val="TableText0"/>
              <w:keepNext w:val="0"/>
            </w:pPr>
            <w:r w:rsidRPr="00B24C99">
              <w:t>No specific transition probabilities were modelled; health state allocation determined by PFS and OS KM curves from Checkmate 743, with a different parametric extrapolation for each treatment arm from 17.35 months for NIVO+IPI and 13.27 months for pemetrexed-based chemotherapy.</w:t>
            </w:r>
          </w:p>
          <w:p w:rsidR="00C0080D" w:rsidRPr="00B24C99" w:rsidRDefault="00C0080D" w:rsidP="00F85810">
            <w:pPr>
              <w:pStyle w:val="TableText0"/>
              <w:keepNext w:val="0"/>
            </w:pPr>
            <w:r w:rsidRPr="00B24C99">
              <w:rPr>
                <w:iCs/>
              </w:rPr>
              <w:t>PFS was modelled such that it could not exceed OS.</w:t>
            </w:r>
          </w:p>
        </w:tc>
        <w:tc>
          <w:tcPr>
            <w:tcW w:w="2059" w:type="pct"/>
            <w:vMerge/>
            <w:vAlign w:val="center"/>
          </w:tcPr>
          <w:p w:rsidR="00C0080D" w:rsidRPr="00B24C99" w:rsidRDefault="00C0080D" w:rsidP="00F85810">
            <w:pPr>
              <w:pStyle w:val="TableText0"/>
              <w:keepNext w:val="0"/>
              <w:rPr>
                <w:rFonts w:cs="Times New Roman"/>
                <w:i/>
                <w:iCs/>
              </w:rPr>
            </w:pPr>
          </w:p>
        </w:tc>
      </w:tr>
      <w:tr w:rsidR="00C0080D" w:rsidRPr="00B24C99" w:rsidTr="00F85810">
        <w:tc>
          <w:tcPr>
            <w:tcW w:w="775" w:type="pct"/>
            <w:vAlign w:val="center"/>
          </w:tcPr>
          <w:p w:rsidR="00C0080D" w:rsidRPr="00B24C99" w:rsidRDefault="00C0080D" w:rsidP="00F85810">
            <w:pPr>
              <w:pStyle w:val="TableText0"/>
              <w:keepNext w:val="0"/>
            </w:pPr>
            <w:r w:rsidRPr="00B24C99">
              <w:lastRenderedPageBreak/>
              <w:t>Health related quality of life (HRQoL)</w:t>
            </w:r>
          </w:p>
        </w:tc>
        <w:tc>
          <w:tcPr>
            <w:tcW w:w="2166" w:type="pct"/>
          </w:tcPr>
          <w:p w:rsidR="00C0080D" w:rsidRPr="00B24C99" w:rsidRDefault="00C0080D" w:rsidP="00F85810">
            <w:pPr>
              <w:pStyle w:val="TableText0"/>
              <w:keepNext w:val="0"/>
            </w:pPr>
            <w:r w:rsidRPr="00B24C99">
              <w:t>The submission estimated treatment specific utilities for PFS and PD health states from EQ-5D-3L data collected during Check</w:t>
            </w:r>
            <w:r w:rsidR="00B83FCE" w:rsidRPr="00B24C99">
              <w:t>M</w:t>
            </w:r>
            <w:r w:rsidRPr="00B24C99">
              <w:t xml:space="preserve">ate 743 (data </w:t>
            </w:r>
            <w:r w:rsidRPr="00B24C99">
              <w:rPr>
                <w:rFonts w:cs="Times New Roman"/>
                <w:iCs/>
                <w:szCs w:val="20"/>
              </w:rPr>
              <w:t>only collected until progression in the pemetrexed-based chemotherapy arm)</w:t>
            </w:r>
          </w:p>
          <w:p w:rsidR="00C0080D" w:rsidRPr="00B24C99" w:rsidRDefault="00C0080D" w:rsidP="00F85810">
            <w:pPr>
              <w:pStyle w:val="TableText0"/>
              <w:keepNext w:val="0"/>
            </w:pPr>
            <w:r w:rsidRPr="00B24C99">
              <w:t>Adverse event disutilities were not modelled separately.</w:t>
            </w:r>
          </w:p>
        </w:tc>
        <w:tc>
          <w:tcPr>
            <w:tcW w:w="2059" w:type="pct"/>
            <w:vAlign w:val="center"/>
          </w:tcPr>
          <w:p w:rsidR="00C0080D" w:rsidRPr="00B24C99" w:rsidRDefault="00C0080D" w:rsidP="00F85810">
            <w:pPr>
              <w:rPr>
                <w:rFonts w:ascii="Arial Narrow" w:hAnsi="Arial Narrow" w:cs="Times New Roman"/>
                <w:iCs/>
                <w:sz w:val="20"/>
                <w:szCs w:val="20"/>
              </w:rPr>
            </w:pPr>
            <w:r w:rsidRPr="00B24C99">
              <w:rPr>
                <w:rFonts w:ascii="Arial Narrow" w:hAnsi="Arial Narrow"/>
                <w:iCs/>
                <w:sz w:val="20"/>
                <w:szCs w:val="20"/>
              </w:rPr>
              <w:t>High risk of attrition bias in the utility estimates. N</w:t>
            </w:r>
            <w:r w:rsidRPr="00B24C99">
              <w:rPr>
                <w:rFonts w:ascii="Arial Narrow" w:hAnsi="Arial Narrow" w:cs="Times New Roman"/>
                <w:iCs/>
                <w:sz w:val="20"/>
                <w:szCs w:val="20"/>
              </w:rPr>
              <w:t xml:space="preserve">o evidence was provided of a consistent long-term difference in the utility between treatment arms. </w:t>
            </w:r>
          </w:p>
        </w:tc>
      </w:tr>
      <w:tr w:rsidR="00C0080D" w:rsidRPr="00B24C99" w:rsidTr="00F85810">
        <w:tc>
          <w:tcPr>
            <w:tcW w:w="775" w:type="pct"/>
            <w:vAlign w:val="center"/>
          </w:tcPr>
          <w:p w:rsidR="00C0080D" w:rsidRPr="00B24C99" w:rsidRDefault="00C0080D" w:rsidP="00F85810">
            <w:pPr>
              <w:pStyle w:val="TableText0"/>
              <w:keepNext w:val="0"/>
            </w:pPr>
            <w:r w:rsidRPr="00B24C99">
              <w:t>Costs</w:t>
            </w:r>
          </w:p>
        </w:tc>
        <w:tc>
          <w:tcPr>
            <w:tcW w:w="2166" w:type="pct"/>
          </w:tcPr>
          <w:p w:rsidR="00C0080D" w:rsidRPr="00B24C99" w:rsidRDefault="00C0080D" w:rsidP="00F85810">
            <w:pPr>
              <w:pStyle w:val="TableText0"/>
              <w:keepNext w:val="0"/>
            </w:pPr>
            <w:r w:rsidRPr="00B24C99">
              <w:rPr>
                <w:snapToGrid w:val="0"/>
                <w:szCs w:val="22"/>
                <w:lang w:eastAsia="en-US"/>
              </w:rPr>
              <w:t>The submission estimated costs for treatment, administration, monitoring, management of adverse events, ongoing health state costs, and end of life costs.</w:t>
            </w:r>
          </w:p>
        </w:tc>
        <w:tc>
          <w:tcPr>
            <w:tcW w:w="2059" w:type="pct"/>
            <w:vAlign w:val="center"/>
          </w:tcPr>
          <w:p w:rsidR="00C0080D" w:rsidRPr="00B24C99" w:rsidRDefault="00C0080D" w:rsidP="005F708D">
            <w:pPr>
              <w:rPr>
                <w:rFonts w:ascii="Arial Narrow" w:hAnsi="Arial Narrow"/>
                <w:iCs/>
                <w:sz w:val="20"/>
                <w:szCs w:val="20"/>
              </w:rPr>
            </w:pPr>
            <w:r w:rsidRPr="00B24C99">
              <w:rPr>
                <w:rFonts w:ascii="Arial Narrow" w:hAnsi="Arial Narrow"/>
                <w:iCs/>
                <w:sz w:val="20"/>
                <w:szCs w:val="20"/>
              </w:rPr>
              <w:t>Reasonable. Some issues with adverse event costs and exclusion of subsequent treatment costs</w:t>
            </w:r>
            <w:r w:rsidR="00DC42B1" w:rsidRPr="00B24C99">
              <w:rPr>
                <w:rFonts w:ascii="Arial Narrow" w:hAnsi="Arial Narrow"/>
                <w:iCs/>
                <w:sz w:val="20"/>
                <w:szCs w:val="20"/>
              </w:rPr>
              <w:t xml:space="preserve">. The absence of subsequent treatment </w:t>
            </w:r>
            <w:r w:rsidR="00B34598" w:rsidRPr="00B24C99">
              <w:rPr>
                <w:rFonts w:ascii="Arial Narrow" w:hAnsi="Arial Narrow"/>
                <w:iCs/>
                <w:sz w:val="20"/>
                <w:szCs w:val="20"/>
              </w:rPr>
              <w:t>did not favour</w:t>
            </w:r>
            <w:r w:rsidR="00DC42B1" w:rsidRPr="00B24C99">
              <w:rPr>
                <w:rFonts w:ascii="Arial Narrow" w:hAnsi="Arial Narrow"/>
                <w:iCs/>
                <w:sz w:val="20"/>
                <w:szCs w:val="20"/>
              </w:rPr>
              <w:t xml:space="preserve"> NIVO+IPI, because if modelled as per Check</w:t>
            </w:r>
            <w:r w:rsidR="00B34598" w:rsidRPr="00B24C99">
              <w:rPr>
                <w:rFonts w:ascii="Arial Narrow" w:hAnsi="Arial Narrow"/>
                <w:iCs/>
                <w:sz w:val="20"/>
                <w:szCs w:val="20"/>
              </w:rPr>
              <w:t>M</w:t>
            </w:r>
            <w:r w:rsidR="00DC42B1" w:rsidRPr="00B24C99">
              <w:rPr>
                <w:rFonts w:ascii="Arial Narrow" w:hAnsi="Arial Narrow"/>
                <w:iCs/>
                <w:sz w:val="20"/>
                <w:szCs w:val="20"/>
              </w:rPr>
              <w:t>ate 743, a larger proportion of patients in the Chemo</w:t>
            </w:r>
            <w:r w:rsidR="00B34598" w:rsidRPr="00B24C99">
              <w:rPr>
                <w:rFonts w:ascii="Arial Narrow" w:hAnsi="Arial Narrow"/>
                <w:iCs/>
                <w:sz w:val="20"/>
                <w:szCs w:val="20"/>
              </w:rPr>
              <w:t xml:space="preserve"> </w:t>
            </w:r>
            <w:r w:rsidR="00DC42B1" w:rsidRPr="00B24C99">
              <w:rPr>
                <w:rFonts w:ascii="Arial Narrow" w:hAnsi="Arial Narrow"/>
                <w:iCs/>
                <w:sz w:val="20"/>
                <w:szCs w:val="20"/>
              </w:rPr>
              <w:t>arm would receive the higher cost immunotherapies second line</w:t>
            </w:r>
            <w:r w:rsidR="00241082" w:rsidRPr="00B24C99">
              <w:rPr>
                <w:rFonts w:ascii="Arial Narrow" w:hAnsi="Arial Narrow"/>
                <w:iCs/>
                <w:sz w:val="20"/>
                <w:szCs w:val="20"/>
              </w:rPr>
              <w:t>.</w:t>
            </w:r>
            <w:r w:rsidR="00B34598" w:rsidRPr="00B24C99">
              <w:rPr>
                <w:rFonts w:ascii="Arial Narrow" w:hAnsi="Arial Narrow"/>
                <w:iCs/>
                <w:sz w:val="20"/>
                <w:szCs w:val="20"/>
              </w:rPr>
              <w:t xml:space="preserve"> </w:t>
            </w:r>
          </w:p>
        </w:tc>
      </w:tr>
      <w:tr w:rsidR="00C0080D" w:rsidRPr="00B24C99" w:rsidTr="00F85810">
        <w:tc>
          <w:tcPr>
            <w:tcW w:w="775" w:type="pct"/>
            <w:vAlign w:val="center"/>
          </w:tcPr>
          <w:p w:rsidR="00C0080D" w:rsidRPr="00B24C99" w:rsidRDefault="00C0080D" w:rsidP="00F85810">
            <w:pPr>
              <w:pStyle w:val="TableText0"/>
              <w:keepNext w:val="0"/>
            </w:pPr>
            <w:r w:rsidRPr="00B24C99">
              <w:t>Software package</w:t>
            </w:r>
          </w:p>
        </w:tc>
        <w:tc>
          <w:tcPr>
            <w:tcW w:w="2166" w:type="pct"/>
          </w:tcPr>
          <w:p w:rsidR="00C0080D" w:rsidRPr="00B24C99" w:rsidRDefault="00C0080D" w:rsidP="00F85810">
            <w:pPr>
              <w:pStyle w:val="TableText0"/>
              <w:keepNext w:val="0"/>
            </w:pPr>
            <w:r w:rsidRPr="00B24C99">
              <w:t>Excel 2013</w:t>
            </w:r>
          </w:p>
        </w:tc>
        <w:tc>
          <w:tcPr>
            <w:tcW w:w="2059" w:type="pct"/>
            <w:vAlign w:val="center"/>
          </w:tcPr>
          <w:p w:rsidR="00C0080D" w:rsidRPr="00B24C99" w:rsidRDefault="00C0080D" w:rsidP="00F85810">
            <w:pPr>
              <w:pStyle w:val="TableText0"/>
              <w:keepNext w:val="0"/>
            </w:pPr>
            <w:r w:rsidRPr="00B24C99">
              <w:rPr>
                <w:rFonts w:cs="Times New Roman"/>
                <w:iCs/>
              </w:rPr>
              <w:t>Reasonable.</w:t>
            </w:r>
          </w:p>
        </w:tc>
      </w:tr>
    </w:tbl>
    <w:p w:rsidR="00C0080D" w:rsidRPr="00A15A9C" w:rsidRDefault="00C0080D" w:rsidP="00C0080D">
      <w:pPr>
        <w:pStyle w:val="BodyText"/>
        <w:rPr>
          <w:rFonts w:ascii="Arial Narrow" w:hAnsi="Arial Narrow"/>
          <w:sz w:val="18"/>
          <w:szCs w:val="18"/>
        </w:rPr>
      </w:pPr>
      <w:r w:rsidRPr="00A15A9C">
        <w:rPr>
          <w:rFonts w:ascii="Arial Narrow" w:hAnsi="Arial Narrow"/>
          <w:sz w:val="18"/>
          <w:szCs w:val="18"/>
        </w:rPr>
        <w:t>Source: compiled during evaluation</w:t>
      </w:r>
    </w:p>
    <w:p w:rsidR="00C0080D" w:rsidRPr="00A15A9C" w:rsidRDefault="00C0080D" w:rsidP="00C0080D">
      <w:pPr>
        <w:pStyle w:val="BodyText"/>
        <w:rPr>
          <w:rFonts w:ascii="Arial Narrow" w:hAnsi="Arial Narrow"/>
          <w:sz w:val="18"/>
          <w:szCs w:val="18"/>
        </w:rPr>
      </w:pPr>
      <w:r w:rsidRPr="00A15A9C">
        <w:rPr>
          <w:rFonts w:ascii="Arial Narrow" w:hAnsi="Arial Narrow"/>
          <w:sz w:val="18"/>
          <w:szCs w:val="18"/>
        </w:rPr>
        <w:t xml:space="preserve">Abbreviations: </w:t>
      </w:r>
      <w:bookmarkStart w:id="37" w:name="_Hlk61253605"/>
      <w:r w:rsidRPr="00A15A9C">
        <w:rPr>
          <w:rFonts w:ascii="Arial Narrow" w:hAnsi="Arial Narrow"/>
          <w:sz w:val="18"/>
          <w:szCs w:val="18"/>
        </w:rPr>
        <w:t>Chemo = pemetrexed plus cisplatin/carboplatin; EQ-5D-3L = EuroQoL 5-dimension 3-level; HRQoL = health related quality of life; ICER = incremental cost-effectiveness ratio; IPI = ipilimumab; KM = Kaplan-Meier. LY = life-year; OS = overall survival; NIVO = nivolumab; PD = progressive disease; PFS = progression free survival; QALY = quality-adjusted life-year; TTD = time to treatment discontinuation</w:t>
      </w:r>
    </w:p>
    <w:p w:rsidR="00A15A9C" w:rsidRDefault="00A15A9C" w:rsidP="00C0080D">
      <w:pPr>
        <w:pStyle w:val="BodyText"/>
        <w:rPr>
          <w:rFonts w:ascii="Arial Narrow" w:hAnsi="Arial Narrow"/>
          <w:i/>
          <w:sz w:val="18"/>
          <w:szCs w:val="18"/>
        </w:rPr>
      </w:pPr>
      <w:r w:rsidRPr="00A15A9C">
        <w:rPr>
          <w:rFonts w:ascii="Arial Narrow" w:hAnsi="Arial Narrow"/>
          <w:i/>
          <w:sz w:val="18"/>
          <w:szCs w:val="18"/>
        </w:rPr>
        <w:t>The redacted values correspond to the following ranges:</w:t>
      </w:r>
    </w:p>
    <w:p w:rsidR="00A15A9C" w:rsidRDefault="00A15A9C" w:rsidP="00C0080D">
      <w:pPr>
        <w:pStyle w:val="BodyText"/>
        <w:rPr>
          <w:rFonts w:ascii="Arial Narrow" w:hAnsi="Arial Narrow"/>
          <w:i/>
          <w:sz w:val="18"/>
          <w:szCs w:val="18"/>
        </w:rPr>
      </w:pPr>
      <w:r>
        <w:rPr>
          <w:rFonts w:ascii="Arial Narrow" w:hAnsi="Arial Narrow"/>
          <w:i/>
          <w:sz w:val="18"/>
          <w:szCs w:val="18"/>
          <w:vertAlign w:val="superscript"/>
        </w:rPr>
        <w:t xml:space="preserve">1 </w:t>
      </w:r>
      <w:r w:rsidRPr="00A15A9C">
        <w:rPr>
          <w:rFonts w:ascii="Arial Narrow" w:hAnsi="Arial Narrow"/>
          <w:i/>
          <w:sz w:val="18"/>
          <w:szCs w:val="18"/>
        </w:rPr>
        <w:t>$55,000 to &lt; $75,000</w:t>
      </w:r>
    </w:p>
    <w:p w:rsidR="00A15A9C" w:rsidRDefault="00A15A9C" w:rsidP="00C0080D">
      <w:pPr>
        <w:pStyle w:val="BodyText"/>
        <w:rPr>
          <w:rFonts w:ascii="Arial Narrow" w:hAnsi="Arial Narrow"/>
          <w:i/>
          <w:sz w:val="18"/>
          <w:szCs w:val="18"/>
        </w:rPr>
      </w:pPr>
      <w:r>
        <w:rPr>
          <w:rFonts w:ascii="Arial Narrow" w:hAnsi="Arial Narrow"/>
          <w:i/>
          <w:sz w:val="18"/>
          <w:szCs w:val="18"/>
          <w:vertAlign w:val="superscript"/>
        </w:rPr>
        <w:t xml:space="preserve">2 </w:t>
      </w:r>
      <w:r w:rsidRPr="00A15A9C">
        <w:rPr>
          <w:rFonts w:ascii="Arial Narrow" w:hAnsi="Arial Narrow"/>
          <w:i/>
          <w:sz w:val="18"/>
          <w:szCs w:val="18"/>
        </w:rPr>
        <w:t>$135,000 to &lt; $155,000</w:t>
      </w:r>
    </w:p>
    <w:p w:rsidR="00A15A9C" w:rsidRPr="00A15A9C" w:rsidRDefault="00A15A9C" w:rsidP="00C0080D">
      <w:pPr>
        <w:pStyle w:val="BodyText"/>
        <w:rPr>
          <w:rFonts w:ascii="Arial Narrow" w:hAnsi="Arial Narrow"/>
          <w:sz w:val="18"/>
          <w:szCs w:val="18"/>
        </w:rPr>
      </w:pPr>
    </w:p>
    <w:p w:rsidR="00C0080D" w:rsidRPr="00B24C99" w:rsidRDefault="00C0080D" w:rsidP="00C0080D">
      <w:pPr>
        <w:pStyle w:val="BodyText"/>
        <w:rPr>
          <w:rFonts w:ascii="Arial Narrow" w:hAnsi="Arial Narrow"/>
          <w:sz w:val="20"/>
          <w:szCs w:val="20"/>
        </w:rPr>
      </w:pPr>
    </w:p>
    <w:bookmarkEnd w:id="37"/>
    <w:p w:rsidR="00C0080D" w:rsidRPr="00B24C99" w:rsidRDefault="00C0080D" w:rsidP="00F8327C">
      <w:pPr>
        <w:pStyle w:val="3-BodyText"/>
      </w:pPr>
      <w:r w:rsidRPr="00B24C99">
        <w:t>The model used PFS and OS KM data from CheckMate 743 to 17.35 months for NIVO+IPI and 13.27 months for pemetrexed-based chemotherapy</w:t>
      </w:r>
      <w:r w:rsidR="00F8327C" w:rsidRPr="00B24C99">
        <w:t xml:space="preserve"> (based on the median time between randomisation and a patient’s last known alive date or date of death per treatment arm)</w:t>
      </w:r>
      <w:r w:rsidRPr="00B24C99">
        <w:t xml:space="preserve">, followed by parametric extrapolations to ten years. The </w:t>
      </w:r>
      <w:r w:rsidR="00B8026E" w:rsidRPr="00B24C99">
        <w:t>ESC considered th</w:t>
      </w:r>
      <w:r w:rsidR="00B8026E" w:rsidRPr="00B24C99">
        <w:rPr>
          <w:i/>
        </w:rPr>
        <w:t>e</w:t>
      </w:r>
      <w:r w:rsidR="00B8026E" w:rsidRPr="00B24C99">
        <w:t xml:space="preserve"> </w:t>
      </w:r>
      <w:r w:rsidRPr="00B24C99">
        <w:t xml:space="preserve">commencement of extrapolation from these timepoints was inappropriate as they did not make full use of available KM data (see Figure </w:t>
      </w:r>
      <w:r w:rsidR="008845C4" w:rsidRPr="00B24C99">
        <w:t>1</w:t>
      </w:r>
      <w:r w:rsidRPr="00B24C99">
        <w:t xml:space="preserve"> above) and favoured NIVO+IPI by exaggerating the survival gain over pemetrexed-based chemotherapy from the point of extrapolation (see </w:t>
      </w:r>
      <w:r w:rsidR="008845C4" w:rsidRPr="00B24C99">
        <w:t xml:space="preserve">Figure </w:t>
      </w:r>
      <w:r w:rsidR="008E60FE" w:rsidRPr="00B24C99">
        <w:t>4</w:t>
      </w:r>
      <w:r w:rsidRPr="00B24C99">
        <w:t>).</w:t>
      </w:r>
    </w:p>
    <w:p w:rsidR="00C0080D" w:rsidRPr="00B24C99" w:rsidRDefault="00C0080D" w:rsidP="00C0080D">
      <w:pPr>
        <w:pStyle w:val="3-BodyText"/>
      </w:pPr>
      <w:r w:rsidRPr="00B24C99">
        <w:t>The submission presented the Grambsch and Therneau’s correlation test between Schoenfeld residuals, and log-cumulative hazard and Schoenfeld residuals plot to justify the rejection of proportional hazards assumption and the choice to fit independent parametric curves as below. Goodness of fit was determined using the Akaike information criterion (AIC) and Bayesian information criterion (BIC), along with visual inspection for the PFS curve</w:t>
      </w:r>
      <w:r w:rsidR="00B24C99">
        <w:t xml:space="preserve">. </w:t>
      </w:r>
      <w:r w:rsidRPr="00B24C99">
        <w:t xml:space="preserve">The submission then used the base case PFS curves to inform choice of OS extrapolation. Figures </w:t>
      </w:r>
      <w:r w:rsidR="00833773" w:rsidRPr="00B24C99">
        <w:t>4</w:t>
      </w:r>
      <w:r w:rsidRPr="00B24C99">
        <w:t xml:space="preserve"> and </w:t>
      </w:r>
      <w:r w:rsidR="00833773" w:rsidRPr="00B24C99">
        <w:t>5</w:t>
      </w:r>
      <w:r w:rsidRPr="00B24C99">
        <w:t xml:space="preserve"> present the KM data and extrapolated functions for PFS and OS.</w:t>
      </w:r>
    </w:p>
    <w:p w:rsidR="00C0080D" w:rsidRPr="00B24C99" w:rsidRDefault="00C0080D" w:rsidP="001D0CC7">
      <w:pPr>
        <w:pStyle w:val="3-BodyText"/>
        <w:keepNext/>
        <w:keepLines/>
        <w:numPr>
          <w:ilvl w:val="0"/>
          <w:numId w:val="0"/>
        </w:numPr>
      </w:pPr>
      <w:r w:rsidRPr="00B24C99">
        <w:rPr>
          <w:rFonts w:ascii="Arial Narrow" w:hAnsi="Arial Narrow"/>
          <w:b/>
          <w:sz w:val="20"/>
          <w:szCs w:val="20"/>
        </w:rPr>
        <w:t xml:space="preserve">Table </w:t>
      </w:r>
      <w:r w:rsidR="00833773" w:rsidRPr="00B24C99">
        <w:rPr>
          <w:rFonts w:ascii="Arial Narrow" w:hAnsi="Arial Narrow"/>
          <w:b/>
          <w:sz w:val="20"/>
          <w:szCs w:val="20"/>
        </w:rPr>
        <w:t>1</w:t>
      </w:r>
      <w:r w:rsidR="00346D84" w:rsidRPr="00B24C99">
        <w:rPr>
          <w:rFonts w:ascii="Arial Narrow" w:hAnsi="Arial Narrow"/>
          <w:b/>
          <w:sz w:val="20"/>
          <w:szCs w:val="20"/>
        </w:rPr>
        <w:t>3:</w:t>
      </w:r>
      <w:r w:rsidRPr="00B24C99">
        <w:t xml:space="preserve"> </w:t>
      </w:r>
      <w:r w:rsidRPr="00B24C99">
        <w:rPr>
          <w:rFonts w:ascii="Arial Narrow" w:hAnsi="Arial Narrow"/>
          <w:b/>
          <w:sz w:val="20"/>
          <w:szCs w:val="20"/>
        </w:rPr>
        <w:t>Summary of extrapolations used in the economic model by treatment arm and survival curve</w:t>
      </w:r>
    </w:p>
    <w:tbl>
      <w:tblPr>
        <w:tblStyle w:val="TableGrid"/>
        <w:tblW w:w="5000" w:type="pct"/>
        <w:tblCellMar>
          <w:top w:w="28" w:type="dxa"/>
          <w:left w:w="28" w:type="dxa"/>
          <w:bottom w:w="28" w:type="dxa"/>
          <w:right w:w="28" w:type="dxa"/>
        </w:tblCellMar>
        <w:tblLook w:val="04A0" w:firstRow="1" w:lastRow="0" w:firstColumn="1" w:lastColumn="0" w:noHBand="0" w:noVBand="1"/>
        <w:tblCaption w:val="Table 13: Summary of extrapolations used in the economic model by treatment arm and survival curve"/>
      </w:tblPr>
      <w:tblGrid>
        <w:gridCol w:w="822"/>
        <w:gridCol w:w="4419"/>
        <w:gridCol w:w="3776"/>
      </w:tblGrid>
      <w:tr w:rsidR="00C0080D" w:rsidRPr="00B24C99" w:rsidTr="00611FD3">
        <w:trPr>
          <w:tblHeader/>
        </w:trPr>
        <w:tc>
          <w:tcPr>
            <w:tcW w:w="455" w:type="pct"/>
          </w:tcPr>
          <w:p w:rsidR="00C0080D" w:rsidRPr="00B24C99" w:rsidRDefault="00C0080D" w:rsidP="001D0CC7">
            <w:pPr>
              <w:keepNext/>
              <w:keepLines/>
              <w:jc w:val="left"/>
              <w:rPr>
                <w:rFonts w:ascii="Arial Narrow" w:hAnsi="Arial Narrow"/>
                <w:b/>
                <w:sz w:val="20"/>
                <w:szCs w:val="20"/>
              </w:rPr>
            </w:pPr>
            <w:r w:rsidRPr="00B24C99">
              <w:rPr>
                <w:rFonts w:ascii="Arial Narrow" w:hAnsi="Arial Narrow"/>
                <w:b/>
                <w:sz w:val="20"/>
                <w:szCs w:val="20"/>
              </w:rPr>
              <w:t>Arm</w:t>
            </w:r>
          </w:p>
        </w:tc>
        <w:tc>
          <w:tcPr>
            <w:tcW w:w="2450" w:type="pct"/>
          </w:tcPr>
          <w:p w:rsidR="00C0080D" w:rsidRPr="00B24C99" w:rsidRDefault="00C0080D" w:rsidP="001D0CC7">
            <w:pPr>
              <w:keepNext/>
              <w:keepLines/>
              <w:jc w:val="left"/>
              <w:rPr>
                <w:rFonts w:ascii="Arial Narrow" w:hAnsi="Arial Narrow"/>
                <w:b/>
                <w:sz w:val="20"/>
                <w:szCs w:val="20"/>
              </w:rPr>
            </w:pPr>
            <w:r w:rsidRPr="00B24C99">
              <w:rPr>
                <w:rFonts w:ascii="Arial Narrow" w:hAnsi="Arial Narrow"/>
                <w:b/>
                <w:sz w:val="20"/>
                <w:szCs w:val="20"/>
              </w:rPr>
              <w:t>PFS</w:t>
            </w:r>
          </w:p>
        </w:tc>
        <w:tc>
          <w:tcPr>
            <w:tcW w:w="2094" w:type="pct"/>
          </w:tcPr>
          <w:p w:rsidR="00C0080D" w:rsidRPr="00B24C99" w:rsidRDefault="00C0080D" w:rsidP="001D0CC7">
            <w:pPr>
              <w:keepNext/>
              <w:keepLines/>
              <w:jc w:val="left"/>
              <w:rPr>
                <w:rFonts w:ascii="Arial Narrow" w:hAnsi="Arial Narrow"/>
                <w:b/>
                <w:sz w:val="20"/>
                <w:szCs w:val="20"/>
              </w:rPr>
            </w:pPr>
            <w:r w:rsidRPr="00B24C99">
              <w:rPr>
                <w:rFonts w:ascii="Arial Narrow" w:hAnsi="Arial Narrow"/>
                <w:b/>
                <w:sz w:val="20"/>
                <w:szCs w:val="20"/>
              </w:rPr>
              <w:t>OS</w:t>
            </w:r>
          </w:p>
        </w:tc>
      </w:tr>
      <w:tr w:rsidR="00C0080D" w:rsidRPr="00B24C99" w:rsidTr="00F85810">
        <w:tc>
          <w:tcPr>
            <w:tcW w:w="455" w:type="pct"/>
          </w:tcPr>
          <w:p w:rsidR="00C0080D" w:rsidRPr="00B24C99" w:rsidRDefault="00C0080D" w:rsidP="001D0CC7">
            <w:pPr>
              <w:keepNext/>
              <w:keepLines/>
              <w:jc w:val="left"/>
              <w:rPr>
                <w:rFonts w:ascii="Arial Narrow" w:hAnsi="Arial Narrow"/>
                <w:sz w:val="20"/>
                <w:szCs w:val="20"/>
              </w:rPr>
            </w:pPr>
            <w:r w:rsidRPr="00B24C99">
              <w:rPr>
                <w:rFonts w:ascii="Arial Narrow" w:hAnsi="Arial Narrow"/>
                <w:sz w:val="20"/>
                <w:szCs w:val="20"/>
              </w:rPr>
              <w:t>NIVO+IPI</w:t>
            </w:r>
          </w:p>
        </w:tc>
        <w:tc>
          <w:tcPr>
            <w:tcW w:w="2450" w:type="pct"/>
          </w:tcPr>
          <w:p w:rsidR="00C0080D" w:rsidRPr="00B24C99" w:rsidRDefault="00C0080D" w:rsidP="001D0CC7">
            <w:pPr>
              <w:keepNext/>
              <w:keepLines/>
              <w:jc w:val="left"/>
              <w:rPr>
                <w:rFonts w:ascii="Arial Narrow" w:hAnsi="Arial Narrow"/>
                <w:sz w:val="20"/>
                <w:szCs w:val="20"/>
              </w:rPr>
            </w:pPr>
            <w:r w:rsidRPr="00B24C99">
              <w:rPr>
                <w:rFonts w:ascii="Arial Narrow" w:hAnsi="Arial Narrow"/>
                <w:sz w:val="20"/>
                <w:szCs w:val="20"/>
              </w:rPr>
              <w:t>KM to 17.35 months, then generalised gamma extrapolation</w:t>
            </w:r>
          </w:p>
        </w:tc>
        <w:tc>
          <w:tcPr>
            <w:tcW w:w="2094" w:type="pct"/>
          </w:tcPr>
          <w:p w:rsidR="00C0080D" w:rsidRPr="00B24C99" w:rsidRDefault="00C0080D" w:rsidP="001D0CC7">
            <w:pPr>
              <w:keepNext/>
              <w:keepLines/>
              <w:jc w:val="left"/>
              <w:rPr>
                <w:rFonts w:ascii="Arial Narrow" w:hAnsi="Arial Narrow"/>
                <w:sz w:val="20"/>
                <w:szCs w:val="20"/>
              </w:rPr>
            </w:pPr>
            <w:r w:rsidRPr="00B24C99">
              <w:rPr>
                <w:rFonts w:ascii="Arial Narrow" w:hAnsi="Arial Narrow"/>
                <w:sz w:val="20"/>
                <w:szCs w:val="20"/>
              </w:rPr>
              <w:t>KM to 17.35 months, then log-logistic extrapolation</w:t>
            </w:r>
          </w:p>
        </w:tc>
      </w:tr>
      <w:tr w:rsidR="00C0080D" w:rsidRPr="00B24C99" w:rsidTr="00F85810">
        <w:tc>
          <w:tcPr>
            <w:tcW w:w="455" w:type="pct"/>
          </w:tcPr>
          <w:p w:rsidR="00C0080D" w:rsidRPr="00B24C99" w:rsidRDefault="00C0080D" w:rsidP="001D0CC7">
            <w:pPr>
              <w:keepNext/>
              <w:keepLines/>
              <w:jc w:val="left"/>
              <w:rPr>
                <w:rFonts w:ascii="Arial Narrow" w:hAnsi="Arial Narrow"/>
                <w:sz w:val="20"/>
                <w:szCs w:val="20"/>
              </w:rPr>
            </w:pPr>
            <w:r w:rsidRPr="00B24C99">
              <w:rPr>
                <w:rFonts w:ascii="Arial Narrow" w:hAnsi="Arial Narrow"/>
                <w:sz w:val="20"/>
                <w:szCs w:val="20"/>
              </w:rPr>
              <w:t>Chemo</w:t>
            </w:r>
          </w:p>
        </w:tc>
        <w:tc>
          <w:tcPr>
            <w:tcW w:w="2450" w:type="pct"/>
          </w:tcPr>
          <w:p w:rsidR="00C0080D" w:rsidRPr="00B24C99" w:rsidRDefault="00C0080D" w:rsidP="001D0CC7">
            <w:pPr>
              <w:keepNext/>
              <w:keepLines/>
              <w:jc w:val="left"/>
              <w:rPr>
                <w:rFonts w:ascii="Arial Narrow" w:hAnsi="Arial Narrow"/>
                <w:i/>
                <w:iCs/>
                <w:sz w:val="20"/>
                <w:szCs w:val="20"/>
              </w:rPr>
            </w:pPr>
            <w:r w:rsidRPr="00B24C99">
              <w:rPr>
                <w:rFonts w:ascii="Arial Narrow" w:hAnsi="Arial Narrow"/>
                <w:sz w:val="20"/>
                <w:szCs w:val="20"/>
              </w:rPr>
              <w:t>KM to 13.27 months, then log-logistic extrapolation</w:t>
            </w:r>
          </w:p>
        </w:tc>
        <w:tc>
          <w:tcPr>
            <w:tcW w:w="2094" w:type="pct"/>
          </w:tcPr>
          <w:p w:rsidR="00C0080D" w:rsidRPr="00B24C99" w:rsidRDefault="00C0080D" w:rsidP="001D0CC7">
            <w:pPr>
              <w:keepNext/>
              <w:keepLines/>
              <w:jc w:val="left"/>
              <w:rPr>
                <w:rFonts w:ascii="Arial Narrow" w:hAnsi="Arial Narrow"/>
                <w:i/>
                <w:iCs/>
                <w:sz w:val="20"/>
                <w:szCs w:val="20"/>
              </w:rPr>
            </w:pPr>
            <w:r w:rsidRPr="00B24C99">
              <w:rPr>
                <w:rFonts w:ascii="Arial Narrow" w:hAnsi="Arial Narrow"/>
                <w:sz w:val="20"/>
                <w:szCs w:val="20"/>
              </w:rPr>
              <w:t>KM to 13.27 months, then gamma extrapolation</w:t>
            </w:r>
          </w:p>
        </w:tc>
      </w:tr>
    </w:tbl>
    <w:p w:rsidR="00C0080D" w:rsidRPr="00B24C99" w:rsidRDefault="00C0080D" w:rsidP="001D0CC7">
      <w:pPr>
        <w:pStyle w:val="TableFooter"/>
        <w:keepNext/>
        <w:keepLines/>
      </w:pPr>
      <w:r w:rsidRPr="00B24C99">
        <w:t xml:space="preserve">Abbreviations: </w:t>
      </w:r>
      <w:bookmarkStart w:id="38" w:name="_Hlk61253807"/>
      <w:r w:rsidRPr="00B24C99">
        <w:t>Chemo, pemetrexed+cisplatin/carboplatin</w:t>
      </w:r>
      <w:bookmarkEnd w:id="38"/>
      <w:r w:rsidRPr="00B24C99">
        <w:t xml:space="preserve">; IPI, ipilimumab; KM, Kaplan-Meier; NIVO, nivolumab; OS, overall survival; PFS, progression free survival   </w:t>
      </w:r>
    </w:p>
    <w:p w:rsidR="00C0080D" w:rsidRPr="00B24C99" w:rsidRDefault="00C0080D" w:rsidP="00C0080D">
      <w:pPr>
        <w:pStyle w:val="3-BodyText"/>
        <w:numPr>
          <w:ilvl w:val="0"/>
          <w:numId w:val="0"/>
        </w:numPr>
      </w:pPr>
    </w:p>
    <w:p w:rsidR="00C0080D" w:rsidRPr="00B24C99" w:rsidRDefault="00C0080D" w:rsidP="00C0080D">
      <w:pPr>
        <w:pStyle w:val="TableFigureHeading"/>
      </w:pPr>
      <w:r w:rsidRPr="00B24C99">
        <w:lastRenderedPageBreak/>
        <w:t xml:space="preserve">Figure </w:t>
      </w:r>
      <w:r w:rsidR="00833773" w:rsidRPr="00B24C99">
        <w:t>4</w:t>
      </w:r>
      <w:r w:rsidRPr="00B24C99">
        <w:t>:  Parametric extrapolations of PFS (graph truncated at 50 months for visual clarity)</w:t>
      </w:r>
    </w:p>
    <w:p w:rsidR="00C0080D" w:rsidRPr="00B24C99" w:rsidRDefault="00C0080D" w:rsidP="00C0080D">
      <w:pPr>
        <w:pStyle w:val="BodyText"/>
        <w:keepNext/>
      </w:pPr>
      <w:r w:rsidRPr="00B24C99">
        <w:rPr>
          <w:noProof/>
        </w:rPr>
        <w:drawing>
          <wp:inline distT="0" distB="0" distL="0" distR="0" wp14:anchorId="500F24AC" wp14:editId="6FFEC2B5">
            <wp:extent cx="5732145" cy="3745236"/>
            <wp:effectExtent l="0" t="0" r="1905" b="7620"/>
            <wp:docPr id="4" name="Picture 4" title="Figure 4:  Parametric extrapolations of PFS (graph truncated at 50 months for visual cl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3745236"/>
                    </a:xfrm>
                    <a:prstGeom prst="rect">
                      <a:avLst/>
                    </a:prstGeom>
                    <a:noFill/>
                    <a:ln>
                      <a:noFill/>
                    </a:ln>
                  </pic:spPr>
                </pic:pic>
              </a:graphicData>
            </a:graphic>
          </wp:inline>
        </w:drawing>
      </w:r>
    </w:p>
    <w:p w:rsidR="008D2AAD" w:rsidRPr="00B24C99" w:rsidRDefault="008D2AAD" w:rsidP="008D2AAD">
      <w:pPr>
        <w:pStyle w:val="TableFigureFooter"/>
        <w:rPr>
          <w:lang w:eastAsia="en-GB"/>
        </w:rPr>
      </w:pPr>
      <w:r w:rsidRPr="00B24C99">
        <w:rPr>
          <w:lang w:eastAsia="en-GB"/>
        </w:rPr>
        <w:t>Note: KM curves truncated to 29.7 months (median OS follow up)</w:t>
      </w:r>
    </w:p>
    <w:p w:rsidR="00C0080D" w:rsidRPr="00B24C99" w:rsidRDefault="00C0080D" w:rsidP="00C0080D">
      <w:pPr>
        <w:pStyle w:val="TableFigureFooter"/>
        <w:keepNext/>
        <w:rPr>
          <w:lang w:eastAsia="en-GB"/>
        </w:rPr>
      </w:pPr>
      <w:r w:rsidRPr="00B24C99">
        <w:rPr>
          <w:lang w:eastAsia="en-GB"/>
        </w:rPr>
        <w:t>Abbreviation</w:t>
      </w:r>
      <w:r w:rsidR="008D2AAD" w:rsidRPr="00B24C99">
        <w:rPr>
          <w:lang w:eastAsia="en-GB"/>
        </w:rPr>
        <w:t>s</w:t>
      </w:r>
      <w:r w:rsidRPr="00B24C99">
        <w:rPr>
          <w:lang w:eastAsia="en-GB"/>
        </w:rPr>
        <w:t>: CARBO, carboplatin. CIS, cisplatin; IPI, ipilimumab; KM, Kaplan-Meier; NIVO, nivolumab; PEM, pemetrexed; PFS, progression free survival</w:t>
      </w:r>
    </w:p>
    <w:p w:rsidR="00C0080D" w:rsidRPr="00B24C99" w:rsidRDefault="00C0080D" w:rsidP="00C0080D">
      <w:pPr>
        <w:pStyle w:val="TableFigureFooter"/>
        <w:keepNext/>
        <w:rPr>
          <w:lang w:eastAsia="en-GB"/>
        </w:rPr>
      </w:pPr>
      <w:r w:rsidRPr="00B24C99">
        <w:rPr>
          <w:lang w:eastAsia="en-GB"/>
        </w:rPr>
        <w:t>Source: Compiled</w:t>
      </w:r>
      <w:r w:rsidR="00DF5095" w:rsidRPr="00B24C99">
        <w:rPr>
          <w:lang w:eastAsia="en-GB"/>
        </w:rPr>
        <w:t xml:space="preserve"> during the evaluation</w:t>
      </w:r>
      <w:r w:rsidRPr="00B24C99">
        <w:rPr>
          <w:lang w:eastAsia="en-GB"/>
        </w:rPr>
        <w:t xml:space="preserve"> using the Excel workbook ‘Nivolumab plus Ipilimumab MPM Economic Evaluation.xlsm’</w:t>
      </w:r>
    </w:p>
    <w:p w:rsidR="00C0080D" w:rsidRPr="00B24C99" w:rsidRDefault="00C0080D" w:rsidP="00C0080D">
      <w:pPr>
        <w:pStyle w:val="3-BodyText"/>
        <w:numPr>
          <w:ilvl w:val="0"/>
          <w:numId w:val="0"/>
        </w:numPr>
      </w:pPr>
    </w:p>
    <w:p w:rsidR="00C0080D" w:rsidRPr="00B24C99" w:rsidRDefault="00C0080D" w:rsidP="00C0080D">
      <w:pPr>
        <w:pStyle w:val="3-BodyText"/>
      </w:pPr>
      <w:r w:rsidRPr="00B24C99">
        <w:t>Although the choice of the generalised gamma function to extrapolate PFS for NIVO+IPI was reasonable based on AIC/BIC values, it resulted in a long tail where 3.2% of NIVO+IPI patients were estimated to be progression-free at year 10, compared to 0.2% of pemetrexed-based chemotherapy patients. This implied that some patients may be cured by NIVO+IPI, which</w:t>
      </w:r>
      <w:r w:rsidRPr="00B24C99" w:rsidDel="002C5790">
        <w:t xml:space="preserve"> </w:t>
      </w:r>
      <w:r w:rsidRPr="00B24C99">
        <w:t xml:space="preserve">was not supported by the clinical evidence. </w:t>
      </w:r>
      <w:bookmarkStart w:id="39" w:name="_Hlk61254368"/>
      <w:r w:rsidRPr="00B24C99">
        <w:t>Using the log-logistic function to extrapolate PFS for pemetrexed-based chemotherapy also resulted in a long tail compared to other extrapolations, but this was not as pronounced as the NIVO+IPI arm, and the choice of function was reasonable based on AIC/BIC values and visual inspection</w:t>
      </w:r>
      <w:bookmarkEnd w:id="39"/>
      <w:r w:rsidR="00B24C99">
        <w:t xml:space="preserve">. </w:t>
      </w:r>
      <w:r w:rsidRPr="00B24C99">
        <w:t>Using the choice of PFS extrapolations to inform the choice for OS extrapolations was poorly justified. Previous studies of immunotherapies in solid tumours found no significant correlation between PFS and OS</w:t>
      </w:r>
      <w:r w:rsidRPr="00B24C99">
        <w:rPr>
          <w:rStyle w:val="FootnoteReference"/>
        </w:rPr>
        <w:footnoteReference w:id="10"/>
      </w:r>
      <w:r w:rsidRPr="00B24C99">
        <w:t>; furthermore, errors in the choice of PFS extrapolations would also carry through to the OS curves</w:t>
      </w:r>
      <w:r w:rsidR="00B24C99">
        <w:t xml:space="preserve">. </w:t>
      </w:r>
    </w:p>
    <w:p w:rsidR="00C0080D" w:rsidRPr="00B24C99" w:rsidRDefault="00C0080D" w:rsidP="00C0080D">
      <w:pPr>
        <w:pStyle w:val="TableFigureHeading"/>
      </w:pPr>
      <w:r w:rsidRPr="00B24C99">
        <w:lastRenderedPageBreak/>
        <w:t xml:space="preserve">Figure </w:t>
      </w:r>
      <w:r w:rsidR="00833773" w:rsidRPr="00B24C99">
        <w:t>5</w:t>
      </w:r>
      <w:r w:rsidR="00B80743" w:rsidRPr="00B24C99">
        <w:t>:</w:t>
      </w:r>
      <w:r w:rsidRPr="00B24C99">
        <w:t xml:space="preserve"> Parametric extrapolations of OS (graph truncated at 50 months for visual clarity)</w:t>
      </w:r>
    </w:p>
    <w:p w:rsidR="00C0080D" w:rsidRPr="00B24C99" w:rsidRDefault="00C0080D" w:rsidP="00C0080D">
      <w:pPr>
        <w:pStyle w:val="BodyText"/>
      </w:pPr>
      <w:r w:rsidRPr="00B24C99">
        <w:rPr>
          <w:noProof/>
        </w:rPr>
        <w:drawing>
          <wp:inline distT="0" distB="0" distL="0" distR="0" wp14:anchorId="1B808CFF" wp14:editId="2DADD433">
            <wp:extent cx="5732145" cy="3745230"/>
            <wp:effectExtent l="0" t="0" r="1905" b="7620"/>
            <wp:docPr id="40" name="Picture 40" title="Figure 5: Parametric extrapolations of OS (graph truncated at 50 months for visual cl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3745230"/>
                    </a:xfrm>
                    <a:prstGeom prst="rect">
                      <a:avLst/>
                    </a:prstGeom>
                    <a:noFill/>
                    <a:ln>
                      <a:noFill/>
                    </a:ln>
                  </pic:spPr>
                </pic:pic>
              </a:graphicData>
            </a:graphic>
          </wp:inline>
        </w:drawing>
      </w:r>
    </w:p>
    <w:p w:rsidR="000742D9" w:rsidRPr="00B24C99" w:rsidRDefault="000742D9" w:rsidP="00C0080D">
      <w:pPr>
        <w:rPr>
          <w:rFonts w:ascii="Arial Narrow" w:hAnsi="Arial Narrow" w:cs="Times New Roman"/>
          <w:sz w:val="18"/>
          <w:szCs w:val="18"/>
          <w:lang w:eastAsia="en-GB"/>
        </w:rPr>
      </w:pPr>
      <w:r w:rsidRPr="00B24C99">
        <w:rPr>
          <w:rFonts w:ascii="Arial Narrow" w:hAnsi="Arial Narrow" w:cs="Times New Roman"/>
          <w:sz w:val="18"/>
          <w:szCs w:val="18"/>
          <w:lang w:eastAsia="en-GB"/>
        </w:rPr>
        <w:t>Note: KM curves truncated to 29.7 months (median OS follow up)</w:t>
      </w:r>
    </w:p>
    <w:p w:rsidR="00C0080D" w:rsidRPr="00B24C99" w:rsidRDefault="00C0080D" w:rsidP="00C0080D">
      <w:pPr>
        <w:rPr>
          <w:rFonts w:ascii="Arial Narrow" w:hAnsi="Arial Narrow" w:cs="Times New Roman"/>
          <w:sz w:val="18"/>
          <w:szCs w:val="18"/>
          <w:lang w:eastAsia="en-GB"/>
        </w:rPr>
      </w:pPr>
      <w:r w:rsidRPr="00B24C99">
        <w:rPr>
          <w:rFonts w:ascii="Arial Narrow" w:hAnsi="Arial Narrow" w:cs="Times New Roman"/>
          <w:sz w:val="18"/>
          <w:szCs w:val="18"/>
          <w:lang w:eastAsia="en-GB"/>
        </w:rPr>
        <w:t>Abbreviation</w:t>
      </w:r>
      <w:r w:rsidR="000742D9" w:rsidRPr="00B24C99">
        <w:rPr>
          <w:rFonts w:ascii="Arial Narrow" w:hAnsi="Arial Narrow" w:cs="Times New Roman"/>
          <w:sz w:val="18"/>
          <w:szCs w:val="18"/>
          <w:lang w:eastAsia="en-GB"/>
        </w:rPr>
        <w:t>s</w:t>
      </w:r>
      <w:r w:rsidRPr="00B24C99">
        <w:rPr>
          <w:rFonts w:ascii="Arial Narrow" w:hAnsi="Arial Narrow" w:cs="Times New Roman"/>
          <w:sz w:val="18"/>
          <w:szCs w:val="18"/>
          <w:lang w:eastAsia="en-GB"/>
        </w:rPr>
        <w:t>: CARBO, carboplatin. CIS, cisplatin; IPI, ipilimumab; KM, Kaplan-Meier; OS, overall  survival; NIVO, nivolumab; PEM, pem</w:t>
      </w:r>
      <w:r w:rsidR="000742D9" w:rsidRPr="00B24C99">
        <w:rPr>
          <w:rFonts w:ascii="Arial Narrow" w:hAnsi="Arial Narrow" w:cs="Times New Roman"/>
          <w:sz w:val="18"/>
          <w:szCs w:val="18"/>
          <w:lang w:eastAsia="en-GB"/>
        </w:rPr>
        <w:t>e</w:t>
      </w:r>
      <w:r w:rsidRPr="00B24C99">
        <w:rPr>
          <w:rFonts w:ascii="Arial Narrow" w:hAnsi="Arial Narrow" w:cs="Times New Roman"/>
          <w:sz w:val="18"/>
          <w:szCs w:val="18"/>
          <w:lang w:eastAsia="en-GB"/>
        </w:rPr>
        <w:t>trexed</w:t>
      </w:r>
    </w:p>
    <w:p w:rsidR="00C0080D" w:rsidRPr="00B24C99" w:rsidRDefault="00C0080D" w:rsidP="00C0080D">
      <w:pPr>
        <w:rPr>
          <w:rFonts w:ascii="Arial Narrow" w:hAnsi="Arial Narrow" w:cs="Times New Roman"/>
          <w:sz w:val="18"/>
          <w:szCs w:val="18"/>
          <w:lang w:eastAsia="en-GB"/>
        </w:rPr>
      </w:pPr>
      <w:r w:rsidRPr="00B24C99">
        <w:rPr>
          <w:rFonts w:ascii="Arial Narrow" w:hAnsi="Arial Narrow" w:cs="Times New Roman"/>
          <w:sz w:val="18"/>
          <w:szCs w:val="18"/>
          <w:lang w:eastAsia="en-GB"/>
        </w:rPr>
        <w:t xml:space="preserve">Source: Compiled </w:t>
      </w:r>
      <w:r w:rsidR="00DF5095" w:rsidRPr="00B24C99">
        <w:rPr>
          <w:rFonts w:ascii="Arial Narrow" w:hAnsi="Arial Narrow" w:cs="Times New Roman"/>
          <w:sz w:val="18"/>
          <w:szCs w:val="18"/>
          <w:lang w:eastAsia="en-GB"/>
        </w:rPr>
        <w:t xml:space="preserve">during the evaluation </w:t>
      </w:r>
      <w:r w:rsidRPr="00B24C99">
        <w:rPr>
          <w:rFonts w:ascii="Arial Narrow" w:hAnsi="Arial Narrow" w:cs="Times New Roman"/>
          <w:sz w:val="18"/>
          <w:szCs w:val="18"/>
          <w:lang w:eastAsia="en-GB"/>
        </w:rPr>
        <w:t>using the Excel workbook ‘Nivolumab plus Ipilimumab MPM Economic Evaluation.xlsm’</w:t>
      </w:r>
    </w:p>
    <w:p w:rsidR="00C0080D" w:rsidRPr="00B24C99" w:rsidRDefault="00C0080D" w:rsidP="00C0080D">
      <w:pPr>
        <w:rPr>
          <w:rFonts w:ascii="Arial Narrow" w:hAnsi="Arial Narrow" w:cs="Times New Roman"/>
          <w:sz w:val="18"/>
          <w:szCs w:val="18"/>
          <w:lang w:eastAsia="en-GB"/>
        </w:rPr>
      </w:pPr>
    </w:p>
    <w:p w:rsidR="00C0080D" w:rsidRPr="00B24C99" w:rsidRDefault="00C0080D" w:rsidP="00C0080D">
      <w:pPr>
        <w:rPr>
          <w:rFonts w:ascii="Arial Narrow" w:hAnsi="Arial Narrow" w:cs="Times New Roman"/>
          <w:sz w:val="18"/>
          <w:szCs w:val="18"/>
          <w:lang w:eastAsia="en-GB"/>
        </w:rPr>
      </w:pPr>
    </w:p>
    <w:p w:rsidR="00C0080D" w:rsidRPr="00B24C99" w:rsidRDefault="00C0080D" w:rsidP="00F35AAD">
      <w:pPr>
        <w:pStyle w:val="3-BodyText"/>
      </w:pPr>
      <w:r w:rsidRPr="00B24C99">
        <w:t>For the OS extrapolations, the base case model applied the log-logistic and gamma functions for the NIVO+IPI and pemetrexed-based chemotherapy arms respectively. However, log-logistic was ranked 6</w:t>
      </w:r>
      <w:r w:rsidRPr="00B24C99">
        <w:rPr>
          <w:vertAlign w:val="superscript"/>
        </w:rPr>
        <w:t>th</w:t>
      </w:r>
      <w:r w:rsidRPr="00B24C99">
        <w:t xml:space="preserve"> of the parametric functions for NIVO+IPI (based on AIC/BIC) and visually overestimated the KM data from month 25 onwards. This resulted in 5.7% of NIVO+IPI patients estimated to be alive at 10 years, compared to 0.0% in the pemetrexed-based chemotherapy arm. Contrary to this, the base case model predicted 0.2% of pemetrexed-based chemotherapy patients to have not progressed at 10 years (i.e. PFS was predicted to be higher than OS). </w:t>
      </w:r>
      <w:r w:rsidR="003721CA" w:rsidRPr="00B24C99">
        <w:t xml:space="preserve">The </w:t>
      </w:r>
      <w:r w:rsidR="0058391B" w:rsidRPr="00B24C99">
        <w:t xml:space="preserve">ESC considered the </w:t>
      </w:r>
      <w:r w:rsidR="003721CA" w:rsidRPr="00B24C99">
        <w:t>proportion of patients alive at 10 years in the NIVO+IPI arm i</w:t>
      </w:r>
      <w:r w:rsidRPr="00B24C99">
        <w:t xml:space="preserve">s not clinically plausible and thus highlight the inconsistency in the approach taken to choose parametric functions for the respective extrapolations. Furthermore, choice of the log-logistic extrapolation for the NIVO+IPI arm implied a sustained OS benefit, which was not supported by the clinical evidence. Based on visual inspection and AIC/BIC rankings, the </w:t>
      </w:r>
      <w:r w:rsidR="00B30E69" w:rsidRPr="00B24C99">
        <w:t xml:space="preserve">evaluation considered the </w:t>
      </w:r>
      <w:r w:rsidRPr="00B24C99">
        <w:t xml:space="preserve">Weibull function demonstrated the best fit for the NIVO+IPI arm. </w:t>
      </w:r>
      <w:r w:rsidR="00B52FE4" w:rsidRPr="00B24C99">
        <w:t xml:space="preserve">The PSCR stated that if the Weibull function is used to extrapolate OS for the NIVO+IPI treatment arm, none of the first 4 best-fitting PFS functions are a valid choice for the NIVO+IPI arm (i.e., PFS exceeds OS from a certain </w:t>
      </w:r>
      <w:r w:rsidR="00B52FE4" w:rsidRPr="00B24C99">
        <w:lastRenderedPageBreak/>
        <w:t>time point).</w:t>
      </w:r>
      <w:r w:rsidR="00F35AAD" w:rsidRPr="00B24C99">
        <w:t xml:space="preserve"> The ESC considered using the choice of PFS extrapolations to inform the choice for OS extrapolations was not reasonable (paragraph </w:t>
      </w:r>
      <w:r w:rsidR="00F35AAD" w:rsidRPr="00A10DF7">
        <w:t>6.</w:t>
      </w:r>
      <w:r w:rsidR="00CC65AD" w:rsidRPr="00A10DF7">
        <w:t>51</w:t>
      </w:r>
      <w:r w:rsidR="00F35AAD" w:rsidRPr="00A10DF7">
        <w:t>).</w:t>
      </w:r>
      <w:r w:rsidR="00F35AAD" w:rsidRPr="00B24C99">
        <w:t xml:space="preserve"> </w:t>
      </w:r>
    </w:p>
    <w:p w:rsidR="00C0080D" w:rsidRPr="00B24C99" w:rsidRDefault="00C0080D" w:rsidP="00A15A9C">
      <w:pPr>
        <w:pStyle w:val="3-BodyText"/>
      </w:pPr>
      <w:r w:rsidRPr="00B24C99">
        <w:t xml:space="preserve">Time on treatment in the model was informed by the KM data for time to treatment discontinuation (TTD) from CheckMate 743. While this was reasonable, patients in the PBS setting may continue NIVO+IPI for longer than in the trial, particularly in the context of limited effectiveness of second-line therapies and the proposed PBS restriction allowing up to 24 months of therapy. A sensitivity analysis informed by the PFS rather than TTD KM data increased the ICER from a base case of </w:t>
      </w:r>
      <w:r w:rsidR="00A15A9C" w:rsidRPr="00A15A9C">
        <w:t xml:space="preserve">$55,000 to &lt; $75,000 </w:t>
      </w:r>
      <w:r w:rsidRPr="00B24C99">
        <w:t xml:space="preserve">to </w:t>
      </w:r>
      <w:r w:rsidR="00A15A9C" w:rsidRPr="00A15A9C">
        <w:t>$75,000 to &lt; $95,000</w:t>
      </w:r>
      <w:r w:rsidRPr="00B24C99">
        <w:t xml:space="preserve"> per QALY gained. This sensitivity analysis assumed that all patients in the NIVO+IPI arm continue treatment until disease progression, death or 24 months of treatment, consistent with the proposed PBS restriction.</w:t>
      </w:r>
      <w:r w:rsidR="00F35AAD" w:rsidRPr="00B24C99">
        <w:t xml:space="preserve"> The ESC agreed with the PSCR that using the TTD KM curve to inform time on treatment in the model was reasonable</w:t>
      </w:r>
      <w:r w:rsidR="00B24C99">
        <w:t xml:space="preserve">. </w:t>
      </w:r>
    </w:p>
    <w:p w:rsidR="00C0080D" w:rsidRPr="00B24C99" w:rsidRDefault="00C0080D" w:rsidP="00C0080D">
      <w:pPr>
        <w:pStyle w:val="3-BodyText"/>
      </w:pPr>
      <w:r w:rsidRPr="00B24C99">
        <w:t xml:space="preserve">Figure </w:t>
      </w:r>
      <w:r w:rsidR="00D635FB">
        <w:t>6</w:t>
      </w:r>
      <w:r w:rsidR="00D635FB" w:rsidRPr="00B24C99">
        <w:t xml:space="preserve"> </w:t>
      </w:r>
      <w:r w:rsidRPr="00B24C99">
        <w:t>illustrates the model traces compiled during the evaluation for both arms. At 10 years, more than 5% of patients remain alive in the NIVO+IPI arm and half of these have remained progression-free.</w:t>
      </w:r>
    </w:p>
    <w:p w:rsidR="00C0080D" w:rsidRPr="00B24C99" w:rsidRDefault="00C0080D" w:rsidP="006B5145">
      <w:pPr>
        <w:pStyle w:val="TableFigureHeading"/>
        <w:keepLines/>
      </w:pPr>
      <w:r w:rsidRPr="00B24C99">
        <w:lastRenderedPageBreak/>
        <w:t xml:space="preserve">Figure </w:t>
      </w:r>
      <w:r w:rsidR="00D635FB">
        <w:t>6</w:t>
      </w:r>
      <w:r w:rsidR="0092446A" w:rsidRPr="00B24C99">
        <w:t xml:space="preserve"> </w:t>
      </w:r>
      <w:r w:rsidRPr="00B24C99">
        <w:t>Cohort trace for base case economic model</w:t>
      </w:r>
    </w:p>
    <w:p w:rsidR="00C0080D" w:rsidRPr="00B24C99" w:rsidRDefault="00C0080D" w:rsidP="006B5145">
      <w:pPr>
        <w:pStyle w:val="BodyText"/>
        <w:keepNext/>
        <w:keepLines/>
        <w:rPr>
          <w:rFonts w:ascii="Arial Narrow" w:hAnsi="Arial Narrow"/>
          <w:b/>
          <w:sz w:val="20"/>
          <w:szCs w:val="20"/>
        </w:rPr>
      </w:pPr>
      <w:r w:rsidRPr="00B24C99">
        <w:rPr>
          <w:noProof/>
        </w:rPr>
        <w:drawing>
          <wp:inline distT="0" distB="0" distL="0" distR="0" wp14:anchorId="76409879" wp14:editId="27265764">
            <wp:extent cx="5732145" cy="4013603"/>
            <wp:effectExtent l="0" t="0" r="1905" b="6350"/>
            <wp:docPr id="38" name="Picture 38" title="Figure 6 Cohort trace for base cas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145" cy="4013603"/>
                    </a:xfrm>
                    <a:prstGeom prst="rect">
                      <a:avLst/>
                    </a:prstGeom>
                    <a:noFill/>
                    <a:ln>
                      <a:noFill/>
                    </a:ln>
                  </pic:spPr>
                </pic:pic>
              </a:graphicData>
            </a:graphic>
          </wp:inline>
        </w:drawing>
      </w:r>
    </w:p>
    <w:p w:rsidR="00C0080D" w:rsidRPr="00B24C99" w:rsidRDefault="00C0080D" w:rsidP="006B5145">
      <w:pPr>
        <w:pStyle w:val="TableFigureFooter"/>
        <w:keepNext/>
        <w:keepLines/>
      </w:pPr>
      <w:r w:rsidRPr="00B24C99">
        <w:t>Abbreviations: CARBO, carboplatin; CIS, cisplatin; IPI, ipilimumab; NIVO, nivolumab; PEM, pemetrexed; PD progressive disease; PF, progression free</w:t>
      </w:r>
    </w:p>
    <w:p w:rsidR="00C0080D" w:rsidRPr="00B24C99" w:rsidRDefault="00C0080D" w:rsidP="006B5145">
      <w:pPr>
        <w:pStyle w:val="TableFigureFooter"/>
        <w:keepNext/>
        <w:keepLines/>
      </w:pPr>
      <w:r w:rsidRPr="00B24C99">
        <w:t xml:space="preserve">Source: Compiled from </w:t>
      </w:r>
      <w:r w:rsidRPr="00B24C99">
        <w:rPr>
          <w:lang w:eastAsia="en-GB"/>
        </w:rPr>
        <w:t>Excel workbook ‘Nivolumab plus Ipilimumab MPM Economic Evaluation.xlsm’</w:t>
      </w:r>
    </w:p>
    <w:p w:rsidR="00C0080D" w:rsidRPr="00B24C99" w:rsidRDefault="00C0080D" w:rsidP="00A15A9C">
      <w:pPr>
        <w:pStyle w:val="3-BodyText"/>
      </w:pPr>
      <w:r w:rsidRPr="00B24C99">
        <w:t xml:space="preserve">Treatment specific health state utilities were applied in the economic evaluation, according to EQ-5D-3L data collected in Checkmate 743. No evidence was presented that justified a sustained difference in utility values between the two treatment arms beyond treatment discontinuation. If the same utility estimates for the PD state are applied in both treatment arms (average across both arms in Checkmate 743) the ICER increased to </w:t>
      </w:r>
      <w:r w:rsidR="00A15A9C" w:rsidRPr="00A15A9C">
        <w:t>$75,000 to &lt; $95,000</w:t>
      </w:r>
      <w:r w:rsidR="00A15A9C">
        <w:t xml:space="preserve"> </w:t>
      </w:r>
      <w:r w:rsidRPr="00B24C99">
        <w:t xml:space="preserve">per QALY gained if implemented from trial end (36 months), or </w:t>
      </w:r>
      <w:r w:rsidR="00A15A9C" w:rsidRPr="00A15A9C">
        <w:t>$75,000 to &lt; $95,000</w:t>
      </w:r>
      <w:r w:rsidR="00A15A9C">
        <w:t xml:space="preserve"> </w:t>
      </w:r>
      <w:r w:rsidRPr="00B24C99">
        <w:t>per QALY gained if applied for total time in the PD state.</w:t>
      </w:r>
    </w:p>
    <w:p w:rsidR="00C0080D" w:rsidRPr="00B24C99" w:rsidRDefault="00C0080D" w:rsidP="00C0080D">
      <w:pPr>
        <w:pStyle w:val="3-BodyText"/>
      </w:pPr>
      <w:r w:rsidRPr="00B24C99">
        <w:t xml:space="preserve">Table </w:t>
      </w:r>
      <w:r w:rsidR="00346D84" w:rsidRPr="00B24C99">
        <w:t>14</w:t>
      </w:r>
      <w:r w:rsidR="0092446A" w:rsidRPr="00B24C99">
        <w:t xml:space="preserve"> </w:t>
      </w:r>
      <w:r w:rsidRPr="00B24C99">
        <w:t xml:space="preserve">provides a summary of the key drivers in the modelled economic evaluation. </w:t>
      </w:r>
    </w:p>
    <w:p w:rsidR="00C0080D" w:rsidRPr="00B24C99" w:rsidRDefault="00C0080D" w:rsidP="00A10DF7">
      <w:pPr>
        <w:pStyle w:val="TableFigureHeading"/>
        <w:keepLines/>
        <w:rPr>
          <w:rStyle w:val="CommentReference"/>
          <w:b/>
          <w:szCs w:val="24"/>
        </w:rPr>
      </w:pPr>
      <w:r w:rsidRPr="00B24C99">
        <w:rPr>
          <w:rStyle w:val="CommentReference"/>
          <w:b/>
          <w:szCs w:val="24"/>
        </w:rPr>
        <w:lastRenderedPageBreak/>
        <w:t xml:space="preserve">Table </w:t>
      </w:r>
      <w:r w:rsidR="00346D84" w:rsidRPr="00B24C99">
        <w:rPr>
          <w:rStyle w:val="CommentReference"/>
          <w:b/>
          <w:szCs w:val="24"/>
        </w:rPr>
        <w:t>14</w:t>
      </w:r>
      <w:r w:rsidRPr="00B24C99">
        <w:rPr>
          <w:rStyle w:val="CommentReference"/>
          <w:b/>
          <w:szCs w:val="24"/>
        </w:rPr>
        <w:t xml:space="preserve">: Key drivers of the model - </w:t>
      </w:r>
      <w:r w:rsidRPr="00B24C99">
        <w:rPr>
          <w:rFonts w:cs="Arial"/>
          <w:szCs w:val="20"/>
        </w:rPr>
        <w:t>base case: $</w:t>
      </w:r>
      <w:r w:rsidR="004E3484">
        <w:rPr>
          <w:rFonts w:cs="Arial"/>
          <w:noProof/>
          <w:color w:val="000000"/>
          <w:szCs w:val="20"/>
          <w:highlight w:val="black"/>
        </w:rPr>
        <w:t>''''''''''''</w:t>
      </w:r>
      <w:r w:rsidR="00C72EC7">
        <w:rPr>
          <w:vertAlign w:val="superscript"/>
        </w:rPr>
        <w:t>1</w:t>
      </w:r>
      <w:r w:rsidRPr="00B24C99">
        <w:rPr>
          <w:rFonts w:cs="Arial"/>
          <w:szCs w:val="20"/>
        </w:rPr>
        <w:t>/QALY gained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40"/>
        <w:gridCol w:w="3509"/>
        <w:gridCol w:w="4368"/>
      </w:tblGrid>
      <w:tr w:rsidR="00C0080D" w:rsidRPr="00B24C99" w:rsidTr="00F85810">
        <w:trPr>
          <w:tblHeader/>
        </w:trPr>
        <w:tc>
          <w:tcPr>
            <w:tcW w:w="632" w:type="pct"/>
            <w:shd w:val="clear" w:color="auto" w:fill="auto"/>
            <w:vAlign w:val="center"/>
          </w:tcPr>
          <w:p w:rsidR="00C0080D" w:rsidRPr="00B24C99" w:rsidRDefault="00C0080D" w:rsidP="00A10DF7">
            <w:pPr>
              <w:pStyle w:val="In-tableHeading"/>
              <w:keepLines/>
              <w:jc w:val="center"/>
              <w:rPr>
                <w:lang w:val="en-AU"/>
              </w:rPr>
            </w:pPr>
            <w:r w:rsidRPr="00B24C99">
              <w:rPr>
                <w:lang w:val="en-AU"/>
              </w:rPr>
              <w:t>Description</w:t>
            </w:r>
          </w:p>
        </w:tc>
        <w:tc>
          <w:tcPr>
            <w:tcW w:w="1946" w:type="pct"/>
            <w:shd w:val="clear" w:color="auto" w:fill="auto"/>
            <w:vAlign w:val="center"/>
          </w:tcPr>
          <w:p w:rsidR="00C0080D" w:rsidRPr="00B24C99" w:rsidRDefault="00C0080D" w:rsidP="00A10DF7">
            <w:pPr>
              <w:pStyle w:val="In-tableHeading"/>
              <w:keepLines/>
              <w:jc w:val="center"/>
              <w:rPr>
                <w:lang w:val="en-AU"/>
              </w:rPr>
            </w:pPr>
            <w:r w:rsidRPr="00B24C99">
              <w:rPr>
                <w:lang w:val="en-AU"/>
              </w:rPr>
              <w:t>Method/Value</w:t>
            </w:r>
          </w:p>
        </w:tc>
        <w:tc>
          <w:tcPr>
            <w:tcW w:w="2422" w:type="pct"/>
            <w:shd w:val="clear" w:color="auto" w:fill="auto"/>
            <w:vAlign w:val="center"/>
          </w:tcPr>
          <w:p w:rsidR="00C0080D" w:rsidRPr="00B24C99" w:rsidRDefault="00C0080D" w:rsidP="00A10DF7">
            <w:pPr>
              <w:pStyle w:val="In-tableHeading"/>
              <w:keepLines/>
              <w:jc w:val="center"/>
              <w:rPr>
                <w:lang w:val="en-AU"/>
              </w:rPr>
            </w:pPr>
            <w:r w:rsidRPr="00B24C99">
              <w:rPr>
                <w:lang w:val="en-AU"/>
              </w:rPr>
              <w:t xml:space="preserve">Impact </w:t>
            </w:r>
          </w:p>
        </w:tc>
      </w:tr>
      <w:tr w:rsidR="00C0080D" w:rsidRPr="00B24C99" w:rsidTr="00F85810">
        <w:trPr>
          <w:tblHeader/>
        </w:trPr>
        <w:tc>
          <w:tcPr>
            <w:tcW w:w="632" w:type="pct"/>
            <w:shd w:val="clear" w:color="auto" w:fill="auto"/>
            <w:vAlign w:val="center"/>
          </w:tcPr>
          <w:p w:rsidR="00C0080D" w:rsidRPr="00B24C99" w:rsidRDefault="00C0080D" w:rsidP="00A10DF7">
            <w:pPr>
              <w:pStyle w:val="TableText0"/>
              <w:keepLines/>
            </w:pPr>
            <w:r w:rsidRPr="00B24C99">
              <w:t>Time horizon</w:t>
            </w:r>
          </w:p>
        </w:tc>
        <w:tc>
          <w:tcPr>
            <w:tcW w:w="1946" w:type="pct"/>
            <w:shd w:val="clear" w:color="auto" w:fill="auto"/>
            <w:vAlign w:val="center"/>
          </w:tcPr>
          <w:p w:rsidR="00C0080D" w:rsidRPr="00C72EC7" w:rsidRDefault="00C0080D" w:rsidP="00C72EC7">
            <w:pPr>
              <w:pStyle w:val="TableText0"/>
              <w:keepLines/>
              <w:rPr>
                <w:vertAlign w:val="superscript"/>
              </w:rPr>
            </w:pPr>
            <w:r w:rsidRPr="00B24C99">
              <w:t>The model assumed a 10-year time horizon, vs 29.7 mth median OS follow up.</w:t>
            </w:r>
          </w:p>
        </w:tc>
        <w:tc>
          <w:tcPr>
            <w:tcW w:w="2422" w:type="pct"/>
            <w:shd w:val="clear" w:color="auto" w:fill="auto"/>
            <w:vAlign w:val="center"/>
          </w:tcPr>
          <w:p w:rsidR="00C0080D" w:rsidRPr="00B24C99" w:rsidRDefault="00C0080D" w:rsidP="00A10DF7">
            <w:pPr>
              <w:pStyle w:val="TableText0"/>
              <w:keepLines/>
            </w:pPr>
            <w:r w:rsidRPr="00B24C99">
              <w:t>Moderate to high, favours NIVO+IPI. The ICER increased to $</w:t>
            </w:r>
            <w:r w:rsidR="004E3484">
              <w:rPr>
                <w:noProof/>
                <w:color w:val="000000"/>
                <w:highlight w:val="black"/>
              </w:rPr>
              <w:t>'''''''''''''''''</w:t>
            </w:r>
            <w:r w:rsidR="00C72EC7">
              <w:rPr>
                <w:vertAlign w:val="superscript"/>
              </w:rPr>
              <w:t>2</w:t>
            </w:r>
            <w:r w:rsidRPr="00B24C99">
              <w:t>/QALY gained for a 5-year time horizon.</w:t>
            </w:r>
          </w:p>
        </w:tc>
      </w:tr>
      <w:tr w:rsidR="00C0080D" w:rsidRPr="00B24C99" w:rsidTr="00F85810">
        <w:tc>
          <w:tcPr>
            <w:tcW w:w="632" w:type="pct"/>
            <w:vMerge w:val="restart"/>
            <w:shd w:val="clear" w:color="auto" w:fill="auto"/>
            <w:vAlign w:val="center"/>
          </w:tcPr>
          <w:p w:rsidR="00C0080D" w:rsidRPr="00B24C99" w:rsidRDefault="00C0080D" w:rsidP="00A10DF7">
            <w:pPr>
              <w:pStyle w:val="TableText0"/>
              <w:keepLines/>
              <w:jc w:val="center"/>
            </w:pPr>
            <w:r w:rsidRPr="00B24C99">
              <w:t>Extrapolation</w:t>
            </w:r>
          </w:p>
        </w:tc>
        <w:tc>
          <w:tcPr>
            <w:tcW w:w="1946" w:type="pct"/>
            <w:shd w:val="clear" w:color="auto" w:fill="auto"/>
            <w:vAlign w:val="center"/>
          </w:tcPr>
          <w:p w:rsidR="00C0080D" w:rsidRPr="00B24C99" w:rsidRDefault="00C0080D" w:rsidP="00A10DF7">
            <w:pPr>
              <w:pStyle w:val="TableText0"/>
              <w:keepLines/>
            </w:pPr>
            <w:r w:rsidRPr="00B24C99">
              <w:t>PFS and OS KM data used to 17.4 months for NIVO+IPI and 13.3 months for pemetrexed-based chemotherapy.</w:t>
            </w:r>
          </w:p>
        </w:tc>
        <w:tc>
          <w:tcPr>
            <w:tcW w:w="2422" w:type="pct"/>
            <w:shd w:val="clear" w:color="auto" w:fill="auto"/>
            <w:vAlign w:val="center"/>
          </w:tcPr>
          <w:p w:rsidR="00C0080D" w:rsidRPr="00B24C99" w:rsidRDefault="00C0080D" w:rsidP="00A10DF7">
            <w:pPr>
              <w:pStyle w:val="TableText0"/>
              <w:keepLines/>
            </w:pPr>
            <w:r w:rsidRPr="00B24C99">
              <w:t>Moderate, favours NIVO+IPI. Increasing use of PFS and OS KM data to 29.7 months for both arms increased the ICER to $</w:t>
            </w:r>
            <w:r w:rsidR="004E3484">
              <w:rPr>
                <w:noProof/>
                <w:color w:val="000000"/>
                <w:highlight w:val="black"/>
              </w:rPr>
              <w:t>''''''''''''''''''</w:t>
            </w:r>
            <w:r w:rsidR="00C72EC7">
              <w:rPr>
                <w:vertAlign w:val="superscript"/>
              </w:rPr>
              <w:t>3</w:t>
            </w:r>
            <w:r w:rsidRPr="00B24C99">
              <w:t xml:space="preserve">/QALY gained. </w:t>
            </w:r>
          </w:p>
        </w:tc>
      </w:tr>
      <w:tr w:rsidR="00C0080D" w:rsidRPr="00B24C99" w:rsidTr="00F85810">
        <w:tc>
          <w:tcPr>
            <w:tcW w:w="632" w:type="pct"/>
            <w:vMerge/>
            <w:shd w:val="clear" w:color="auto" w:fill="auto"/>
            <w:vAlign w:val="center"/>
          </w:tcPr>
          <w:p w:rsidR="00C0080D" w:rsidRPr="00B24C99" w:rsidRDefault="00C0080D" w:rsidP="00A10DF7">
            <w:pPr>
              <w:pStyle w:val="TableText0"/>
              <w:keepLines/>
              <w:jc w:val="center"/>
            </w:pPr>
          </w:p>
        </w:tc>
        <w:tc>
          <w:tcPr>
            <w:tcW w:w="1946" w:type="pct"/>
            <w:shd w:val="clear" w:color="auto" w:fill="auto"/>
            <w:vAlign w:val="center"/>
          </w:tcPr>
          <w:p w:rsidR="00C0080D" w:rsidRPr="00B24C99" w:rsidRDefault="00C0080D" w:rsidP="00A10DF7">
            <w:pPr>
              <w:pStyle w:val="TableText0"/>
              <w:keepLines/>
            </w:pPr>
            <w:r w:rsidRPr="00B24C99">
              <w:t>Choice of log-logistic extrapolation for the NIVO+IPI OS arm.</w:t>
            </w:r>
          </w:p>
        </w:tc>
        <w:tc>
          <w:tcPr>
            <w:tcW w:w="2422" w:type="pct"/>
            <w:shd w:val="clear" w:color="auto" w:fill="auto"/>
            <w:vAlign w:val="center"/>
          </w:tcPr>
          <w:p w:rsidR="00C0080D" w:rsidRPr="00B24C99" w:rsidRDefault="00C0080D" w:rsidP="00A10DF7">
            <w:pPr>
              <w:pStyle w:val="TableText0"/>
              <w:keepLines/>
            </w:pPr>
            <w:r w:rsidRPr="00B24C99">
              <w:t>High, favours NIVO+IPI</w:t>
            </w:r>
            <w:r w:rsidR="00B24C99">
              <w:t xml:space="preserve">. </w:t>
            </w:r>
            <w:r w:rsidRPr="00B24C99">
              <w:t>The ICER increased to $</w:t>
            </w:r>
            <w:r w:rsidR="004E3484">
              <w:rPr>
                <w:noProof/>
                <w:color w:val="000000"/>
                <w:highlight w:val="black"/>
              </w:rPr>
              <w:t>'''''''''''''''''''''</w:t>
            </w:r>
            <w:r w:rsidR="00C72EC7">
              <w:rPr>
                <w:vertAlign w:val="superscript"/>
              </w:rPr>
              <w:t>4</w:t>
            </w:r>
            <w:r w:rsidRPr="00B24C99">
              <w:t xml:space="preserve">/QALY gained when using the best fitting OS curve for NIVO+IPI (Weibull). </w:t>
            </w:r>
          </w:p>
        </w:tc>
      </w:tr>
    </w:tbl>
    <w:p w:rsidR="00C0080D" w:rsidRPr="00B24C99" w:rsidRDefault="00C0080D" w:rsidP="00A10DF7">
      <w:pPr>
        <w:pStyle w:val="TableFigureFooter"/>
        <w:keepNext/>
        <w:keepLines/>
        <w:spacing w:after="0"/>
      </w:pPr>
      <w:r w:rsidRPr="00B24C99">
        <w:t>Abbreviations: ICER, incremental cost-effectiveness ratio; IPI, ipilimumab; KM, Kaplan-Meier; LY, life-year; NIVO, nivolumab; OS, overall survival; PFS, progression free survival, QALY, quality-adjusted life-year; TTD, time to treatment discontinuation</w:t>
      </w:r>
    </w:p>
    <w:p w:rsidR="00C0080D" w:rsidRDefault="00C0080D" w:rsidP="00A10DF7">
      <w:pPr>
        <w:pStyle w:val="3-BodyText"/>
        <w:keepNext/>
        <w:keepLines/>
        <w:numPr>
          <w:ilvl w:val="0"/>
          <w:numId w:val="0"/>
        </w:numPr>
        <w:spacing w:after="0"/>
        <w:rPr>
          <w:rFonts w:ascii="Arial Narrow" w:hAnsi="Arial Narrow"/>
          <w:sz w:val="18"/>
          <w:szCs w:val="22"/>
        </w:rPr>
      </w:pPr>
      <w:r w:rsidRPr="00B24C99">
        <w:rPr>
          <w:rFonts w:ascii="Arial Narrow" w:hAnsi="Arial Narrow"/>
          <w:sz w:val="18"/>
          <w:szCs w:val="22"/>
        </w:rPr>
        <w:t>Source: compiled during the evaluation</w:t>
      </w:r>
    </w:p>
    <w:p w:rsidR="00A15A9C" w:rsidRPr="009868C4" w:rsidRDefault="00A15A9C" w:rsidP="00A15A9C">
      <w:pPr>
        <w:pStyle w:val="TableFigureFooter"/>
        <w:spacing w:after="0"/>
        <w:contextualSpacing w:val="0"/>
      </w:pPr>
      <w:r w:rsidRPr="009868C4">
        <w:rPr>
          <w:i/>
        </w:rPr>
        <w:t>The redacted values correspond to the following ranges</w:t>
      </w:r>
      <w:r>
        <w:rPr>
          <w:i/>
        </w:rPr>
        <w:t xml:space="preserve">: </w:t>
      </w:r>
    </w:p>
    <w:p w:rsidR="00A15A9C" w:rsidRDefault="00C72EC7" w:rsidP="00A10DF7">
      <w:pPr>
        <w:pStyle w:val="3-BodyText"/>
        <w:keepNext/>
        <w:keepLines/>
        <w:numPr>
          <w:ilvl w:val="0"/>
          <w:numId w:val="0"/>
        </w:numPr>
        <w:spacing w:after="0"/>
        <w:rPr>
          <w:rFonts w:ascii="Arial Narrow" w:hAnsi="Arial Narrow"/>
          <w:i/>
          <w:sz w:val="18"/>
          <w:szCs w:val="22"/>
        </w:rPr>
      </w:pPr>
      <w:r>
        <w:rPr>
          <w:rFonts w:ascii="Arial Narrow" w:hAnsi="Arial Narrow"/>
          <w:i/>
          <w:sz w:val="18"/>
          <w:szCs w:val="22"/>
          <w:vertAlign w:val="superscript"/>
        </w:rPr>
        <w:t xml:space="preserve">1 </w:t>
      </w:r>
      <w:r w:rsidRPr="00C72EC7">
        <w:rPr>
          <w:rFonts w:ascii="Arial Narrow" w:hAnsi="Arial Narrow"/>
          <w:i/>
          <w:sz w:val="18"/>
          <w:szCs w:val="22"/>
        </w:rPr>
        <w:t>$55,000 to &lt; $75,000</w:t>
      </w:r>
    </w:p>
    <w:p w:rsidR="00C72EC7" w:rsidRDefault="00C72EC7" w:rsidP="00A10DF7">
      <w:pPr>
        <w:pStyle w:val="3-BodyText"/>
        <w:keepNext/>
        <w:keepLines/>
        <w:numPr>
          <w:ilvl w:val="0"/>
          <w:numId w:val="0"/>
        </w:numPr>
        <w:spacing w:after="0"/>
        <w:rPr>
          <w:rFonts w:ascii="Arial Narrow" w:hAnsi="Arial Narrow"/>
          <w:i/>
          <w:sz w:val="18"/>
          <w:szCs w:val="22"/>
        </w:rPr>
      </w:pPr>
      <w:r>
        <w:rPr>
          <w:rFonts w:ascii="Arial Narrow" w:hAnsi="Arial Narrow"/>
          <w:i/>
          <w:sz w:val="18"/>
          <w:szCs w:val="22"/>
          <w:vertAlign w:val="superscript"/>
        </w:rPr>
        <w:t xml:space="preserve">2 </w:t>
      </w:r>
      <w:r w:rsidRPr="00C72EC7">
        <w:rPr>
          <w:rFonts w:ascii="Arial Narrow" w:hAnsi="Arial Narrow"/>
          <w:i/>
          <w:sz w:val="18"/>
          <w:szCs w:val="22"/>
        </w:rPr>
        <w:t>$95,000 to &lt; $115,000</w:t>
      </w:r>
    </w:p>
    <w:p w:rsidR="00C72EC7" w:rsidRDefault="00C72EC7" w:rsidP="00A10DF7">
      <w:pPr>
        <w:pStyle w:val="3-BodyText"/>
        <w:keepNext/>
        <w:keepLines/>
        <w:numPr>
          <w:ilvl w:val="0"/>
          <w:numId w:val="0"/>
        </w:numPr>
        <w:spacing w:after="0"/>
        <w:rPr>
          <w:rFonts w:ascii="Arial Narrow" w:hAnsi="Arial Narrow"/>
          <w:i/>
          <w:sz w:val="18"/>
          <w:szCs w:val="22"/>
        </w:rPr>
      </w:pPr>
      <w:r>
        <w:rPr>
          <w:rFonts w:ascii="Arial Narrow" w:hAnsi="Arial Narrow"/>
          <w:i/>
          <w:sz w:val="18"/>
          <w:szCs w:val="22"/>
          <w:vertAlign w:val="superscript"/>
        </w:rPr>
        <w:t xml:space="preserve">3 </w:t>
      </w:r>
      <w:r w:rsidRPr="00C72EC7">
        <w:rPr>
          <w:rFonts w:ascii="Arial Narrow" w:hAnsi="Arial Narrow"/>
          <w:i/>
          <w:sz w:val="18"/>
          <w:szCs w:val="22"/>
        </w:rPr>
        <w:t>$75,000 to &lt; $95,000</w:t>
      </w:r>
    </w:p>
    <w:p w:rsidR="00C72EC7" w:rsidRPr="00A15A9C" w:rsidRDefault="00C72EC7" w:rsidP="00A10DF7">
      <w:pPr>
        <w:pStyle w:val="3-BodyText"/>
        <w:keepNext/>
        <w:keepLines/>
        <w:numPr>
          <w:ilvl w:val="0"/>
          <w:numId w:val="0"/>
        </w:numPr>
        <w:spacing w:after="0"/>
        <w:rPr>
          <w:rFonts w:ascii="Arial Narrow" w:hAnsi="Arial Narrow"/>
          <w:i/>
          <w:sz w:val="18"/>
          <w:szCs w:val="22"/>
        </w:rPr>
      </w:pPr>
      <w:r>
        <w:rPr>
          <w:rFonts w:ascii="Arial Narrow" w:hAnsi="Arial Narrow"/>
          <w:i/>
          <w:sz w:val="18"/>
          <w:szCs w:val="22"/>
          <w:vertAlign w:val="superscript"/>
        </w:rPr>
        <w:t xml:space="preserve">4 </w:t>
      </w:r>
      <w:r w:rsidRPr="00C72EC7">
        <w:rPr>
          <w:rFonts w:ascii="Arial Narrow" w:hAnsi="Arial Narrow"/>
          <w:i/>
          <w:sz w:val="18"/>
          <w:szCs w:val="22"/>
        </w:rPr>
        <w:t>$135,000 to &lt; $155,000</w:t>
      </w:r>
    </w:p>
    <w:p w:rsidR="00C0080D" w:rsidRPr="00B24C99" w:rsidRDefault="00C0080D" w:rsidP="00C0080D">
      <w:pPr>
        <w:pStyle w:val="3-BodyText"/>
        <w:numPr>
          <w:ilvl w:val="0"/>
          <w:numId w:val="0"/>
        </w:numPr>
        <w:ind w:left="720" w:hanging="720"/>
      </w:pPr>
    </w:p>
    <w:p w:rsidR="00C0080D" w:rsidRPr="00B24C99" w:rsidRDefault="00C0080D" w:rsidP="00C0080D">
      <w:pPr>
        <w:pStyle w:val="3-BodyText"/>
      </w:pPr>
      <w:r w:rsidRPr="00B24C99">
        <w:t xml:space="preserve">The key drivers of the model were the choice of OS parametric extrapolation for the NIVO+IPI arm, the time horizon and the time at which extrapolations began. </w:t>
      </w:r>
      <w:r w:rsidR="008D2AAD" w:rsidRPr="00B24C99">
        <w:t xml:space="preserve">The model was moderately sensitive to the choice of utility estimates, </w:t>
      </w:r>
      <w:r w:rsidR="009A75AF" w:rsidRPr="00B24C99">
        <w:t>including</w:t>
      </w:r>
      <w:r w:rsidR="008D2AAD" w:rsidRPr="00B24C99">
        <w:t xml:space="preserve"> whether the utilities were assumed to be different between treatment arms and whether this difference persisted throughout the health states.</w:t>
      </w:r>
      <w:r w:rsidR="008D2AAD" w:rsidRPr="00B24C99" w:rsidDel="008D2AAD">
        <w:t xml:space="preserve"> </w:t>
      </w:r>
      <w:r w:rsidRPr="00B24C99">
        <w:t xml:space="preserve">The model was also moderately sensitive to patient weight (if varied +/-20%) and the assumption of drug wastage (zero wastage assumed in the base case). </w:t>
      </w:r>
    </w:p>
    <w:p w:rsidR="00C0080D" w:rsidRPr="00B24C99" w:rsidRDefault="00C0080D" w:rsidP="00C0080D">
      <w:pPr>
        <w:pStyle w:val="3-BodyText"/>
      </w:pPr>
      <w:r w:rsidRPr="00B24C99">
        <w:t>The summary results of the cost-effectiveness model are presented below. The incremental QALYs demonstrate how the NIVO+IPI arm is assumed to have a sustained benefit over pemetrexed-based chemotherapy in the extrapolated section of the model, with a small comparative increase in cost. This was driven by the lower utility for pemetrexed-based chemotherapy versus NIVO+IPI in the PD health state,</w:t>
      </w:r>
      <w:r w:rsidR="008D2AAD" w:rsidRPr="00B24C99">
        <w:t xml:space="preserve"> and</w:t>
      </w:r>
      <w:r w:rsidRPr="00B24C99">
        <w:t xml:space="preserve"> the additional 0.55 life years (undiscounted) accrued in PD for the NIVO+IPI arm over the chemotherapy arm. For comparison 0.48 additional life years (undiscounted) are accrued in PFS for NIVO+IPI versus pemetrexed plus cisplatin/carboplatin.</w:t>
      </w:r>
    </w:p>
    <w:p w:rsidR="00C0080D" w:rsidRPr="00B24C99" w:rsidRDefault="00C0080D" w:rsidP="00A32BD8">
      <w:pPr>
        <w:pStyle w:val="TableFigureHeading"/>
        <w:keepLines/>
      </w:pPr>
      <w:r w:rsidRPr="00B24C99">
        <w:rPr>
          <w:rStyle w:val="CommentReference"/>
          <w:b/>
          <w:szCs w:val="24"/>
        </w:rPr>
        <w:lastRenderedPageBreak/>
        <w:t xml:space="preserve">Table </w:t>
      </w:r>
      <w:r w:rsidR="00346D84" w:rsidRPr="00B24C99">
        <w:rPr>
          <w:rStyle w:val="CommentReference"/>
          <w:b/>
          <w:szCs w:val="24"/>
        </w:rPr>
        <w:t>15</w:t>
      </w:r>
      <w:r w:rsidRPr="00B24C99">
        <w:rPr>
          <w:rStyle w:val="CommentReference"/>
          <w:b/>
          <w:szCs w:val="24"/>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57"/>
        <w:gridCol w:w="2451"/>
        <w:gridCol w:w="2298"/>
        <w:gridCol w:w="1511"/>
      </w:tblGrid>
      <w:tr w:rsidR="00C0080D" w:rsidRPr="00B24C99" w:rsidTr="00F85810">
        <w:trPr>
          <w:cantSplit/>
          <w:tblHeader/>
        </w:trPr>
        <w:tc>
          <w:tcPr>
            <w:tcW w:w="1529" w:type="pct"/>
            <w:vAlign w:val="center"/>
          </w:tcPr>
          <w:p w:rsidR="00C0080D" w:rsidRPr="00B24C99" w:rsidRDefault="00C0080D" w:rsidP="00A32BD8">
            <w:pPr>
              <w:pStyle w:val="In-tableHeading"/>
              <w:keepLines/>
              <w:rPr>
                <w:lang w:val="en-AU"/>
              </w:rPr>
            </w:pPr>
            <w:r w:rsidRPr="00B24C99">
              <w:rPr>
                <w:lang w:val="en-AU"/>
              </w:rPr>
              <w:t>Step and component</w:t>
            </w:r>
          </w:p>
        </w:tc>
        <w:tc>
          <w:tcPr>
            <w:tcW w:w="1359" w:type="pct"/>
          </w:tcPr>
          <w:p w:rsidR="00C0080D" w:rsidRPr="00B24C99" w:rsidRDefault="00C0080D" w:rsidP="00A32BD8">
            <w:pPr>
              <w:pStyle w:val="In-tableHeading"/>
              <w:keepLines/>
              <w:jc w:val="center"/>
              <w:rPr>
                <w:lang w:val="en-AU"/>
              </w:rPr>
            </w:pPr>
            <w:r w:rsidRPr="00B24C99">
              <w:rPr>
                <w:lang w:val="en-AU"/>
              </w:rPr>
              <w:t>NIVO+IPI</w:t>
            </w:r>
          </w:p>
        </w:tc>
        <w:tc>
          <w:tcPr>
            <w:tcW w:w="1274" w:type="pct"/>
          </w:tcPr>
          <w:p w:rsidR="00C0080D" w:rsidRPr="00B24C99" w:rsidRDefault="00C0080D" w:rsidP="00A32BD8">
            <w:pPr>
              <w:pStyle w:val="In-tableHeading"/>
              <w:keepLines/>
              <w:jc w:val="center"/>
              <w:rPr>
                <w:lang w:val="en-AU"/>
              </w:rPr>
            </w:pPr>
            <w:r w:rsidRPr="00B24C99">
              <w:rPr>
                <w:lang w:val="en-AU"/>
              </w:rPr>
              <w:t>PEM+CIS/CARBO</w:t>
            </w:r>
          </w:p>
        </w:tc>
        <w:tc>
          <w:tcPr>
            <w:tcW w:w="838" w:type="pct"/>
            <w:vAlign w:val="center"/>
          </w:tcPr>
          <w:p w:rsidR="00C0080D" w:rsidRPr="00B24C99" w:rsidRDefault="00C0080D" w:rsidP="00A32BD8">
            <w:pPr>
              <w:pStyle w:val="In-tableHeading"/>
              <w:keepLines/>
              <w:jc w:val="center"/>
              <w:rPr>
                <w:lang w:val="en-AU"/>
              </w:rPr>
            </w:pPr>
            <w:r w:rsidRPr="00B24C99">
              <w:rPr>
                <w:lang w:val="en-AU"/>
              </w:rPr>
              <w:t>Increment</w:t>
            </w:r>
          </w:p>
        </w:tc>
      </w:tr>
      <w:tr w:rsidR="00C0080D" w:rsidRPr="00B24C99" w:rsidTr="00F85810">
        <w:trPr>
          <w:cantSplit/>
        </w:trPr>
        <w:tc>
          <w:tcPr>
            <w:tcW w:w="5000" w:type="pct"/>
            <w:gridSpan w:val="4"/>
            <w:vAlign w:val="center"/>
          </w:tcPr>
          <w:p w:rsidR="00C0080D" w:rsidRPr="00B24C99" w:rsidRDefault="00C0080D" w:rsidP="00A32BD8">
            <w:pPr>
              <w:pStyle w:val="In-tableHeading"/>
              <w:keepLines/>
              <w:rPr>
                <w:lang w:val="en-AU"/>
              </w:rPr>
            </w:pPr>
            <w:r w:rsidRPr="00B24C99">
              <w:rPr>
                <w:lang w:val="en-AU"/>
              </w:rPr>
              <w:t>Step 1: trial-based costs and outcomes</w:t>
            </w:r>
          </w:p>
        </w:tc>
      </w:tr>
      <w:tr w:rsidR="00C0080D" w:rsidRPr="00B24C99" w:rsidTr="00F85810">
        <w:trPr>
          <w:cantSplit/>
        </w:trPr>
        <w:tc>
          <w:tcPr>
            <w:tcW w:w="1529" w:type="pct"/>
            <w:vAlign w:val="center"/>
          </w:tcPr>
          <w:p w:rsidR="00C0080D" w:rsidRPr="00B24C99" w:rsidRDefault="00C0080D" w:rsidP="00A32BD8">
            <w:pPr>
              <w:pStyle w:val="TableText0"/>
              <w:keepLines/>
              <w:rPr>
                <w:rFonts w:ascii="Times" w:hAnsi="Times"/>
              </w:rPr>
            </w:pPr>
            <w:r w:rsidRPr="00B24C99">
              <w:t>Costs</w:t>
            </w:r>
          </w:p>
        </w:tc>
        <w:tc>
          <w:tcPr>
            <w:tcW w:w="1359" w:type="pct"/>
          </w:tcPr>
          <w:p w:rsidR="00C0080D" w:rsidRPr="00B24C99" w:rsidRDefault="00C0080D" w:rsidP="00A32BD8">
            <w:pPr>
              <w:pStyle w:val="TableText0"/>
              <w:keepLines/>
              <w:jc w:val="center"/>
              <w:rPr>
                <w:rFonts w:ascii="Times" w:hAnsi="Times"/>
              </w:rPr>
            </w:pPr>
            <w:r w:rsidRPr="00B24C99">
              <w:t>$</w:t>
            </w:r>
            <w:r w:rsidR="004E3484">
              <w:rPr>
                <w:noProof/>
                <w:color w:val="000000"/>
                <w:highlight w:val="black"/>
              </w:rPr>
              <w:t>''''''''''''''''''''''</w:t>
            </w:r>
          </w:p>
        </w:tc>
        <w:tc>
          <w:tcPr>
            <w:tcW w:w="1274" w:type="pct"/>
          </w:tcPr>
          <w:p w:rsidR="00C0080D" w:rsidRPr="00B24C99" w:rsidRDefault="00C0080D" w:rsidP="00A32BD8">
            <w:pPr>
              <w:pStyle w:val="TableText0"/>
              <w:keepLines/>
              <w:jc w:val="center"/>
              <w:rPr>
                <w:rFonts w:ascii="Times" w:hAnsi="Times"/>
              </w:rPr>
            </w:pPr>
            <w:r w:rsidRPr="00B24C99">
              <w:t>$32,197.31</w:t>
            </w:r>
          </w:p>
        </w:tc>
        <w:tc>
          <w:tcPr>
            <w:tcW w:w="838" w:type="pct"/>
          </w:tcPr>
          <w:p w:rsidR="00C0080D" w:rsidRPr="00B24C99" w:rsidRDefault="00C0080D" w:rsidP="00A32BD8">
            <w:pPr>
              <w:pStyle w:val="TableText0"/>
              <w:keepLines/>
              <w:jc w:val="center"/>
              <w:rPr>
                <w:rFonts w:ascii="Times" w:hAnsi="Times"/>
              </w:rPr>
            </w:pPr>
            <w:r w:rsidRPr="00B24C99">
              <w:t>$</w:t>
            </w:r>
            <w:r w:rsidR="004E3484">
              <w:rPr>
                <w:noProof/>
                <w:color w:val="000000"/>
                <w:highlight w:val="black"/>
              </w:rPr>
              <w:t>'''''''''''''''''''''''''</w:t>
            </w:r>
          </w:p>
        </w:tc>
      </w:tr>
      <w:tr w:rsidR="00C0080D" w:rsidRPr="00B24C99" w:rsidTr="00F85810">
        <w:trPr>
          <w:cantSplit/>
        </w:trPr>
        <w:tc>
          <w:tcPr>
            <w:tcW w:w="1529" w:type="pct"/>
            <w:vAlign w:val="center"/>
          </w:tcPr>
          <w:p w:rsidR="00C0080D" w:rsidRPr="00B24C99" w:rsidRDefault="00C0080D" w:rsidP="00A32BD8">
            <w:pPr>
              <w:pStyle w:val="TableText0"/>
              <w:keepLines/>
              <w:rPr>
                <w:rFonts w:ascii="Times" w:hAnsi="Times"/>
              </w:rPr>
            </w:pPr>
            <w:r w:rsidRPr="00B24C99">
              <w:t>LYs</w:t>
            </w:r>
          </w:p>
        </w:tc>
        <w:tc>
          <w:tcPr>
            <w:tcW w:w="1359" w:type="pct"/>
            <w:vAlign w:val="center"/>
          </w:tcPr>
          <w:p w:rsidR="00C0080D" w:rsidRPr="004E3484" w:rsidRDefault="00C0080D" w:rsidP="00A32BD8">
            <w:pPr>
              <w:pStyle w:val="TableText0"/>
              <w:keepLines/>
              <w:jc w:val="center"/>
              <w:rPr>
                <w:rFonts w:ascii="Times" w:hAnsi="Times"/>
              </w:rPr>
            </w:pPr>
            <w:r w:rsidRPr="004E3484">
              <w:t>1.648</w:t>
            </w:r>
          </w:p>
        </w:tc>
        <w:tc>
          <w:tcPr>
            <w:tcW w:w="1274" w:type="pct"/>
            <w:vAlign w:val="center"/>
          </w:tcPr>
          <w:p w:rsidR="00C0080D" w:rsidRPr="004E3484" w:rsidRDefault="00C0080D" w:rsidP="00A32BD8">
            <w:pPr>
              <w:pStyle w:val="TableText0"/>
              <w:keepLines/>
              <w:jc w:val="center"/>
              <w:rPr>
                <w:rFonts w:ascii="Times" w:hAnsi="Times"/>
              </w:rPr>
            </w:pPr>
            <w:r w:rsidRPr="004E3484">
              <w:t>1.369</w:t>
            </w:r>
          </w:p>
        </w:tc>
        <w:tc>
          <w:tcPr>
            <w:tcW w:w="838" w:type="pct"/>
            <w:vAlign w:val="center"/>
          </w:tcPr>
          <w:p w:rsidR="00C0080D" w:rsidRPr="004E3484" w:rsidRDefault="00C0080D" w:rsidP="00A32BD8">
            <w:pPr>
              <w:pStyle w:val="TableText0"/>
              <w:keepLines/>
              <w:jc w:val="center"/>
            </w:pPr>
            <w:r w:rsidRPr="004E3484">
              <w:t>0.280</w:t>
            </w:r>
          </w:p>
        </w:tc>
      </w:tr>
      <w:tr w:rsidR="00C0080D" w:rsidRPr="00B24C99" w:rsidTr="00F85810">
        <w:trPr>
          <w:cantSplit/>
        </w:trPr>
        <w:tc>
          <w:tcPr>
            <w:tcW w:w="4162" w:type="pct"/>
            <w:gridSpan w:val="3"/>
            <w:vAlign w:val="center"/>
          </w:tcPr>
          <w:p w:rsidR="00C0080D" w:rsidRPr="00B24C99" w:rsidRDefault="00C0080D" w:rsidP="00A32BD8">
            <w:pPr>
              <w:pStyle w:val="TableText0"/>
              <w:keepLines/>
              <w:rPr>
                <w:rFonts w:ascii="Times" w:hAnsi="Times"/>
              </w:rPr>
            </w:pPr>
            <w:r w:rsidRPr="00B24C99">
              <w:t>Incremental cost/extra LYs gained</w:t>
            </w:r>
          </w:p>
        </w:tc>
        <w:tc>
          <w:tcPr>
            <w:tcW w:w="838" w:type="pct"/>
            <w:vAlign w:val="center"/>
          </w:tcPr>
          <w:p w:rsidR="00C0080D" w:rsidRPr="00C72EC7" w:rsidRDefault="00C0080D" w:rsidP="00C72EC7">
            <w:pPr>
              <w:pStyle w:val="TableText0"/>
              <w:keepLines/>
              <w:jc w:val="center"/>
              <w:rPr>
                <w:rFonts w:ascii="Times" w:hAnsi="Times"/>
                <w:vertAlign w:val="superscript"/>
              </w:rPr>
            </w:pPr>
            <w:r w:rsidRPr="00B24C99">
              <w:t>$</w:t>
            </w:r>
            <w:r w:rsidR="004E3484">
              <w:rPr>
                <w:noProof/>
                <w:color w:val="000000"/>
                <w:highlight w:val="black"/>
              </w:rPr>
              <w:t>'''''''''''''''''''</w:t>
            </w:r>
            <w:r w:rsidR="00C72EC7">
              <w:rPr>
                <w:vertAlign w:val="superscript"/>
              </w:rPr>
              <w:t>1</w:t>
            </w:r>
            <w:r w:rsidRPr="00B24C99">
              <w:t>/LY</w:t>
            </w:r>
            <w:r w:rsidR="009255B9" w:rsidRPr="00B24C99">
              <w:t xml:space="preserve"> gained</w:t>
            </w:r>
          </w:p>
        </w:tc>
      </w:tr>
      <w:tr w:rsidR="00C0080D" w:rsidRPr="00B24C99" w:rsidTr="00F85810">
        <w:trPr>
          <w:cantSplit/>
        </w:trPr>
        <w:tc>
          <w:tcPr>
            <w:tcW w:w="5000" w:type="pct"/>
            <w:gridSpan w:val="4"/>
            <w:vAlign w:val="center"/>
          </w:tcPr>
          <w:p w:rsidR="00C0080D" w:rsidRPr="00B24C99" w:rsidRDefault="00C0080D" w:rsidP="00A32BD8">
            <w:pPr>
              <w:pStyle w:val="In-tableHeading"/>
              <w:keepLines/>
              <w:rPr>
                <w:lang w:val="en-AU"/>
              </w:rPr>
            </w:pPr>
            <w:r w:rsidRPr="00B24C99">
              <w:rPr>
                <w:lang w:val="en-AU"/>
              </w:rPr>
              <w:t>Step 2: trial evidence transformed to clinical outcome</w:t>
            </w:r>
          </w:p>
        </w:tc>
      </w:tr>
      <w:tr w:rsidR="00C0080D" w:rsidRPr="00B24C99" w:rsidTr="00F85810">
        <w:trPr>
          <w:cantSplit/>
        </w:trPr>
        <w:tc>
          <w:tcPr>
            <w:tcW w:w="1529" w:type="pct"/>
            <w:vAlign w:val="center"/>
          </w:tcPr>
          <w:p w:rsidR="00C0080D" w:rsidRPr="00B24C99" w:rsidRDefault="00C0080D" w:rsidP="00A32BD8">
            <w:pPr>
              <w:pStyle w:val="TableText0"/>
              <w:keepLines/>
              <w:rPr>
                <w:rFonts w:ascii="Times" w:hAnsi="Times"/>
              </w:rPr>
            </w:pPr>
            <w:r w:rsidRPr="00B24C99">
              <w:t>Costs</w:t>
            </w:r>
          </w:p>
        </w:tc>
        <w:tc>
          <w:tcPr>
            <w:tcW w:w="1359" w:type="pct"/>
          </w:tcPr>
          <w:p w:rsidR="00C0080D" w:rsidRPr="00B24C99" w:rsidRDefault="00C0080D" w:rsidP="00A32BD8">
            <w:pPr>
              <w:pStyle w:val="TableText0"/>
              <w:keepLines/>
              <w:jc w:val="center"/>
              <w:rPr>
                <w:rFonts w:ascii="Times" w:hAnsi="Times"/>
              </w:rPr>
            </w:pPr>
            <w:r w:rsidRPr="00B24C99">
              <w:t>$</w:t>
            </w:r>
            <w:r w:rsidR="004E3484">
              <w:rPr>
                <w:noProof/>
                <w:color w:val="000000"/>
                <w:highlight w:val="black"/>
              </w:rPr>
              <w:t>'''''''''''''''''''''''''</w:t>
            </w:r>
          </w:p>
        </w:tc>
        <w:tc>
          <w:tcPr>
            <w:tcW w:w="1274" w:type="pct"/>
          </w:tcPr>
          <w:p w:rsidR="00C0080D" w:rsidRPr="00B24C99" w:rsidRDefault="00C0080D" w:rsidP="00A32BD8">
            <w:pPr>
              <w:pStyle w:val="TableText0"/>
              <w:keepLines/>
              <w:jc w:val="center"/>
              <w:rPr>
                <w:rFonts w:ascii="Times" w:hAnsi="Times"/>
              </w:rPr>
            </w:pPr>
            <w:r w:rsidRPr="00B24C99">
              <w:t>$32,197.31</w:t>
            </w:r>
          </w:p>
        </w:tc>
        <w:tc>
          <w:tcPr>
            <w:tcW w:w="838" w:type="pct"/>
          </w:tcPr>
          <w:p w:rsidR="00C0080D" w:rsidRPr="00B24C99" w:rsidRDefault="00C0080D" w:rsidP="00A32BD8">
            <w:pPr>
              <w:pStyle w:val="TableText0"/>
              <w:keepLines/>
              <w:jc w:val="center"/>
              <w:rPr>
                <w:rFonts w:ascii="Times" w:hAnsi="Times"/>
              </w:rPr>
            </w:pPr>
            <w:r w:rsidRPr="00B24C99">
              <w:t>$</w:t>
            </w:r>
            <w:r w:rsidR="004E3484">
              <w:rPr>
                <w:noProof/>
                <w:color w:val="000000"/>
                <w:highlight w:val="black"/>
              </w:rPr>
              <w:t>''''''''''''''''''''''''''</w:t>
            </w:r>
          </w:p>
        </w:tc>
      </w:tr>
      <w:tr w:rsidR="00C0080D" w:rsidRPr="00B24C99" w:rsidTr="00F85810">
        <w:trPr>
          <w:cantSplit/>
        </w:trPr>
        <w:tc>
          <w:tcPr>
            <w:tcW w:w="1529" w:type="pct"/>
            <w:vAlign w:val="center"/>
          </w:tcPr>
          <w:p w:rsidR="00C0080D" w:rsidRPr="00B24C99" w:rsidRDefault="00C0080D" w:rsidP="00A32BD8">
            <w:pPr>
              <w:pStyle w:val="TableText0"/>
              <w:keepLines/>
              <w:rPr>
                <w:rFonts w:ascii="Times" w:hAnsi="Times"/>
              </w:rPr>
            </w:pPr>
            <w:r w:rsidRPr="00B24C99">
              <w:t>QALYs</w:t>
            </w:r>
          </w:p>
        </w:tc>
        <w:tc>
          <w:tcPr>
            <w:tcW w:w="1359" w:type="pct"/>
            <w:vAlign w:val="center"/>
          </w:tcPr>
          <w:p w:rsidR="00C0080D" w:rsidRPr="004E3484" w:rsidRDefault="00C0080D" w:rsidP="00A32BD8">
            <w:pPr>
              <w:pStyle w:val="TableText0"/>
              <w:keepLines/>
              <w:jc w:val="center"/>
              <w:rPr>
                <w:rFonts w:ascii="Times" w:hAnsi="Times"/>
              </w:rPr>
            </w:pPr>
            <w:r w:rsidRPr="004E3484">
              <w:t>1.190</w:t>
            </w:r>
          </w:p>
        </w:tc>
        <w:tc>
          <w:tcPr>
            <w:tcW w:w="1274" w:type="pct"/>
            <w:vAlign w:val="center"/>
          </w:tcPr>
          <w:p w:rsidR="00C0080D" w:rsidRPr="004E3484" w:rsidRDefault="00C0080D" w:rsidP="00A32BD8">
            <w:pPr>
              <w:pStyle w:val="TableText0"/>
              <w:keepLines/>
              <w:jc w:val="center"/>
              <w:rPr>
                <w:rFonts w:ascii="Times" w:hAnsi="Times"/>
              </w:rPr>
            </w:pPr>
            <w:r w:rsidRPr="004E3484">
              <w:t>0.951</w:t>
            </w:r>
          </w:p>
        </w:tc>
        <w:tc>
          <w:tcPr>
            <w:tcW w:w="838" w:type="pct"/>
            <w:vAlign w:val="center"/>
          </w:tcPr>
          <w:p w:rsidR="00C0080D" w:rsidRPr="004E3484" w:rsidRDefault="00C0080D" w:rsidP="00A32BD8">
            <w:pPr>
              <w:pStyle w:val="TableText0"/>
              <w:keepLines/>
              <w:jc w:val="center"/>
            </w:pPr>
            <w:r w:rsidRPr="004E3484">
              <w:t>0.240</w:t>
            </w:r>
          </w:p>
        </w:tc>
      </w:tr>
      <w:tr w:rsidR="00C0080D" w:rsidRPr="00B24C99" w:rsidTr="00F85810">
        <w:trPr>
          <w:cantSplit/>
        </w:trPr>
        <w:tc>
          <w:tcPr>
            <w:tcW w:w="4162" w:type="pct"/>
            <w:gridSpan w:val="3"/>
            <w:vAlign w:val="center"/>
          </w:tcPr>
          <w:p w:rsidR="00C0080D" w:rsidRPr="00B24C99" w:rsidRDefault="00C0080D" w:rsidP="00A32BD8">
            <w:pPr>
              <w:pStyle w:val="TableText0"/>
              <w:keepLines/>
              <w:rPr>
                <w:rFonts w:ascii="Times" w:hAnsi="Times"/>
              </w:rPr>
            </w:pPr>
            <w:r w:rsidRPr="00B24C99">
              <w:t>Incremental cost/extra QALYs gained</w:t>
            </w:r>
          </w:p>
        </w:tc>
        <w:tc>
          <w:tcPr>
            <w:tcW w:w="838" w:type="pct"/>
            <w:vAlign w:val="center"/>
          </w:tcPr>
          <w:p w:rsidR="00C0080D" w:rsidRPr="00B24C99" w:rsidRDefault="00C0080D" w:rsidP="00A32BD8">
            <w:pPr>
              <w:pStyle w:val="TableText0"/>
              <w:keepLines/>
              <w:jc w:val="center"/>
              <w:rPr>
                <w:rFonts w:ascii="Times" w:hAnsi="Times"/>
              </w:rPr>
            </w:pPr>
            <w:r w:rsidRPr="00B24C99">
              <w:t>$</w:t>
            </w:r>
            <w:r w:rsidR="004E3484">
              <w:rPr>
                <w:noProof/>
                <w:color w:val="000000"/>
                <w:highlight w:val="black"/>
              </w:rPr>
              <w:t>'''''''''''''''''''''</w:t>
            </w:r>
            <w:r w:rsidR="00C72EC7">
              <w:rPr>
                <w:vertAlign w:val="superscript"/>
              </w:rPr>
              <w:t>1</w:t>
            </w:r>
            <w:r w:rsidRPr="00B24C99">
              <w:t>/QALY gained</w:t>
            </w:r>
          </w:p>
        </w:tc>
      </w:tr>
      <w:tr w:rsidR="00C0080D" w:rsidRPr="00B24C99" w:rsidTr="00F85810">
        <w:trPr>
          <w:cantSplit/>
        </w:trPr>
        <w:tc>
          <w:tcPr>
            <w:tcW w:w="5000" w:type="pct"/>
            <w:gridSpan w:val="4"/>
            <w:vAlign w:val="center"/>
          </w:tcPr>
          <w:p w:rsidR="00C0080D" w:rsidRPr="00B24C99" w:rsidRDefault="00C0080D" w:rsidP="00A32BD8">
            <w:pPr>
              <w:pStyle w:val="In-tableHeading"/>
              <w:keepLines/>
              <w:rPr>
                <w:lang w:val="en-AU"/>
              </w:rPr>
            </w:pPr>
            <w:r w:rsidRPr="00B24C99">
              <w:rPr>
                <w:lang w:val="en-AU"/>
              </w:rPr>
              <w:t>Step 3: trial evidence transformed to clinical outcome, extrapolated to 10-year time horizon</w:t>
            </w:r>
          </w:p>
        </w:tc>
      </w:tr>
      <w:tr w:rsidR="00C0080D" w:rsidRPr="00B24C99" w:rsidTr="00F85810">
        <w:trPr>
          <w:cantSplit/>
        </w:trPr>
        <w:tc>
          <w:tcPr>
            <w:tcW w:w="1529" w:type="pct"/>
            <w:vAlign w:val="center"/>
          </w:tcPr>
          <w:p w:rsidR="00C0080D" w:rsidRPr="00B24C99" w:rsidRDefault="00C0080D" w:rsidP="00A32BD8">
            <w:pPr>
              <w:pStyle w:val="TableText0"/>
              <w:keepLines/>
              <w:rPr>
                <w:rFonts w:ascii="Times" w:hAnsi="Times"/>
              </w:rPr>
            </w:pPr>
            <w:r w:rsidRPr="00B24C99">
              <w:t>Costs</w:t>
            </w:r>
          </w:p>
        </w:tc>
        <w:tc>
          <w:tcPr>
            <w:tcW w:w="1359" w:type="pct"/>
          </w:tcPr>
          <w:p w:rsidR="00C0080D" w:rsidRPr="00B24C99" w:rsidRDefault="00C0080D" w:rsidP="00A32BD8">
            <w:pPr>
              <w:pStyle w:val="TableText0"/>
              <w:keepLines/>
              <w:jc w:val="center"/>
              <w:rPr>
                <w:rFonts w:ascii="Times" w:hAnsi="Times"/>
              </w:rPr>
            </w:pPr>
            <w:r w:rsidRPr="00B24C99">
              <w:t>$</w:t>
            </w:r>
            <w:r w:rsidR="004E3484">
              <w:rPr>
                <w:noProof/>
                <w:color w:val="000000"/>
                <w:highlight w:val="black"/>
              </w:rPr>
              <w:t>'''''''''''''''''''''''</w:t>
            </w:r>
          </w:p>
        </w:tc>
        <w:tc>
          <w:tcPr>
            <w:tcW w:w="1274" w:type="pct"/>
          </w:tcPr>
          <w:p w:rsidR="00C0080D" w:rsidRPr="00B24C99" w:rsidRDefault="00C0080D" w:rsidP="00A32BD8">
            <w:pPr>
              <w:pStyle w:val="TableText0"/>
              <w:keepLines/>
              <w:jc w:val="center"/>
              <w:rPr>
                <w:rFonts w:ascii="Times" w:hAnsi="Times"/>
              </w:rPr>
            </w:pPr>
            <w:r w:rsidRPr="00B24C99">
              <w:t>$35,301.90</w:t>
            </w:r>
          </w:p>
        </w:tc>
        <w:tc>
          <w:tcPr>
            <w:tcW w:w="838" w:type="pct"/>
          </w:tcPr>
          <w:p w:rsidR="00C0080D" w:rsidRPr="00B24C99" w:rsidRDefault="00C0080D" w:rsidP="00A32BD8">
            <w:pPr>
              <w:pStyle w:val="TableText0"/>
              <w:keepLines/>
              <w:jc w:val="center"/>
              <w:rPr>
                <w:rFonts w:ascii="Times" w:hAnsi="Times"/>
              </w:rPr>
            </w:pPr>
            <w:r w:rsidRPr="00B24C99">
              <w:t>$</w:t>
            </w:r>
            <w:r w:rsidR="004E3484">
              <w:rPr>
                <w:noProof/>
                <w:color w:val="000000"/>
                <w:highlight w:val="black"/>
              </w:rPr>
              <w:t>'''''''''''''''''''''''</w:t>
            </w:r>
          </w:p>
        </w:tc>
      </w:tr>
      <w:tr w:rsidR="00C0080D" w:rsidRPr="00B24C99" w:rsidTr="00F85810">
        <w:trPr>
          <w:cantSplit/>
        </w:trPr>
        <w:tc>
          <w:tcPr>
            <w:tcW w:w="1529" w:type="pct"/>
            <w:vAlign w:val="center"/>
          </w:tcPr>
          <w:p w:rsidR="00C0080D" w:rsidRPr="00B24C99" w:rsidRDefault="00C0080D" w:rsidP="00A32BD8">
            <w:pPr>
              <w:pStyle w:val="TableText0"/>
              <w:keepLines/>
              <w:rPr>
                <w:rFonts w:ascii="Times" w:hAnsi="Times"/>
              </w:rPr>
            </w:pPr>
            <w:r w:rsidRPr="00B24C99">
              <w:t>QALYs</w:t>
            </w:r>
          </w:p>
        </w:tc>
        <w:tc>
          <w:tcPr>
            <w:tcW w:w="1359" w:type="pct"/>
            <w:vAlign w:val="center"/>
          </w:tcPr>
          <w:p w:rsidR="00C0080D" w:rsidRPr="004E3484" w:rsidRDefault="00C0080D" w:rsidP="00A32BD8">
            <w:pPr>
              <w:pStyle w:val="TableText0"/>
              <w:keepLines/>
              <w:jc w:val="center"/>
              <w:rPr>
                <w:rFonts w:ascii="Times" w:hAnsi="Times"/>
              </w:rPr>
            </w:pPr>
            <w:r w:rsidRPr="004E3484">
              <w:t>1.678</w:t>
            </w:r>
          </w:p>
        </w:tc>
        <w:tc>
          <w:tcPr>
            <w:tcW w:w="1274" w:type="pct"/>
            <w:vAlign w:val="center"/>
          </w:tcPr>
          <w:p w:rsidR="00C0080D" w:rsidRPr="004E3484" w:rsidRDefault="00C0080D" w:rsidP="00A32BD8">
            <w:pPr>
              <w:pStyle w:val="TableText0"/>
              <w:keepLines/>
              <w:jc w:val="center"/>
              <w:rPr>
                <w:rFonts w:ascii="Times" w:hAnsi="Times"/>
              </w:rPr>
            </w:pPr>
            <w:r w:rsidRPr="004E3484">
              <w:t>1.028</w:t>
            </w:r>
          </w:p>
        </w:tc>
        <w:tc>
          <w:tcPr>
            <w:tcW w:w="838" w:type="pct"/>
            <w:vAlign w:val="center"/>
          </w:tcPr>
          <w:p w:rsidR="00C0080D" w:rsidRPr="004E3484" w:rsidRDefault="00C0080D" w:rsidP="00A32BD8">
            <w:pPr>
              <w:pStyle w:val="TableText0"/>
              <w:keepLines/>
              <w:jc w:val="center"/>
            </w:pPr>
            <w:r w:rsidRPr="004E3484">
              <w:t>0.650</w:t>
            </w:r>
          </w:p>
        </w:tc>
      </w:tr>
      <w:tr w:rsidR="00C0080D" w:rsidRPr="00B24C99" w:rsidTr="00F85810">
        <w:trPr>
          <w:cantSplit/>
        </w:trPr>
        <w:tc>
          <w:tcPr>
            <w:tcW w:w="4162" w:type="pct"/>
            <w:gridSpan w:val="3"/>
            <w:vAlign w:val="center"/>
          </w:tcPr>
          <w:p w:rsidR="00C0080D" w:rsidRPr="00B24C99" w:rsidRDefault="00C0080D" w:rsidP="00A32BD8">
            <w:pPr>
              <w:pStyle w:val="TableText0"/>
              <w:keepLines/>
              <w:rPr>
                <w:rFonts w:ascii="Times" w:hAnsi="Times"/>
              </w:rPr>
            </w:pPr>
            <w:r w:rsidRPr="00B24C99">
              <w:t>Incremental cost/extra QALYs  gained</w:t>
            </w:r>
          </w:p>
        </w:tc>
        <w:tc>
          <w:tcPr>
            <w:tcW w:w="838" w:type="pct"/>
            <w:vAlign w:val="center"/>
          </w:tcPr>
          <w:p w:rsidR="00C0080D" w:rsidRPr="00B24C99" w:rsidRDefault="00C0080D" w:rsidP="00A32BD8">
            <w:pPr>
              <w:pStyle w:val="TableText0"/>
              <w:keepLines/>
              <w:jc w:val="center"/>
              <w:rPr>
                <w:rFonts w:ascii="Times" w:hAnsi="Times"/>
              </w:rPr>
            </w:pPr>
            <w:r w:rsidRPr="00B24C99">
              <w:t>$</w:t>
            </w:r>
            <w:r w:rsidR="004E3484">
              <w:rPr>
                <w:noProof/>
                <w:color w:val="000000"/>
                <w:highlight w:val="black"/>
              </w:rPr>
              <w:t>'''''''''''''''''</w:t>
            </w:r>
            <w:r w:rsidR="00C72EC7">
              <w:rPr>
                <w:vertAlign w:val="superscript"/>
              </w:rPr>
              <w:t>2</w:t>
            </w:r>
            <w:r w:rsidRPr="00B24C99">
              <w:t>/QALY gained</w:t>
            </w:r>
          </w:p>
        </w:tc>
      </w:tr>
    </w:tbl>
    <w:p w:rsidR="008D2AAD" w:rsidRPr="00B24C99" w:rsidRDefault="008D2AAD" w:rsidP="00A32BD8">
      <w:pPr>
        <w:pStyle w:val="TableFigureFooter"/>
        <w:keepNext/>
        <w:keepLines/>
      </w:pPr>
      <w:r w:rsidRPr="00B24C99">
        <w:t>Notes: chemotherapy split was 100% pemetrexed, 33% cisplatin, 67% carboplatin as received in Checkmate 743.</w:t>
      </w:r>
    </w:p>
    <w:p w:rsidR="00C0080D" w:rsidRPr="00B24C99" w:rsidRDefault="00C0080D" w:rsidP="00A32BD8">
      <w:pPr>
        <w:pStyle w:val="TableFigureFooter"/>
        <w:keepNext/>
        <w:keepLines/>
      </w:pPr>
      <w:r w:rsidRPr="00B24C99">
        <w:t>Abbreviations: CARBO, carboplatin; CIS, cisplatin; IPI, ipilimumab; LY, life year; NIVO, nivolumab; PEM, pemetrexed; QALY, quality-adjusted life-year</w:t>
      </w:r>
    </w:p>
    <w:p w:rsidR="00C0080D" w:rsidRDefault="00C0080D" w:rsidP="00A32BD8">
      <w:pPr>
        <w:pStyle w:val="TableFigureFooter"/>
        <w:keepNext/>
        <w:keepLines/>
      </w:pPr>
      <w:r w:rsidRPr="00B24C99">
        <w:t>Source: Table 96, p167 of the submission.</w:t>
      </w:r>
    </w:p>
    <w:p w:rsidR="00C72EC7" w:rsidRPr="009868C4" w:rsidRDefault="00C72EC7" w:rsidP="00C72EC7">
      <w:pPr>
        <w:pStyle w:val="TableFigureFooter"/>
        <w:spacing w:after="0"/>
        <w:contextualSpacing w:val="0"/>
      </w:pPr>
      <w:r w:rsidRPr="009868C4">
        <w:rPr>
          <w:i/>
        </w:rPr>
        <w:t>The redacted values correspond to the following ranges</w:t>
      </w:r>
      <w:r>
        <w:rPr>
          <w:i/>
        </w:rPr>
        <w:t xml:space="preserve">: </w:t>
      </w:r>
    </w:p>
    <w:p w:rsidR="00C72EC7" w:rsidRDefault="00C72EC7" w:rsidP="00A32BD8">
      <w:pPr>
        <w:pStyle w:val="TableFigureFooter"/>
        <w:keepNext/>
        <w:keepLines/>
        <w:rPr>
          <w:i/>
        </w:rPr>
      </w:pPr>
      <w:r>
        <w:rPr>
          <w:i/>
          <w:vertAlign w:val="superscript"/>
        </w:rPr>
        <w:t xml:space="preserve">1 </w:t>
      </w:r>
      <w:r w:rsidRPr="00C72EC7">
        <w:rPr>
          <w:i/>
        </w:rPr>
        <w:t>$155,000 to &lt; $255,000</w:t>
      </w:r>
    </w:p>
    <w:p w:rsidR="00C72EC7" w:rsidRPr="00C72EC7" w:rsidRDefault="00C72EC7" w:rsidP="00A32BD8">
      <w:pPr>
        <w:pStyle w:val="TableFigureFooter"/>
        <w:keepNext/>
        <w:keepLines/>
        <w:rPr>
          <w:i/>
        </w:rPr>
      </w:pPr>
      <w:r>
        <w:rPr>
          <w:i/>
          <w:vertAlign w:val="superscript"/>
        </w:rPr>
        <w:t xml:space="preserve">2 </w:t>
      </w:r>
      <w:r w:rsidRPr="00C72EC7">
        <w:rPr>
          <w:i/>
        </w:rPr>
        <w:t>$55,000 to &lt; $75,000</w:t>
      </w:r>
    </w:p>
    <w:p w:rsidR="00C0080D" w:rsidRPr="00B24C99" w:rsidRDefault="00C0080D" w:rsidP="00C0080D">
      <w:pPr>
        <w:pStyle w:val="3-BodyText"/>
      </w:pPr>
      <w:r w:rsidRPr="00B24C99">
        <w:t xml:space="preserve">The results of key sensitivity analyses are summarised below. </w:t>
      </w:r>
    </w:p>
    <w:p w:rsidR="00C0080D" w:rsidRPr="00B24C99" w:rsidRDefault="00C0080D" w:rsidP="00A32BD8">
      <w:pPr>
        <w:pStyle w:val="TableFigureHeading"/>
        <w:keepLines/>
        <w:rPr>
          <w:rStyle w:val="CommentReference"/>
          <w:b/>
          <w:szCs w:val="24"/>
        </w:rPr>
      </w:pPr>
      <w:r w:rsidRPr="00B24C99">
        <w:rPr>
          <w:rStyle w:val="CommentReference"/>
          <w:b/>
          <w:szCs w:val="24"/>
        </w:rPr>
        <w:lastRenderedPageBreak/>
        <w:t xml:space="preserve">Table </w:t>
      </w:r>
      <w:r w:rsidR="00346D84" w:rsidRPr="00B24C99">
        <w:rPr>
          <w:rStyle w:val="CommentReference"/>
          <w:b/>
          <w:szCs w:val="24"/>
        </w:rPr>
        <w:t>16</w:t>
      </w:r>
      <w:r w:rsidRPr="00B24C99">
        <w:rPr>
          <w:rStyle w:val="CommentReference"/>
          <w:b/>
          <w:szCs w:val="24"/>
        </w:rPr>
        <w:t>: Results of sensitivity analyses</w:t>
      </w: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27"/>
        <w:gridCol w:w="4588"/>
        <w:gridCol w:w="1321"/>
        <w:gridCol w:w="1406"/>
        <w:gridCol w:w="1507"/>
        <w:gridCol w:w="9"/>
      </w:tblGrid>
      <w:tr w:rsidR="00C0080D" w:rsidRPr="00B24C99" w:rsidTr="00DF5095">
        <w:trPr>
          <w:gridAfter w:val="1"/>
          <w:wAfter w:w="9" w:type="dxa"/>
          <w:tblHeader/>
        </w:trPr>
        <w:tc>
          <w:tcPr>
            <w:tcW w:w="4815" w:type="dxa"/>
            <w:gridSpan w:val="2"/>
            <w:tcBorders>
              <w:top w:val="single" w:sz="4" w:space="0" w:color="auto"/>
              <w:left w:val="single" w:sz="4" w:space="0" w:color="auto"/>
              <w:bottom w:val="single" w:sz="4" w:space="0" w:color="auto"/>
              <w:right w:val="single" w:sz="4" w:space="0" w:color="auto"/>
            </w:tcBorders>
            <w:hideMark/>
          </w:tcPr>
          <w:p w:rsidR="00C0080D" w:rsidRPr="00B24C99" w:rsidRDefault="00C0080D" w:rsidP="00A32BD8">
            <w:pPr>
              <w:pStyle w:val="In-tableHeading"/>
              <w:keepLines/>
              <w:rPr>
                <w:lang w:val="en-AU"/>
              </w:rPr>
            </w:pPr>
            <w:r w:rsidRPr="00B24C99">
              <w:rPr>
                <w:lang w:val="en-AU"/>
              </w:rPr>
              <w:t>Analyses</w:t>
            </w:r>
          </w:p>
        </w:tc>
        <w:tc>
          <w:tcPr>
            <w:tcW w:w="1321" w:type="dxa"/>
            <w:tcBorders>
              <w:top w:val="single" w:sz="4" w:space="0" w:color="auto"/>
              <w:left w:val="single" w:sz="4" w:space="0" w:color="auto"/>
              <w:bottom w:val="single" w:sz="4" w:space="0" w:color="auto"/>
              <w:right w:val="single" w:sz="4" w:space="0" w:color="auto"/>
            </w:tcBorders>
            <w:hideMark/>
          </w:tcPr>
          <w:p w:rsidR="00C0080D" w:rsidRPr="00B24C99" w:rsidRDefault="00C0080D" w:rsidP="00A32BD8">
            <w:pPr>
              <w:pStyle w:val="In-tableHeading"/>
              <w:keepLines/>
              <w:jc w:val="center"/>
              <w:rPr>
                <w:lang w:val="en-AU"/>
              </w:rPr>
            </w:pPr>
            <w:r w:rsidRPr="00B24C99">
              <w:rPr>
                <w:lang w:val="en-AU"/>
              </w:rPr>
              <w:t>Incremental cost</w:t>
            </w:r>
          </w:p>
        </w:tc>
        <w:tc>
          <w:tcPr>
            <w:tcW w:w="1406" w:type="dxa"/>
            <w:tcBorders>
              <w:top w:val="single" w:sz="4" w:space="0" w:color="auto"/>
              <w:left w:val="single" w:sz="4" w:space="0" w:color="auto"/>
              <w:bottom w:val="single" w:sz="4" w:space="0" w:color="auto"/>
              <w:right w:val="single" w:sz="4" w:space="0" w:color="auto"/>
            </w:tcBorders>
            <w:hideMark/>
          </w:tcPr>
          <w:p w:rsidR="00C0080D" w:rsidRPr="00B24C99" w:rsidRDefault="00C0080D" w:rsidP="00A32BD8">
            <w:pPr>
              <w:pStyle w:val="In-tableHeading"/>
              <w:keepLines/>
              <w:jc w:val="center"/>
              <w:rPr>
                <w:lang w:val="en-AU"/>
              </w:rPr>
            </w:pPr>
            <w:r w:rsidRPr="00B24C99">
              <w:rPr>
                <w:lang w:val="en-AU"/>
              </w:rPr>
              <w:t>Incremental QALY</w:t>
            </w:r>
          </w:p>
        </w:tc>
        <w:tc>
          <w:tcPr>
            <w:tcW w:w="1507" w:type="dxa"/>
            <w:tcBorders>
              <w:top w:val="single" w:sz="4" w:space="0" w:color="auto"/>
              <w:left w:val="single" w:sz="4" w:space="0" w:color="auto"/>
              <w:bottom w:val="single" w:sz="4" w:space="0" w:color="auto"/>
              <w:right w:val="single" w:sz="4" w:space="0" w:color="auto"/>
            </w:tcBorders>
            <w:hideMark/>
          </w:tcPr>
          <w:p w:rsidR="00C0080D" w:rsidRPr="00B24C99" w:rsidRDefault="00C0080D" w:rsidP="00A32BD8">
            <w:pPr>
              <w:pStyle w:val="In-tableHeading"/>
              <w:keepLines/>
              <w:jc w:val="center"/>
              <w:rPr>
                <w:lang w:val="en-AU"/>
              </w:rPr>
            </w:pPr>
            <w:r w:rsidRPr="00B24C99">
              <w:rPr>
                <w:lang w:val="en-AU"/>
              </w:rPr>
              <w:t>ICER</w:t>
            </w:r>
          </w:p>
        </w:tc>
      </w:tr>
      <w:tr w:rsidR="00C0080D" w:rsidRPr="00B24C99" w:rsidTr="00DF5095">
        <w:trPr>
          <w:gridAfter w:val="1"/>
          <w:wAfter w:w="9" w:type="dxa"/>
          <w:tblHeader/>
        </w:trPr>
        <w:tc>
          <w:tcPr>
            <w:tcW w:w="4815" w:type="dxa"/>
            <w:gridSpan w:val="2"/>
            <w:tcBorders>
              <w:top w:val="single" w:sz="4" w:space="0" w:color="auto"/>
              <w:left w:val="single" w:sz="4" w:space="0" w:color="auto"/>
              <w:bottom w:val="single" w:sz="4" w:space="0" w:color="auto"/>
              <w:right w:val="single" w:sz="4" w:space="0" w:color="auto"/>
            </w:tcBorders>
            <w:hideMark/>
          </w:tcPr>
          <w:p w:rsidR="00C0080D" w:rsidRPr="00B24C99" w:rsidRDefault="00C0080D" w:rsidP="00A32BD8">
            <w:pPr>
              <w:pStyle w:val="TableText0"/>
              <w:keepLines/>
              <w:rPr>
                <w:b/>
              </w:rPr>
            </w:pPr>
            <w:r w:rsidRPr="00B24C99">
              <w:rPr>
                <w:b/>
              </w:rPr>
              <w:t>Base case</w:t>
            </w:r>
          </w:p>
        </w:tc>
        <w:tc>
          <w:tcPr>
            <w:tcW w:w="1321" w:type="dxa"/>
            <w:tcBorders>
              <w:top w:val="single" w:sz="4" w:space="0" w:color="auto"/>
              <w:left w:val="single" w:sz="4" w:space="0" w:color="auto"/>
              <w:bottom w:val="single" w:sz="4" w:space="0" w:color="auto"/>
              <w:right w:val="single" w:sz="4" w:space="0" w:color="auto"/>
            </w:tcBorders>
            <w:hideMark/>
          </w:tcPr>
          <w:p w:rsidR="00C0080D" w:rsidRPr="004E3484" w:rsidRDefault="00C0080D" w:rsidP="00A32BD8">
            <w:pPr>
              <w:pStyle w:val="TableText0"/>
              <w:keepLines/>
              <w:jc w:val="center"/>
              <w:rPr>
                <w:b/>
              </w:rPr>
            </w:pPr>
            <w:r w:rsidRPr="00D02FFF">
              <w:rPr>
                <w:b/>
              </w:rPr>
              <w:t>$</w:t>
            </w:r>
            <w:r w:rsidR="004E3484">
              <w:rPr>
                <w:b/>
                <w:noProof/>
                <w:color w:val="000000"/>
                <w:highlight w:val="black"/>
              </w:rPr>
              <w:t>'''''''''''''''</w:t>
            </w:r>
          </w:p>
        </w:tc>
        <w:tc>
          <w:tcPr>
            <w:tcW w:w="1406" w:type="dxa"/>
            <w:tcBorders>
              <w:top w:val="single" w:sz="4" w:space="0" w:color="auto"/>
              <w:left w:val="single" w:sz="4" w:space="0" w:color="auto"/>
              <w:bottom w:val="single" w:sz="4" w:space="0" w:color="auto"/>
              <w:right w:val="single" w:sz="4" w:space="0" w:color="auto"/>
            </w:tcBorders>
            <w:hideMark/>
          </w:tcPr>
          <w:p w:rsidR="00C0080D" w:rsidRPr="004E3484" w:rsidRDefault="00C0080D" w:rsidP="00A32BD8">
            <w:pPr>
              <w:pStyle w:val="TableText0"/>
              <w:keepLines/>
              <w:jc w:val="center"/>
              <w:rPr>
                <w:b/>
              </w:rPr>
            </w:pPr>
            <w:r w:rsidRPr="004E3484">
              <w:rPr>
                <w:b/>
              </w:rPr>
              <w:t>0.65</w:t>
            </w:r>
          </w:p>
        </w:tc>
        <w:tc>
          <w:tcPr>
            <w:tcW w:w="1507" w:type="dxa"/>
            <w:tcBorders>
              <w:top w:val="single" w:sz="4" w:space="0" w:color="auto"/>
              <w:left w:val="single" w:sz="4" w:space="0" w:color="auto"/>
              <w:bottom w:val="single" w:sz="4" w:space="0" w:color="auto"/>
              <w:right w:val="single" w:sz="4" w:space="0" w:color="auto"/>
            </w:tcBorders>
            <w:hideMark/>
          </w:tcPr>
          <w:p w:rsidR="00C0080D" w:rsidRPr="004E3484" w:rsidRDefault="00C0080D" w:rsidP="00A32BD8">
            <w:pPr>
              <w:pStyle w:val="TableText0"/>
              <w:keepLines/>
              <w:jc w:val="center"/>
              <w:rPr>
                <w:b/>
              </w:rPr>
            </w:pPr>
            <w:r w:rsidRPr="00D02FFF">
              <w:rPr>
                <w:b/>
              </w:rPr>
              <w:t>$</w:t>
            </w:r>
            <w:r w:rsidR="004E3484">
              <w:rPr>
                <w:b/>
                <w:noProof/>
                <w:color w:val="000000"/>
                <w:highlight w:val="black"/>
              </w:rPr>
              <w:t>'''''''''''''''</w:t>
            </w:r>
            <w:r w:rsidR="00D02FFF">
              <w:rPr>
                <w:vertAlign w:val="superscript"/>
              </w:rPr>
              <w:t>1</w:t>
            </w:r>
          </w:p>
        </w:tc>
      </w:tr>
      <w:tr w:rsidR="00C0080D" w:rsidRPr="00B24C99" w:rsidTr="00AB7101">
        <w:trPr>
          <w:gridAfter w:val="1"/>
          <w:wAfter w:w="9" w:type="dxa"/>
          <w:trHeight w:val="730"/>
        </w:trPr>
        <w:tc>
          <w:tcPr>
            <w:tcW w:w="4815" w:type="dxa"/>
            <w:gridSpan w:val="2"/>
            <w:tcBorders>
              <w:top w:val="single" w:sz="4" w:space="0" w:color="auto"/>
              <w:left w:val="single" w:sz="4" w:space="0" w:color="auto"/>
              <w:bottom w:val="nil"/>
              <w:right w:val="single" w:sz="4" w:space="0" w:color="auto"/>
            </w:tcBorders>
            <w:hideMark/>
          </w:tcPr>
          <w:p w:rsidR="00C0080D" w:rsidRPr="00B24C99" w:rsidRDefault="00C0080D" w:rsidP="00A32BD8">
            <w:pPr>
              <w:pStyle w:val="TableText0"/>
              <w:keepLines/>
            </w:pPr>
            <w:r w:rsidRPr="00B24C99">
              <w:t>Time horizon (base case 10 years)</w:t>
            </w:r>
          </w:p>
          <w:p w:rsidR="00C0080D" w:rsidRPr="00B24C99" w:rsidRDefault="00C0080D" w:rsidP="00C64B2B">
            <w:pPr>
              <w:pStyle w:val="TableText0"/>
              <w:keepLines/>
              <w:numPr>
                <w:ilvl w:val="0"/>
                <w:numId w:val="5"/>
              </w:numPr>
              <w:ind w:left="226" w:hanging="113"/>
            </w:pPr>
            <w:r w:rsidRPr="00B24C99">
              <w:t>5 years</w:t>
            </w:r>
          </w:p>
          <w:p w:rsidR="00C0080D" w:rsidRPr="00B24C99" w:rsidRDefault="00C0080D" w:rsidP="00C64B2B">
            <w:pPr>
              <w:pStyle w:val="TableText0"/>
              <w:keepLines/>
              <w:numPr>
                <w:ilvl w:val="0"/>
                <w:numId w:val="5"/>
              </w:numPr>
              <w:ind w:left="226" w:hanging="113"/>
            </w:pPr>
            <w:r w:rsidRPr="00B24C99">
              <w:t>7.5 years</w:t>
            </w:r>
          </w:p>
        </w:tc>
        <w:tc>
          <w:tcPr>
            <w:tcW w:w="1321" w:type="dxa"/>
            <w:tcBorders>
              <w:top w:val="single" w:sz="4" w:space="0" w:color="auto"/>
              <w:left w:val="single" w:sz="4" w:space="0" w:color="auto"/>
              <w:bottom w:val="nil"/>
              <w:right w:val="single" w:sz="4" w:space="0" w:color="auto"/>
            </w:tcBorders>
          </w:tcPr>
          <w:p w:rsidR="00C0080D" w:rsidRPr="004E3484" w:rsidRDefault="00C0080D" w:rsidP="00A32BD8">
            <w:pPr>
              <w:pStyle w:val="TableText0"/>
              <w:keepLines/>
              <w:jc w:val="center"/>
            </w:pPr>
          </w:p>
          <w:p w:rsidR="00C0080D" w:rsidRPr="004E3484" w:rsidRDefault="00C0080D" w:rsidP="00A32BD8">
            <w:pPr>
              <w:pStyle w:val="TableText0"/>
              <w:keepLines/>
              <w:jc w:val="center"/>
            </w:pPr>
            <w:r w:rsidRPr="00D02FFF">
              <w:t>$</w:t>
            </w:r>
            <w:r w:rsidR="004E3484">
              <w:rPr>
                <w:noProof/>
                <w:color w:val="000000"/>
                <w:highlight w:val="black"/>
              </w:rPr>
              <w:t>'''''''''''''''''</w:t>
            </w:r>
          </w:p>
          <w:p w:rsidR="00C0080D" w:rsidRPr="004E3484" w:rsidRDefault="00C0080D" w:rsidP="00A32BD8">
            <w:pPr>
              <w:pStyle w:val="TableText0"/>
              <w:keepLines/>
              <w:jc w:val="center"/>
            </w:pPr>
            <w:r w:rsidRPr="00D02FFF">
              <w:t>$</w:t>
            </w:r>
            <w:r w:rsidR="004E3484">
              <w:rPr>
                <w:noProof/>
                <w:color w:val="000000"/>
                <w:highlight w:val="black"/>
              </w:rPr>
              <w:t>'''''''''''''''</w:t>
            </w:r>
          </w:p>
        </w:tc>
        <w:tc>
          <w:tcPr>
            <w:tcW w:w="1406" w:type="dxa"/>
            <w:tcBorders>
              <w:top w:val="single" w:sz="4" w:space="0" w:color="auto"/>
              <w:left w:val="single" w:sz="4" w:space="0" w:color="auto"/>
              <w:bottom w:val="nil"/>
              <w:right w:val="single" w:sz="4" w:space="0" w:color="auto"/>
            </w:tcBorders>
          </w:tcPr>
          <w:p w:rsidR="00C0080D" w:rsidRPr="004E3484" w:rsidRDefault="00C0080D" w:rsidP="00A32BD8">
            <w:pPr>
              <w:pStyle w:val="TableText0"/>
              <w:keepLines/>
              <w:jc w:val="center"/>
            </w:pPr>
          </w:p>
          <w:p w:rsidR="00C0080D" w:rsidRPr="004E3484" w:rsidRDefault="00C0080D" w:rsidP="00A32BD8">
            <w:pPr>
              <w:pStyle w:val="TableText0"/>
              <w:keepLines/>
              <w:jc w:val="center"/>
              <w:rPr>
                <w:vertAlign w:val="superscript"/>
              </w:rPr>
            </w:pPr>
            <w:r w:rsidRPr="004E3484">
              <w:t>0.42</w:t>
            </w:r>
          </w:p>
          <w:p w:rsidR="00C0080D" w:rsidRPr="004E3484" w:rsidRDefault="00C0080D" w:rsidP="00A32BD8">
            <w:pPr>
              <w:pStyle w:val="TableText0"/>
              <w:keepLines/>
              <w:jc w:val="center"/>
            </w:pPr>
            <w:r w:rsidRPr="004E3484">
              <w:t>0.56</w:t>
            </w:r>
          </w:p>
        </w:tc>
        <w:tc>
          <w:tcPr>
            <w:tcW w:w="1507" w:type="dxa"/>
            <w:tcBorders>
              <w:top w:val="single" w:sz="4" w:space="0" w:color="auto"/>
              <w:left w:val="single" w:sz="4" w:space="0" w:color="auto"/>
              <w:bottom w:val="nil"/>
              <w:right w:val="single" w:sz="4" w:space="0" w:color="auto"/>
            </w:tcBorders>
          </w:tcPr>
          <w:p w:rsidR="00C0080D" w:rsidRPr="004E3484" w:rsidRDefault="00C0080D" w:rsidP="00A32BD8">
            <w:pPr>
              <w:pStyle w:val="TableText0"/>
              <w:keepLines/>
              <w:jc w:val="center"/>
            </w:pPr>
          </w:p>
          <w:p w:rsidR="00C0080D" w:rsidRPr="004E3484" w:rsidRDefault="00C0080D" w:rsidP="00A32BD8">
            <w:pPr>
              <w:pStyle w:val="TableText0"/>
              <w:keepLines/>
              <w:jc w:val="center"/>
            </w:pPr>
            <w:r w:rsidRPr="00D02FFF">
              <w:t>$</w:t>
            </w:r>
            <w:r w:rsidR="004E3484">
              <w:rPr>
                <w:noProof/>
                <w:color w:val="000000"/>
                <w:highlight w:val="black"/>
              </w:rPr>
              <w:t>''''''''''''''''''''</w:t>
            </w:r>
            <w:r w:rsidR="00D02FFF">
              <w:rPr>
                <w:vertAlign w:val="superscript"/>
              </w:rPr>
              <w:t>2</w:t>
            </w:r>
          </w:p>
          <w:p w:rsidR="00C0080D" w:rsidRPr="004E3484" w:rsidRDefault="00C0080D" w:rsidP="00A32BD8">
            <w:pPr>
              <w:pStyle w:val="TableText0"/>
              <w:keepLines/>
              <w:jc w:val="center"/>
            </w:pPr>
            <w:r w:rsidRPr="00D02FFF">
              <w:t>$</w:t>
            </w:r>
            <w:r w:rsidR="004E3484">
              <w:rPr>
                <w:noProof/>
                <w:color w:val="000000"/>
                <w:highlight w:val="black"/>
              </w:rPr>
              <w:t>''''''''''''''''</w:t>
            </w:r>
            <w:r w:rsidR="00D02FFF">
              <w:rPr>
                <w:vertAlign w:val="superscript"/>
              </w:rPr>
              <w:t>3</w:t>
            </w:r>
          </w:p>
        </w:tc>
      </w:tr>
      <w:tr w:rsidR="00C0080D" w:rsidRPr="00B24C99" w:rsidTr="00DF5095">
        <w:trPr>
          <w:gridAfter w:val="1"/>
          <w:wAfter w:w="9" w:type="dxa"/>
          <w:trHeight w:val="964"/>
        </w:trPr>
        <w:tc>
          <w:tcPr>
            <w:tcW w:w="4815" w:type="dxa"/>
            <w:gridSpan w:val="2"/>
            <w:tcBorders>
              <w:top w:val="single" w:sz="4" w:space="0" w:color="auto"/>
              <w:left w:val="single" w:sz="4" w:space="0" w:color="auto"/>
              <w:bottom w:val="nil"/>
              <w:right w:val="single" w:sz="4" w:space="0" w:color="auto"/>
            </w:tcBorders>
          </w:tcPr>
          <w:p w:rsidR="00C0080D" w:rsidRPr="00B24C99" w:rsidRDefault="00C0080D" w:rsidP="00A32BD8">
            <w:pPr>
              <w:pStyle w:val="TableText0"/>
              <w:keepLines/>
            </w:pPr>
            <w:r w:rsidRPr="00B24C99">
              <w:t>Extrapolations for OS (base case NIVO+IPI log logistic, Chemo gamma)</w:t>
            </w:r>
          </w:p>
          <w:p w:rsidR="00C0080D" w:rsidRPr="00B24C99" w:rsidRDefault="00C0080D" w:rsidP="00C64B2B">
            <w:pPr>
              <w:pStyle w:val="TableText0"/>
              <w:keepLines/>
              <w:numPr>
                <w:ilvl w:val="0"/>
                <w:numId w:val="5"/>
              </w:numPr>
              <w:ind w:left="226" w:hanging="113"/>
            </w:pPr>
            <w:r w:rsidRPr="00B24C99">
              <w:t>NIVO+IPI log-normal</w:t>
            </w:r>
          </w:p>
          <w:p w:rsidR="00C0080D" w:rsidRPr="00B24C99" w:rsidRDefault="00C0080D" w:rsidP="00C64B2B">
            <w:pPr>
              <w:pStyle w:val="TableText0"/>
              <w:keepLines/>
              <w:numPr>
                <w:ilvl w:val="0"/>
                <w:numId w:val="5"/>
              </w:numPr>
              <w:ind w:left="226" w:hanging="113"/>
            </w:pPr>
            <w:r w:rsidRPr="00B24C99">
              <w:t>NIVO+IPI Weibull</w:t>
            </w:r>
          </w:p>
          <w:p w:rsidR="00C0080D" w:rsidRPr="00B24C99" w:rsidRDefault="00C0080D" w:rsidP="00C64B2B">
            <w:pPr>
              <w:pStyle w:val="TableText0"/>
              <w:keepLines/>
              <w:numPr>
                <w:ilvl w:val="0"/>
                <w:numId w:val="5"/>
              </w:numPr>
              <w:ind w:left="226" w:hanging="113"/>
            </w:pPr>
            <w:r w:rsidRPr="00B24C99">
              <w:t>Chemo log-logistic</w:t>
            </w:r>
          </w:p>
        </w:tc>
        <w:tc>
          <w:tcPr>
            <w:tcW w:w="1321" w:type="dxa"/>
            <w:tcBorders>
              <w:top w:val="single" w:sz="4" w:space="0" w:color="auto"/>
              <w:left w:val="single" w:sz="4" w:space="0" w:color="auto"/>
              <w:bottom w:val="nil"/>
              <w:right w:val="single" w:sz="4" w:space="0" w:color="auto"/>
            </w:tcBorders>
          </w:tcPr>
          <w:p w:rsidR="00C0080D" w:rsidRPr="004E3484" w:rsidRDefault="00C0080D" w:rsidP="00A32BD8">
            <w:pPr>
              <w:pStyle w:val="TableText0"/>
              <w:keepLines/>
              <w:jc w:val="center"/>
            </w:pPr>
          </w:p>
          <w:p w:rsidR="00C0080D" w:rsidRPr="004E3484" w:rsidRDefault="00C0080D" w:rsidP="00A32BD8">
            <w:pPr>
              <w:pStyle w:val="TableText0"/>
              <w:keepLines/>
              <w:jc w:val="center"/>
            </w:pPr>
          </w:p>
          <w:p w:rsidR="00C0080D" w:rsidRPr="004E3484" w:rsidRDefault="00C0080D" w:rsidP="00A32BD8">
            <w:pPr>
              <w:pStyle w:val="TableText0"/>
              <w:keepLines/>
              <w:tabs>
                <w:tab w:val="left" w:pos="438"/>
                <w:tab w:val="center" w:pos="751"/>
              </w:tabs>
              <w:jc w:val="center"/>
            </w:pPr>
            <w:r w:rsidRPr="00D02FFF">
              <w:t>$</w:t>
            </w:r>
            <w:r w:rsidR="004E3484">
              <w:rPr>
                <w:noProof/>
                <w:color w:val="000000"/>
                <w:highlight w:val="black"/>
              </w:rPr>
              <w:t>'''''''''''''''</w:t>
            </w:r>
          </w:p>
          <w:p w:rsidR="00C0080D" w:rsidRPr="004E3484" w:rsidRDefault="00C0080D" w:rsidP="00A32BD8">
            <w:pPr>
              <w:pStyle w:val="TableText0"/>
              <w:keepLines/>
              <w:jc w:val="center"/>
            </w:pPr>
            <w:r w:rsidRPr="00D02FFF">
              <w:t>$</w:t>
            </w:r>
            <w:r w:rsidR="004E3484">
              <w:rPr>
                <w:noProof/>
                <w:color w:val="000000"/>
                <w:highlight w:val="black"/>
              </w:rPr>
              <w:t>'''''''''''''''</w:t>
            </w:r>
          </w:p>
          <w:p w:rsidR="00C0080D" w:rsidRPr="004E3484" w:rsidRDefault="00C0080D" w:rsidP="00AB7101">
            <w:pPr>
              <w:pStyle w:val="TableText0"/>
              <w:keepLines/>
              <w:jc w:val="center"/>
            </w:pPr>
            <w:r w:rsidRPr="00D02FFF">
              <w:t>$</w:t>
            </w:r>
            <w:r w:rsidR="004E3484">
              <w:rPr>
                <w:noProof/>
                <w:color w:val="000000"/>
                <w:highlight w:val="black"/>
              </w:rPr>
              <w:t>''''''''''''''''''</w:t>
            </w:r>
          </w:p>
        </w:tc>
        <w:tc>
          <w:tcPr>
            <w:tcW w:w="1406" w:type="dxa"/>
            <w:tcBorders>
              <w:top w:val="single" w:sz="4" w:space="0" w:color="auto"/>
              <w:left w:val="single" w:sz="4" w:space="0" w:color="auto"/>
              <w:bottom w:val="nil"/>
              <w:right w:val="single" w:sz="4" w:space="0" w:color="auto"/>
            </w:tcBorders>
          </w:tcPr>
          <w:p w:rsidR="00C0080D" w:rsidRPr="004E3484" w:rsidRDefault="00C0080D" w:rsidP="00A32BD8">
            <w:pPr>
              <w:pStyle w:val="TableText0"/>
              <w:keepLines/>
              <w:jc w:val="center"/>
            </w:pPr>
          </w:p>
          <w:p w:rsidR="00C0080D" w:rsidRPr="004E3484" w:rsidRDefault="00C0080D" w:rsidP="00A32BD8">
            <w:pPr>
              <w:pStyle w:val="TableText0"/>
              <w:keepLines/>
              <w:jc w:val="center"/>
            </w:pPr>
          </w:p>
          <w:p w:rsidR="00C0080D" w:rsidRPr="004E3484" w:rsidRDefault="00C0080D" w:rsidP="00A32BD8">
            <w:pPr>
              <w:pStyle w:val="TableText0"/>
              <w:keepLines/>
              <w:jc w:val="center"/>
            </w:pPr>
            <w:r w:rsidRPr="004E3484">
              <w:t>0.67</w:t>
            </w:r>
          </w:p>
          <w:p w:rsidR="00C0080D" w:rsidRPr="004E3484" w:rsidRDefault="00C0080D" w:rsidP="00A32BD8">
            <w:pPr>
              <w:pStyle w:val="TableText0"/>
              <w:keepLines/>
              <w:jc w:val="center"/>
            </w:pPr>
            <w:r w:rsidRPr="004E3484">
              <w:t>0.34</w:t>
            </w:r>
          </w:p>
          <w:p w:rsidR="00C0080D" w:rsidRPr="004E3484" w:rsidRDefault="00C0080D" w:rsidP="00AB7101">
            <w:pPr>
              <w:pStyle w:val="TableText0"/>
              <w:keepLines/>
              <w:jc w:val="center"/>
            </w:pPr>
            <w:r w:rsidRPr="004E3484">
              <w:t>0.49</w:t>
            </w:r>
          </w:p>
        </w:tc>
        <w:tc>
          <w:tcPr>
            <w:tcW w:w="1507" w:type="dxa"/>
            <w:tcBorders>
              <w:top w:val="single" w:sz="4" w:space="0" w:color="auto"/>
              <w:left w:val="single" w:sz="4" w:space="0" w:color="auto"/>
              <w:bottom w:val="nil"/>
              <w:right w:val="single" w:sz="4" w:space="0" w:color="auto"/>
            </w:tcBorders>
          </w:tcPr>
          <w:p w:rsidR="00C0080D" w:rsidRPr="004E3484" w:rsidRDefault="00C0080D" w:rsidP="00A32BD8">
            <w:pPr>
              <w:pStyle w:val="TableText0"/>
              <w:keepLines/>
              <w:jc w:val="center"/>
            </w:pPr>
          </w:p>
          <w:p w:rsidR="00C0080D" w:rsidRPr="004E3484" w:rsidRDefault="00C0080D" w:rsidP="00A32BD8">
            <w:pPr>
              <w:pStyle w:val="TableText0"/>
              <w:keepLines/>
              <w:jc w:val="center"/>
            </w:pPr>
          </w:p>
          <w:p w:rsidR="00C0080D" w:rsidRPr="004E3484" w:rsidRDefault="00C0080D" w:rsidP="00A32BD8">
            <w:pPr>
              <w:pStyle w:val="TableText0"/>
              <w:keepLines/>
              <w:jc w:val="center"/>
            </w:pPr>
            <w:r w:rsidRPr="00D02FFF">
              <w:t>$</w:t>
            </w:r>
            <w:r w:rsidR="004E3484">
              <w:rPr>
                <w:noProof/>
                <w:color w:val="000000"/>
                <w:highlight w:val="black"/>
              </w:rPr>
              <w:t>'''''''''''''''</w:t>
            </w:r>
            <w:r w:rsidR="00D02FFF">
              <w:rPr>
                <w:vertAlign w:val="superscript"/>
              </w:rPr>
              <w:t>1</w:t>
            </w:r>
          </w:p>
          <w:p w:rsidR="00C0080D" w:rsidRPr="004E3484" w:rsidRDefault="00C0080D" w:rsidP="00A32BD8">
            <w:pPr>
              <w:pStyle w:val="TableText0"/>
              <w:keepLines/>
              <w:jc w:val="center"/>
            </w:pPr>
            <w:r w:rsidRPr="00D02FFF">
              <w:t>$</w:t>
            </w:r>
            <w:r w:rsidR="004E3484">
              <w:rPr>
                <w:noProof/>
                <w:color w:val="000000"/>
                <w:highlight w:val="black"/>
              </w:rPr>
              <w:t>''''''''''''''''''''</w:t>
            </w:r>
            <w:r w:rsidR="00D02FFF">
              <w:rPr>
                <w:vertAlign w:val="superscript"/>
              </w:rPr>
              <w:t>4</w:t>
            </w:r>
          </w:p>
          <w:p w:rsidR="00C0080D" w:rsidRPr="004E3484" w:rsidRDefault="00C0080D" w:rsidP="00AB7101">
            <w:pPr>
              <w:pStyle w:val="TableText0"/>
              <w:keepLines/>
              <w:jc w:val="center"/>
            </w:pPr>
            <w:r w:rsidRPr="00D02FFF">
              <w:t>$</w:t>
            </w:r>
            <w:r w:rsidR="004E3484">
              <w:rPr>
                <w:noProof/>
                <w:color w:val="000000"/>
                <w:highlight w:val="black"/>
              </w:rPr>
              <w:t>''''''''''''''''</w:t>
            </w:r>
            <w:r w:rsidR="00D02FFF">
              <w:rPr>
                <w:vertAlign w:val="superscript"/>
              </w:rPr>
              <w:t>2</w:t>
            </w:r>
          </w:p>
        </w:tc>
      </w:tr>
      <w:tr w:rsidR="00C0080D" w:rsidRPr="00B24C99" w:rsidTr="00DF5095">
        <w:trPr>
          <w:gridAfter w:val="1"/>
          <w:wAfter w:w="9" w:type="dxa"/>
          <w:trHeight w:val="964"/>
        </w:trPr>
        <w:tc>
          <w:tcPr>
            <w:tcW w:w="4815" w:type="dxa"/>
            <w:gridSpan w:val="2"/>
            <w:tcBorders>
              <w:top w:val="single" w:sz="4" w:space="0" w:color="auto"/>
              <w:left w:val="single" w:sz="4" w:space="0" w:color="auto"/>
              <w:bottom w:val="nil"/>
              <w:right w:val="single" w:sz="4" w:space="0" w:color="auto"/>
            </w:tcBorders>
          </w:tcPr>
          <w:p w:rsidR="00C0080D" w:rsidRPr="00B24C99" w:rsidRDefault="00C0080D" w:rsidP="00A32BD8">
            <w:pPr>
              <w:pStyle w:val="TableText0"/>
              <w:keepLines/>
            </w:pPr>
            <w:r w:rsidRPr="00B24C99">
              <w:t>Start of OS extrapolation (base case 17.4 &amp; 13.3 mths for NIVO+IPI and chemotherapy arms respectively)</w:t>
            </w:r>
          </w:p>
          <w:p w:rsidR="00C0080D" w:rsidRPr="00B24C99" w:rsidRDefault="00C0080D" w:rsidP="00C64B2B">
            <w:pPr>
              <w:pStyle w:val="TableText0"/>
              <w:keepLines/>
              <w:numPr>
                <w:ilvl w:val="0"/>
                <w:numId w:val="5"/>
              </w:numPr>
              <w:ind w:left="226" w:hanging="113"/>
            </w:pPr>
            <w:r w:rsidRPr="00B24C99">
              <w:t>End of KM</w:t>
            </w:r>
          </w:p>
          <w:p w:rsidR="00C0080D" w:rsidRPr="00B24C99" w:rsidRDefault="00C0080D" w:rsidP="00C64B2B">
            <w:pPr>
              <w:pStyle w:val="TableText0"/>
              <w:keepLines/>
              <w:numPr>
                <w:ilvl w:val="0"/>
                <w:numId w:val="5"/>
              </w:numPr>
              <w:ind w:left="226" w:hanging="113"/>
            </w:pPr>
            <w:r w:rsidRPr="00B24C99">
              <w:t>‘Min’ OS follow up (22.1mths)*</w:t>
            </w:r>
          </w:p>
          <w:p w:rsidR="00C0080D" w:rsidRPr="00B24C99" w:rsidRDefault="00C0080D" w:rsidP="00C64B2B">
            <w:pPr>
              <w:pStyle w:val="TableText0"/>
              <w:keepLines/>
              <w:numPr>
                <w:ilvl w:val="0"/>
                <w:numId w:val="5"/>
              </w:numPr>
              <w:ind w:left="226" w:hanging="113"/>
            </w:pPr>
            <w:r w:rsidRPr="00B24C99">
              <w:t>At 29.7 mths for both NIVO+IPI and chemo arms</w:t>
            </w:r>
          </w:p>
        </w:tc>
        <w:tc>
          <w:tcPr>
            <w:tcW w:w="1321" w:type="dxa"/>
            <w:tcBorders>
              <w:top w:val="single" w:sz="4" w:space="0" w:color="auto"/>
              <w:left w:val="single" w:sz="4" w:space="0" w:color="auto"/>
              <w:bottom w:val="nil"/>
              <w:right w:val="single" w:sz="4" w:space="0" w:color="auto"/>
            </w:tcBorders>
            <w:vAlign w:val="center"/>
          </w:tcPr>
          <w:p w:rsidR="00C0080D" w:rsidRPr="004E3484" w:rsidRDefault="00C0080D" w:rsidP="00A32BD8">
            <w:pPr>
              <w:pStyle w:val="TableText0"/>
              <w:keepLines/>
              <w:jc w:val="center"/>
            </w:pPr>
          </w:p>
          <w:p w:rsidR="00C0080D" w:rsidRPr="004E3484" w:rsidRDefault="00C0080D" w:rsidP="00A32BD8">
            <w:pPr>
              <w:pStyle w:val="TableText0"/>
              <w:keepLines/>
              <w:jc w:val="center"/>
            </w:pPr>
          </w:p>
          <w:p w:rsidR="00C0080D" w:rsidRPr="004E3484" w:rsidRDefault="00C0080D" w:rsidP="00A32BD8">
            <w:pPr>
              <w:pStyle w:val="TableText0"/>
              <w:keepLines/>
              <w:jc w:val="center"/>
            </w:pPr>
            <w:r w:rsidRPr="00D02FFF">
              <w:t>$</w:t>
            </w:r>
            <w:r w:rsidR="004E3484">
              <w:rPr>
                <w:noProof/>
                <w:color w:val="000000"/>
                <w:highlight w:val="black"/>
              </w:rPr>
              <w:t>''''''''''''''''</w:t>
            </w:r>
          </w:p>
          <w:p w:rsidR="00C0080D" w:rsidRPr="004E3484" w:rsidRDefault="00C0080D" w:rsidP="00A32BD8">
            <w:pPr>
              <w:pStyle w:val="TableText0"/>
              <w:keepLines/>
              <w:jc w:val="center"/>
            </w:pPr>
            <w:r w:rsidRPr="00D02FFF">
              <w:t>$</w:t>
            </w:r>
            <w:r w:rsidR="004E3484">
              <w:rPr>
                <w:noProof/>
                <w:color w:val="000000"/>
                <w:highlight w:val="black"/>
              </w:rPr>
              <w:t>'''''''''''''''''</w:t>
            </w:r>
          </w:p>
          <w:p w:rsidR="00C0080D" w:rsidRPr="004E3484" w:rsidRDefault="00C0080D" w:rsidP="00AB7101">
            <w:pPr>
              <w:pStyle w:val="TableText0"/>
              <w:keepLines/>
              <w:jc w:val="center"/>
            </w:pPr>
            <w:r w:rsidRPr="00D02FFF">
              <w:t>$</w:t>
            </w:r>
            <w:r w:rsidR="004E3484">
              <w:rPr>
                <w:noProof/>
                <w:color w:val="000000"/>
                <w:highlight w:val="black"/>
              </w:rPr>
              <w:t>''''''''''''''''</w:t>
            </w:r>
          </w:p>
        </w:tc>
        <w:tc>
          <w:tcPr>
            <w:tcW w:w="1406" w:type="dxa"/>
            <w:tcBorders>
              <w:top w:val="single" w:sz="4" w:space="0" w:color="auto"/>
              <w:left w:val="single" w:sz="4" w:space="0" w:color="auto"/>
              <w:bottom w:val="nil"/>
              <w:right w:val="single" w:sz="4" w:space="0" w:color="auto"/>
            </w:tcBorders>
            <w:vAlign w:val="center"/>
          </w:tcPr>
          <w:p w:rsidR="00C0080D" w:rsidRPr="004E3484" w:rsidRDefault="00C0080D" w:rsidP="00A32BD8">
            <w:pPr>
              <w:pStyle w:val="TableText0"/>
              <w:keepLines/>
              <w:jc w:val="center"/>
            </w:pPr>
          </w:p>
          <w:p w:rsidR="00C0080D" w:rsidRPr="004E3484" w:rsidRDefault="00C0080D" w:rsidP="00A32BD8">
            <w:pPr>
              <w:pStyle w:val="TableText0"/>
              <w:keepLines/>
              <w:jc w:val="center"/>
            </w:pPr>
          </w:p>
          <w:p w:rsidR="00C0080D" w:rsidRPr="004E3484" w:rsidRDefault="00C0080D" w:rsidP="00A32BD8">
            <w:pPr>
              <w:pStyle w:val="TableText0"/>
              <w:keepLines/>
              <w:jc w:val="center"/>
            </w:pPr>
            <w:r w:rsidRPr="004E3484">
              <w:t>0.52</w:t>
            </w:r>
          </w:p>
          <w:p w:rsidR="00C0080D" w:rsidRPr="004E3484" w:rsidRDefault="00C0080D" w:rsidP="00A32BD8">
            <w:pPr>
              <w:pStyle w:val="TableText0"/>
              <w:keepLines/>
              <w:jc w:val="center"/>
            </w:pPr>
            <w:r w:rsidRPr="004E3484">
              <w:t>0.60</w:t>
            </w:r>
          </w:p>
          <w:p w:rsidR="00C0080D" w:rsidRPr="004E3484" w:rsidRDefault="00C0080D" w:rsidP="00AB7101">
            <w:pPr>
              <w:pStyle w:val="TableText0"/>
              <w:keepLines/>
              <w:jc w:val="center"/>
            </w:pPr>
            <w:r w:rsidRPr="004E3484">
              <w:t>0.55</w:t>
            </w:r>
          </w:p>
        </w:tc>
        <w:tc>
          <w:tcPr>
            <w:tcW w:w="1507" w:type="dxa"/>
            <w:tcBorders>
              <w:top w:val="single" w:sz="4" w:space="0" w:color="auto"/>
              <w:left w:val="single" w:sz="4" w:space="0" w:color="auto"/>
              <w:bottom w:val="nil"/>
              <w:right w:val="single" w:sz="4" w:space="0" w:color="auto"/>
            </w:tcBorders>
            <w:vAlign w:val="center"/>
          </w:tcPr>
          <w:p w:rsidR="00C0080D" w:rsidRPr="004E3484" w:rsidRDefault="00C0080D" w:rsidP="00A32BD8">
            <w:pPr>
              <w:pStyle w:val="TableText0"/>
              <w:keepLines/>
              <w:jc w:val="center"/>
            </w:pPr>
          </w:p>
          <w:p w:rsidR="00C0080D" w:rsidRPr="004E3484" w:rsidRDefault="00C0080D" w:rsidP="00A32BD8">
            <w:pPr>
              <w:pStyle w:val="TableText0"/>
              <w:keepLines/>
              <w:jc w:val="center"/>
            </w:pPr>
          </w:p>
          <w:p w:rsidR="00C0080D" w:rsidRPr="004E3484" w:rsidRDefault="00C0080D" w:rsidP="00A32BD8">
            <w:pPr>
              <w:pStyle w:val="TableText0"/>
              <w:keepLines/>
              <w:jc w:val="center"/>
            </w:pPr>
            <w:r w:rsidRPr="00D02FFF">
              <w:t>$</w:t>
            </w:r>
            <w:r w:rsidR="004E3484">
              <w:rPr>
                <w:noProof/>
                <w:color w:val="000000"/>
                <w:highlight w:val="black"/>
              </w:rPr>
              <w:t>'''''''''''''''</w:t>
            </w:r>
            <w:r w:rsidR="00D02FFF">
              <w:rPr>
                <w:vertAlign w:val="superscript"/>
              </w:rPr>
              <w:t>3</w:t>
            </w:r>
          </w:p>
          <w:p w:rsidR="00C0080D" w:rsidRPr="004E3484" w:rsidRDefault="00C0080D" w:rsidP="00A32BD8">
            <w:pPr>
              <w:pStyle w:val="TableText0"/>
              <w:keepLines/>
              <w:jc w:val="center"/>
            </w:pPr>
            <w:r w:rsidRPr="00D02FFF">
              <w:t>$</w:t>
            </w:r>
            <w:r w:rsidR="004E3484">
              <w:rPr>
                <w:noProof/>
                <w:color w:val="000000"/>
                <w:highlight w:val="black"/>
              </w:rPr>
              <w:t>'''''''''''''''</w:t>
            </w:r>
            <w:r w:rsidR="00D02FFF">
              <w:rPr>
                <w:vertAlign w:val="superscript"/>
              </w:rPr>
              <w:t>3</w:t>
            </w:r>
          </w:p>
          <w:p w:rsidR="00C0080D" w:rsidRPr="004E3484" w:rsidRDefault="00C0080D" w:rsidP="00AB7101">
            <w:pPr>
              <w:pStyle w:val="TableText0"/>
              <w:keepLines/>
              <w:jc w:val="center"/>
            </w:pPr>
            <w:r w:rsidRPr="00D02FFF">
              <w:t>$</w:t>
            </w:r>
            <w:r w:rsidR="004E3484">
              <w:rPr>
                <w:noProof/>
                <w:color w:val="000000"/>
                <w:highlight w:val="black"/>
              </w:rPr>
              <w:t>'''''''''''''''</w:t>
            </w:r>
            <w:r w:rsidR="00D02FFF">
              <w:rPr>
                <w:vertAlign w:val="superscript"/>
              </w:rPr>
              <w:t>3</w:t>
            </w:r>
          </w:p>
        </w:tc>
      </w:tr>
      <w:tr w:rsidR="00C0080D" w:rsidRPr="00B24C99" w:rsidTr="005E6D6B">
        <w:trPr>
          <w:gridAfter w:val="1"/>
          <w:wAfter w:w="9" w:type="dxa"/>
          <w:trHeight w:val="676"/>
        </w:trPr>
        <w:tc>
          <w:tcPr>
            <w:tcW w:w="4815" w:type="dxa"/>
            <w:gridSpan w:val="2"/>
            <w:tcBorders>
              <w:top w:val="single" w:sz="4" w:space="0" w:color="auto"/>
              <w:left w:val="single" w:sz="4" w:space="0" w:color="auto"/>
              <w:bottom w:val="single" w:sz="4" w:space="0" w:color="auto"/>
              <w:right w:val="single" w:sz="4" w:space="0" w:color="auto"/>
            </w:tcBorders>
          </w:tcPr>
          <w:p w:rsidR="00C0080D" w:rsidRPr="00B24C99" w:rsidRDefault="00C0080D" w:rsidP="00A32BD8">
            <w:pPr>
              <w:pStyle w:val="TableText0"/>
              <w:keepLines/>
            </w:pPr>
            <w:r w:rsidRPr="00B24C99">
              <w:t>Convergence of OS (base case no convergence)</w:t>
            </w:r>
          </w:p>
          <w:p w:rsidR="00C0080D" w:rsidRPr="00B24C99" w:rsidRDefault="00C0080D" w:rsidP="00C64B2B">
            <w:pPr>
              <w:pStyle w:val="TableText0"/>
              <w:keepLines/>
              <w:numPr>
                <w:ilvl w:val="0"/>
                <w:numId w:val="5"/>
              </w:numPr>
              <w:ind w:left="226" w:hanging="113"/>
            </w:pPr>
            <w:r w:rsidRPr="00B24C99">
              <w:t>7.5 years (from 5 years)</w:t>
            </w:r>
          </w:p>
          <w:p w:rsidR="00C0080D" w:rsidRPr="00B24C99" w:rsidRDefault="00C0080D" w:rsidP="00C64B2B">
            <w:pPr>
              <w:pStyle w:val="TableText0"/>
              <w:keepLines/>
              <w:numPr>
                <w:ilvl w:val="0"/>
                <w:numId w:val="5"/>
              </w:numPr>
              <w:ind w:left="226" w:hanging="113"/>
            </w:pPr>
            <w:r w:rsidRPr="00B24C99">
              <w:t>10 years (from 7.5 years)</w:t>
            </w:r>
          </w:p>
        </w:tc>
        <w:tc>
          <w:tcPr>
            <w:tcW w:w="1321" w:type="dxa"/>
            <w:tcBorders>
              <w:top w:val="single" w:sz="4" w:space="0" w:color="auto"/>
              <w:left w:val="single" w:sz="4" w:space="0" w:color="auto"/>
              <w:bottom w:val="single" w:sz="4" w:space="0" w:color="auto"/>
              <w:right w:val="single" w:sz="4" w:space="0" w:color="auto"/>
            </w:tcBorders>
          </w:tcPr>
          <w:p w:rsidR="00C0080D" w:rsidRPr="004E3484" w:rsidRDefault="00C0080D" w:rsidP="00A32BD8">
            <w:pPr>
              <w:pStyle w:val="TableText0"/>
              <w:keepLines/>
            </w:pPr>
          </w:p>
          <w:p w:rsidR="00C0080D" w:rsidRPr="004E3484" w:rsidRDefault="00C0080D" w:rsidP="00A32BD8">
            <w:pPr>
              <w:pStyle w:val="TableText0"/>
              <w:keepLines/>
              <w:jc w:val="center"/>
            </w:pPr>
            <w:r w:rsidRPr="00D02FFF">
              <w:t>$</w:t>
            </w:r>
            <w:r w:rsidR="004E3484">
              <w:rPr>
                <w:noProof/>
                <w:color w:val="000000"/>
                <w:highlight w:val="black"/>
              </w:rPr>
              <w:t>'''''''''''''''''</w:t>
            </w:r>
          </w:p>
          <w:p w:rsidR="00C0080D" w:rsidRPr="004E3484" w:rsidRDefault="00C0080D" w:rsidP="00A32BD8">
            <w:pPr>
              <w:pStyle w:val="TableText0"/>
              <w:keepLines/>
              <w:jc w:val="center"/>
              <w:rPr>
                <w:i/>
              </w:rPr>
            </w:pPr>
            <w:r w:rsidRPr="00D02FFF">
              <w:t>$</w:t>
            </w:r>
            <w:r w:rsidR="004E3484">
              <w:rPr>
                <w:noProof/>
                <w:color w:val="000000"/>
                <w:highlight w:val="black"/>
              </w:rPr>
              <w:t>'''''''''''''''</w:t>
            </w:r>
          </w:p>
        </w:tc>
        <w:tc>
          <w:tcPr>
            <w:tcW w:w="1406" w:type="dxa"/>
            <w:tcBorders>
              <w:top w:val="single" w:sz="4" w:space="0" w:color="auto"/>
              <w:left w:val="single" w:sz="4" w:space="0" w:color="auto"/>
              <w:bottom w:val="single" w:sz="4" w:space="0" w:color="auto"/>
              <w:right w:val="single" w:sz="4" w:space="0" w:color="auto"/>
            </w:tcBorders>
          </w:tcPr>
          <w:p w:rsidR="00C0080D" w:rsidRPr="004E3484" w:rsidRDefault="00C0080D" w:rsidP="00A32BD8">
            <w:pPr>
              <w:pStyle w:val="TableText0"/>
              <w:keepLines/>
            </w:pPr>
          </w:p>
          <w:p w:rsidR="00C0080D" w:rsidRPr="004E3484" w:rsidRDefault="00C0080D" w:rsidP="00A32BD8">
            <w:pPr>
              <w:pStyle w:val="TableText0"/>
              <w:keepLines/>
              <w:jc w:val="center"/>
            </w:pPr>
            <w:r w:rsidRPr="004E3484">
              <w:t>0.50</w:t>
            </w:r>
          </w:p>
          <w:p w:rsidR="00C0080D" w:rsidRPr="004E3484" w:rsidRDefault="00C0080D" w:rsidP="00A32BD8">
            <w:pPr>
              <w:pStyle w:val="TableText0"/>
              <w:keepLines/>
              <w:jc w:val="center"/>
              <w:rPr>
                <w:i/>
              </w:rPr>
            </w:pPr>
            <w:r w:rsidRPr="004E3484">
              <w:t>0.61</w:t>
            </w:r>
          </w:p>
        </w:tc>
        <w:tc>
          <w:tcPr>
            <w:tcW w:w="1507" w:type="dxa"/>
            <w:tcBorders>
              <w:top w:val="single" w:sz="4" w:space="0" w:color="auto"/>
              <w:left w:val="single" w:sz="4" w:space="0" w:color="auto"/>
              <w:bottom w:val="single" w:sz="4" w:space="0" w:color="auto"/>
              <w:right w:val="single" w:sz="4" w:space="0" w:color="auto"/>
            </w:tcBorders>
          </w:tcPr>
          <w:p w:rsidR="00C0080D" w:rsidRPr="004E3484" w:rsidRDefault="00C0080D" w:rsidP="00A32BD8">
            <w:pPr>
              <w:pStyle w:val="TableText0"/>
              <w:keepLines/>
            </w:pPr>
          </w:p>
          <w:p w:rsidR="00C0080D" w:rsidRPr="004E3484" w:rsidRDefault="00C0080D" w:rsidP="00A32BD8">
            <w:pPr>
              <w:pStyle w:val="TableText0"/>
              <w:keepLines/>
              <w:jc w:val="center"/>
            </w:pPr>
            <w:r w:rsidRPr="00D02FFF">
              <w:t>$</w:t>
            </w:r>
            <w:r w:rsidR="004E3484">
              <w:rPr>
                <w:noProof/>
                <w:color w:val="000000"/>
                <w:highlight w:val="black"/>
              </w:rPr>
              <w:t>'''''''''''''''</w:t>
            </w:r>
            <w:r w:rsidR="00D02FFF">
              <w:rPr>
                <w:vertAlign w:val="superscript"/>
              </w:rPr>
              <w:t>2</w:t>
            </w:r>
          </w:p>
          <w:p w:rsidR="00C0080D" w:rsidRPr="004E3484" w:rsidRDefault="00C0080D" w:rsidP="00A32BD8">
            <w:pPr>
              <w:pStyle w:val="TableText0"/>
              <w:keepLines/>
              <w:jc w:val="center"/>
              <w:rPr>
                <w:i/>
              </w:rPr>
            </w:pPr>
            <w:r w:rsidRPr="00D02FFF">
              <w:t>$</w:t>
            </w:r>
            <w:r w:rsidR="004E3484">
              <w:rPr>
                <w:noProof/>
                <w:color w:val="000000"/>
                <w:highlight w:val="black"/>
              </w:rPr>
              <w:t>'''''''''''''''</w:t>
            </w:r>
            <w:r w:rsidR="00D02FFF">
              <w:rPr>
                <w:vertAlign w:val="superscript"/>
              </w:rPr>
              <w:t>3</w:t>
            </w:r>
          </w:p>
        </w:tc>
      </w:tr>
      <w:tr w:rsidR="00C0080D" w:rsidRPr="00B24C99" w:rsidTr="00DF5095">
        <w:trPr>
          <w:gridAfter w:val="1"/>
          <w:wAfter w:w="9" w:type="dxa"/>
          <w:trHeight w:val="964"/>
        </w:trPr>
        <w:tc>
          <w:tcPr>
            <w:tcW w:w="4815" w:type="dxa"/>
            <w:gridSpan w:val="2"/>
            <w:tcBorders>
              <w:top w:val="single" w:sz="4" w:space="0" w:color="auto"/>
              <w:left w:val="single" w:sz="4" w:space="0" w:color="auto"/>
              <w:bottom w:val="nil"/>
              <w:right w:val="single" w:sz="4" w:space="0" w:color="auto"/>
            </w:tcBorders>
          </w:tcPr>
          <w:p w:rsidR="00C0080D" w:rsidRPr="00B24C99" w:rsidRDefault="00C0080D" w:rsidP="00A32BD8">
            <w:pPr>
              <w:pStyle w:val="TableText0"/>
              <w:keepLines/>
            </w:pPr>
            <w:r w:rsidRPr="00B24C99">
              <w:t>Dosing (base case NIVO 3 mg/kg Q2W IPI 1 mg/kg Q6W)</w:t>
            </w:r>
          </w:p>
          <w:p w:rsidR="00C0080D" w:rsidRPr="00B24C99" w:rsidRDefault="00C0080D" w:rsidP="00C64B2B">
            <w:pPr>
              <w:pStyle w:val="TableText0"/>
              <w:keepLines/>
              <w:numPr>
                <w:ilvl w:val="0"/>
                <w:numId w:val="5"/>
              </w:numPr>
              <w:ind w:left="226" w:hanging="113"/>
            </w:pPr>
            <w:r w:rsidRPr="00B24C99">
              <w:t>NIVO flat dosing at 360mg Q3W</w:t>
            </w:r>
          </w:p>
          <w:p w:rsidR="00C0080D" w:rsidRPr="00B24C99" w:rsidRDefault="00C0080D" w:rsidP="00A32BD8">
            <w:pPr>
              <w:pStyle w:val="TableText0"/>
              <w:keepLines/>
            </w:pPr>
            <w:r w:rsidRPr="00B24C99">
              <w:t>Patient mean weight (base case 72.75kg)</w:t>
            </w:r>
          </w:p>
          <w:p w:rsidR="00C0080D" w:rsidRPr="00B24C99" w:rsidRDefault="00C0080D" w:rsidP="00C64B2B">
            <w:pPr>
              <w:pStyle w:val="TableText0"/>
              <w:keepLines/>
              <w:numPr>
                <w:ilvl w:val="0"/>
                <w:numId w:val="5"/>
              </w:numPr>
              <w:ind w:left="226" w:hanging="113"/>
            </w:pPr>
            <w:r w:rsidRPr="00B24C99">
              <w:t>-20% weight</w:t>
            </w:r>
          </w:p>
          <w:p w:rsidR="00C0080D" w:rsidRPr="00B24C99" w:rsidRDefault="00C0080D" w:rsidP="00C64B2B">
            <w:pPr>
              <w:pStyle w:val="TableText0"/>
              <w:keepLines/>
              <w:numPr>
                <w:ilvl w:val="0"/>
                <w:numId w:val="5"/>
              </w:numPr>
              <w:ind w:left="226" w:hanging="113"/>
            </w:pPr>
            <w:r w:rsidRPr="00B24C99">
              <w:t>+20% weight</w:t>
            </w:r>
          </w:p>
        </w:tc>
        <w:tc>
          <w:tcPr>
            <w:tcW w:w="1321" w:type="dxa"/>
            <w:tcBorders>
              <w:top w:val="single" w:sz="4" w:space="0" w:color="auto"/>
              <w:left w:val="single" w:sz="4" w:space="0" w:color="auto"/>
              <w:bottom w:val="nil"/>
              <w:right w:val="single" w:sz="4" w:space="0" w:color="auto"/>
            </w:tcBorders>
          </w:tcPr>
          <w:p w:rsidR="00C0080D" w:rsidRPr="004E3484" w:rsidRDefault="00C0080D" w:rsidP="00A32BD8">
            <w:pPr>
              <w:pStyle w:val="TableText0"/>
              <w:keepLines/>
              <w:jc w:val="center"/>
            </w:pPr>
          </w:p>
          <w:p w:rsidR="00C0080D" w:rsidRPr="004E3484" w:rsidRDefault="00C0080D" w:rsidP="00A32BD8">
            <w:pPr>
              <w:pStyle w:val="TableText0"/>
              <w:keepLines/>
              <w:jc w:val="center"/>
            </w:pPr>
            <w:r w:rsidRPr="00D02FFF">
              <w:t>$</w:t>
            </w:r>
            <w:r w:rsidR="004E3484">
              <w:rPr>
                <w:noProof/>
                <w:color w:val="000000"/>
                <w:highlight w:val="black"/>
              </w:rPr>
              <w:t>'''''''''''''''</w:t>
            </w:r>
          </w:p>
          <w:p w:rsidR="00C0080D" w:rsidRPr="004E3484" w:rsidRDefault="00C0080D" w:rsidP="00A32BD8">
            <w:pPr>
              <w:pStyle w:val="TableText0"/>
              <w:keepLines/>
              <w:jc w:val="center"/>
            </w:pPr>
          </w:p>
          <w:p w:rsidR="00C0080D" w:rsidRPr="004E3484" w:rsidRDefault="00C0080D" w:rsidP="00A32BD8">
            <w:pPr>
              <w:pStyle w:val="TableText0"/>
              <w:keepLines/>
              <w:jc w:val="center"/>
            </w:pPr>
            <w:r w:rsidRPr="00D02FFF">
              <w:t>$</w:t>
            </w:r>
            <w:r w:rsidR="004E3484">
              <w:rPr>
                <w:noProof/>
                <w:color w:val="000000"/>
                <w:highlight w:val="black"/>
              </w:rPr>
              <w:t>''''''''''''''''</w:t>
            </w:r>
          </w:p>
          <w:p w:rsidR="00C0080D" w:rsidRPr="004E3484" w:rsidRDefault="00C0080D" w:rsidP="00A32BD8">
            <w:pPr>
              <w:pStyle w:val="TableText0"/>
              <w:keepLines/>
              <w:jc w:val="center"/>
            </w:pPr>
            <w:r w:rsidRPr="00D02FFF">
              <w:t>$</w:t>
            </w:r>
            <w:r w:rsidR="004E3484">
              <w:rPr>
                <w:noProof/>
                <w:color w:val="000000"/>
                <w:highlight w:val="black"/>
              </w:rPr>
              <w:t>'''''''''''''''</w:t>
            </w:r>
          </w:p>
        </w:tc>
        <w:tc>
          <w:tcPr>
            <w:tcW w:w="1406" w:type="dxa"/>
            <w:tcBorders>
              <w:top w:val="single" w:sz="4" w:space="0" w:color="auto"/>
              <w:left w:val="single" w:sz="4" w:space="0" w:color="auto"/>
              <w:bottom w:val="nil"/>
              <w:right w:val="single" w:sz="4" w:space="0" w:color="auto"/>
            </w:tcBorders>
            <w:vAlign w:val="center"/>
          </w:tcPr>
          <w:p w:rsidR="00C0080D" w:rsidRPr="004E3484" w:rsidRDefault="00C0080D" w:rsidP="00A32BD8">
            <w:pPr>
              <w:pStyle w:val="TableText0"/>
              <w:keepLines/>
              <w:jc w:val="center"/>
            </w:pPr>
          </w:p>
          <w:p w:rsidR="00C0080D" w:rsidRPr="004E3484" w:rsidRDefault="00C0080D" w:rsidP="00A32BD8">
            <w:pPr>
              <w:pStyle w:val="TableText0"/>
              <w:keepLines/>
              <w:jc w:val="center"/>
            </w:pPr>
            <w:r w:rsidRPr="004E3484">
              <w:t>0.65</w:t>
            </w:r>
          </w:p>
        </w:tc>
        <w:tc>
          <w:tcPr>
            <w:tcW w:w="1507" w:type="dxa"/>
            <w:tcBorders>
              <w:top w:val="single" w:sz="4" w:space="0" w:color="auto"/>
              <w:left w:val="single" w:sz="4" w:space="0" w:color="auto"/>
              <w:bottom w:val="nil"/>
              <w:right w:val="single" w:sz="4" w:space="0" w:color="auto"/>
            </w:tcBorders>
          </w:tcPr>
          <w:p w:rsidR="00C0080D" w:rsidRPr="004E3484" w:rsidRDefault="00C0080D" w:rsidP="00A32BD8">
            <w:pPr>
              <w:pStyle w:val="TableText0"/>
              <w:keepLines/>
              <w:jc w:val="center"/>
            </w:pPr>
          </w:p>
          <w:p w:rsidR="00C0080D" w:rsidRPr="004E3484" w:rsidRDefault="00C0080D" w:rsidP="00A32BD8">
            <w:pPr>
              <w:pStyle w:val="TableText0"/>
              <w:keepLines/>
              <w:jc w:val="center"/>
            </w:pPr>
            <w:r w:rsidRPr="00D02FFF">
              <w:t>$</w:t>
            </w:r>
            <w:r w:rsidR="004E3484">
              <w:rPr>
                <w:noProof/>
                <w:color w:val="000000"/>
                <w:highlight w:val="black"/>
              </w:rPr>
              <w:t>''''''''''''''''''</w:t>
            </w:r>
            <w:r w:rsidR="00D02FFF">
              <w:rPr>
                <w:vertAlign w:val="superscript"/>
              </w:rPr>
              <w:t>3</w:t>
            </w:r>
          </w:p>
          <w:p w:rsidR="00C0080D" w:rsidRPr="004E3484" w:rsidRDefault="00C0080D" w:rsidP="00A32BD8">
            <w:pPr>
              <w:pStyle w:val="TableText0"/>
              <w:keepLines/>
              <w:jc w:val="center"/>
            </w:pPr>
          </w:p>
          <w:p w:rsidR="00C0080D" w:rsidRPr="004E3484" w:rsidRDefault="00C0080D" w:rsidP="00A32BD8">
            <w:pPr>
              <w:pStyle w:val="TableText0"/>
              <w:keepLines/>
              <w:jc w:val="center"/>
            </w:pPr>
            <w:r w:rsidRPr="00D02FFF">
              <w:t>$</w:t>
            </w:r>
            <w:r w:rsidR="004E3484">
              <w:rPr>
                <w:noProof/>
                <w:color w:val="000000"/>
                <w:highlight w:val="black"/>
              </w:rPr>
              <w:t>''''''''''''''''</w:t>
            </w:r>
            <w:r w:rsidR="00D02FFF">
              <w:rPr>
                <w:vertAlign w:val="superscript"/>
              </w:rPr>
              <w:t>1</w:t>
            </w:r>
          </w:p>
          <w:p w:rsidR="00C0080D" w:rsidRPr="004E3484" w:rsidRDefault="00C0080D" w:rsidP="00A32BD8">
            <w:pPr>
              <w:pStyle w:val="TableText0"/>
              <w:keepLines/>
              <w:jc w:val="center"/>
              <w:rPr>
                <w:i/>
              </w:rPr>
            </w:pPr>
            <w:r w:rsidRPr="00D02FFF">
              <w:t>$</w:t>
            </w:r>
            <w:r w:rsidR="004E3484">
              <w:rPr>
                <w:noProof/>
                <w:color w:val="000000"/>
                <w:highlight w:val="black"/>
              </w:rPr>
              <w:t>''''''''''''''''</w:t>
            </w:r>
            <w:r w:rsidR="00D02FFF">
              <w:rPr>
                <w:vertAlign w:val="superscript"/>
              </w:rPr>
              <w:t>3</w:t>
            </w:r>
          </w:p>
        </w:tc>
      </w:tr>
      <w:tr w:rsidR="00C0080D" w:rsidRPr="00B24C99" w:rsidTr="00DF5095">
        <w:trPr>
          <w:gridAfter w:val="1"/>
          <w:wAfter w:w="9" w:type="dxa"/>
          <w:trHeight w:val="536"/>
        </w:trPr>
        <w:tc>
          <w:tcPr>
            <w:tcW w:w="4815" w:type="dxa"/>
            <w:gridSpan w:val="2"/>
            <w:tcBorders>
              <w:top w:val="single" w:sz="4" w:space="0" w:color="auto"/>
              <w:left w:val="single" w:sz="4" w:space="0" w:color="auto"/>
              <w:bottom w:val="nil"/>
              <w:right w:val="single" w:sz="4" w:space="0" w:color="auto"/>
            </w:tcBorders>
          </w:tcPr>
          <w:p w:rsidR="00C0080D" w:rsidRPr="00B24C99" w:rsidRDefault="00C0080D" w:rsidP="00A32BD8">
            <w:pPr>
              <w:pStyle w:val="TableText0"/>
              <w:keepLines/>
            </w:pPr>
            <w:r w:rsidRPr="00B24C99">
              <w:t>Drug wastage (base case 100% vial sharing)</w:t>
            </w:r>
          </w:p>
          <w:p w:rsidR="00C0080D" w:rsidRPr="00B24C99" w:rsidRDefault="00C0080D" w:rsidP="00C64B2B">
            <w:pPr>
              <w:pStyle w:val="TableText0"/>
              <w:keepLines/>
              <w:numPr>
                <w:ilvl w:val="0"/>
                <w:numId w:val="5"/>
              </w:numPr>
              <w:ind w:left="226" w:hanging="113"/>
            </w:pPr>
            <w:r w:rsidRPr="00B24C99">
              <w:t>0% vial sharing</w:t>
            </w:r>
          </w:p>
        </w:tc>
        <w:tc>
          <w:tcPr>
            <w:tcW w:w="1321" w:type="dxa"/>
            <w:tcBorders>
              <w:top w:val="single" w:sz="4" w:space="0" w:color="auto"/>
              <w:left w:val="single" w:sz="4" w:space="0" w:color="auto"/>
              <w:bottom w:val="nil"/>
              <w:right w:val="single" w:sz="4" w:space="0" w:color="auto"/>
            </w:tcBorders>
          </w:tcPr>
          <w:p w:rsidR="00C0080D" w:rsidRPr="004E3484" w:rsidRDefault="00C0080D" w:rsidP="00A32BD8">
            <w:pPr>
              <w:pStyle w:val="TableText0"/>
              <w:keepLines/>
              <w:jc w:val="center"/>
            </w:pPr>
          </w:p>
          <w:p w:rsidR="00C0080D" w:rsidRPr="004E3484" w:rsidRDefault="00C0080D" w:rsidP="00A32BD8">
            <w:pPr>
              <w:pStyle w:val="TableText0"/>
              <w:keepLines/>
              <w:jc w:val="center"/>
            </w:pPr>
            <w:r w:rsidRPr="00D02FFF">
              <w:t>$</w:t>
            </w:r>
            <w:r w:rsidR="004E3484">
              <w:rPr>
                <w:noProof/>
                <w:color w:val="000000"/>
                <w:highlight w:val="black"/>
              </w:rPr>
              <w:t>'''''''''''''''''</w:t>
            </w:r>
          </w:p>
        </w:tc>
        <w:tc>
          <w:tcPr>
            <w:tcW w:w="1406" w:type="dxa"/>
            <w:tcBorders>
              <w:top w:val="single" w:sz="4" w:space="0" w:color="auto"/>
              <w:left w:val="single" w:sz="4" w:space="0" w:color="auto"/>
              <w:bottom w:val="nil"/>
              <w:right w:val="single" w:sz="4" w:space="0" w:color="auto"/>
            </w:tcBorders>
          </w:tcPr>
          <w:p w:rsidR="00C0080D" w:rsidRPr="004E3484" w:rsidRDefault="00C0080D" w:rsidP="00A32BD8">
            <w:pPr>
              <w:pStyle w:val="TableText0"/>
              <w:keepLines/>
              <w:jc w:val="center"/>
            </w:pPr>
          </w:p>
          <w:p w:rsidR="00C0080D" w:rsidRPr="004E3484" w:rsidRDefault="00C0080D" w:rsidP="00A32BD8">
            <w:pPr>
              <w:pStyle w:val="TableText0"/>
              <w:keepLines/>
              <w:jc w:val="center"/>
            </w:pPr>
            <w:r w:rsidRPr="004E3484">
              <w:t>0.65</w:t>
            </w:r>
          </w:p>
        </w:tc>
        <w:tc>
          <w:tcPr>
            <w:tcW w:w="1507" w:type="dxa"/>
            <w:tcBorders>
              <w:top w:val="single" w:sz="4" w:space="0" w:color="auto"/>
              <w:left w:val="single" w:sz="4" w:space="0" w:color="auto"/>
              <w:bottom w:val="nil"/>
              <w:right w:val="single" w:sz="4" w:space="0" w:color="auto"/>
            </w:tcBorders>
          </w:tcPr>
          <w:p w:rsidR="00C0080D" w:rsidRPr="004E3484" w:rsidRDefault="00C0080D" w:rsidP="00A32BD8">
            <w:pPr>
              <w:pStyle w:val="TableText0"/>
              <w:keepLines/>
              <w:jc w:val="center"/>
            </w:pPr>
          </w:p>
          <w:p w:rsidR="00C0080D" w:rsidRPr="004E3484" w:rsidRDefault="00C0080D" w:rsidP="00A32BD8">
            <w:pPr>
              <w:pStyle w:val="TableText0"/>
              <w:keepLines/>
              <w:jc w:val="center"/>
              <w:rPr>
                <w:i/>
              </w:rPr>
            </w:pPr>
            <w:r w:rsidRPr="00D02FFF">
              <w:t>$</w:t>
            </w:r>
            <w:r w:rsidR="004E3484">
              <w:rPr>
                <w:noProof/>
                <w:color w:val="000000"/>
                <w:highlight w:val="black"/>
              </w:rPr>
              <w:t>'''''''''''''''''</w:t>
            </w:r>
            <w:r w:rsidR="00D02FFF">
              <w:rPr>
                <w:vertAlign w:val="superscript"/>
              </w:rPr>
              <w:t>3</w:t>
            </w:r>
          </w:p>
        </w:tc>
      </w:tr>
      <w:tr w:rsidR="00C0080D" w:rsidRPr="00B24C99" w:rsidTr="00DF5095">
        <w:trPr>
          <w:gridAfter w:val="1"/>
          <w:wAfter w:w="9" w:type="dxa"/>
        </w:trPr>
        <w:tc>
          <w:tcPr>
            <w:tcW w:w="4815" w:type="dxa"/>
            <w:gridSpan w:val="2"/>
            <w:tcBorders>
              <w:top w:val="single" w:sz="4" w:space="0" w:color="auto"/>
              <w:left w:val="single" w:sz="4" w:space="0" w:color="auto"/>
              <w:bottom w:val="single" w:sz="4" w:space="0" w:color="auto"/>
              <w:right w:val="single" w:sz="4" w:space="0" w:color="auto"/>
            </w:tcBorders>
          </w:tcPr>
          <w:p w:rsidR="00C0080D" w:rsidRPr="00B24C99" w:rsidRDefault="00C0080D" w:rsidP="00A32BD8">
            <w:pPr>
              <w:pStyle w:val="TableText0"/>
              <w:keepLines/>
            </w:pPr>
            <w:r w:rsidRPr="00B24C99">
              <w:t>Time on treatment (base case TTD KM data from CheckMate 743)</w:t>
            </w:r>
          </w:p>
          <w:p w:rsidR="00C0080D" w:rsidRPr="00B24C99" w:rsidRDefault="00C0080D" w:rsidP="00C64B2B">
            <w:pPr>
              <w:pStyle w:val="TableText0"/>
              <w:keepLines/>
              <w:numPr>
                <w:ilvl w:val="0"/>
                <w:numId w:val="5"/>
              </w:numPr>
              <w:ind w:left="226" w:hanging="113"/>
            </w:pPr>
            <w:r w:rsidRPr="00B24C99">
              <w:t>NIVO+IPI PFS state membership (KM data to 17.4 mths then gen. gamma ) capped at 24 months</w:t>
            </w:r>
          </w:p>
        </w:tc>
        <w:tc>
          <w:tcPr>
            <w:tcW w:w="1321" w:type="dxa"/>
            <w:tcBorders>
              <w:top w:val="single" w:sz="4" w:space="0" w:color="auto"/>
              <w:left w:val="single" w:sz="4" w:space="0" w:color="auto"/>
              <w:bottom w:val="single" w:sz="4" w:space="0" w:color="auto"/>
              <w:right w:val="single" w:sz="4" w:space="0" w:color="auto"/>
            </w:tcBorders>
          </w:tcPr>
          <w:p w:rsidR="00C0080D" w:rsidRPr="004E3484" w:rsidRDefault="00C0080D" w:rsidP="00A32BD8">
            <w:pPr>
              <w:pStyle w:val="TableText0"/>
              <w:keepLines/>
              <w:jc w:val="center"/>
            </w:pPr>
          </w:p>
          <w:p w:rsidR="00C0080D" w:rsidRPr="004E3484" w:rsidRDefault="00C0080D" w:rsidP="00A32BD8">
            <w:pPr>
              <w:pStyle w:val="TableText0"/>
              <w:keepLines/>
              <w:jc w:val="center"/>
            </w:pPr>
          </w:p>
          <w:p w:rsidR="00C0080D" w:rsidRPr="004E3484" w:rsidRDefault="00C0080D" w:rsidP="00A32BD8">
            <w:pPr>
              <w:pStyle w:val="TableText0"/>
              <w:keepLines/>
              <w:jc w:val="center"/>
              <w:rPr>
                <w:i/>
              </w:rPr>
            </w:pPr>
            <w:r w:rsidRPr="00D02FFF">
              <w:t>$</w:t>
            </w:r>
            <w:r w:rsidR="004E3484">
              <w:rPr>
                <w:noProof/>
                <w:color w:val="000000"/>
                <w:highlight w:val="black"/>
              </w:rPr>
              <w:t>''''''''''''''''</w:t>
            </w:r>
          </w:p>
        </w:tc>
        <w:tc>
          <w:tcPr>
            <w:tcW w:w="1406" w:type="dxa"/>
            <w:tcBorders>
              <w:top w:val="single" w:sz="4" w:space="0" w:color="auto"/>
              <w:left w:val="single" w:sz="4" w:space="0" w:color="auto"/>
              <w:bottom w:val="single" w:sz="4" w:space="0" w:color="auto"/>
              <w:right w:val="single" w:sz="4" w:space="0" w:color="auto"/>
            </w:tcBorders>
          </w:tcPr>
          <w:p w:rsidR="00C0080D" w:rsidRPr="004E3484" w:rsidRDefault="00C0080D" w:rsidP="00A32BD8">
            <w:pPr>
              <w:pStyle w:val="TableText0"/>
              <w:keepLines/>
              <w:jc w:val="center"/>
            </w:pPr>
          </w:p>
          <w:p w:rsidR="00C0080D" w:rsidRPr="004E3484" w:rsidRDefault="00C0080D" w:rsidP="00A32BD8">
            <w:pPr>
              <w:pStyle w:val="TableText0"/>
              <w:keepLines/>
              <w:jc w:val="center"/>
            </w:pPr>
          </w:p>
          <w:p w:rsidR="00C0080D" w:rsidRPr="004E3484" w:rsidRDefault="00C0080D" w:rsidP="00A32BD8">
            <w:pPr>
              <w:pStyle w:val="TableText0"/>
              <w:keepLines/>
              <w:jc w:val="center"/>
              <w:rPr>
                <w:i/>
              </w:rPr>
            </w:pPr>
            <w:r w:rsidRPr="004E3484">
              <w:t>0.65</w:t>
            </w:r>
          </w:p>
        </w:tc>
        <w:tc>
          <w:tcPr>
            <w:tcW w:w="1507" w:type="dxa"/>
            <w:tcBorders>
              <w:top w:val="single" w:sz="4" w:space="0" w:color="auto"/>
              <w:left w:val="single" w:sz="4" w:space="0" w:color="auto"/>
              <w:bottom w:val="single" w:sz="4" w:space="0" w:color="auto"/>
              <w:right w:val="single" w:sz="4" w:space="0" w:color="auto"/>
            </w:tcBorders>
          </w:tcPr>
          <w:p w:rsidR="00C0080D" w:rsidRPr="004E3484" w:rsidRDefault="00C0080D" w:rsidP="00A32BD8">
            <w:pPr>
              <w:pStyle w:val="TableText0"/>
              <w:keepLines/>
              <w:jc w:val="center"/>
            </w:pPr>
          </w:p>
          <w:p w:rsidR="00C0080D" w:rsidRPr="004E3484" w:rsidRDefault="00C0080D" w:rsidP="00A32BD8">
            <w:pPr>
              <w:pStyle w:val="TableText0"/>
              <w:keepLines/>
              <w:jc w:val="center"/>
            </w:pPr>
          </w:p>
          <w:p w:rsidR="00C0080D" w:rsidRPr="004E3484" w:rsidRDefault="00C0080D" w:rsidP="00A32BD8">
            <w:pPr>
              <w:pStyle w:val="TableText0"/>
              <w:keepLines/>
              <w:jc w:val="center"/>
              <w:rPr>
                <w:i/>
              </w:rPr>
            </w:pPr>
            <w:r w:rsidRPr="00D02FFF">
              <w:t>$</w:t>
            </w:r>
            <w:r w:rsidR="004E3484">
              <w:rPr>
                <w:noProof/>
                <w:color w:val="000000"/>
                <w:highlight w:val="black"/>
              </w:rPr>
              <w:t>''''''''''''''''</w:t>
            </w:r>
            <w:r w:rsidR="00D02FFF">
              <w:rPr>
                <w:vertAlign w:val="superscript"/>
              </w:rPr>
              <w:t>3</w:t>
            </w:r>
          </w:p>
        </w:tc>
      </w:tr>
      <w:tr w:rsidR="00C0080D" w:rsidRPr="00B24C99" w:rsidTr="00DF5095">
        <w:trPr>
          <w:gridAfter w:val="1"/>
          <w:wAfter w:w="9" w:type="dxa"/>
        </w:trPr>
        <w:tc>
          <w:tcPr>
            <w:tcW w:w="4815" w:type="dxa"/>
            <w:gridSpan w:val="2"/>
            <w:tcBorders>
              <w:top w:val="single" w:sz="4" w:space="0" w:color="auto"/>
              <w:left w:val="single" w:sz="4" w:space="0" w:color="auto"/>
              <w:bottom w:val="single" w:sz="4" w:space="0" w:color="auto"/>
              <w:right w:val="single" w:sz="4" w:space="0" w:color="auto"/>
            </w:tcBorders>
            <w:hideMark/>
          </w:tcPr>
          <w:p w:rsidR="00C0080D" w:rsidRPr="00B24C99" w:rsidRDefault="00C0080D" w:rsidP="00A32BD8">
            <w:pPr>
              <w:pStyle w:val="TableText0"/>
              <w:keepLines/>
            </w:pPr>
            <w:r w:rsidRPr="00B24C99">
              <w:t>Utilities (base case treatment specific PFS: 0.756 NIVO+IPI, 0.749 Chemo; PD: 0.681 NIVO+IPI, 0.622 Chemo)</w:t>
            </w:r>
          </w:p>
          <w:p w:rsidR="00C0080D" w:rsidRPr="00B24C99" w:rsidRDefault="00C0080D" w:rsidP="00C64B2B">
            <w:pPr>
              <w:pStyle w:val="TableText0"/>
              <w:keepLines/>
              <w:numPr>
                <w:ilvl w:val="0"/>
                <w:numId w:val="5"/>
              </w:numPr>
              <w:ind w:left="226" w:hanging="113"/>
            </w:pPr>
            <w:r w:rsidRPr="00B24C99">
              <w:t>PD same in both arms (0.655)</w:t>
            </w:r>
          </w:p>
          <w:p w:rsidR="00C0080D" w:rsidRPr="00B24C99" w:rsidRDefault="00C0080D" w:rsidP="00C64B2B">
            <w:pPr>
              <w:pStyle w:val="TableText0"/>
              <w:keepLines/>
              <w:numPr>
                <w:ilvl w:val="0"/>
                <w:numId w:val="5"/>
              </w:numPr>
              <w:ind w:left="226" w:hanging="113"/>
            </w:pPr>
            <w:r w:rsidRPr="00B24C99">
              <w:t>Average PFS 0.753, PD 0.655 in both arms</w:t>
            </w:r>
          </w:p>
          <w:p w:rsidR="00C0080D" w:rsidRPr="00B24C99" w:rsidRDefault="00C0080D" w:rsidP="00C64B2B">
            <w:pPr>
              <w:pStyle w:val="TableText0"/>
              <w:keepLines/>
              <w:numPr>
                <w:ilvl w:val="0"/>
                <w:numId w:val="5"/>
              </w:numPr>
              <w:ind w:left="226" w:hanging="113"/>
            </w:pPr>
            <w:r w:rsidRPr="00B24C99">
              <w:t>Treatment specific until trial end then overall in PD (0.655)</w:t>
            </w:r>
          </w:p>
        </w:tc>
        <w:tc>
          <w:tcPr>
            <w:tcW w:w="1321" w:type="dxa"/>
            <w:tcBorders>
              <w:top w:val="single" w:sz="4" w:space="0" w:color="auto"/>
              <w:left w:val="single" w:sz="4" w:space="0" w:color="auto"/>
              <w:bottom w:val="single" w:sz="4" w:space="0" w:color="auto"/>
              <w:right w:val="single" w:sz="4" w:space="0" w:color="auto"/>
            </w:tcBorders>
            <w:vAlign w:val="center"/>
          </w:tcPr>
          <w:p w:rsidR="00C0080D" w:rsidRPr="004E3484" w:rsidRDefault="00C0080D" w:rsidP="00A32BD8">
            <w:pPr>
              <w:pStyle w:val="TableText0"/>
              <w:keepLines/>
              <w:jc w:val="center"/>
            </w:pPr>
            <w:r w:rsidRPr="00D02FFF">
              <w:t>$</w:t>
            </w:r>
            <w:r w:rsidR="004E3484">
              <w:rPr>
                <w:noProof/>
                <w:color w:val="000000"/>
                <w:highlight w:val="black"/>
              </w:rPr>
              <w:t>'''''''''''''''''</w:t>
            </w:r>
          </w:p>
        </w:tc>
        <w:tc>
          <w:tcPr>
            <w:tcW w:w="1406" w:type="dxa"/>
            <w:tcBorders>
              <w:top w:val="single" w:sz="4" w:space="0" w:color="auto"/>
              <w:left w:val="single" w:sz="4" w:space="0" w:color="auto"/>
              <w:bottom w:val="single" w:sz="4" w:space="0" w:color="auto"/>
              <w:right w:val="single" w:sz="4" w:space="0" w:color="auto"/>
            </w:tcBorders>
          </w:tcPr>
          <w:p w:rsidR="00C0080D" w:rsidRPr="004E3484" w:rsidRDefault="00C0080D" w:rsidP="00A32BD8">
            <w:pPr>
              <w:pStyle w:val="TableText0"/>
              <w:keepLines/>
              <w:jc w:val="center"/>
            </w:pPr>
          </w:p>
          <w:p w:rsidR="00C0080D" w:rsidRPr="004E3484" w:rsidRDefault="00C0080D" w:rsidP="00A32BD8">
            <w:pPr>
              <w:pStyle w:val="TableText0"/>
              <w:keepLines/>
              <w:jc w:val="center"/>
            </w:pPr>
          </w:p>
          <w:p w:rsidR="00C0080D" w:rsidRPr="004E3484" w:rsidRDefault="00C0080D" w:rsidP="00A32BD8">
            <w:pPr>
              <w:pStyle w:val="TableText0"/>
              <w:keepLines/>
              <w:jc w:val="center"/>
            </w:pPr>
            <w:r w:rsidRPr="004E3484">
              <w:t>0.60</w:t>
            </w:r>
          </w:p>
          <w:p w:rsidR="00C0080D" w:rsidRPr="004E3484" w:rsidRDefault="00C0080D" w:rsidP="00A32BD8">
            <w:pPr>
              <w:pStyle w:val="TableText0"/>
              <w:keepLines/>
              <w:jc w:val="center"/>
            </w:pPr>
            <w:r w:rsidRPr="004E3484">
              <w:t>0.59</w:t>
            </w:r>
          </w:p>
          <w:p w:rsidR="00C0080D" w:rsidRPr="004E3484" w:rsidRDefault="00C0080D" w:rsidP="00A32BD8">
            <w:pPr>
              <w:pStyle w:val="TableText0"/>
              <w:keepLines/>
              <w:jc w:val="center"/>
            </w:pPr>
            <w:r w:rsidRPr="004E3484">
              <w:t>0.64</w:t>
            </w:r>
          </w:p>
        </w:tc>
        <w:tc>
          <w:tcPr>
            <w:tcW w:w="1507" w:type="dxa"/>
            <w:tcBorders>
              <w:top w:val="single" w:sz="4" w:space="0" w:color="auto"/>
              <w:left w:val="single" w:sz="4" w:space="0" w:color="auto"/>
              <w:bottom w:val="single" w:sz="4" w:space="0" w:color="auto"/>
              <w:right w:val="single" w:sz="4" w:space="0" w:color="auto"/>
            </w:tcBorders>
          </w:tcPr>
          <w:p w:rsidR="00C0080D" w:rsidRPr="004E3484" w:rsidRDefault="00C0080D" w:rsidP="00A32BD8">
            <w:pPr>
              <w:pStyle w:val="TableText0"/>
              <w:keepLines/>
              <w:jc w:val="center"/>
            </w:pPr>
          </w:p>
          <w:p w:rsidR="00C0080D" w:rsidRPr="004E3484" w:rsidRDefault="00C0080D" w:rsidP="00A32BD8">
            <w:pPr>
              <w:pStyle w:val="TableText0"/>
              <w:keepLines/>
              <w:jc w:val="center"/>
            </w:pPr>
          </w:p>
          <w:p w:rsidR="00C0080D" w:rsidRPr="004E3484" w:rsidRDefault="00C0080D" w:rsidP="00A32BD8">
            <w:pPr>
              <w:pStyle w:val="TableText0"/>
              <w:keepLines/>
              <w:jc w:val="center"/>
            </w:pPr>
            <w:r w:rsidRPr="00D02FFF">
              <w:t>$</w:t>
            </w:r>
            <w:r w:rsidR="004E3484">
              <w:rPr>
                <w:noProof/>
                <w:color w:val="000000"/>
                <w:highlight w:val="black"/>
              </w:rPr>
              <w:t>''''''''''''''''</w:t>
            </w:r>
            <w:r w:rsidR="00D02FFF">
              <w:rPr>
                <w:vertAlign w:val="superscript"/>
              </w:rPr>
              <w:t>3</w:t>
            </w:r>
          </w:p>
          <w:p w:rsidR="00C0080D" w:rsidRPr="004E3484" w:rsidRDefault="00C0080D" w:rsidP="00A32BD8">
            <w:pPr>
              <w:pStyle w:val="TableText0"/>
              <w:keepLines/>
              <w:jc w:val="center"/>
            </w:pPr>
            <w:r w:rsidRPr="00D02FFF">
              <w:t>$</w:t>
            </w:r>
            <w:r w:rsidR="004E3484">
              <w:rPr>
                <w:noProof/>
                <w:color w:val="000000"/>
                <w:highlight w:val="black"/>
              </w:rPr>
              <w:t>''''''''''''''''</w:t>
            </w:r>
            <w:r w:rsidR="00D02FFF">
              <w:rPr>
                <w:vertAlign w:val="superscript"/>
              </w:rPr>
              <w:t>3</w:t>
            </w:r>
          </w:p>
          <w:p w:rsidR="00C0080D" w:rsidRPr="004E3484" w:rsidRDefault="00C0080D" w:rsidP="00A32BD8">
            <w:pPr>
              <w:pStyle w:val="TableText0"/>
              <w:keepLines/>
              <w:jc w:val="center"/>
            </w:pPr>
            <w:r w:rsidRPr="00D02FFF">
              <w:t>$</w:t>
            </w:r>
            <w:r w:rsidR="004E3484">
              <w:rPr>
                <w:noProof/>
                <w:color w:val="000000"/>
                <w:highlight w:val="black"/>
              </w:rPr>
              <w:t>''''''''''''''''</w:t>
            </w:r>
            <w:r w:rsidR="00D02FFF">
              <w:rPr>
                <w:vertAlign w:val="superscript"/>
              </w:rPr>
              <w:t>3</w:t>
            </w:r>
          </w:p>
        </w:tc>
      </w:tr>
      <w:tr w:rsidR="00C0080D" w:rsidRPr="00B24C99" w:rsidTr="00DF5095">
        <w:tc>
          <w:tcPr>
            <w:tcW w:w="9058" w:type="dxa"/>
            <w:gridSpan w:val="6"/>
            <w:tcBorders>
              <w:top w:val="single" w:sz="4" w:space="0" w:color="auto"/>
              <w:left w:val="single" w:sz="4" w:space="0" w:color="auto"/>
              <w:bottom w:val="single" w:sz="4" w:space="0" w:color="auto"/>
              <w:right w:val="single" w:sz="4" w:space="0" w:color="auto"/>
            </w:tcBorders>
            <w:hideMark/>
          </w:tcPr>
          <w:p w:rsidR="00C0080D" w:rsidRPr="00B24C99" w:rsidRDefault="00C0080D" w:rsidP="00A32BD8">
            <w:pPr>
              <w:pStyle w:val="In-tableHeading"/>
              <w:keepLines/>
              <w:rPr>
                <w:lang w:val="en-AU"/>
              </w:rPr>
            </w:pPr>
            <w:r w:rsidRPr="00B24C99">
              <w:rPr>
                <w:lang w:val="en-AU"/>
              </w:rPr>
              <w:t>Multivariate analyses</w:t>
            </w:r>
            <w:r w:rsidR="00B679A3" w:rsidRPr="00B24C99">
              <w:rPr>
                <w:lang w:val="en-AU"/>
              </w:rPr>
              <w:t xml:space="preserve"> (MA)</w:t>
            </w:r>
          </w:p>
        </w:tc>
      </w:tr>
      <w:tr w:rsidR="00C0080D" w:rsidRPr="00B24C99" w:rsidTr="00DF5095">
        <w:trPr>
          <w:gridAfter w:val="1"/>
          <w:wAfter w:w="9" w:type="dxa"/>
        </w:trPr>
        <w:tc>
          <w:tcPr>
            <w:tcW w:w="227" w:type="dxa"/>
            <w:tcBorders>
              <w:top w:val="single" w:sz="4" w:space="0" w:color="auto"/>
              <w:left w:val="single" w:sz="4" w:space="0" w:color="auto"/>
              <w:bottom w:val="single" w:sz="4" w:space="0" w:color="auto"/>
              <w:right w:val="single" w:sz="4" w:space="0" w:color="auto"/>
            </w:tcBorders>
          </w:tcPr>
          <w:p w:rsidR="00C0080D" w:rsidRPr="00B24C99" w:rsidRDefault="00C0080D" w:rsidP="00A32BD8">
            <w:pPr>
              <w:pStyle w:val="TableText0"/>
              <w:keepLines/>
            </w:pPr>
            <w:r w:rsidRPr="00B24C99">
              <w:t>1</w:t>
            </w:r>
          </w:p>
        </w:tc>
        <w:tc>
          <w:tcPr>
            <w:tcW w:w="4588" w:type="dxa"/>
            <w:tcBorders>
              <w:top w:val="single" w:sz="4" w:space="0" w:color="auto"/>
              <w:left w:val="single" w:sz="4" w:space="0" w:color="auto"/>
              <w:bottom w:val="single" w:sz="4" w:space="0" w:color="auto"/>
              <w:right w:val="single" w:sz="4" w:space="0" w:color="auto"/>
            </w:tcBorders>
          </w:tcPr>
          <w:p w:rsidR="00C0080D" w:rsidRPr="00B24C99" w:rsidRDefault="00C0080D" w:rsidP="00A32BD8">
            <w:pPr>
              <w:pStyle w:val="TableText0"/>
              <w:keepLines/>
            </w:pPr>
            <w:r w:rsidRPr="00B24C99">
              <w:t>Weibull OS for NIVO+IPI, 29.7 month cut-off for KM data</w:t>
            </w:r>
          </w:p>
        </w:tc>
        <w:tc>
          <w:tcPr>
            <w:tcW w:w="1321" w:type="dxa"/>
            <w:tcBorders>
              <w:top w:val="single" w:sz="4" w:space="0" w:color="auto"/>
              <w:left w:val="single" w:sz="4" w:space="0" w:color="auto"/>
              <w:bottom w:val="single" w:sz="4" w:space="0" w:color="auto"/>
              <w:right w:val="single" w:sz="4" w:space="0" w:color="auto"/>
            </w:tcBorders>
          </w:tcPr>
          <w:p w:rsidR="00C0080D" w:rsidRPr="004E3484" w:rsidRDefault="00C0080D" w:rsidP="00A32BD8">
            <w:pPr>
              <w:pStyle w:val="TableText0"/>
              <w:keepLines/>
              <w:jc w:val="center"/>
            </w:pPr>
            <w:r w:rsidRPr="00D02FFF">
              <w:t>$</w:t>
            </w:r>
            <w:r w:rsidR="004E3484">
              <w:rPr>
                <w:noProof/>
                <w:color w:val="000000"/>
                <w:highlight w:val="black"/>
              </w:rPr>
              <w:t>''''''''''''''''''</w:t>
            </w:r>
          </w:p>
        </w:tc>
        <w:tc>
          <w:tcPr>
            <w:tcW w:w="1406" w:type="dxa"/>
            <w:tcBorders>
              <w:top w:val="single" w:sz="4" w:space="0" w:color="auto"/>
              <w:left w:val="single" w:sz="4" w:space="0" w:color="auto"/>
              <w:bottom w:val="single" w:sz="4" w:space="0" w:color="auto"/>
              <w:right w:val="single" w:sz="4" w:space="0" w:color="auto"/>
            </w:tcBorders>
          </w:tcPr>
          <w:p w:rsidR="00C0080D" w:rsidRPr="004E3484" w:rsidRDefault="00C0080D" w:rsidP="00A32BD8">
            <w:pPr>
              <w:pStyle w:val="TableText0"/>
              <w:keepLines/>
              <w:jc w:val="center"/>
            </w:pPr>
            <w:r w:rsidRPr="004E3484">
              <w:t>0.32</w:t>
            </w:r>
          </w:p>
        </w:tc>
        <w:tc>
          <w:tcPr>
            <w:tcW w:w="1507" w:type="dxa"/>
            <w:tcBorders>
              <w:top w:val="single" w:sz="4" w:space="0" w:color="auto"/>
              <w:left w:val="single" w:sz="4" w:space="0" w:color="auto"/>
              <w:bottom w:val="single" w:sz="4" w:space="0" w:color="auto"/>
              <w:right w:val="single" w:sz="4" w:space="0" w:color="auto"/>
            </w:tcBorders>
          </w:tcPr>
          <w:p w:rsidR="00C0080D" w:rsidRPr="004E3484" w:rsidRDefault="00C0080D" w:rsidP="00A32BD8">
            <w:pPr>
              <w:pStyle w:val="TableText0"/>
              <w:keepLines/>
              <w:jc w:val="center"/>
            </w:pPr>
            <w:r w:rsidRPr="00D02FFF">
              <w:t>$</w:t>
            </w:r>
            <w:r w:rsidR="004E3484">
              <w:rPr>
                <w:noProof/>
                <w:color w:val="000000"/>
                <w:highlight w:val="black"/>
              </w:rPr>
              <w:t>'''''''''''''''''''</w:t>
            </w:r>
            <w:r w:rsidR="00D02FFF">
              <w:rPr>
                <w:vertAlign w:val="superscript"/>
              </w:rPr>
              <w:t>4</w:t>
            </w:r>
          </w:p>
        </w:tc>
      </w:tr>
      <w:tr w:rsidR="008D2AAD" w:rsidRPr="00B24C99" w:rsidTr="00DF5095">
        <w:trPr>
          <w:gridAfter w:val="1"/>
          <w:wAfter w:w="9" w:type="dxa"/>
        </w:trPr>
        <w:tc>
          <w:tcPr>
            <w:tcW w:w="227" w:type="dxa"/>
            <w:tcBorders>
              <w:top w:val="single" w:sz="4" w:space="0" w:color="auto"/>
              <w:left w:val="single" w:sz="4" w:space="0" w:color="auto"/>
              <w:bottom w:val="single" w:sz="4" w:space="0" w:color="auto"/>
              <w:right w:val="single" w:sz="4" w:space="0" w:color="auto"/>
            </w:tcBorders>
          </w:tcPr>
          <w:p w:rsidR="008D2AAD" w:rsidRPr="00B24C99" w:rsidRDefault="008D2AAD" w:rsidP="00A32BD8">
            <w:pPr>
              <w:pStyle w:val="TableText0"/>
              <w:keepLines/>
            </w:pPr>
            <w:r w:rsidRPr="00B24C99">
              <w:t>2</w:t>
            </w:r>
          </w:p>
        </w:tc>
        <w:tc>
          <w:tcPr>
            <w:tcW w:w="4588" w:type="dxa"/>
            <w:tcBorders>
              <w:top w:val="single" w:sz="4" w:space="0" w:color="auto"/>
              <w:left w:val="single" w:sz="4" w:space="0" w:color="auto"/>
              <w:bottom w:val="single" w:sz="4" w:space="0" w:color="auto"/>
              <w:right w:val="single" w:sz="4" w:space="0" w:color="auto"/>
            </w:tcBorders>
          </w:tcPr>
          <w:p w:rsidR="008D2AAD" w:rsidRPr="00B24C99" w:rsidRDefault="00B679A3" w:rsidP="00A32BD8">
            <w:pPr>
              <w:pStyle w:val="TableText0"/>
              <w:keepLines/>
            </w:pPr>
            <w:r w:rsidRPr="00B24C99">
              <w:t>MA</w:t>
            </w:r>
            <w:r w:rsidR="008D2AAD" w:rsidRPr="00B24C99">
              <w:t>1</w:t>
            </w:r>
            <w:r w:rsidRPr="00B24C99">
              <w:t xml:space="preserve"> plus </w:t>
            </w:r>
            <w:r w:rsidR="008D2AAD" w:rsidRPr="00B24C99">
              <w:t>utility estimates equal in PD (0.655 in both arms)</w:t>
            </w:r>
          </w:p>
        </w:tc>
        <w:tc>
          <w:tcPr>
            <w:tcW w:w="1321" w:type="dxa"/>
            <w:tcBorders>
              <w:top w:val="single" w:sz="4" w:space="0" w:color="auto"/>
              <w:left w:val="single" w:sz="4" w:space="0" w:color="auto"/>
              <w:bottom w:val="single" w:sz="4" w:space="0" w:color="auto"/>
              <w:right w:val="single" w:sz="4" w:space="0" w:color="auto"/>
            </w:tcBorders>
          </w:tcPr>
          <w:p w:rsidR="008D2AAD" w:rsidRPr="004E3484" w:rsidRDefault="008D2AAD" w:rsidP="00A32BD8">
            <w:pPr>
              <w:pStyle w:val="TableText0"/>
              <w:keepLines/>
              <w:jc w:val="center"/>
            </w:pPr>
            <w:r w:rsidRPr="00D02FFF">
              <w:t>$</w:t>
            </w:r>
            <w:r w:rsidR="004E3484">
              <w:rPr>
                <w:noProof/>
                <w:color w:val="000000"/>
                <w:highlight w:val="black"/>
              </w:rPr>
              <w:t>''''''''''''''''''</w:t>
            </w:r>
          </w:p>
        </w:tc>
        <w:tc>
          <w:tcPr>
            <w:tcW w:w="1406" w:type="dxa"/>
            <w:tcBorders>
              <w:top w:val="single" w:sz="4" w:space="0" w:color="auto"/>
              <w:left w:val="single" w:sz="4" w:space="0" w:color="auto"/>
              <w:bottom w:val="single" w:sz="4" w:space="0" w:color="auto"/>
              <w:right w:val="single" w:sz="4" w:space="0" w:color="auto"/>
            </w:tcBorders>
          </w:tcPr>
          <w:p w:rsidR="008D2AAD" w:rsidRPr="004E3484" w:rsidRDefault="008D2AAD" w:rsidP="00A32BD8">
            <w:pPr>
              <w:pStyle w:val="TableText0"/>
              <w:keepLines/>
              <w:jc w:val="center"/>
            </w:pPr>
            <w:r w:rsidRPr="004E3484">
              <w:t>0.28</w:t>
            </w:r>
          </w:p>
        </w:tc>
        <w:tc>
          <w:tcPr>
            <w:tcW w:w="1507" w:type="dxa"/>
            <w:tcBorders>
              <w:top w:val="single" w:sz="4" w:space="0" w:color="auto"/>
              <w:left w:val="single" w:sz="4" w:space="0" w:color="auto"/>
              <w:bottom w:val="single" w:sz="4" w:space="0" w:color="auto"/>
              <w:right w:val="single" w:sz="4" w:space="0" w:color="auto"/>
            </w:tcBorders>
          </w:tcPr>
          <w:p w:rsidR="008D2AAD" w:rsidRPr="004E3484" w:rsidRDefault="008D2AAD" w:rsidP="00A32BD8">
            <w:pPr>
              <w:pStyle w:val="TableText0"/>
              <w:keepLines/>
              <w:jc w:val="center"/>
            </w:pPr>
            <w:r w:rsidRPr="00D02FFF">
              <w:t>$</w:t>
            </w:r>
            <w:r w:rsidR="004E3484">
              <w:rPr>
                <w:noProof/>
                <w:color w:val="000000"/>
                <w:highlight w:val="black"/>
              </w:rPr>
              <w:t>'''''''''''''''''''''</w:t>
            </w:r>
            <w:r w:rsidR="00D02FFF">
              <w:rPr>
                <w:vertAlign w:val="superscript"/>
              </w:rPr>
              <w:t>5</w:t>
            </w:r>
          </w:p>
        </w:tc>
      </w:tr>
    </w:tbl>
    <w:p w:rsidR="00C0080D" w:rsidRPr="00B24C99" w:rsidRDefault="00C0080D" w:rsidP="00A32BD8">
      <w:pPr>
        <w:pStyle w:val="TableFigureFooter"/>
        <w:keepNext/>
        <w:keepLines/>
        <w:rPr>
          <w:sz w:val="20"/>
          <w:szCs w:val="20"/>
        </w:rPr>
      </w:pPr>
      <w:r w:rsidRPr="00B24C99">
        <w:rPr>
          <w:sz w:val="20"/>
          <w:szCs w:val="20"/>
        </w:rPr>
        <w:t>Note: *most conservative chosen as extrapolations with the shortest tails based on visual inspection</w:t>
      </w:r>
    </w:p>
    <w:p w:rsidR="00C0080D" w:rsidRPr="00B24C99" w:rsidRDefault="00C0080D" w:rsidP="00A32BD8">
      <w:pPr>
        <w:pStyle w:val="TableFigureFooter"/>
        <w:keepNext/>
        <w:keepLines/>
      </w:pPr>
      <w:r w:rsidRPr="00B24C99">
        <w:t>Abbreviations: BSA, body surface area; CARBO, carboplatin; CIS, cisplatin; ICER, incremental cost-effectiveness ratio; IPI, ipilimumab; KM, Kaplan-Meier; OS, overall survival; PD, progressive disease; PEM, pemetrexed; PFS, progression free survival, Q2W, every 2 weeks; Q3W, every 3 weeks; Q6W, every 6 weeks; QALY, quality-adjusted life-year</w:t>
      </w:r>
    </w:p>
    <w:p w:rsidR="00C0080D" w:rsidRDefault="00C0080D" w:rsidP="00A32BD8">
      <w:pPr>
        <w:pStyle w:val="TableFigureFooter"/>
        <w:keepNext/>
        <w:keepLines/>
        <w:rPr>
          <w:szCs w:val="18"/>
        </w:rPr>
      </w:pPr>
      <w:r w:rsidRPr="00B24C99">
        <w:rPr>
          <w:szCs w:val="18"/>
        </w:rPr>
        <w:t>Source: Table 103 of the submission and compiled during the evaluation.</w:t>
      </w:r>
    </w:p>
    <w:p w:rsidR="00D02FFF" w:rsidRPr="009868C4" w:rsidRDefault="00D02FFF" w:rsidP="00D02FFF">
      <w:pPr>
        <w:pStyle w:val="TableFigureFooter"/>
        <w:spacing w:after="0"/>
        <w:contextualSpacing w:val="0"/>
      </w:pPr>
      <w:r w:rsidRPr="009868C4">
        <w:rPr>
          <w:i/>
        </w:rPr>
        <w:t>The redacted values correspond to the following ranges</w:t>
      </w:r>
      <w:r>
        <w:rPr>
          <w:i/>
        </w:rPr>
        <w:t xml:space="preserve">: </w:t>
      </w:r>
    </w:p>
    <w:p w:rsidR="00D02FFF" w:rsidRDefault="00D02FFF" w:rsidP="00A32BD8">
      <w:pPr>
        <w:pStyle w:val="TableFigureFooter"/>
        <w:keepNext/>
        <w:keepLines/>
        <w:rPr>
          <w:i/>
          <w:szCs w:val="18"/>
        </w:rPr>
      </w:pPr>
      <w:r>
        <w:rPr>
          <w:i/>
          <w:szCs w:val="18"/>
          <w:vertAlign w:val="superscript"/>
        </w:rPr>
        <w:t xml:space="preserve">1 </w:t>
      </w:r>
      <w:r w:rsidRPr="00D02FFF">
        <w:rPr>
          <w:i/>
          <w:szCs w:val="18"/>
        </w:rPr>
        <w:t>$55,000 to &lt; $75,000</w:t>
      </w:r>
    </w:p>
    <w:p w:rsidR="00D02FFF" w:rsidRDefault="00D02FFF" w:rsidP="00A32BD8">
      <w:pPr>
        <w:pStyle w:val="TableFigureFooter"/>
        <w:keepNext/>
        <w:keepLines/>
        <w:rPr>
          <w:i/>
          <w:szCs w:val="18"/>
        </w:rPr>
      </w:pPr>
      <w:r>
        <w:rPr>
          <w:i/>
          <w:szCs w:val="18"/>
          <w:vertAlign w:val="superscript"/>
        </w:rPr>
        <w:t xml:space="preserve">2 </w:t>
      </w:r>
      <w:r w:rsidRPr="00D02FFF">
        <w:rPr>
          <w:i/>
          <w:szCs w:val="18"/>
        </w:rPr>
        <w:t>$95,000 to &lt; $115,000</w:t>
      </w:r>
    </w:p>
    <w:p w:rsidR="00D02FFF" w:rsidRDefault="00D02FFF" w:rsidP="00A32BD8">
      <w:pPr>
        <w:pStyle w:val="TableFigureFooter"/>
        <w:keepNext/>
        <w:keepLines/>
        <w:rPr>
          <w:i/>
          <w:szCs w:val="18"/>
        </w:rPr>
      </w:pPr>
      <w:r>
        <w:rPr>
          <w:i/>
          <w:szCs w:val="18"/>
          <w:vertAlign w:val="superscript"/>
        </w:rPr>
        <w:t xml:space="preserve">3 </w:t>
      </w:r>
      <w:r w:rsidRPr="00D02FFF">
        <w:rPr>
          <w:i/>
          <w:szCs w:val="18"/>
        </w:rPr>
        <w:t>$75,000 to &lt; $95,000</w:t>
      </w:r>
    </w:p>
    <w:p w:rsidR="00D02FFF" w:rsidRPr="00D02FFF" w:rsidRDefault="00D02FFF" w:rsidP="00D02FFF">
      <w:pPr>
        <w:pStyle w:val="TableFigureFooter"/>
        <w:keepNext/>
        <w:keepLines/>
        <w:rPr>
          <w:i/>
          <w:szCs w:val="18"/>
        </w:rPr>
      </w:pPr>
      <w:r>
        <w:rPr>
          <w:i/>
          <w:szCs w:val="18"/>
          <w:vertAlign w:val="superscript"/>
        </w:rPr>
        <w:t xml:space="preserve">4 </w:t>
      </w:r>
      <w:r w:rsidRPr="00D02FFF">
        <w:rPr>
          <w:i/>
          <w:szCs w:val="18"/>
        </w:rPr>
        <w:t>$135,000 to &lt; $155,000</w:t>
      </w:r>
    </w:p>
    <w:p w:rsidR="00C0080D" w:rsidRPr="00B24C99" w:rsidRDefault="00D02FFF" w:rsidP="00D02FFF">
      <w:pPr>
        <w:pStyle w:val="TableFigureFooter"/>
      </w:pPr>
      <w:r>
        <w:rPr>
          <w:i/>
          <w:szCs w:val="18"/>
          <w:vertAlign w:val="superscript"/>
        </w:rPr>
        <w:t xml:space="preserve">5 </w:t>
      </w:r>
      <w:r w:rsidRPr="00D02FFF">
        <w:rPr>
          <w:i/>
          <w:szCs w:val="18"/>
        </w:rPr>
        <w:t>$155,000 to &lt; $255,000</w:t>
      </w:r>
    </w:p>
    <w:p w:rsidR="00825E3A" w:rsidRPr="00B24C99" w:rsidRDefault="00C0080D" w:rsidP="00D02FFF">
      <w:pPr>
        <w:pStyle w:val="3-BodyText"/>
      </w:pPr>
      <w:r w:rsidRPr="00B24C99">
        <w:lastRenderedPageBreak/>
        <w:t xml:space="preserve">The sensitivity analyses indicated that the model was most sensitive to the time horizon and the approach to extrapolation. </w:t>
      </w:r>
      <w:r w:rsidR="00825E3A" w:rsidRPr="00B24C99">
        <w:t xml:space="preserve">The PBAC noted the pre-PBAC response proposed an alternative scenario based on </w:t>
      </w:r>
      <w:r w:rsidR="00FA0EF9" w:rsidRPr="00B24C99">
        <w:t xml:space="preserve">using </w:t>
      </w:r>
      <w:r w:rsidR="00825E3A" w:rsidRPr="00B24C99">
        <w:t xml:space="preserve">KM data to 29.7 months, log-logistic extrapolation for OS in the NIVO+IPI arm, with curve convergence from 5 years to 10 years which resulted in an ICER of </w:t>
      </w:r>
      <w:r w:rsidR="00D02FFF" w:rsidRPr="00D02FFF">
        <w:t xml:space="preserve">$95,000 to &lt; $115,000 </w:t>
      </w:r>
      <w:r w:rsidR="00825E3A" w:rsidRPr="00B24C99">
        <w:t>per QALY. The pre-PBAC response considered this scenario provided an upper range for the cost-effectiveness of NIVO+IPI in MPM.</w:t>
      </w:r>
      <w:r w:rsidR="00FA0EF9" w:rsidRPr="00B24C99">
        <w:t xml:space="preserve"> The PBAC noted </w:t>
      </w:r>
      <w:r w:rsidR="007039E3" w:rsidRPr="00B24C99">
        <w:t xml:space="preserve">converging the OS curve </w:t>
      </w:r>
      <w:r w:rsidR="00FA0EF9" w:rsidRPr="00B24C99">
        <w:t xml:space="preserve">appropriately accounted for some of the uncertainty associated with the model time horizon and the approach to extrapolation. </w:t>
      </w:r>
    </w:p>
    <w:p w:rsidR="00BA5034" w:rsidRPr="00B24C99" w:rsidRDefault="00587C93" w:rsidP="00B3549B">
      <w:pPr>
        <w:pStyle w:val="3-BodyText"/>
      </w:pPr>
      <w:r w:rsidRPr="00B24C99">
        <w:t xml:space="preserve">The ESC advised inclusion of costs for subsequent lines of therapy in the economic model would have been appropriate as the outcome data implicitly include the effectiveness of </w:t>
      </w:r>
      <w:r w:rsidR="00266325" w:rsidRPr="00B24C99">
        <w:t>subsequent therapy. However, t</w:t>
      </w:r>
      <w:r w:rsidRPr="00B24C99">
        <w:t xml:space="preserve">he ESC considered that, in this case, inclusion of the cost of subsequent lines of therapy </w:t>
      </w:r>
      <w:r w:rsidR="001A41C0" w:rsidRPr="00B24C99">
        <w:t xml:space="preserve">is </w:t>
      </w:r>
      <w:r w:rsidRPr="00B24C99">
        <w:t>unlikely to have a significant impact on the results</w:t>
      </w:r>
      <w:r w:rsidR="001A41C0" w:rsidRPr="00B24C99">
        <w:t xml:space="preserve"> of the economic modelling</w:t>
      </w:r>
      <w:r w:rsidRPr="00B24C99">
        <w:t xml:space="preserve">. </w:t>
      </w:r>
    </w:p>
    <w:p w:rsidR="00786337" w:rsidRPr="00B24C99" w:rsidRDefault="00786337" w:rsidP="00B3549B">
      <w:pPr>
        <w:pStyle w:val="3-BodyText"/>
      </w:pPr>
      <w:r w:rsidRPr="00B24C99">
        <w:t xml:space="preserve">The ESC noted </w:t>
      </w:r>
      <w:r w:rsidR="001A41C0" w:rsidRPr="00B24C99">
        <w:t xml:space="preserve">the proportion of patients with non-epithelioid MPM is likely to be higher in clinical practice than in CheckMate </w:t>
      </w:r>
      <w:r w:rsidR="001A41C0" w:rsidRPr="00A10DF7">
        <w:t xml:space="preserve">743 </w:t>
      </w:r>
      <w:r w:rsidR="00034EF5" w:rsidRPr="00A10DF7">
        <w:t>(paragraph 6.1</w:t>
      </w:r>
      <w:r w:rsidR="00E15FFA" w:rsidRPr="00A10DF7">
        <w:t>9</w:t>
      </w:r>
      <w:r w:rsidR="00034EF5" w:rsidRPr="00A10DF7">
        <w:t>) and effectiveness may be greater in this population (paragraph 6.1</w:t>
      </w:r>
      <w:r w:rsidR="00CC65AD" w:rsidRPr="00A10DF7">
        <w:t>8</w:t>
      </w:r>
      <w:r w:rsidR="00034EF5" w:rsidRPr="00A10DF7">
        <w:t>)</w:t>
      </w:r>
      <w:r w:rsidR="00B24C99" w:rsidRPr="00A10DF7">
        <w:t>.</w:t>
      </w:r>
      <w:r w:rsidR="00B24C99">
        <w:t xml:space="preserve"> </w:t>
      </w:r>
      <w:r w:rsidR="00034EF5" w:rsidRPr="00B24C99">
        <w:t xml:space="preserve">The ESC considered that </w:t>
      </w:r>
      <w:r w:rsidR="00E02DEE" w:rsidRPr="00B24C99">
        <w:t xml:space="preserve">a </w:t>
      </w:r>
      <w:r w:rsidR="00034EF5" w:rsidRPr="00B24C99">
        <w:t>higher proportion of use of NIVO+IPI in non-epithelioid MPM may reduce the ICER</w:t>
      </w:r>
      <w:r w:rsidR="00B24C99">
        <w:t xml:space="preserve">. </w:t>
      </w:r>
    </w:p>
    <w:p w:rsidR="00A57BD4" w:rsidRPr="00B24C99" w:rsidRDefault="00A57BD4">
      <w:pPr>
        <w:jc w:val="left"/>
        <w:rPr>
          <w:rFonts w:asciiTheme="minorHAnsi" w:hAnsiTheme="minorHAnsi"/>
          <w:snapToGrid w:val="0"/>
        </w:rPr>
      </w:pPr>
      <w:r w:rsidRPr="00B24C99">
        <w:br w:type="page"/>
      </w:r>
    </w:p>
    <w:p w:rsidR="00CC705D" w:rsidRPr="00B24C99" w:rsidRDefault="00CC705D" w:rsidP="00CC705D">
      <w:pPr>
        <w:pStyle w:val="4-SubsectionHeading"/>
      </w:pPr>
      <w:bookmarkStart w:id="40" w:name="_Toc62036368"/>
      <w:r w:rsidRPr="00B24C99">
        <w:lastRenderedPageBreak/>
        <w:t>Drug cost/patient/course</w:t>
      </w:r>
      <w:bookmarkEnd w:id="40"/>
    </w:p>
    <w:p w:rsidR="00CC705D" w:rsidRPr="00B24C99" w:rsidRDefault="00CC705D" w:rsidP="00A10DF7">
      <w:pPr>
        <w:pStyle w:val="TableFigureHeading"/>
        <w:keepLines/>
        <w:rPr>
          <w:rStyle w:val="CommentReference"/>
          <w:b/>
          <w:szCs w:val="24"/>
        </w:rPr>
      </w:pPr>
      <w:r w:rsidRPr="00B24C99">
        <w:rPr>
          <w:rStyle w:val="CommentReference"/>
          <w:b/>
          <w:szCs w:val="24"/>
        </w:rPr>
        <w:t xml:space="preserve">Table </w:t>
      </w:r>
      <w:r w:rsidR="0092446A" w:rsidRPr="00B24C99">
        <w:rPr>
          <w:rStyle w:val="CommentReference"/>
          <w:b/>
          <w:szCs w:val="24"/>
        </w:rPr>
        <w:t>1</w:t>
      </w:r>
      <w:r w:rsidR="00346D84" w:rsidRPr="00B24C99">
        <w:rPr>
          <w:rStyle w:val="CommentReference"/>
          <w:b/>
          <w:szCs w:val="24"/>
        </w:rPr>
        <w:t>7</w:t>
      </w:r>
      <w:r w:rsidRPr="00B24C99">
        <w:rPr>
          <w:rStyle w:val="CommentReference"/>
          <w:b/>
          <w:szCs w:val="24"/>
        </w:rPr>
        <w:t>: Drug cost per patient for proposed and comparator drugs</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3"/>
        <w:gridCol w:w="1277"/>
        <w:gridCol w:w="1275"/>
        <w:gridCol w:w="1335"/>
        <w:gridCol w:w="1362"/>
        <w:gridCol w:w="1227"/>
      </w:tblGrid>
      <w:tr w:rsidR="00CC705D" w:rsidRPr="00B24C99" w:rsidTr="00DD6317">
        <w:trPr>
          <w:cantSplit/>
          <w:tblHeader/>
          <w:jc w:val="center"/>
        </w:trPr>
        <w:tc>
          <w:tcPr>
            <w:tcW w:w="1410" w:type="pct"/>
            <w:shd w:val="clear" w:color="auto" w:fill="auto"/>
          </w:tcPr>
          <w:p w:rsidR="00CC705D" w:rsidRPr="00B24C99" w:rsidRDefault="00CC705D" w:rsidP="00A10DF7">
            <w:pPr>
              <w:pStyle w:val="In-tableHeading"/>
              <w:keepLines/>
              <w:jc w:val="center"/>
              <w:rPr>
                <w:lang w:val="en-AU"/>
              </w:rPr>
            </w:pPr>
          </w:p>
        </w:tc>
        <w:tc>
          <w:tcPr>
            <w:tcW w:w="708" w:type="pct"/>
            <w:shd w:val="clear" w:color="auto" w:fill="auto"/>
          </w:tcPr>
          <w:p w:rsidR="00CC705D" w:rsidRPr="00B24C99" w:rsidRDefault="00CC705D" w:rsidP="00A10DF7">
            <w:pPr>
              <w:pStyle w:val="In-tableHeading"/>
              <w:keepLines/>
              <w:jc w:val="center"/>
              <w:rPr>
                <w:lang w:val="en-AU"/>
              </w:rPr>
            </w:pPr>
            <w:r w:rsidRPr="00B24C99">
              <w:rPr>
                <w:lang w:val="en-AU"/>
              </w:rPr>
              <w:t>Nivolumab</w:t>
            </w:r>
          </w:p>
        </w:tc>
        <w:tc>
          <w:tcPr>
            <w:tcW w:w="707" w:type="pct"/>
            <w:shd w:val="clear" w:color="auto" w:fill="auto"/>
          </w:tcPr>
          <w:p w:rsidR="00CC705D" w:rsidRPr="00B24C99" w:rsidRDefault="00CC705D" w:rsidP="00A10DF7">
            <w:pPr>
              <w:pStyle w:val="In-tableHeading"/>
              <w:keepLines/>
              <w:jc w:val="center"/>
              <w:rPr>
                <w:lang w:val="en-AU"/>
              </w:rPr>
            </w:pPr>
            <w:r w:rsidRPr="00B24C99">
              <w:rPr>
                <w:lang w:val="en-AU"/>
              </w:rPr>
              <w:t>Ipilimumab</w:t>
            </w:r>
          </w:p>
        </w:tc>
        <w:tc>
          <w:tcPr>
            <w:tcW w:w="740" w:type="pct"/>
            <w:shd w:val="clear" w:color="auto" w:fill="auto"/>
          </w:tcPr>
          <w:p w:rsidR="00CC705D" w:rsidRPr="00B24C99" w:rsidRDefault="00CC705D" w:rsidP="00A10DF7">
            <w:pPr>
              <w:pStyle w:val="In-tableHeading"/>
              <w:keepLines/>
              <w:jc w:val="center"/>
              <w:rPr>
                <w:lang w:val="en-AU"/>
              </w:rPr>
            </w:pPr>
            <w:r w:rsidRPr="00B24C99">
              <w:rPr>
                <w:lang w:val="en-AU"/>
              </w:rPr>
              <w:t>Pemetrexed</w:t>
            </w:r>
          </w:p>
        </w:tc>
        <w:tc>
          <w:tcPr>
            <w:tcW w:w="755" w:type="pct"/>
            <w:shd w:val="clear" w:color="auto" w:fill="auto"/>
          </w:tcPr>
          <w:p w:rsidR="00CC705D" w:rsidRPr="00B24C99" w:rsidRDefault="00CC705D" w:rsidP="00A10DF7">
            <w:pPr>
              <w:pStyle w:val="In-tableHeading"/>
              <w:keepLines/>
              <w:jc w:val="center"/>
              <w:rPr>
                <w:lang w:val="en-AU"/>
              </w:rPr>
            </w:pPr>
            <w:r w:rsidRPr="00B24C99">
              <w:rPr>
                <w:lang w:val="en-AU"/>
              </w:rPr>
              <w:t>Cisplatin</w:t>
            </w:r>
          </w:p>
        </w:tc>
        <w:tc>
          <w:tcPr>
            <w:tcW w:w="680" w:type="pct"/>
            <w:shd w:val="clear" w:color="auto" w:fill="auto"/>
          </w:tcPr>
          <w:p w:rsidR="00CC705D" w:rsidRPr="00B24C99" w:rsidRDefault="00CC705D" w:rsidP="00A10DF7">
            <w:pPr>
              <w:pStyle w:val="In-tableHeading"/>
              <w:keepLines/>
              <w:jc w:val="center"/>
              <w:rPr>
                <w:lang w:val="en-AU"/>
              </w:rPr>
            </w:pPr>
            <w:r w:rsidRPr="00B24C99">
              <w:rPr>
                <w:lang w:val="en-AU"/>
              </w:rPr>
              <w:t>Carboplatin</w:t>
            </w:r>
          </w:p>
        </w:tc>
      </w:tr>
      <w:tr w:rsidR="00CC705D" w:rsidRPr="00B24C99" w:rsidTr="00DD6317">
        <w:trPr>
          <w:cantSplit/>
          <w:jc w:val="center"/>
        </w:trPr>
        <w:tc>
          <w:tcPr>
            <w:tcW w:w="1410" w:type="pct"/>
            <w:shd w:val="clear" w:color="auto" w:fill="auto"/>
          </w:tcPr>
          <w:p w:rsidR="00CC705D" w:rsidRPr="00B24C99" w:rsidRDefault="00CC705D" w:rsidP="00A10DF7">
            <w:pPr>
              <w:pStyle w:val="Tabletext"/>
              <w:keepNext/>
              <w:keepLines/>
            </w:pPr>
            <w:r w:rsidRPr="00B24C99">
              <w:t>Infusions per treatment course</w:t>
            </w:r>
          </w:p>
        </w:tc>
        <w:tc>
          <w:tcPr>
            <w:tcW w:w="708" w:type="pct"/>
            <w:shd w:val="clear" w:color="auto" w:fill="auto"/>
          </w:tcPr>
          <w:p w:rsidR="00CC705D" w:rsidRPr="00B24C99" w:rsidRDefault="00CC705D" w:rsidP="00A10DF7">
            <w:pPr>
              <w:pStyle w:val="TableText0"/>
              <w:keepLines/>
              <w:jc w:val="center"/>
            </w:pPr>
            <w:r w:rsidRPr="00B24C99">
              <w:t>17.72</w:t>
            </w:r>
          </w:p>
        </w:tc>
        <w:tc>
          <w:tcPr>
            <w:tcW w:w="707" w:type="pct"/>
            <w:shd w:val="clear" w:color="auto" w:fill="auto"/>
          </w:tcPr>
          <w:p w:rsidR="00CC705D" w:rsidRPr="00B24C99" w:rsidRDefault="00CC705D" w:rsidP="00A10DF7">
            <w:pPr>
              <w:pStyle w:val="TableText0"/>
              <w:keepLines/>
              <w:jc w:val="center"/>
            </w:pPr>
            <w:r w:rsidRPr="00B24C99">
              <w:t>6.25</w:t>
            </w:r>
          </w:p>
        </w:tc>
        <w:tc>
          <w:tcPr>
            <w:tcW w:w="740" w:type="pct"/>
            <w:shd w:val="clear" w:color="auto" w:fill="auto"/>
          </w:tcPr>
          <w:p w:rsidR="00CC705D" w:rsidRPr="00B24C99" w:rsidRDefault="00CC705D" w:rsidP="00A10DF7">
            <w:pPr>
              <w:pStyle w:val="TableText0"/>
              <w:keepLines/>
              <w:jc w:val="center"/>
            </w:pPr>
            <w:r w:rsidRPr="00B24C99">
              <w:t>5.12</w:t>
            </w:r>
          </w:p>
        </w:tc>
        <w:tc>
          <w:tcPr>
            <w:tcW w:w="755" w:type="pct"/>
            <w:shd w:val="clear" w:color="auto" w:fill="auto"/>
          </w:tcPr>
          <w:p w:rsidR="00CC705D" w:rsidRPr="00B24C99" w:rsidRDefault="00CC705D" w:rsidP="00A10DF7">
            <w:pPr>
              <w:pStyle w:val="TableText0"/>
              <w:keepLines/>
              <w:jc w:val="center"/>
            </w:pPr>
            <w:r w:rsidRPr="00B24C99">
              <w:t>5.12</w:t>
            </w:r>
          </w:p>
        </w:tc>
        <w:tc>
          <w:tcPr>
            <w:tcW w:w="680" w:type="pct"/>
            <w:shd w:val="clear" w:color="auto" w:fill="auto"/>
          </w:tcPr>
          <w:p w:rsidR="00CC705D" w:rsidRPr="00B24C99" w:rsidRDefault="00CC705D" w:rsidP="00A10DF7">
            <w:pPr>
              <w:pStyle w:val="Tabletext"/>
              <w:keepNext/>
              <w:keepLines/>
              <w:jc w:val="center"/>
            </w:pPr>
            <w:r w:rsidRPr="00B24C99">
              <w:t>5.12</w:t>
            </w:r>
          </w:p>
        </w:tc>
      </w:tr>
      <w:tr w:rsidR="00CC705D" w:rsidRPr="00B24C99" w:rsidTr="00DD6317">
        <w:trPr>
          <w:cantSplit/>
          <w:jc w:val="center"/>
        </w:trPr>
        <w:tc>
          <w:tcPr>
            <w:tcW w:w="1410" w:type="pct"/>
            <w:shd w:val="clear" w:color="auto" w:fill="auto"/>
          </w:tcPr>
          <w:p w:rsidR="00CC705D" w:rsidRPr="00B24C99" w:rsidRDefault="00CC705D" w:rsidP="00A10DF7">
            <w:pPr>
              <w:pStyle w:val="Tabletext"/>
              <w:keepNext/>
              <w:keepLines/>
            </w:pPr>
            <w:r w:rsidRPr="00B24C99">
              <w:t>DPMA per infusion</w:t>
            </w:r>
          </w:p>
        </w:tc>
        <w:tc>
          <w:tcPr>
            <w:tcW w:w="708" w:type="pct"/>
            <w:shd w:val="clear" w:color="auto" w:fill="auto"/>
          </w:tcPr>
          <w:p w:rsidR="00CC705D" w:rsidRPr="00B24C99" w:rsidRDefault="00CC705D" w:rsidP="00A10DF7">
            <w:pPr>
              <w:pStyle w:val="TableText0"/>
              <w:keepLines/>
              <w:jc w:val="center"/>
            </w:pPr>
            <w:r w:rsidRPr="00B24C99">
              <w:t>$</w:t>
            </w:r>
            <w:r w:rsidR="004E3484">
              <w:rPr>
                <w:noProof/>
                <w:color w:val="000000"/>
                <w:highlight w:val="black"/>
              </w:rPr>
              <w:t>''''''''''''''''''''''</w:t>
            </w:r>
          </w:p>
        </w:tc>
        <w:tc>
          <w:tcPr>
            <w:tcW w:w="707" w:type="pct"/>
            <w:shd w:val="clear" w:color="auto" w:fill="auto"/>
          </w:tcPr>
          <w:p w:rsidR="00CC705D" w:rsidRPr="00B24C99" w:rsidRDefault="00CC705D" w:rsidP="00A10DF7">
            <w:pPr>
              <w:pStyle w:val="TableText0"/>
              <w:keepLines/>
              <w:jc w:val="center"/>
            </w:pPr>
            <w:r w:rsidRPr="00B24C99">
              <w:t>$</w:t>
            </w:r>
            <w:r w:rsidR="004E3484">
              <w:rPr>
                <w:noProof/>
                <w:color w:val="000000"/>
                <w:highlight w:val="black"/>
              </w:rPr>
              <w:t>'''''''''''''''''''''</w:t>
            </w:r>
          </w:p>
        </w:tc>
        <w:tc>
          <w:tcPr>
            <w:tcW w:w="740" w:type="pct"/>
            <w:shd w:val="clear" w:color="auto" w:fill="auto"/>
          </w:tcPr>
          <w:p w:rsidR="00CC705D" w:rsidRPr="00B24C99" w:rsidRDefault="00CC705D" w:rsidP="00A10DF7">
            <w:pPr>
              <w:pStyle w:val="TableText0"/>
              <w:keepLines/>
              <w:jc w:val="center"/>
            </w:pPr>
            <w:r w:rsidRPr="00B24C99">
              <w:t>$195.08</w:t>
            </w:r>
          </w:p>
        </w:tc>
        <w:tc>
          <w:tcPr>
            <w:tcW w:w="755" w:type="pct"/>
            <w:shd w:val="clear" w:color="auto" w:fill="auto"/>
          </w:tcPr>
          <w:p w:rsidR="00CC705D" w:rsidRPr="00B24C99" w:rsidRDefault="00CC705D" w:rsidP="00A10DF7">
            <w:pPr>
              <w:pStyle w:val="TableText0"/>
              <w:keepLines/>
              <w:jc w:val="center"/>
            </w:pPr>
            <w:r w:rsidRPr="00B24C99">
              <w:t>$139.24</w:t>
            </w:r>
          </w:p>
        </w:tc>
        <w:tc>
          <w:tcPr>
            <w:tcW w:w="680" w:type="pct"/>
            <w:shd w:val="clear" w:color="auto" w:fill="auto"/>
          </w:tcPr>
          <w:p w:rsidR="00CC705D" w:rsidRPr="00B24C99" w:rsidRDefault="00CC705D" w:rsidP="00A10DF7">
            <w:pPr>
              <w:pStyle w:val="Tabletext"/>
              <w:keepNext/>
              <w:keepLines/>
              <w:jc w:val="center"/>
            </w:pPr>
            <w:r w:rsidRPr="00B24C99">
              <w:t>$154.29</w:t>
            </w:r>
          </w:p>
        </w:tc>
      </w:tr>
      <w:tr w:rsidR="00CC705D" w:rsidRPr="00B24C99" w:rsidTr="00DD6317">
        <w:trPr>
          <w:cantSplit/>
          <w:jc w:val="center"/>
        </w:trPr>
        <w:tc>
          <w:tcPr>
            <w:tcW w:w="1410" w:type="pct"/>
            <w:shd w:val="clear" w:color="auto" w:fill="auto"/>
          </w:tcPr>
          <w:p w:rsidR="00CC705D" w:rsidRPr="00B24C99" w:rsidRDefault="00CC705D" w:rsidP="00A10DF7">
            <w:pPr>
              <w:pStyle w:val="Tabletext"/>
              <w:keepNext/>
              <w:keepLines/>
            </w:pPr>
            <w:r w:rsidRPr="00B24C99">
              <w:t>Drug cost/pt/course</w:t>
            </w:r>
          </w:p>
        </w:tc>
        <w:tc>
          <w:tcPr>
            <w:tcW w:w="1415" w:type="pct"/>
            <w:gridSpan w:val="2"/>
            <w:shd w:val="clear" w:color="auto" w:fill="auto"/>
          </w:tcPr>
          <w:p w:rsidR="00CC705D" w:rsidRPr="00B24C99" w:rsidRDefault="00CC705D" w:rsidP="00A10DF7">
            <w:pPr>
              <w:pStyle w:val="TableText0"/>
              <w:keepLines/>
              <w:jc w:val="center"/>
            </w:pPr>
            <w:r w:rsidRPr="00B24C99">
              <w:t>$</w:t>
            </w:r>
            <w:r w:rsidR="004E3484">
              <w:rPr>
                <w:noProof/>
                <w:color w:val="000000"/>
                <w:highlight w:val="black"/>
              </w:rPr>
              <w:t>'''''''''''''''''''''''''</w:t>
            </w:r>
          </w:p>
        </w:tc>
        <w:tc>
          <w:tcPr>
            <w:tcW w:w="2175" w:type="pct"/>
            <w:gridSpan w:val="3"/>
            <w:shd w:val="clear" w:color="auto" w:fill="auto"/>
          </w:tcPr>
          <w:p w:rsidR="00CC705D" w:rsidRPr="00B24C99" w:rsidRDefault="00CC705D" w:rsidP="00A10DF7">
            <w:pPr>
              <w:pStyle w:val="Tabletext"/>
              <w:keepNext/>
              <w:keepLines/>
              <w:jc w:val="center"/>
            </w:pPr>
            <w:r w:rsidRPr="00B24C99">
              <w:t>$1,764.28</w:t>
            </w:r>
          </w:p>
        </w:tc>
      </w:tr>
      <w:tr w:rsidR="00CC705D" w:rsidRPr="00B24C99" w:rsidTr="00DD6317">
        <w:trPr>
          <w:cantSplit/>
          <w:jc w:val="center"/>
        </w:trPr>
        <w:tc>
          <w:tcPr>
            <w:tcW w:w="1410" w:type="pct"/>
            <w:shd w:val="clear" w:color="auto" w:fill="auto"/>
          </w:tcPr>
          <w:p w:rsidR="00CC705D" w:rsidRPr="00B24C99" w:rsidRDefault="00CC705D" w:rsidP="00A10DF7">
            <w:pPr>
              <w:pStyle w:val="Tabletext"/>
              <w:keepNext/>
              <w:keepLines/>
            </w:pPr>
            <w:r w:rsidRPr="00B24C99">
              <w:t>Drug cost/pt/course+admin cost</w:t>
            </w:r>
          </w:p>
        </w:tc>
        <w:tc>
          <w:tcPr>
            <w:tcW w:w="1415" w:type="pct"/>
            <w:gridSpan w:val="2"/>
            <w:shd w:val="clear" w:color="auto" w:fill="auto"/>
          </w:tcPr>
          <w:p w:rsidR="00CC705D" w:rsidRPr="00B24C99" w:rsidRDefault="00CC705D" w:rsidP="00A10DF7">
            <w:pPr>
              <w:pStyle w:val="TableText0"/>
              <w:keepLines/>
              <w:jc w:val="center"/>
            </w:pPr>
            <w:r w:rsidRPr="00B24C99">
              <w:t>$</w:t>
            </w:r>
            <w:r w:rsidR="004E3484">
              <w:rPr>
                <w:noProof/>
                <w:color w:val="000000"/>
                <w:highlight w:val="black"/>
              </w:rPr>
              <w:t>''''''''''''''''''''''</w:t>
            </w:r>
          </w:p>
        </w:tc>
        <w:tc>
          <w:tcPr>
            <w:tcW w:w="2175" w:type="pct"/>
            <w:gridSpan w:val="3"/>
            <w:shd w:val="clear" w:color="auto" w:fill="auto"/>
          </w:tcPr>
          <w:p w:rsidR="00CC705D" w:rsidRPr="00B24C99" w:rsidRDefault="00CC705D" w:rsidP="00A10DF7">
            <w:pPr>
              <w:pStyle w:val="Tabletext"/>
              <w:keepNext/>
              <w:keepLines/>
              <w:jc w:val="center"/>
            </w:pPr>
            <w:r w:rsidRPr="00B24C99">
              <w:t>$2,335.01</w:t>
            </w:r>
          </w:p>
        </w:tc>
      </w:tr>
    </w:tbl>
    <w:p w:rsidR="00CC705D" w:rsidRPr="00B24C99" w:rsidRDefault="00CC705D" w:rsidP="00A10DF7">
      <w:pPr>
        <w:pStyle w:val="TableFigureFooter"/>
        <w:keepNext/>
        <w:keepLines/>
      </w:pPr>
      <w:r w:rsidRPr="00B24C99">
        <w:t>Abbreviations: DPMA, dispensed price for maximum amount; pt, patient</w:t>
      </w:r>
    </w:p>
    <w:p w:rsidR="00CC705D" w:rsidRPr="00B24C99" w:rsidRDefault="00CC705D" w:rsidP="00A10DF7">
      <w:pPr>
        <w:pStyle w:val="TableFigureFooter"/>
        <w:keepNext/>
        <w:keepLines/>
      </w:pPr>
      <w:r w:rsidRPr="00B24C99">
        <w:t>Source: Table 95 of the submission</w:t>
      </w:r>
    </w:p>
    <w:p w:rsidR="00CC705D" w:rsidRPr="00B24C99" w:rsidRDefault="00CC705D" w:rsidP="00A10DF7">
      <w:pPr>
        <w:pStyle w:val="TableFigureFooter"/>
        <w:keepNext/>
        <w:keepLines/>
      </w:pPr>
      <w:r w:rsidRPr="00B24C99">
        <w:t>Notes: chemotherapy split was 100% pemetrexed, 33% cisplatin, 67% carboplatin as received in Checkmate 743.</w:t>
      </w:r>
    </w:p>
    <w:p w:rsidR="00CC705D" w:rsidRPr="00B24C99" w:rsidRDefault="00CC705D" w:rsidP="007A4D1C">
      <w:pPr>
        <w:pStyle w:val="3-BodyText"/>
      </w:pPr>
      <w:r w:rsidRPr="00B24C99">
        <w:t>Including administration costs the modelled economic evaluation estimated an average treatment cost for NIVO+IPI of $</w:t>
      </w:r>
      <w:r w:rsidR="004E3484">
        <w:rPr>
          <w:noProof/>
          <w:color w:val="000000"/>
          <w:highlight w:val="black"/>
        </w:rPr>
        <w:t>'''''''''''''''''''</w:t>
      </w:r>
      <w:r w:rsidRPr="00B24C99">
        <w:t>. The proportional split of cisplatin and carboplatin in the model was assumed to be 33% and 67% respectively, based on usage in Checkmate 743. Changes to this split however ha</w:t>
      </w:r>
      <w:r w:rsidR="00EF26C2" w:rsidRPr="00B24C99">
        <w:t>d</w:t>
      </w:r>
      <w:r w:rsidRPr="00B24C99">
        <w:t xml:space="preserve"> marginal impact on the estimated ICER/QALY, given the relatively lower costs of chemotherapy compared to NIVO+IPI.</w:t>
      </w:r>
    </w:p>
    <w:p w:rsidR="00CC705D" w:rsidRPr="00B24C99" w:rsidRDefault="00CC705D" w:rsidP="00CC705D">
      <w:pPr>
        <w:pStyle w:val="3-BodyText"/>
      </w:pPr>
      <w:r w:rsidRPr="00B24C99">
        <w:t>Dosing was based on average weight (72.75kg) and BSA (1.82m</w:t>
      </w:r>
      <w:r w:rsidRPr="00B24C99">
        <w:rPr>
          <w:vertAlign w:val="superscript"/>
        </w:rPr>
        <w:t>2</w:t>
      </w:r>
      <w:r w:rsidRPr="00B24C99">
        <w:t>) reported from Checkmate 743. The cost of NIVO+IPI was based on 3mg/kg Q2W for nivolumab and 1mg/kg Q6W for ipilimumab (though the submission also requested nivolumab 360mg flat dosing Q3W as an alternative). The cost of chemotherapy was based on the pemetrexed dose of 500mg/m</w:t>
      </w:r>
      <w:r w:rsidRPr="00B24C99">
        <w:rPr>
          <w:vertAlign w:val="superscript"/>
        </w:rPr>
        <w:t>2</w:t>
      </w:r>
      <w:r w:rsidRPr="00B24C99">
        <w:t>, cisplatin 75mg/m</w:t>
      </w:r>
      <w:r w:rsidRPr="00B24C99">
        <w:rPr>
          <w:vertAlign w:val="superscript"/>
        </w:rPr>
        <w:t>2</w:t>
      </w:r>
      <w:r w:rsidRPr="00B24C99">
        <w:t xml:space="preserve"> and carboplatin 550mg Q3W.</w:t>
      </w:r>
    </w:p>
    <w:p w:rsidR="00B60939" w:rsidRPr="00B24C99" w:rsidRDefault="00B60939" w:rsidP="002B05A1">
      <w:pPr>
        <w:pStyle w:val="4-SubsectionHeading"/>
      </w:pPr>
      <w:bookmarkStart w:id="41" w:name="_Toc22897647"/>
      <w:bookmarkStart w:id="42" w:name="_Toc62036369"/>
      <w:r w:rsidRPr="00B24C99">
        <w:t>Estimated PBS usage &amp; financial implications</w:t>
      </w:r>
      <w:bookmarkEnd w:id="41"/>
      <w:bookmarkEnd w:id="42"/>
    </w:p>
    <w:p w:rsidR="00142DFF" w:rsidRPr="00B24C99" w:rsidRDefault="00142CF6" w:rsidP="00142DFF">
      <w:pPr>
        <w:pStyle w:val="3-BodyText"/>
      </w:pPr>
      <w:r w:rsidRPr="00B24C99">
        <w:t>The submission was cons</w:t>
      </w:r>
      <w:r w:rsidR="0032034C" w:rsidRPr="00B24C99">
        <w:t>idered by the DUSC. The submission adopted an epidemiological approach to estimate the financial implications of listing, for both first- and second-line use. All second-line treatment</w:t>
      </w:r>
      <w:r w:rsidR="00653A28" w:rsidRPr="00B24C99">
        <w:t>s</w:t>
      </w:r>
      <w:r w:rsidR="0032034C" w:rsidRPr="00B24C99">
        <w:t xml:space="preserve"> are assumed to be administered in 2022, beyond this NIVO +IPI use is assumed to be in first-line only</w:t>
      </w:r>
      <w:r w:rsidR="00B24C99">
        <w:t xml:space="preserve">. </w:t>
      </w:r>
      <w:r w:rsidR="00DD6317" w:rsidRPr="00B24C99">
        <w:rPr>
          <w:rStyle w:val="CommentReference"/>
          <w:rFonts w:ascii="Calibri" w:hAnsi="Calibri"/>
          <w:b w:val="0"/>
          <w:sz w:val="24"/>
          <w:szCs w:val="22"/>
        </w:rPr>
        <w:t>The key inputs applied in the financial analysis are presented below.</w:t>
      </w:r>
    </w:p>
    <w:p w:rsidR="00DD6317" w:rsidRPr="00B24C99" w:rsidRDefault="00DD6317" w:rsidP="00DD6317">
      <w:pPr>
        <w:pStyle w:val="TableFigureHeading"/>
        <w:rPr>
          <w:rStyle w:val="CommentReference"/>
          <w:b/>
          <w:szCs w:val="24"/>
        </w:rPr>
      </w:pPr>
      <w:r w:rsidRPr="00B24C99">
        <w:rPr>
          <w:rStyle w:val="CommentReference"/>
          <w:b/>
          <w:szCs w:val="24"/>
        </w:rPr>
        <w:t>Table 19:</w:t>
      </w:r>
      <w:r w:rsidRPr="00B24C99">
        <w:rPr>
          <w:rFonts w:eastAsiaTheme="minorEastAsia" w:cstheme="minorBidi"/>
          <w:b w:val="0"/>
          <w:szCs w:val="22"/>
          <w:lang w:eastAsia="zh-CN"/>
        </w:rPr>
        <w:t xml:space="preserve"> </w:t>
      </w:r>
      <w:r w:rsidRPr="00B24C99">
        <w:rPr>
          <w:rStyle w:val="CommentReference"/>
          <w:b/>
          <w:szCs w:val="24"/>
        </w:rPr>
        <w:t>Key inputs for the financial analysis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8"/>
        <w:gridCol w:w="1314"/>
        <w:gridCol w:w="3647"/>
        <w:gridCol w:w="3118"/>
      </w:tblGrid>
      <w:tr w:rsidR="00DD6317" w:rsidRPr="00B24C99" w:rsidTr="008A7812">
        <w:trPr>
          <w:tblHeader/>
        </w:trPr>
        <w:tc>
          <w:tcPr>
            <w:tcW w:w="988" w:type="dxa"/>
            <w:vAlign w:val="center"/>
          </w:tcPr>
          <w:p w:rsidR="00DD6317" w:rsidRPr="00B24C99" w:rsidRDefault="00DD6317" w:rsidP="008A7812">
            <w:pPr>
              <w:pStyle w:val="In-tableHeading"/>
              <w:keepNext w:val="0"/>
              <w:rPr>
                <w:lang w:val="en-AU"/>
              </w:rPr>
            </w:pPr>
            <w:r w:rsidRPr="00B24C99">
              <w:rPr>
                <w:lang w:val="en-AU"/>
              </w:rPr>
              <w:t>Data</w:t>
            </w:r>
          </w:p>
        </w:tc>
        <w:tc>
          <w:tcPr>
            <w:tcW w:w="1314" w:type="dxa"/>
            <w:vAlign w:val="center"/>
          </w:tcPr>
          <w:p w:rsidR="00DD6317" w:rsidRPr="00B24C99" w:rsidRDefault="00DD6317" w:rsidP="008A7812">
            <w:pPr>
              <w:pStyle w:val="In-tableHeading"/>
              <w:keepNext w:val="0"/>
              <w:rPr>
                <w:lang w:val="en-AU"/>
              </w:rPr>
            </w:pPr>
            <w:r w:rsidRPr="00B24C99">
              <w:rPr>
                <w:lang w:val="en-AU"/>
              </w:rPr>
              <w:t>Value</w:t>
            </w:r>
          </w:p>
        </w:tc>
        <w:tc>
          <w:tcPr>
            <w:tcW w:w="3647" w:type="dxa"/>
            <w:vAlign w:val="center"/>
          </w:tcPr>
          <w:p w:rsidR="00DD6317" w:rsidRPr="00B24C99" w:rsidRDefault="00DD6317" w:rsidP="008A7812">
            <w:pPr>
              <w:pStyle w:val="In-tableHeading"/>
              <w:keepNext w:val="0"/>
              <w:rPr>
                <w:lang w:val="en-AU"/>
              </w:rPr>
            </w:pPr>
            <w:r w:rsidRPr="00B24C99">
              <w:rPr>
                <w:lang w:val="en-AU"/>
              </w:rPr>
              <w:t>Source</w:t>
            </w:r>
          </w:p>
        </w:tc>
        <w:tc>
          <w:tcPr>
            <w:tcW w:w="3118" w:type="dxa"/>
            <w:vAlign w:val="center"/>
          </w:tcPr>
          <w:p w:rsidR="00DD6317" w:rsidRPr="00B24C99" w:rsidRDefault="00DD6317" w:rsidP="008A7812">
            <w:pPr>
              <w:pStyle w:val="In-tableHeading"/>
              <w:keepNext w:val="0"/>
              <w:rPr>
                <w:lang w:val="en-AU"/>
              </w:rPr>
            </w:pPr>
            <w:r w:rsidRPr="00B24C99">
              <w:rPr>
                <w:lang w:val="en-AU"/>
              </w:rPr>
              <w:t>Comment</w:t>
            </w:r>
          </w:p>
        </w:tc>
      </w:tr>
      <w:tr w:rsidR="00DD6317" w:rsidRPr="00B24C99" w:rsidTr="008A7812">
        <w:tc>
          <w:tcPr>
            <w:tcW w:w="9067" w:type="dxa"/>
            <w:gridSpan w:val="4"/>
            <w:vAlign w:val="center"/>
          </w:tcPr>
          <w:p w:rsidR="00DD6317" w:rsidRPr="00B24C99" w:rsidRDefault="00DD6317" w:rsidP="008A7812">
            <w:pPr>
              <w:pStyle w:val="In-tableHeading"/>
              <w:keepNext w:val="0"/>
              <w:rPr>
                <w:lang w:val="en-AU"/>
              </w:rPr>
            </w:pPr>
            <w:r w:rsidRPr="00B24C99">
              <w:rPr>
                <w:lang w:val="en-AU"/>
              </w:rPr>
              <w:t>Eligible population</w:t>
            </w:r>
          </w:p>
        </w:tc>
      </w:tr>
      <w:tr w:rsidR="00DD6317" w:rsidRPr="00B24C99" w:rsidTr="008A7812">
        <w:tc>
          <w:tcPr>
            <w:tcW w:w="988" w:type="dxa"/>
            <w:vAlign w:val="center"/>
          </w:tcPr>
          <w:p w:rsidR="00DD6317" w:rsidRPr="00B24C99" w:rsidRDefault="00DD6317" w:rsidP="008A7812">
            <w:pPr>
              <w:pStyle w:val="TableText0"/>
              <w:keepNext w:val="0"/>
            </w:pPr>
            <w:r w:rsidRPr="00B24C99">
              <w:t>Incident patients (1L)</w:t>
            </w:r>
          </w:p>
        </w:tc>
        <w:tc>
          <w:tcPr>
            <w:tcW w:w="1314" w:type="dxa"/>
            <w:vAlign w:val="center"/>
          </w:tcPr>
          <w:p w:rsidR="00DD6317" w:rsidRPr="00B24C99" w:rsidRDefault="00DD6317" w:rsidP="008A7812">
            <w:pPr>
              <w:pStyle w:val="TableText0"/>
              <w:keepNext w:val="0"/>
            </w:pPr>
            <w:r w:rsidRPr="00B24C99">
              <w:t xml:space="preserve">Yr 1: </w:t>
            </w:r>
            <w:r w:rsidR="004E3484">
              <w:rPr>
                <w:noProof/>
                <w:color w:val="000000"/>
                <w:highlight w:val="black"/>
              </w:rPr>
              <w:t>'''''''''</w:t>
            </w:r>
            <w:r w:rsidR="00C97C8A">
              <w:rPr>
                <w:vertAlign w:val="superscript"/>
              </w:rPr>
              <w:t>1</w:t>
            </w:r>
          </w:p>
          <w:p w:rsidR="00DD6317" w:rsidRPr="00B24C99" w:rsidRDefault="00DD6317" w:rsidP="008A7812">
            <w:pPr>
              <w:pStyle w:val="TableText0"/>
              <w:keepNext w:val="0"/>
            </w:pPr>
            <w:r w:rsidRPr="00B24C99">
              <w:t xml:space="preserve">Yr 2: </w:t>
            </w:r>
            <w:r w:rsidR="004E3484">
              <w:rPr>
                <w:noProof/>
                <w:color w:val="000000"/>
                <w:highlight w:val="black"/>
              </w:rPr>
              <w:t>''''''''''</w:t>
            </w:r>
            <w:r w:rsidR="00C97C8A">
              <w:rPr>
                <w:vertAlign w:val="superscript"/>
              </w:rPr>
              <w:t>1</w:t>
            </w:r>
          </w:p>
          <w:p w:rsidR="00DD6317" w:rsidRPr="00B24C99" w:rsidRDefault="00DD6317" w:rsidP="008A7812">
            <w:pPr>
              <w:pStyle w:val="TableText0"/>
              <w:keepNext w:val="0"/>
            </w:pPr>
            <w:r w:rsidRPr="00B24C99">
              <w:t xml:space="preserve">Yr 3: </w:t>
            </w:r>
            <w:r w:rsidR="004E3484">
              <w:rPr>
                <w:noProof/>
                <w:color w:val="000000"/>
                <w:highlight w:val="black"/>
              </w:rPr>
              <w:t>''''''''''</w:t>
            </w:r>
            <w:r w:rsidR="00C97C8A">
              <w:rPr>
                <w:vertAlign w:val="superscript"/>
              </w:rPr>
              <w:t>1</w:t>
            </w:r>
          </w:p>
          <w:p w:rsidR="00DD6317" w:rsidRPr="00B24C99" w:rsidRDefault="00DD6317" w:rsidP="008A7812">
            <w:pPr>
              <w:pStyle w:val="TableText0"/>
              <w:keepNext w:val="0"/>
            </w:pPr>
            <w:r w:rsidRPr="00B24C99">
              <w:t xml:space="preserve">Yr 4: </w:t>
            </w:r>
            <w:r w:rsidR="004E3484">
              <w:rPr>
                <w:noProof/>
                <w:color w:val="000000"/>
                <w:highlight w:val="black"/>
              </w:rPr>
              <w:t>''''''''''</w:t>
            </w:r>
            <w:r w:rsidR="00C97C8A">
              <w:rPr>
                <w:vertAlign w:val="superscript"/>
              </w:rPr>
              <w:t>1</w:t>
            </w:r>
          </w:p>
          <w:p w:rsidR="00DD6317" w:rsidRPr="00B24C99" w:rsidRDefault="00DD6317" w:rsidP="008A7812">
            <w:pPr>
              <w:pStyle w:val="TableText0"/>
              <w:keepNext w:val="0"/>
            </w:pPr>
            <w:r w:rsidRPr="00B24C99">
              <w:t xml:space="preserve">Yr 5: </w:t>
            </w:r>
            <w:r w:rsidR="004E3484">
              <w:rPr>
                <w:noProof/>
                <w:color w:val="000000"/>
                <w:highlight w:val="black"/>
              </w:rPr>
              <w:t>''''''''''</w:t>
            </w:r>
            <w:r w:rsidR="00C97C8A">
              <w:rPr>
                <w:vertAlign w:val="superscript"/>
              </w:rPr>
              <w:t>1</w:t>
            </w:r>
          </w:p>
          <w:p w:rsidR="00DD6317" w:rsidRPr="00B24C99" w:rsidRDefault="00DD6317" w:rsidP="008A7812">
            <w:pPr>
              <w:pStyle w:val="TableText0"/>
              <w:keepNext w:val="0"/>
            </w:pPr>
            <w:r w:rsidRPr="00B24C99">
              <w:t xml:space="preserve">Yr 6: </w:t>
            </w:r>
            <w:r w:rsidR="004E3484">
              <w:rPr>
                <w:noProof/>
                <w:color w:val="000000"/>
                <w:highlight w:val="black"/>
              </w:rPr>
              <w:t>''''''''''</w:t>
            </w:r>
            <w:r w:rsidR="00C97C8A">
              <w:rPr>
                <w:vertAlign w:val="superscript"/>
              </w:rPr>
              <w:t>1</w:t>
            </w:r>
          </w:p>
        </w:tc>
        <w:tc>
          <w:tcPr>
            <w:tcW w:w="3647" w:type="dxa"/>
            <w:vAlign w:val="center"/>
          </w:tcPr>
          <w:p w:rsidR="00DD6317" w:rsidRPr="00B24C99" w:rsidRDefault="00DD6317" w:rsidP="008A7812">
            <w:pPr>
              <w:pStyle w:val="TableText0"/>
              <w:keepNext w:val="0"/>
            </w:pPr>
            <w:r w:rsidRPr="00B24C99">
              <w:t>Estimated using a mesothelioma incidence rate of 2.78 per 100,000 (AIHW CAN134 data tables). This was then applied to projected population based on ABS statistics and adjusted for PBS eligibility:</w:t>
            </w:r>
          </w:p>
          <w:p w:rsidR="00DD6317" w:rsidRPr="00B24C99" w:rsidRDefault="00753B06" w:rsidP="00C64B2B">
            <w:pPr>
              <w:pStyle w:val="TableText0"/>
              <w:keepNext w:val="0"/>
              <w:numPr>
                <w:ilvl w:val="0"/>
                <w:numId w:val="10"/>
              </w:numPr>
              <w:ind w:left="247" w:hanging="142"/>
            </w:pPr>
            <w:r w:rsidRPr="00B24C99">
              <w:t xml:space="preserve">% pleural (93.32%): </w:t>
            </w:r>
            <w:r w:rsidR="00DD6317" w:rsidRPr="00B24C99">
              <w:t>AIHW CAN134 data</w:t>
            </w:r>
          </w:p>
          <w:p w:rsidR="00DD6317" w:rsidRPr="00B24C99" w:rsidRDefault="00DD6317" w:rsidP="00C64B2B">
            <w:pPr>
              <w:pStyle w:val="TableText0"/>
              <w:keepNext w:val="0"/>
              <w:numPr>
                <w:ilvl w:val="0"/>
                <w:numId w:val="10"/>
              </w:numPr>
              <w:ind w:left="247" w:hanging="142"/>
            </w:pPr>
            <w:r w:rsidRPr="00B24C99">
              <w:t>% unresectable (93.52%)</w:t>
            </w:r>
            <w:r w:rsidR="00753B06" w:rsidRPr="00B24C99">
              <w:t xml:space="preserve"> : </w:t>
            </w:r>
            <w:r w:rsidRPr="00B24C99">
              <w:t>Linton et al (2014)</w:t>
            </w:r>
          </w:p>
          <w:p w:rsidR="00DD6317" w:rsidRPr="00B24C99" w:rsidRDefault="00DD6317" w:rsidP="00C64B2B">
            <w:pPr>
              <w:pStyle w:val="TableText0"/>
              <w:keepNext w:val="0"/>
              <w:numPr>
                <w:ilvl w:val="0"/>
                <w:numId w:val="10"/>
              </w:numPr>
              <w:ind w:left="247" w:hanging="142"/>
            </w:pPr>
            <w:r w:rsidRPr="00B24C99">
              <w:t>ECOG 0/</w:t>
            </w:r>
            <w:r w:rsidR="00753B06" w:rsidRPr="00B24C99">
              <w:t xml:space="preserve">1 (79.39%) : </w:t>
            </w:r>
            <w:r w:rsidRPr="00B24C99">
              <w:t>Lau et al (2020)</w:t>
            </w:r>
          </w:p>
        </w:tc>
        <w:tc>
          <w:tcPr>
            <w:tcW w:w="3118" w:type="dxa"/>
            <w:vAlign w:val="center"/>
          </w:tcPr>
          <w:p w:rsidR="00753B06" w:rsidRPr="00B24C99" w:rsidRDefault="00753B06" w:rsidP="00753B06">
            <w:pPr>
              <w:pStyle w:val="TableText0"/>
              <w:keepNext w:val="0"/>
              <w:rPr>
                <w:iCs/>
              </w:rPr>
            </w:pPr>
            <w:r w:rsidRPr="00B24C99">
              <w:rPr>
                <w:iCs/>
              </w:rPr>
              <w:t>The PBAC agreed with DUSC that an incidence rate of 3.0 per 100,000 for mesothelioma would be more reasonable.</w:t>
            </w:r>
          </w:p>
          <w:p w:rsidR="00753B06" w:rsidRPr="00B24C99" w:rsidRDefault="00753B06" w:rsidP="00753B06">
            <w:pPr>
              <w:pStyle w:val="TableText0"/>
              <w:keepNext w:val="0"/>
              <w:rPr>
                <w:iCs/>
              </w:rPr>
            </w:pPr>
          </w:p>
          <w:p w:rsidR="00DD6317" w:rsidRDefault="00753B06" w:rsidP="00E853CB">
            <w:pPr>
              <w:pStyle w:val="TableText0"/>
              <w:keepNext w:val="0"/>
              <w:rPr>
                <w:iCs/>
              </w:rPr>
            </w:pPr>
            <w:r w:rsidRPr="00B24C99">
              <w:rPr>
                <w:iCs/>
              </w:rPr>
              <w:t xml:space="preserve">The PBAC considered it was reasonable to </w:t>
            </w:r>
            <w:r w:rsidR="00B83666">
              <w:rPr>
                <w:iCs/>
              </w:rPr>
              <w:t>not exclude access</w:t>
            </w:r>
            <w:r w:rsidRPr="00B24C99">
              <w:rPr>
                <w:iCs/>
              </w:rPr>
              <w:t xml:space="preserve"> for patients with non-pleural mesothelioma</w:t>
            </w:r>
            <w:r w:rsidR="00A10DF7">
              <w:rPr>
                <w:iCs/>
              </w:rPr>
              <w:t>.</w:t>
            </w:r>
            <w:r w:rsidRPr="00B24C99">
              <w:rPr>
                <w:iCs/>
              </w:rPr>
              <w:t xml:space="preserve"> </w:t>
            </w:r>
          </w:p>
          <w:p w:rsidR="002E522B" w:rsidRDefault="002E522B" w:rsidP="00E853CB">
            <w:pPr>
              <w:pStyle w:val="TableText0"/>
              <w:keepNext w:val="0"/>
              <w:rPr>
                <w:iCs/>
              </w:rPr>
            </w:pPr>
          </w:p>
          <w:p w:rsidR="002E522B" w:rsidRPr="00B24C99" w:rsidRDefault="002E522B" w:rsidP="00E853CB">
            <w:pPr>
              <w:pStyle w:val="TableText0"/>
              <w:keepNext w:val="0"/>
              <w:rPr>
                <w:iCs/>
              </w:rPr>
            </w:pPr>
          </w:p>
        </w:tc>
      </w:tr>
      <w:tr w:rsidR="00DD6317" w:rsidRPr="00B24C99" w:rsidTr="008A7812">
        <w:tc>
          <w:tcPr>
            <w:tcW w:w="988" w:type="dxa"/>
            <w:vAlign w:val="center"/>
          </w:tcPr>
          <w:p w:rsidR="00DD6317" w:rsidRPr="00B24C99" w:rsidRDefault="00DD6317" w:rsidP="008A7812">
            <w:pPr>
              <w:pStyle w:val="TableText0"/>
              <w:keepNext w:val="0"/>
            </w:pPr>
            <w:r w:rsidRPr="00B24C99">
              <w:t>Incident patients (2L)</w:t>
            </w:r>
          </w:p>
        </w:tc>
        <w:tc>
          <w:tcPr>
            <w:tcW w:w="1314" w:type="dxa"/>
            <w:vAlign w:val="center"/>
          </w:tcPr>
          <w:p w:rsidR="00DD6317" w:rsidRPr="00B24C99" w:rsidRDefault="00DD6317" w:rsidP="008A7812">
            <w:pPr>
              <w:pStyle w:val="TableText0"/>
              <w:keepNext w:val="0"/>
            </w:pPr>
            <w:r w:rsidRPr="00B24C99">
              <w:t xml:space="preserve">Yr 1: </w:t>
            </w:r>
            <w:r w:rsidR="004E3484">
              <w:rPr>
                <w:noProof/>
                <w:color w:val="000000"/>
                <w:highlight w:val="black"/>
              </w:rPr>
              <w:t>'''''''</w:t>
            </w:r>
            <w:r w:rsidR="00C97C8A">
              <w:rPr>
                <w:vertAlign w:val="superscript"/>
              </w:rPr>
              <w:t>2</w:t>
            </w:r>
          </w:p>
          <w:p w:rsidR="00DD6317" w:rsidRPr="00B24C99" w:rsidRDefault="00DD6317" w:rsidP="008A7812">
            <w:pPr>
              <w:pStyle w:val="TableText0"/>
              <w:keepNext w:val="0"/>
            </w:pPr>
            <w:r w:rsidRPr="00B24C99">
              <w:t>Yr 2 onwards: N/A</w:t>
            </w:r>
          </w:p>
        </w:tc>
        <w:tc>
          <w:tcPr>
            <w:tcW w:w="3647" w:type="dxa"/>
            <w:vAlign w:val="center"/>
          </w:tcPr>
          <w:p w:rsidR="00DD6317" w:rsidRPr="00B24C99" w:rsidRDefault="00DD6317" w:rsidP="008A7812">
            <w:pPr>
              <w:pStyle w:val="TableText0"/>
              <w:keepNext w:val="0"/>
            </w:pPr>
            <w:r w:rsidRPr="00B24C99">
              <w:t xml:space="preserve">As per calculations for 1L population but restricted to treatment in 2 yrs prior to NIVO+IPI becoming available on PBS (ie, 2020 and 2021). </w:t>
            </w:r>
          </w:p>
          <w:p w:rsidR="00DD6317" w:rsidRPr="00B24C99" w:rsidRDefault="00DD6317" w:rsidP="008A7812">
            <w:pPr>
              <w:pStyle w:val="TableText0"/>
              <w:keepNext w:val="0"/>
            </w:pPr>
            <w:r w:rsidRPr="00B24C99">
              <w:t xml:space="preserve">PLUS </w:t>
            </w:r>
          </w:p>
          <w:p w:rsidR="00DD6317" w:rsidRPr="00B24C99" w:rsidRDefault="00DD6317" w:rsidP="00C64B2B">
            <w:pPr>
              <w:pStyle w:val="TableText0"/>
              <w:keepNext w:val="0"/>
              <w:numPr>
                <w:ilvl w:val="0"/>
                <w:numId w:val="11"/>
              </w:numPr>
              <w:ind w:left="100" w:hanging="100"/>
            </w:pPr>
            <w:r w:rsidRPr="00B24C99">
              <w:t xml:space="preserve">% patients alive after IL chemotherapy (27% and 57.7% of those diagnosed in 2020 and 2021) based on Checkmate 743 result for </w:t>
            </w:r>
            <w:r w:rsidRPr="00B24C99">
              <w:lastRenderedPageBreak/>
              <w:t xml:space="preserve">chemo arm in Yr2 and Yr1 of follow up respectively. </w:t>
            </w:r>
          </w:p>
          <w:p w:rsidR="00DD6317" w:rsidRPr="00B24C99" w:rsidRDefault="00DD6317" w:rsidP="00C64B2B">
            <w:pPr>
              <w:pStyle w:val="TableText0"/>
              <w:keepNext w:val="0"/>
              <w:numPr>
                <w:ilvl w:val="0"/>
                <w:numId w:val="11"/>
              </w:numPr>
              <w:ind w:left="100" w:hanging="100"/>
            </w:pPr>
            <w:r w:rsidRPr="00B24C99">
              <w:t xml:space="preserve">% of patients with disease progression after 1L therapy (92.8% and 76.20% of patients diagnosed in 2020 and 2021) based on Checkmate 743 result for chemo arm in Yr2 and Yr1 of follow up respectively. </w:t>
            </w:r>
          </w:p>
          <w:p w:rsidR="00DD6317" w:rsidRPr="00B24C99" w:rsidRDefault="00DD6317" w:rsidP="00C64B2B">
            <w:pPr>
              <w:pStyle w:val="TableText0"/>
              <w:keepNext w:val="0"/>
              <w:numPr>
                <w:ilvl w:val="0"/>
                <w:numId w:val="11"/>
              </w:numPr>
              <w:ind w:left="100" w:hanging="100"/>
            </w:pPr>
            <w:r w:rsidRPr="00B24C99">
              <w:t>% progressed on chemo and eligible to initiating 2L treatment 50% (BMS advisory board)</w:t>
            </w:r>
          </w:p>
        </w:tc>
        <w:tc>
          <w:tcPr>
            <w:tcW w:w="3118" w:type="dxa"/>
            <w:vAlign w:val="center"/>
          </w:tcPr>
          <w:p w:rsidR="00DD6317" w:rsidRPr="00B24C99" w:rsidRDefault="00DD6317" w:rsidP="008A7812">
            <w:pPr>
              <w:pStyle w:val="TableText0"/>
              <w:keepNext w:val="0"/>
              <w:rPr>
                <w:iCs/>
              </w:rPr>
            </w:pPr>
            <w:r w:rsidRPr="00B24C99">
              <w:lastRenderedPageBreak/>
              <w:t xml:space="preserve">The requested restriction did not limit use of NIVO+IPI to 2L treatment for a specific time period, and patients could potentially continue to use NIVO+IPI as second- or later-line treatment beyond 2022. </w:t>
            </w:r>
          </w:p>
          <w:p w:rsidR="00DD6317" w:rsidRDefault="00DD6317" w:rsidP="00753B06">
            <w:pPr>
              <w:pStyle w:val="TableText0"/>
              <w:keepNext w:val="0"/>
              <w:rPr>
                <w:iCs/>
              </w:rPr>
            </w:pPr>
            <w:r w:rsidRPr="00B24C99">
              <w:rPr>
                <w:iCs/>
              </w:rPr>
              <w:t xml:space="preserve">The </w:t>
            </w:r>
            <w:r w:rsidR="00753B06" w:rsidRPr="00B24C99">
              <w:rPr>
                <w:iCs/>
              </w:rPr>
              <w:t xml:space="preserve">PBAC considered the </w:t>
            </w:r>
            <w:r w:rsidRPr="00B24C99">
              <w:rPr>
                <w:iCs/>
              </w:rPr>
              <w:t>% of patients likely to receive NIVO+IPI in the 2</w:t>
            </w:r>
            <w:r w:rsidRPr="00B24C99">
              <w:rPr>
                <w:iCs/>
                <w:vertAlign w:val="superscript"/>
              </w:rPr>
              <w:t>nd</w:t>
            </w:r>
            <w:r w:rsidRPr="00B24C99">
              <w:rPr>
                <w:iCs/>
              </w:rPr>
              <w:t xml:space="preserve"> line</w:t>
            </w:r>
            <w:r w:rsidR="00753B06" w:rsidRPr="00B24C99">
              <w:rPr>
                <w:iCs/>
              </w:rPr>
              <w:t xml:space="preserve"> </w:t>
            </w:r>
            <w:r w:rsidR="00753B06" w:rsidRPr="00B24C99">
              <w:rPr>
                <w:iCs/>
              </w:rPr>
              <w:lastRenderedPageBreak/>
              <w:t>setting</w:t>
            </w:r>
            <w:r w:rsidRPr="00B24C99">
              <w:rPr>
                <w:iCs/>
              </w:rPr>
              <w:t xml:space="preserve"> is uncertain and may also depend on tumour histology</w:t>
            </w:r>
            <w:r w:rsidR="00B24C99">
              <w:rPr>
                <w:iCs/>
              </w:rPr>
              <w:t xml:space="preserve">. </w:t>
            </w:r>
          </w:p>
          <w:p w:rsidR="002E522B" w:rsidRDefault="002E522B" w:rsidP="00753B06">
            <w:pPr>
              <w:pStyle w:val="TableText0"/>
              <w:keepNext w:val="0"/>
              <w:rPr>
                <w:iCs/>
              </w:rPr>
            </w:pPr>
          </w:p>
          <w:p w:rsidR="002E522B" w:rsidRPr="00B24C99" w:rsidRDefault="003038B0" w:rsidP="003038B0">
            <w:pPr>
              <w:pStyle w:val="CommentText"/>
              <w:rPr>
                <w:rFonts w:ascii="Calibri" w:hAnsi="Calibri" w:cs="Arial"/>
                <w:bCs/>
                <w:sz w:val="24"/>
              </w:rPr>
            </w:pPr>
            <w:r w:rsidRPr="003038B0">
              <w:rPr>
                <w:rFonts w:ascii="Arial Narrow" w:eastAsiaTheme="majorEastAsia" w:hAnsi="Arial Narrow" w:cstheme="majorBidi"/>
                <w:bCs/>
                <w:iCs/>
              </w:rPr>
              <w:t xml:space="preserve">The pre-PBAC response included an additional </w:t>
            </w:r>
            <w:r w:rsidR="004E3484">
              <w:rPr>
                <w:rFonts w:ascii="Arial Narrow" w:eastAsiaTheme="majorEastAsia" w:hAnsi="Arial Narrow" w:cstheme="majorBidi"/>
                <w:bCs/>
                <w:iCs/>
                <w:noProof/>
                <w:color w:val="000000"/>
                <w:highlight w:val="black"/>
              </w:rPr>
              <w:t>'''''''</w:t>
            </w:r>
            <w:r w:rsidR="00C97C8A">
              <w:rPr>
                <w:vertAlign w:val="superscript"/>
              </w:rPr>
              <w:t>2</w:t>
            </w:r>
            <w:r w:rsidRPr="003038B0">
              <w:rPr>
                <w:rFonts w:ascii="Arial Narrow" w:eastAsiaTheme="majorEastAsia" w:hAnsi="Arial Narrow" w:cstheme="majorBidi"/>
                <w:bCs/>
                <w:iCs/>
              </w:rPr>
              <w:t xml:space="preserve"> patients per year to account for patients that have relapsed</w:t>
            </w:r>
            <w:r>
              <w:rPr>
                <w:rFonts w:ascii="Arial Narrow" w:eastAsiaTheme="majorEastAsia" w:hAnsi="Arial Narrow" w:cstheme="majorBidi"/>
                <w:bCs/>
                <w:iCs/>
              </w:rPr>
              <w:t xml:space="preserve"> </w:t>
            </w:r>
            <w:r w:rsidRPr="003038B0">
              <w:rPr>
                <w:rFonts w:ascii="Arial Narrow" w:eastAsiaTheme="majorEastAsia" w:hAnsi="Arial Narrow" w:cstheme="majorBidi"/>
                <w:bCs/>
                <w:iCs/>
              </w:rPr>
              <w:t>after surgery.</w:t>
            </w:r>
            <w:r>
              <w:t xml:space="preserve">  </w:t>
            </w:r>
          </w:p>
        </w:tc>
      </w:tr>
      <w:tr w:rsidR="00DD6317" w:rsidRPr="00B24C99" w:rsidTr="008A7812">
        <w:tc>
          <w:tcPr>
            <w:tcW w:w="9067" w:type="dxa"/>
            <w:gridSpan w:val="4"/>
            <w:vAlign w:val="center"/>
          </w:tcPr>
          <w:p w:rsidR="00DD6317" w:rsidRPr="00B24C99" w:rsidRDefault="00DD6317" w:rsidP="008A7812">
            <w:pPr>
              <w:pStyle w:val="TableText0"/>
              <w:keepNext w:val="0"/>
              <w:rPr>
                <w:b/>
              </w:rPr>
            </w:pPr>
            <w:r w:rsidRPr="00B24C99">
              <w:rPr>
                <w:b/>
              </w:rPr>
              <w:lastRenderedPageBreak/>
              <w:t>Treatment utilisation</w:t>
            </w:r>
          </w:p>
        </w:tc>
      </w:tr>
      <w:tr w:rsidR="00DD6317" w:rsidRPr="00B24C99" w:rsidTr="008A7812">
        <w:tc>
          <w:tcPr>
            <w:tcW w:w="988" w:type="dxa"/>
            <w:vAlign w:val="center"/>
          </w:tcPr>
          <w:p w:rsidR="00DD6317" w:rsidRPr="00B24C99" w:rsidRDefault="00DD6317" w:rsidP="008A7812">
            <w:pPr>
              <w:pStyle w:val="TableText0"/>
              <w:keepNext w:val="0"/>
            </w:pPr>
            <w:r w:rsidRPr="00B24C99">
              <w:t>Uptake rate (1L)</w:t>
            </w:r>
          </w:p>
        </w:tc>
        <w:tc>
          <w:tcPr>
            <w:tcW w:w="1314" w:type="dxa"/>
            <w:vAlign w:val="center"/>
          </w:tcPr>
          <w:p w:rsidR="00DD6317" w:rsidRPr="00B24C99" w:rsidRDefault="00DD6317" w:rsidP="008A7812">
            <w:pPr>
              <w:pStyle w:val="TableText0"/>
              <w:keepNext w:val="0"/>
            </w:pPr>
            <w:r w:rsidRPr="00B24C99">
              <w:t>Yrs 1-6: 56.04%</w:t>
            </w:r>
          </w:p>
          <w:p w:rsidR="00DD6317" w:rsidRPr="00B24C99" w:rsidRDefault="00DD6317" w:rsidP="008A7812">
            <w:pPr>
              <w:pStyle w:val="TableText0"/>
              <w:keepNext w:val="0"/>
            </w:pPr>
            <w:r w:rsidRPr="00B24C99">
              <w:t>(calculated as 58.99% x 95%)</w:t>
            </w:r>
          </w:p>
        </w:tc>
        <w:tc>
          <w:tcPr>
            <w:tcW w:w="3647" w:type="dxa"/>
            <w:vAlign w:val="center"/>
          </w:tcPr>
          <w:p w:rsidR="00DD6317" w:rsidRPr="00B24C99" w:rsidRDefault="00DD6317" w:rsidP="008A7812">
            <w:pPr>
              <w:pStyle w:val="TableText0"/>
              <w:keepNext w:val="0"/>
              <w:rPr>
                <w:i/>
                <w:iCs/>
              </w:rPr>
            </w:pPr>
            <w:r w:rsidRPr="00B24C99">
              <w:t>It was estimated that 53.62% currently receive systemic chemo (Kao et al. 2013). The BMS Advisory board estimated an extra 10% of patients who would otherwise have been managed with BSC would commence systemic therapy due to availability of NIVO +IPI. The submission estimated this to be 58.99% assuming a relative rather than absolute increase</w:t>
            </w:r>
            <w:r w:rsidRPr="00B24C99">
              <w:rPr>
                <w:i/>
                <w:iCs/>
              </w:rPr>
              <w:t xml:space="preserve">. </w:t>
            </w:r>
          </w:p>
          <w:p w:rsidR="00DD6317" w:rsidRPr="00B24C99" w:rsidRDefault="00DD6317" w:rsidP="008A7812">
            <w:pPr>
              <w:pStyle w:val="TableText0"/>
              <w:keepNext w:val="0"/>
            </w:pPr>
            <w:r w:rsidRPr="00B24C99">
              <w:t>BMS Advisory board estimated NIVO+ IPI will be used in 95% of eligible patients.</w:t>
            </w:r>
          </w:p>
        </w:tc>
        <w:tc>
          <w:tcPr>
            <w:tcW w:w="3118" w:type="dxa"/>
            <w:vAlign w:val="center"/>
          </w:tcPr>
          <w:p w:rsidR="00DD6317" w:rsidRPr="00B24C99" w:rsidRDefault="00DD6317" w:rsidP="006514D8">
            <w:pPr>
              <w:pStyle w:val="TableText0"/>
              <w:keepNext w:val="0"/>
              <w:rPr>
                <w:iCs/>
              </w:rPr>
            </w:pPr>
            <w:r w:rsidRPr="00B24C99">
              <w:rPr>
                <w:iCs/>
              </w:rPr>
              <w:t xml:space="preserve">The </w:t>
            </w:r>
            <w:r w:rsidR="000E3EA0" w:rsidRPr="00B24C99">
              <w:rPr>
                <w:iCs/>
              </w:rPr>
              <w:t xml:space="preserve">DUSC considered the </w:t>
            </w:r>
            <w:r w:rsidRPr="00B24C99">
              <w:rPr>
                <w:iCs/>
              </w:rPr>
              <w:t>uptake for NIVO+IPI is likely to be underestimated</w:t>
            </w:r>
            <w:r w:rsidR="000E3EA0" w:rsidRPr="00B24C99">
              <w:rPr>
                <w:iCs/>
              </w:rPr>
              <w:t xml:space="preserve">, particularly in </w:t>
            </w:r>
            <w:r w:rsidRPr="00B24C99">
              <w:rPr>
                <w:iCs/>
              </w:rPr>
              <w:t>patients with non-epithelioid MPM given the substantial improvement in OS in this</w:t>
            </w:r>
            <w:r w:rsidR="000E3EA0" w:rsidRPr="00B24C99">
              <w:rPr>
                <w:iCs/>
              </w:rPr>
              <w:t xml:space="preserve"> subgroup compared to</w:t>
            </w:r>
            <w:r w:rsidR="00753B06" w:rsidRPr="00B24C99">
              <w:rPr>
                <w:iCs/>
              </w:rPr>
              <w:t xml:space="preserve"> chemo</w:t>
            </w:r>
            <w:r w:rsidR="00B24C99">
              <w:rPr>
                <w:iCs/>
              </w:rPr>
              <w:t xml:space="preserve">. </w:t>
            </w:r>
            <w:r w:rsidR="000E3EA0" w:rsidRPr="00B24C99">
              <w:rPr>
                <w:iCs/>
              </w:rPr>
              <w:t xml:space="preserve">The PBAC considered that, overall, </w:t>
            </w:r>
            <w:r w:rsidR="006514D8" w:rsidRPr="00B24C99">
              <w:rPr>
                <w:iCs/>
              </w:rPr>
              <w:t xml:space="preserve">an uptake of 58.99% </w:t>
            </w:r>
            <w:r w:rsidR="000E3EA0" w:rsidRPr="00B24C99">
              <w:rPr>
                <w:iCs/>
              </w:rPr>
              <w:t>across all MPM was a reasonable assumption</w:t>
            </w:r>
            <w:r w:rsidR="00B24C99">
              <w:rPr>
                <w:iCs/>
              </w:rPr>
              <w:t xml:space="preserve">. </w:t>
            </w:r>
            <w:r w:rsidR="000E3EA0" w:rsidRPr="00B24C99">
              <w:rPr>
                <w:iCs/>
              </w:rPr>
              <w:t xml:space="preserve"> </w:t>
            </w:r>
          </w:p>
        </w:tc>
      </w:tr>
      <w:tr w:rsidR="00DD6317" w:rsidRPr="00B24C99" w:rsidTr="008A7812">
        <w:tc>
          <w:tcPr>
            <w:tcW w:w="988" w:type="dxa"/>
            <w:vAlign w:val="center"/>
          </w:tcPr>
          <w:p w:rsidR="00DD6317" w:rsidRPr="00B24C99" w:rsidRDefault="00DD6317" w:rsidP="008A7812">
            <w:pPr>
              <w:pStyle w:val="TableText0"/>
              <w:keepNext w:val="0"/>
            </w:pPr>
            <w:r w:rsidRPr="00B24C99">
              <w:t>Uptake rate (2L)</w:t>
            </w:r>
          </w:p>
        </w:tc>
        <w:tc>
          <w:tcPr>
            <w:tcW w:w="1314" w:type="dxa"/>
            <w:vAlign w:val="center"/>
          </w:tcPr>
          <w:p w:rsidR="00DD6317" w:rsidRPr="00B24C99" w:rsidRDefault="00DD6317" w:rsidP="008A7812">
            <w:pPr>
              <w:pStyle w:val="TableText0"/>
              <w:keepNext w:val="0"/>
            </w:pPr>
            <w:r w:rsidRPr="00B24C99">
              <w:t>Yr 1: 50%</w:t>
            </w:r>
          </w:p>
          <w:p w:rsidR="00DD6317" w:rsidRPr="00B24C99" w:rsidRDefault="00DD6317" w:rsidP="008A7812">
            <w:pPr>
              <w:pStyle w:val="TableText0"/>
              <w:keepNext w:val="0"/>
            </w:pPr>
            <w:r w:rsidRPr="00B24C99">
              <w:t>Yr 2 onwards: N/A</w:t>
            </w:r>
          </w:p>
        </w:tc>
        <w:tc>
          <w:tcPr>
            <w:tcW w:w="3647" w:type="dxa"/>
            <w:vAlign w:val="center"/>
          </w:tcPr>
          <w:p w:rsidR="00DD6317" w:rsidRPr="00B24C99" w:rsidRDefault="00DD6317" w:rsidP="008A7812">
            <w:pPr>
              <w:pStyle w:val="TableText0"/>
              <w:keepNext w:val="0"/>
            </w:pPr>
            <w:r w:rsidRPr="00B24C99">
              <w:t>The BMS Advisory board was informed that 41% of patients in the chemo arm of Checkmate 743 received 2L systemic therapy, based on this, the BMS Advisory Board thought 50% is likely to try NIVO+IPI in 2L.</w:t>
            </w:r>
          </w:p>
        </w:tc>
        <w:tc>
          <w:tcPr>
            <w:tcW w:w="3118" w:type="dxa"/>
            <w:vAlign w:val="center"/>
          </w:tcPr>
          <w:p w:rsidR="00DD6317" w:rsidRPr="00B24C99" w:rsidRDefault="009D14C8" w:rsidP="009D14C8">
            <w:pPr>
              <w:pStyle w:val="TableText0"/>
              <w:keepNext w:val="0"/>
              <w:rPr>
                <w:iCs/>
              </w:rPr>
            </w:pPr>
            <w:r w:rsidRPr="00B24C99">
              <w:rPr>
                <w:iCs/>
              </w:rPr>
              <w:t>Reasonable but m</w:t>
            </w:r>
            <w:r w:rsidR="00DD6317" w:rsidRPr="00B24C99">
              <w:rPr>
                <w:iCs/>
              </w:rPr>
              <w:t xml:space="preserve">ay vary dependent on tumour histology. </w:t>
            </w:r>
          </w:p>
        </w:tc>
      </w:tr>
      <w:tr w:rsidR="00DD6317" w:rsidRPr="00B24C99" w:rsidTr="008A7812">
        <w:tc>
          <w:tcPr>
            <w:tcW w:w="988" w:type="dxa"/>
            <w:vAlign w:val="center"/>
          </w:tcPr>
          <w:p w:rsidR="00DD6317" w:rsidRPr="00B24C99" w:rsidRDefault="00DD6317" w:rsidP="008A7812">
            <w:pPr>
              <w:pStyle w:val="TableText0"/>
              <w:keepNext w:val="0"/>
            </w:pPr>
            <w:r w:rsidRPr="00B24C99">
              <w:t>Scripts dispensed</w:t>
            </w:r>
          </w:p>
        </w:tc>
        <w:tc>
          <w:tcPr>
            <w:tcW w:w="1314" w:type="dxa"/>
            <w:vAlign w:val="center"/>
          </w:tcPr>
          <w:p w:rsidR="00DD6317" w:rsidRPr="00B24C99" w:rsidRDefault="00DD6317" w:rsidP="008A7812">
            <w:pPr>
              <w:pStyle w:val="TableText0"/>
              <w:keepNext w:val="0"/>
            </w:pPr>
            <w:r w:rsidRPr="00B24C99">
              <w:t xml:space="preserve">Yr 1: </w:t>
            </w:r>
            <w:r w:rsidR="004E3484">
              <w:rPr>
                <w:noProof/>
                <w:color w:val="000000"/>
                <w:highlight w:val="black"/>
              </w:rPr>
              <w:t>''''''''''''''</w:t>
            </w:r>
            <w:r w:rsidR="00C97C8A">
              <w:rPr>
                <w:vertAlign w:val="superscript"/>
              </w:rPr>
              <w:t>3</w:t>
            </w:r>
          </w:p>
          <w:p w:rsidR="00DD6317" w:rsidRPr="00B24C99" w:rsidRDefault="00DD6317" w:rsidP="008A7812">
            <w:pPr>
              <w:pStyle w:val="TableText0"/>
              <w:keepNext w:val="0"/>
            </w:pPr>
            <w:r w:rsidRPr="00B24C99">
              <w:t xml:space="preserve">Yr 2: </w:t>
            </w:r>
            <w:r w:rsidR="004E3484">
              <w:rPr>
                <w:noProof/>
                <w:color w:val="000000"/>
                <w:highlight w:val="black"/>
              </w:rPr>
              <w:t>'''''''''''''''</w:t>
            </w:r>
            <w:r w:rsidR="00C97C8A">
              <w:rPr>
                <w:vertAlign w:val="superscript"/>
              </w:rPr>
              <w:t>3</w:t>
            </w:r>
          </w:p>
          <w:p w:rsidR="00DD6317" w:rsidRPr="00B24C99" w:rsidRDefault="00DD6317" w:rsidP="008A7812">
            <w:pPr>
              <w:pStyle w:val="TableText0"/>
              <w:keepNext w:val="0"/>
            </w:pPr>
            <w:r w:rsidRPr="00B24C99">
              <w:t xml:space="preserve">Yr 3: </w:t>
            </w:r>
            <w:r w:rsidR="004E3484">
              <w:rPr>
                <w:noProof/>
                <w:color w:val="000000"/>
                <w:highlight w:val="black"/>
              </w:rPr>
              <w:t>'''''''''''''</w:t>
            </w:r>
            <w:r w:rsidR="00C97C8A">
              <w:rPr>
                <w:vertAlign w:val="superscript"/>
              </w:rPr>
              <w:t>3</w:t>
            </w:r>
          </w:p>
          <w:p w:rsidR="00DD6317" w:rsidRPr="00B24C99" w:rsidRDefault="00DD6317" w:rsidP="008A7812">
            <w:pPr>
              <w:pStyle w:val="TableText0"/>
              <w:keepNext w:val="0"/>
            </w:pPr>
            <w:r w:rsidRPr="00B24C99">
              <w:t xml:space="preserve">Yr 4: </w:t>
            </w:r>
            <w:r w:rsidR="004E3484">
              <w:rPr>
                <w:noProof/>
                <w:color w:val="000000"/>
                <w:highlight w:val="black"/>
              </w:rPr>
              <w:t>''''''''''''''</w:t>
            </w:r>
            <w:r w:rsidR="00C97C8A">
              <w:rPr>
                <w:vertAlign w:val="superscript"/>
              </w:rPr>
              <w:t>3</w:t>
            </w:r>
          </w:p>
          <w:p w:rsidR="00DD6317" w:rsidRPr="00B24C99" w:rsidRDefault="00DD6317" w:rsidP="008A7812">
            <w:pPr>
              <w:pStyle w:val="TableText0"/>
              <w:keepNext w:val="0"/>
            </w:pPr>
            <w:r w:rsidRPr="00B24C99">
              <w:t xml:space="preserve">Yr 5: </w:t>
            </w:r>
            <w:r w:rsidR="004E3484">
              <w:rPr>
                <w:noProof/>
                <w:color w:val="000000"/>
                <w:highlight w:val="black"/>
              </w:rPr>
              <w:t>''''''''''''''</w:t>
            </w:r>
            <w:r w:rsidR="00C97C8A">
              <w:rPr>
                <w:vertAlign w:val="superscript"/>
              </w:rPr>
              <w:t>3</w:t>
            </w:r>
          </w:p>
          <w:p w:rsidR="00DD6317" w:rsidRPr="00B24C99" w:rsidRDefault="00DD6317" w:rsidP="008A7812">
            <w:pPr>
              <w:pStyle w:val="TableText0"/>
              <w:keepNext w:val="0"/>
            </w:pPr>
            <w:r w:rsidRPr="00B24C99">
              <w:t xml:space="preserve">Yr 6: </w:t>
            </w:r>
            <w:r w:rsidR="004E3484">
              <w:rPr>
                <w:noProof/>
                <w:color w:val="000000"/>
                <w:highlight w:val="black"/>
              </w:rPr>
              <w:t>''''''''''''''</w:t>
            </w:r>
            <w:r w:rsidR="00C97C8A">
              <w:rPr>
                <w:vertAlign w:val="superscript"/>
              </w:rPr>
              <w:t>3</w:t>
            </w:r>
          </w:p>
        </w:tc>
        <w:tc>
          <w:tcPr>
            <w:tcW w:w="3647" w:type="dxa"/>
            <w:vAlign w:val="center"/>
          </w:tcPr>
          <w:p w:rsidR="00DD6317" w:rsidRPr="00B24C99" w:rsidRDefault="00DD6317" w:rsidP="008A7812">
            <w:pPr>
              <w:pStyle w:val="TableText0"/>
              <w:keepNext w:val="0"/>
            </w:pPr>
            <w:r w:rsidRPr="00B24C99">
              <w:t xml:space="preserve">IL: assuming 17.72 doses for nivolumab and 6.25 dose for IPI per initiating patient based on mean doses in Checkmate 743 </w:t>
            </w:r>
          </w:p>
          <w:p w:rsidR="00DD6317" w:rsidRPr="00B24C99" w:rsidRDefault="00DD6317" w:rsidP="008A7812">
            <w:pPr>
              <w:pStyle w:val="TableText0"/>
              <w:keepNext w:val="0"/>
            </w:pPr>
          </w:p>
          <w:p w:rsidR="00DD6317" w:rsidRPr="00C97C8A" w:rsidRDefault="00DD6317" w:rsidP="00C97C8A">
            <w:pPr>
              <w:pStyle w:val="TableText0"/>
              <w:keepNext w:val="0"/>
              <w:rPr>
                <w:vertAlign w:val="superscript"/>
              </w:rPr>
            </w:pPr>
            <w:r w:rsidRPr="00B24C99">
              <w:t>2L: assuming 12 doses of nivolumab plus 4 doses for IPI per initiating patient based on median number of doses in INITIATE (Disselhorst et al., 2019)</w:t>
            </w:r>
          </w:p>
        </w:tc>
        <w:tc>
          <w:tcPr>
            <w:tcW w:w="3118" w:type="dxa"/>
            <w:vAlign w:val="center"/>
          </w:tcPr>
          <w:p w:rsidR="00DD6317" w:rsidRPr="00B24C99" w:rsidRDefault="00DD6317" w:rsidP="008A7812">
            <w:pPr>
              <w:pStyle w:val="TableText0"/>
              <w:keepNext w:val="0"/>
              <w:rPr>
                <w:iCs/>
              </w:rPr>
            </w:pPr>
            <w:r w:rsidRPr="00B24C99">
              <w:rPr>
                <w:iCs/>
              </w:rPr>
              <w:t>The requested restriction permits up to 2 years of treatment; hence trial doses may underestimate use in the PBS setting.</w:t>
            </w:r>
          </w:p>
          <w:p w:rsidR="00DD6317" w:rsidRPr="00B24C99" w:rsidRDefault="00DD6317" w:rsidP="000E3EA0">
            <w:pPr>
              <w:pStyle w:val="TableText0"/>
              <w:keepNext w:val="0"/>
            </w:pPr>
            <w:r w:rsidRPr="00B24C99">
              <w:t>For 2L use, mean number of infusions were not available so medians were used. Checkmate 743 results indicated that median values are likely to underestimate the number of doses</w:t>
            </w:r>
            <w:r w:rsidR="00B24C99">
              <w:t xml:space="preserve">. </w:t>
            </w:r>
          </w:p>
        </w:tc>
      </w:tr>
      <w:tr w:rsidR="00DD6317" w:rsidRPr="00B24C99" w:rsidTr="008A7812">
        <w:tc>
          <w:tcPr>
            <w:tcW w:w="9067" w:type="dxa"/>
            <w:gridSpan w:val="4"/>
            <w:vAlign w:val="center"/>
          </w:tcPr>
          <w:p w:rsidR="00DD6317" w:rsidRPr="00B24C99" w:rsidRDefault="00DD6317" w:rsidP="008A7812">
            <w:pPr>
              <w:pStyle w:val="TableText0"/>
              <w:keepNext w:val="0"/>
              <w:rPr>
                <w:b/>
              </w:rPr>
            </w:pPr>
            <w:r w:rsidRPr="00B24C99">
              <w:rPr>
                <w:b/>
              </w:rPr>
              <w:t>Costs</w:t>
            </w:r>
          </w:p>
        </w:tc>
      </w:tr>
      <w:tr w:rsidR="00A95A28" w:rsidRPr="00B24C99" w:rsidTr="008A7812">
        <w:trPr>
          <w:trHeight w:val="802"/>
        </w:trPr>
        <w:tc>
          <w:tcPr>
            <w:tcW w:w="988" w:type="dxa"/>
            <w:vAlign w:val="center"/>
          </w:tcPr>
          <w:p w:rsidR="00A95A28" w:rsidRPr="00B24C99" w:rsidRDefault="00A95A28" w:rsidP="008A7812">
            <w:pPr>
              <w:pStyle w:val="TableText0"/>
              <w:keepNext w:val="0"/>
            </w:pPr>
            <w:r w:rsidRPr="00B24C99">
              <w:t>NIVO</w:t>
            </w:r>
          </w:p>
        </w:tc>
        <w:tc>
          <w:tcPr>
            <w:tcW w:w="1314" w:type="dxa"/>
            <w:vAlign w:val="center"/>
          </w:tcPr>
          <w:p w:rsidR="00A95A28" w:rsidRPr="00B24C99" w:rsidRDefault="00A95A28" w:rsidP="008A7812">
            <w:pPr>
              <w:pStyle w:val="TableText0"/>
              <w:keepNext w:val="0"/>
            </w:pPr>
            <w:r w:rsidRPr="00B24C99">
              <w:t>$</w:t>
            </w:r>
            <w:r w:rsidR="004E3484">
              <w:rPr>
                <w:noProof/>
                <w:color w:val="000000"/>
                <w:highlight w:val="black"/>
              </w:rPr>
              <w:t>'''''''''''''''''''''''</w:t>
            </w:r>
            <w:r w:rsidRPr="00B24C99">
              <w:t>/ infusion</w:t>
            </w:r>
          </w:p>
        </w:tc>
        <w:tc>
          <w:tcPr>
            <w:tcW w:w="3647" w:type="dxa"/>
            <w:vMerge w:val="restart"/>
            <w:vAlign w:val="center"/>
          </w:tcPr>
          <w:p w:rsidR="00A95A28" w:rsidRPr="00B24C99" w:rsidRDefault="00A95A28" w:rsidP="008A7812">
            <w:pPr>
              <w:pStyle w:val="TableText0"/>
              <w:keepNext w:val="0"/>
            </w:pPr>
            <w:r w:rsidRPr="00B24C99">
              <w:t>DPMA (effective prices) assuming an average patient weight of 72.75kg at a dose of 3mg/kg Q2W for nivolumab and 1mg/kg Q6W for ipilimumab (per Checkmate 743) and weighted by the estimated private/public hospital split.</w:t>
            </w:r>
          </w:p>
        </w:tc>
        <w:tc>
          <w:tcPr>
            <w:tcW w:w="3118" w:type="dxa"/>
            <w:vMerge w:val="restart"/>
            <w:vAlign w:val="center"/>
          </w:tcPr>
          <w:p w:rsidR="00A95A28" w:rsidRPr="00B24C99" w:rsidRDefault="00A95A28" w:rsidP="000E3EA0">
            <w:pPr>
              <w:pStyle w:val="TableText0"/>
              <w:keepNext w:val="0"/>
              <w:rPr>
                <w:iCs/>
              </w:rPr>
            </w:pPr>
            <w:r w:rsidRPr="00B24C99">
              <w:rPr>
                <w:iCs/>
              </w:rPr>
              <w:t xml:space="preserve">May be underestimated as the financial estimates do not consider the proposed alternate flat dosing regimen of 360mg Q3W for nivolumab. Average patient weight may also be higher in the PBS setting, as a greater proportion of patients are likely to be male vs in the trial. </w:t>
            </w:r>
          </w:p>
        </w:tc>
      </w:tr>
      <w:tr w:rsidR="00A95A28" w:rsidRPr="00B24C99" w:rsidTr="008A7812">
        <w:trPr>
          <w:trHeight w:val="802"/>
        </w:trPr>
        <w:tc>
          <w:tcPr>
            <w:tcW w:w="988" w:type="dxa"/>
            <w:vAlign w:val="center"/>
          </w:tcPr>
          <w:p w:rsidR="00A95A28" w:rsidRPr="00B24C99" w:rsidRDefault="00A95A28" w:rsidP="00DD6317">
            <w:pPr>
              <w:pStyle w:val="TableText0"/>
              <w:keepNext w:val="0"/>
            </w:pPr>
            <w:r w:rsidRPr="00B24C99">
              <w:t>IPI</w:t>
            </w:r>
          </w:p>
        </w:tc>
        <w:tc>
          <w:tcPr>
            <w:tcW w:w="1314" w:type="dxa"/>
            <w:vAlign w:val="center"/>
          </w:tcPr>
          <w:p w:rsidR="00A95A28" w:rsidRPr="00B24C99" w:rsidRDefault="00A95A28" w:rsidP="00DD6317">
            <w:pPr>
              <w:pStyle w:val="TableText0"/>
              <w:keepNext w:val="0"/>
            </w:pPr>
            <w:r w:rsidRPr="00B24C99">
              <w:t>$</w:t>
            </w:r>
            <w:r w:rsidR="004E3484">
              <w:rPr>
                <w:noProof/>
                <w:color w:val="000000"/>
                <w:highlight w:val="black"/>
              </w:rPr>
              <w:t>''''''''''''''''''''</w:t>
            </w:r>
            <w:r w:rsidRPr="00B24C99">
              <w:t xml:space="preserve">/ infusion </w:t>
            </w:r>
          </w:p>
        </w:tc>
        <w:tc>
          <w:tcPr>
            <w:tcW w:w="3647" w:type="dxa"/>
            <w:vMerge/>
            <w:vAlign w:val="center"/>
          </w:tcPr>
          <w:p w:rsidR="00A95A28" w:rsidRPr="00B24C99" w:rsidRDefault="00A95A28" w:rsidP="00DD6317">
            <w:pPr>
              <w:pStyle w:val="TableText0"/>
              <w:keepNext w:val="0"/>
            </w:pPr>
          </w:p>
        </w:tc>
        <w:tc>
          <w:tcPr>
            <w:tcW w:w="3118" w:type="dxa"/>
            <w:vMerge/>
            <w:vAlign w:val="center"/>
          </w:tcPr>
          <w:p w:rsidR="00A95A28" w:rsidRPr="00B24C99" w:rsidRDefault="00A95A28" w:rsidP="00DD6317">
            <w:pPr>
              <w:pStyle w:val="TableText0"/>
              <w:keepNext w:val="0"/>
              <w:rPr>
                <w:iCs/>
              </w:rPr>
            </w:pPr>
          </w:p>
        </w:tc>
      </w:tr>
    </w:tbl>
    <w:p w:rsidR="00D635FB" w:rsidRDefault="00D635FB" w:rsidP="00D635FB">
      <w:pPr>
        <w:pStyle w:val="TableFigureFooter"/>
      </w:pPr>
      <w:r>
        <w:t>Abbreviations: 1L, first-line treatment; 2L, second-line treatment; DPMA, dispensed price at maximum amount; DUSC, Drug Utilisation Subcommittee; IPI, ipilimumab; MPM, malignant pleural mesothelioma; NIVO, nivolumab;  PBAC, Pharmaceutical Benefits Advisory Committee; Q2W, every 2 weeks; Q3W, every 3 weeks; Q6W, every 6 weeks</w:t>
      </w:r>
    </w:p>
    <w:p w:rsidR="00D635FB" w:rsidRDefault="00D635FB" w:rsidP="00D635FB">
      <w:pPr>
        <w:pStyle w:val="TableFigureFooter"/>
      </w:pPr>
      <w:r>
        <w:t>Source: Tables 105,106,109,113 of the submission, with additional numbers from Excel model ‘Nivolumab plus ipilimumab MPM Utilisation and Cost Model.xlsx’</w:t>
      </w:r>
    </w:p>
    <w:p w:rsidR="00C97C8A" w:rsidRPr="009868C4" w:rsidRDefault="00C97C8A" w:rsidP="00C97C8A">
      <w:pPr>
        <w:pStyle w:val="TableFigureFooter"/>
        <w:spacing w:after="0"/>
        <w:contextualSpacing w:val="0"/>
      </w:pPr>
      <w:r w:rsidRPr="009868C4">
        <w:rPr>
          <w:i/>
        </w:rPr>
        <w:t>The redacted values correspond to the following ranges</w:t>
      </w:r>
      <w:r>
        <w:rPr>
          <w:i/>
        </w:rPr>
        <w:t xml:space="preserve">: </w:t>
      </w:r>
    </w:p>
    <w:p w:rsidR="00C97C8A" w:rsidRDefault="00C97C8A" w:rsidP="00D635FB">
      <w:pPr>
        <w:pStyle w:val="TableFigureFooter"/>
        <w:rPr>
          <w:i/>
        </w:rPr>
      </w:pPr>
      <w:r>
        <w:rPr>
          <w:i/>
          <w:vertAlign w:val="superscript"/>
        </w:rPr>
        <w:t xml:space="preserve">1 </w:t>
      </w:r>
      <w:r w:rsidRPr="00C97C8A">
        <w:rPr>
          <w:i/>
        </w:rPr>
        <w:t>500 to &lt; 5,000</w:t>
      </w:r>
    </w:p>
    <w:p w:rsidR="00C97C8A" w:rsidRDefault="00C97C8A" w:rsidP="00D635FB">
      <w:pPr>
        <w:pStyle w:val="TableFigureFooter"/>
        <w:rPr>
          <w:i/>
        </w:rPr>
      </w:pPr>
      <w:r>
        <w:rPr>
          <w:i/>
          <w:vertAlign w:val="superscript"/>
        </w:rPr>
        <w:t xml:space="preserve">2 </w:t>
      </w:r>
      <w:r w:rsidRPr="00C97C8A">
        <w:rPr>
          <w:i/>
        </w:rPr>
        <w:t>&lt; 500</w:t>
      </w:r>
    </w:p>
    <w:p w:rsidR="00C97C8A" w:rsidRPr="00C97C8A" w:rsidRDefault="00C97C8A" w:rsidP="00D635FB">
      <w:pPr>
        <w:pStyle w:val="TableFigureFooter"/>
        <w:rPr>
          <w:i/>
        </w:rPr>
      </w:pPr>
      <w:r>
        <w:rPr>
          <w:i/>
          <w:vertAlign w:val="superscript"/>
        </w:rPr>
        <w:t xml:space="preserve">3 </w:t>
      </w:r>
      <w:r w:rsidRPr="00C97C8A">
        <w:rPr>
          <w:i/>
        </w:rPr>
        <w:t>5,000 to &lt; 10,000</w:t>
      </w:r>
    </w:p>
    <w:p w:rsidR="00DD6317" w:rsidRPr="00B24C99" w:rsidRDefault="00DD6317" w:rsidP="000E3EA0">
      <w:pPr>
        <w:pStyle w:val="3-BodyText"/>
        <w:spacing w:before="240"/>
      </w:pPr>
      <w:r w:rsidRPr="00B24C99">
        <w:t>A summary of the estimated use and financial impact of NIVO+IPI is presented in the table below.</w:t>
      </w:r>
    </w:p>
    <w:p w:rsidR="0032034C" w:rsidRPr="00B24C99" w:rsidRDefault="0032034C" w:rsidP="0032034C">
      <w:pPr>
        <w:keepNext/>
        <w:keepLines/>
        <w:spacing w:line="259" w:lineRule="auto"/>
        <w:jc w:val="left"/>
        <w:rPr>
          <w:rFonts w:ascii="Arial Narrow" w:eastAsiaTheme="minorEastAsia" w:hAnsi="Arial Narrow" w:cstheme="minorBidi"/>
          <w:b/>
          <w:sz w:val="20"/>
          <w:szCs w:val="22"/>
          <w:lang w:eastAsia="zh-CN"/>
        </w:rPr>
      </w:pPr>
      <w:r w:rsidRPr="00B24C99">
        <w:rPr>
          <w:rFonts w:ascii="Arial Narrow" w:eastAsiaTheme="minorEastAsia" w:hAnsi="Arial Narrow" w:cstheme="minorBidi"/>
          <w:b/>
          <w:sz w:val="20"/>
          <w:szCs w:val="22"/>
          <w:lang w:eastAsia="zh-CN"/>
        </w:rPr>
        <w:lastRenderedPageBreak/>
        <w:t xml:space="preserve">Table </w:t>
      </w:r>
      <w:r w:rsidR="00D635FB">
        <w:rPr>
          <w:rFonts w:ascii="Arial Narrow" w:eastAsiaTheme="minorEastAsia" w:hAnsi="Arial Narrow" w:cstheme="minorBidi"/>
          <w:b/>
          <w:sz w:val="20"/>
          <w:szCs w:val="22"/>
          <w:lang w:eastAsia="zh-CN"/>
        </w:rPr>
        <w:t>20</w:t>
      </w:r>
      <w:r w:rsidRPr="00B24C99">
        <w:rPr>
          <w:rFonts w:ascii="Arial Narrow" w:eastAsiaTheme="minorEastAsia" w:hAnsi="Arial Narrow" w:cstheme="minorBidi"/>
          <w:b/>
          <w:sz w:val="20"/>
          <w:szCs w:val="22"/>
          <w:lang w:eastAsia="zh-CN"/>
        </w:rPr>
        <w:t>: Estimation of use and financial impact of the proposed medicine</w:t>
      </w:r>
    </w:p>
    <w:tbl>
      <w:tblPr>
        <w:tblStyle w:val="ASDTable2"/>
        <w:tblW w:w="5000" w:type="pct"/>
        <w:tblCellMar>
          <w:left w:w="28" w:type="dxa"/>
          <w:right w:w="28" w:type="dxa"/>
        </w:tblCellMar>
        <w:tblLook w:val="04A0" w:firstRow="1" w:lastRow="0" w:firstColumn="1" w:lastColumn="0" w:noHBand="0" w:noVBand="1"/>
        <w:tblCaption w:val="Table 20: Estimation of use and financial impact of the proposed medicine"/>
      </w:tblPr>
      <w:tblGrid>
        <w:gridCol w:w="2697"/>
        <w:gridCol w:w="1064"/>
        <w:gridCol w:w="1047"/>
        <w:gridCol w:w="1034"/>
        <w:gridCol w:w="1064"/>
        <w:gridCol w:w="1047"/>
        <w:gridCol w:w="1064"/>
      </w:tblGrid>
      <w:tr w:rsidR="0032034C" w:rsidRPr="00B24C99" w:rsidTr="00634962">
        <w:trPr>
          <w:tblHeader/>
        </w:trPr>
        <w:tc>
          <w:tcPr>
            <w:tcW w:w="1776" w:type="pct"/>
            <w:shd w:val="clear" w:color="auto" w:fill="auto"/>
            <w:vAlign w:val="center"/>
          </w:tcPr>
          <w:p w:rsidR="0032034C" w:rsidRPr="00B24C99" w:rsidRDefault="0032034C" w:rsidP="0032034C">
            <w:pPr>
              <w:keepNext/>
              <w:keepLines/>
              <w:jc w:val="left"/>
              <w:rPr>
                <w:rFonts w:ascii="Arial Narrow" w:eastAsia="Times New Roman" w:hAnsi="Arial Narrow"/>
                <w:sz w:val="19"/>
                <w:szCs w:val="19"/>
              </w:rPr>
            </w:pPr>
          </w:p>
        </w:tc>
        <w:tc>
          <w:tcPr>
            <w:tcW w:w="537" w:type="pct"/>
            <w:shd w:val="clear" w:color="auto" w:fill="auto"/>
            <w:vAlign w:val="center"/>
          </w:tcPr>
          <w:p w:rsidR="0032034C" w:rsidRPr="00B24C99" w:rsidRDefault="0032034C" w:rsidP="0032034C">
            <w:pPr>
              <w:keepNext/>
              <w:keepLines/>
              <w:jc w:val="center"/>
              <w:rPr>
                <w:rFonts w:ascii="Arial Narrow" w:eastAsia="Times New Roman" w:hAnsi="Arial Narrow"/>
                <w:b/>
                <w:sz w:val="19"/>
                <w:szCs w:val="19"/>
              </w:rPr>
            </w:pPr>
            <w:r w:rsidRPr="00B24C99">
              <w:rPr>
                <w:rFonts w:ascii="Arial Narrow" w:eastAsia="Times New Roman" w:hAnsi="Arial Narrow"/>
                <w:b/>
                <w:sz w:val="19"/>
                <w:szCs w:val="19"/>
              </w:rPr>
              <w:t>2022^</w:t>
            </w:r>
          </w:p>
        </w:tc>
        <w:tc>
          <w:tcPr>
            <w:tcW w:w="537" w:type="pct"/>
            <w:shd w:val="clear" w:color="auto" w:fill="auto"/>
            <w:vAlign w:val="center"/>
          </w:tcPr>
          <w:p w:rsidR="0032034C" w:rsidRPr="00B24C99" w:rsidRDefault="0032034C" w:rsidP="0032034C">
            <w:pPr>
              <w:keepNext/>
              <w:keepLines/>
              <w:jc w:val="center"/>
              <w:rPr>
                <w:rFonts w:ascii="Arial Narrow" w:eastAsia="Times New Roman" w:hAnsi="Arial Narrow"/>
                <w:b/>
                <w:sz w:val="19"/>
                <w:szCs w:val="19"/>
              </w:rPr>
            </w:pPr>
            <w:r w:rsidRPr="00B24C99">
              <w:rPr>
                <w:rFonts w:ascii="Arial Narrow" w:eastAsia="Times New Roman" w:hAnsi="Arial Narrow"/>
                <w:b/>
                <w:sz w:val="19"/>
                <w:szCs w:val="19"/>
              </w:rPr>
              <w:t>2023</w:t>
            </w:r>
          </w:p>
        </w:tc>
        <w:tc>
          <w:tcPr>
            <w:tcW w:w="537" w:type="pct"/>
            <w:shd w:val="clear" w:color="auto" w:fill="auto"/>
            <w:vAlign w:val="center"/>
          </w:tcPr>
          <w:p w:rsidR="0032034C" w:rsidRPr="00B24C99" w:rsidRDefault="0032034C" w:rsidP="0032034C">
            <w:pPr>
              <w:keepNext/>
              <w:keepLines/>
              <w:jc w:val="center"/>
              <w:rPr>
                <w:rFonts w:ascii="Arial Narrow" w:eastAsia="Times New Roman" w:hAnsi="Arial Narrow"/>
                <w:b/>
                <w:sz w:val="19"/>
                <w:szCs w:val="19"/>
              </w:rPr>
            </w:pPr>
            <w:r w:rsidRPr="00B24C99">
              <w:rPr>
                <w:rFonts w:ascii="Arial Narrow" w:eastAsia="Times New Roman" w:hAnsi="Arial Narrow"/>
                <w:b/>
                <w:sz w:val="19"/>
                <w:szCs w:val="19"/>
              </w:rPr>
              <w:t>2024</w:t>
            </w:r>
          </w:p>
        </w:tc>
        <w:tc>
          <w:tcPr>
            <w:tcW w:w="537" w:type="pct"/>
            <w:shd w:val="clear" w:color="auto" w:fill="auto"/>
            <w:vAlign w:val="center"/>
          </w:tcPr>
          <w:p w:rsidR="0032034C" w:rsidRPr="00B24C99" w:rsidRDefault="0032034C" w:rsidP="0032034C">
            <w:pPr>
              <w:keepNext/>
              <w:keepLines/>
              <w:jc w:val="center"/>
              <w:rPr>
                <w:rFonts w:ascii="Arial Narrow" w:eastAsia="Times New Roman" w:hAnsi="Arial Narrow"/>
                <w:b/>
                <w:sz w:val="19"/>
                <w:szCs w:val="19"/>
              </w:rPr>
            </w:pPr>
            <w:r w:rsidRPr="00B24C99">
              <w:rPr>
                <w:rFonts w:ascii="Arial Narrow" w:eastAsia="Times New Roman" w:hAnsi="Arial Narrow"/>
                <w:b/>
                <w:sz w:val="19"/>
                <w:szCs w:val="19"/>
              </w:rPr>
              <w:t>2025</w:t>
            </w:r>
          </w:p>
        </w:tc>
        <w:tc>
          <w:tcPr>
            <w:tcW w:w="537" w:type="pct"/>
            <w:shd w:val="clear" w:color="auto" w:fill="auto"/>
            <w:vAlign w:val="center"/>
          </w:tcPr>
          <w:p w:rsidR="0032034C" w:rsidRPr="00B24C99" w:rsidRDefault="0032034C" w:rsidP="0032034C">
            <w:pPr>
              <w:keepNext/>
              <w:keepLines/>
              <w:jc w:val="center"/>
              <w:rPr>
                <w:rFonts w:ascii="Arial Narrow" w:eastAsia="Times New Roman" w:hAnsi="Arial Narrow"/>
                <w:b/>
                <w:sz w:val="19"/>
                <w:szCs w:val="19"/>
              </w:rPr>
            </w:pPr>
            <w:r w:rsidRPr="00B24C99">
              <w:rPr>
                <w:rFonts w:ascii="Arial Narrow" w:eastAsia="Times New Roman" w:hAnsi="Arial Narrow"/>
                <w:b/>
                <w:sz w:val="19"/>
                <w:szCs w:val="19"/>
              </w:rPr>
              <w:t>2026</w:t>
            </w:r>
          </w:p>
        </w:tc>
        <w:tc>
          <w:tcPr>
            <w:tcW w:w="537" w:type="pct"/>
            <w:shd w:val="clear" w:color="auto" w:fill="auto"/>
            <w:vAlign w:val="center"/>
          </w:tcPr>
          <w:p w:rsidR="0032034C" w:rsidRPr="00B24C99" w:rsidRDefault="0032034C" w:rsidP="0032034C">
            <w:pPr>
              <w:keepNext/>
              <w:keepLines/>
              <w:jc w:val="center"/>
              <w:rPr>
                <w:rFonts w:ascii="Arial Narrow" w:eastAsia="Times New Roman" w:hAnsi="Arial Narrow"/>
                <w:b/>
                <w:sz w:val="19"/>
                <w:szCs w:val="19"/>
              </w:rPr>
            </w:pPr>
            <w:r w:rsidRPr="00B24C99">
              <w:rPr>
                <w:rFonts w:ascii="Arial Narrow" w:eastAsia="Times New Roman" w:hAnsi="Arial Narrow"/>
                <w:b/>
                <w:sz w:val="19"/>
                <w:szCs w:val="19"/>
              </w:rPr>
              <w:t>2027</w:t>
            </w:r>
          </w:p>
        </w:tc>
      </w:tr>
      <w:tr w:rsidR="0032034C" w:rsidRPr="00B24C99" w:rsidTr="00634962">
        <w:tc>
          <w:tcPr>
            <w:tcW w:w="5000" w:type="pct"/>
            <w:gridSpan w:val="7"/>
            <w:shd w:val="clear" w:color="auto" w:fill="auto"/>
            <w:vAlign w:val="center"/>
          </w:tcPr>
          <w:p w:rsidR="0032034C" w:rsidRPr="00B24C99" w:rsidRDefault="0032034C" w:rsidP="0032034C">
            <w:pPr>
              <w:keepNext/>
              <w:keepLines/>
              <w:jc w:val="left"/>
              <w:rPr>
                <w:rFonts w:ascii="Arial Narrow" w:eastAsia="Times New Roman" w:hAnsi="Arial Narrow"/>
                <w:b/>
                <w:sz w:val="19"/>
                <w:szCs w:val="19"/>
              </w:rPr>
            </w:pPr>
            <w:r w:rsidRPr="00B24C99">
              <w:rPr>
                <w:rFonts w:ascii="Arial Narrow" w:eastAsia="Times New Roman" w:hAnsi="Arial Narrow"/>
                <w:b/>
                <w:sz w:val="19"/>
                <w:szCs w:val="19"/>
              </w:rPr>
              <w:t>Estimation of number of treated patients</w:t>
            </w:r>
          </w:p>
        </w:tc>
      </w:tr>
      <w:tr w:rsidR="0032034C" w:rsidRPr="00B24C99" w:rsidTr="00634962">
        <w:tc>
          <w:tcPr>
            <w:tcW w:w="1776" w:type="pct"/>
            <w:shd w:val="clear" w:color="auto" w:fill="auto"/>
            <w:vAlign w:val="center"/>
          </w:tcPr>
          <w:p w:rsidR="0032034C" w:rsidRPr="00B24C99" w:rsidRDefault="0032034C" w:rsidP="0032034C">
            <w:pPr>
              <w:keepNext/>
              <w:keepLines/>
              <w:jc w:val="left"/>
              <w:rPr>
                <w:rFonts w:ascii="Arial Narrow" w:eastAsia="Times New Roman" w:hAnsi="Arial Narrow"/>
                <w:b/>
                <w:sz w:val="19"/>
                <w:szCs w:val="19"/>
              </w:rPr>
            </w:pPr>
            <w:r w:rsidRPr="00B24C99">
              <w:rPr>
                <w:rFonts w:ascii="Arial Narrow" w:eastAsia="Times New Roman" w:hAnsi="Arial Narrow"/>
                <w:b/>
                <w:sz w:val="19"/>
                <w:szCs w:val="19"/>
              </w:rPr>
              <w:t xml:space="preserve">1L MPM </w:t>
            </w:r>
          </w:p>
        </w:tc>
        <w:tc>
          <w:tcPr>
            <w:tcW w:w="537" w:type="pct"/>
            <w:shd w:val="clear" w:color="auto" w:fill="auto"/>
            <w:vAlign w:val="center"/>
          </w:tcPr>
          <w:p w:rsidR="0032034C" w:rsidRPr="00B24C99" w:rsidRDefault="0032034C" w:rsidP="0032034C">
            <w:pPr>
              <w:keepNext/>
              <w:keepLines/>
              <w:jc w:val="center"/>
              <w:rPr>
                <w:rFonts w:ascii="Arial Narrow" w:eastAsia="Times New Roman" w:hAnsi="Arial Narrow"/>
                <w:sz w:val="19"/>
                <w:szCs w:val="19"/>
              </w:rPr>
            </w:pPr>
          </w:p>
        </w:tc>
        <w:tc>
          <w:tcPr>
            <w:tcW w:w="537" w:type="pct"/>
            <w:shd w:val="clear" w:color="auto" w:fill="auto"/>
            <w:vAlign w:val="center"/>
          </w:tcPr>
          <w:p w:rsidR="0032034C" w:rsidRPr="00B24C99" w:rsidRDefault="0032034C" w:rsidP="0032034C">
            <w:pPr>
              <w:keepNext/>
              <w:keepLines/>
              <w:jc w:val="center"/>
              <w:rPr>
                <w:rFonts w:ascii="Arial Narrow" w:eastAsia="Times New Roman" w:hAnsi="Arial Narrow"/>
                <w:sz w:val="19"/>
                <w:szCs w:val="19"/>
              </w:rPr>
            </w:pPr>
          </w:p>
        </w:tc>
        <w:tc>
          <w:tcPr>
            <w:tcW w:w="537" w:type="pct"/>
            <w:shd w:val="clear" w:color="auto" w:fill="auto"/>
            <w:vAlign w:val="center"/>
          </w:tcPr>
          <w:p w:rsidR="0032034C" w:rsidRPr="00B24C99" w:rsidRDefault="0032034C" w:rsidP="0032034C">
            <w:pPr>
              <w:keepNext/>
              <w:keepLines/>
              <w:jc w:val="center"/>
              <w:rPr>
                <w:rFonts w:ascii="Arial Narrow" w:eastAsia="Times New Roman" w:hAnsi="Arial Narrow"/>
                <w:sz w:val="19"/>
                <w:szCs w:val="19"/>
              </w:rPr>
            </w:pPr>
          </w:p>
        </w:tc>
        <w:tc>
          <w:tcPr>
            <w:tcW w:w="537" w:type="pct"/>
            <w:shd w:val="clear" w:color="auto" w:fill="auto"/>
            <w:vAlign w:val="center"/>
          </w:tcPr>
          <w:p w:rsidR="0032034C" w:rsidRPr="00B24C99" w:rsidRDefault="0032034C" w:rsidP="0032034C">
            <w:pPr>
              <w:keepNext/>
              <w:keepLines/>
              <w:jc w:val="center"/>
              <w:rPr>
                <w:rFonts w:ascii="Arial Narrow" w:eastAsia="Times New Roman" w:hAnsi="Arial Narrow"/>
                <w:sz w:val="19"/>
                <w:szCs w:val="19"/>
              </w:rPr>
            </w:pPr>
          </w:p>
        </w:tc>
        <w:tc>
          <w:tcPr>
            <w:tcW w:w="537" w:type="pct"/>
            <w:shd w:val="clear" w:color="auto" w:fill="auto"/>
            <w:vAlign w:val="center"/>
          </w:tcPr>
          <w:p w:rsidR="0032034C" w:rsidRPr="00B24C99" w:rsidRDefault="0032034C" w:rsidP="0032034C">
            <w:pPr>
              <w:keepNext/>
              <w:keepLines/>
              <w:jc w:val="center"/>
              <w:rPr>
                <w:rFonts w:ascii="Arial Narrow" w:eastAsia="Times New Roman" w:hAnsi="Arial Narrow"/>
                <w:sz w:val="19"/>
                <w:szCs w:val="19"/>
              </w:rPr>
            </w:pPr>
          </w:p>
        </w:tc>
        <w:tc>
          <w:tcPr>
            <w:tcW w:w="537" w:type="pct"/>
            <w:shd w:val="clear" w:color="auto" w:fill="auto"/>
            <w:vAlign w:val="center"/>
          </w:tcPr>
          <w:p w:rsidR="0032034C" w:rsidRPr="00B24C99" w:rsidRDefault="0032034C" w:rsidP="0032034C">
            <w:pPr>
              <w:keepNext/>
              <w:keepLines/>
              <w:jc w:val="center"/>
              <w:rPr>
                <w:rFonts w:ascii="Arial Narrow" w:eastAsia="Times New Roman" w:hAnsi="Arial Narrow"/>
                <w:sz w:val="19"/>
                <w:szCs w:val="19"/>
              </w:rPr>
            </w:pPr>
          </w:p>
        </w:tc>
      </w:tr>
      <w:tr w:rsidR="0032034C" w:rsidRPr="00B24C99" w:rsidTr="00634962">
        <w:tc>
          <w:tcPr>
            <w:tcW w:w="1776" w:type="pct"/>
            <w:vAlign w:val="center"/>
          </w:tcPr>
          <w:p w:rsidR="0032034C" w:rsidRPr="00B24C99" w:rsidRDefault="0032034C" w:rsidP="0032034C">
            <w:pPr>
              <w:keepNext/>
              <w:keepLines/>
              <w:jc w:val="left"/>
              <w:rPr>
                <w:rFonts w:ascii="Arial Narrow" w:eastAsia="Times New Roman" w:hAnsi="Arial Narrow"/>
                <w:sz w:val="19"/>
                <w:szCs w:val="19"/>
              </w:rPr>
            </w:pPr>
            <w:r w:rsidRPr="00B24C99">
              <w:rPr>
                <w:rFonts w:ascii="Arial Narrow" w:eastAsia="Times New Roman" w:hAnsi="Arial Narrow"/>
                <w:sz w:val="19"/>
                <w:szCs w:val="19"/>
              </w:rPr>
              <w:t xml:space="preserve">Incident mesothelioma population </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1</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1</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1</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1</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1</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1</w:t>
            </w:r>
          </w:p>
        </w:tc>
      </w:tr>
      <w:tr w:rsidR="0032034C" w:rsidRPr="00B24C99" w:rsidTr="00634962">
        <w:tc>
          <w:tcPr>
            <w:tcW w:w="1776" w:type="pct"/>
            <w:vAlign w:val="center"/>
          </w:tcPr>
          <w:p w:rsidR="0032034C" w:rsidRPr="00B24C99" w:rsidRDefault="0032034C" w:rsidP="0032034C">
            <w:pPr>
              <w:keepNext/>
              <w:keepLines/>
              <w:jc w:val="left"/>
              <w:rPr>
                <w:rFonts w:ascii="Arial Narrow" w:eastAsia="Times New Roman" w:hAnsi="Arial Narrow"/>
                <w:sz w:val="19"/>
                <w:szCs w:val="19"/>
              </w:rPr>
            </w:pPr>
            <w:r w:rsidRPr="00B24C99">
              <w:rPr>
                <w:rFonts w:ascii="Arial Narrow" w:eastAsia="Times New Roman" w:hAnsi="Arial Narrow"/>
                <w:sz w:val="19"/>
                <w:szCs w:val="19"/>
              </w:rPr>
              <w:t>Total 1L patients treated with NIVO+ IPI</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r>
      <w:tr w:rsidR="0032034C" w:rsidRPr="00B24C99" w:rsidTr="00634962">
        <w:tc>
          <w:tcPr>
            <w:tcW w:w="1776" w:type="pct"/>
            <w:vAlign w:val="center"/>
          </w:tcPr>
          <w:p w:rsidR="0032034C" w:rsidRPr="00B24C99" w:rsidRDefault="0032034C" w:rsidP="0032034C">
            <w:pPr>
              <w:keepNext/>
              <w:keepLines/>
              <w:jc w:val="left"/>
              <w:rPr>
                <w:rFonts w:ascii="Arial Narrow" w:eastAsia="Times New Roman" w:hAnsi="Arial Narrow"/>
                <w:b/>
                <w:sz w:val="19"/>
                <w:szCs w:val="19"/>
              </w:rPr>
            </w:pPr>
            <w:r w:rsidRPr="00B24C99">
              <w:rPr>
                <w:rFonts w:ascii="Arial Narrow" w:eastAsia="Times New Roman" w:hAnsi="Arial Narrow"/>
                <w:b/>
                <w:sz w:val="19"/>
                <w:szCs w:val="19"/>
              </w:rPr>
              <w:t>2L MPM (pts diagnosed 2020, 2021)</w:t>
            </w:r>
          </w:p>
        </w:tc>
        <w:tc>
          <w:tcPr>
            <w:tcW w:w="537" w:type="pct"/>
            <w:vAlign w:val="center"/>
          </w:tcPr>
          <w:p w:rsidR="0032034C" w:rsidRPr="00B24C99" w:rsidRDefault="0032034C" w:rsidP="0032034C">
            <w:pPr>
              <w:keepNext/>
              <w:keepLines/>
              <w:jc w:val="center"/>
              <w:rPr>
                <w:rFonts w:ascii="Arial Narrow" w:eastAsia="Times New Roman" w:hAnsi="Arial Narrow"/>
                <w:sz w:val="19"/>
                <w:szCs w:val="19"/>
              </w:rPr>
            </w:pPr>
          </w:p>
        </w:tc>
        <w:tc>
          <w:tcPr>
            <w:tcW w:w="537" w:type="pct"/>
            <w:vAlign w:val="center"/>
          </w:tcPr>
          <w:p w:rsidR="0032034C" w:rsidRPr="00B24C99" w:rsidRDefault="0032034C" w:rsidP="0032034C">
            <w:pPr>
              <w:keepNext/>
              <w:keepLines/>
              <w:jc w:val="center"/>
              <w:rPr>
                <w:rFonts w:ascii="Arial Narrow" w:eastAsia="Times New Roman" w:hAnsi="Arial Narrow"/>
                <w:sz w:val="19"/>
                <w:szCs w:val="19"/>
              </w:rPr>
            </w:pPr>
          </w:p>
        </w:tc>
        <w:tc>
          <w:tcPr>
            <w:tcW w:w="537" w:type="pct"/>
            <w:vAlign w:val="center"/>
          </w:tcPr>
          <w:p w:rsidR="0032034C" w:rsidRPr="00B24C99" w:rsidRDefault="0032034C" w:rsidP="0032034C">
            <w:pPr>
              <w:keepNext/>
              <w:keepLines/>
              <w:jc w:val="center"/>
              <w:rPr>
                <w:rFonts w:ascii="Arial Narrow" w:eastAsia="Times New Roman" w:hAnsi="Arial Narrow"/>
                <w:sz w:val="19"/>
                <w:szCs w:val="19"/>
              </w:rPr>
            </w:pPr>
          </w:p>
        </w:tc>
        <w:tc>
          <w:tcPr>
            <w:tcW w:w="537" w:type="pct"/>
            <w:vAlign w:val="center"/>
          </w:tcPr>
          <w:p w:rsidR="0032034C" w:rsidRPr="00B24C99" w:rsidRDefault="0032034C" w:rsidP="0032034C">
            <w:pPr>
              <w:keepNext/>
              <w:keepLines/>
              <w:jc w:val="center"/>
              <w:rPr>
                <w:rFonts w:ascii="Arial Narrow" w:eastAsia="Times New Roman" w:hAnsi="Arial Narrow"/>
                <w:sz w:val="19"/>
                <w:szCs w:val="19"/>
              </w:rPr>
            </w:pPr>
          </w:p>
        </w:tc>
        <w:tc>
          <w:tcPr>
            <w:tcW w:w="537" w:type="pct"/>
            <w:vAlign w:val="center"/>
          </w:tcPr>
          <w:p w:rsidR="0032034C" w:rsidRPr="00B24C99" w:rsidRDefault="0032034C" w:rsidP="0032034C">
            <w:pPr>
              <w:keepNext/>
              <w:keepLines/>
              <w:jc w:val="center"/>
              <w:rPr>
                <w:rFonts w:ascii="Arial Narrow" w:eastAsia="Times New Roman" w:hAnsi="Arial Narrow"/>
                <w:sz w:val="19"/>
                <w:szCs w:val="19"/>
              </w:rPr>
            </w:pPr>
          </w:p>
        </w:tc>
        <w:tc>
          <w:tcPr>
            <w:tcW w:w="537" w:type="pct"/>
            <w:vAlign w:val="center"/>
          </w:tcPr>
          <w:p w:rsidR="0032034C" w:rsidRPr="00B24C99" w:rsidRDefault="0032034C" w:rsidP="0032034C">
            <w:pPr>
              <w:keepNext/>
              <w:keepLines/>
              <w:jc w:val="center"/>
              <w:rPr>
                <w:rFonts w:ascii="Arial Narrow" w:eastAsia="Times New Roman" w:hAnsi="Arial Narrow"/>
                <w:sz w:val="19"/>
                <w:szCs w:val="19"/>
              </w:rPr>
            </w:pPr>
          </w:p>
        </w:tc>
      </w:tr>
      <w:tr w:rsidR="0032034C" w:rsidRPr="00B24C99" w:rsidTr="00634962">
        <w:tc>
          <w:tcPr>
            <w:tcW w:w="1776" w:type="pct"/>
            <w:vAlign w:val="center"/>
          </w:tcPr>
          <w:p w:rsidR="0032034C" w:rsidRPr="00B24C99" w:rsidRDefault="0032034C" w:rsidP="001A6D09">
            <w:pPr>
              <w:keepNext/>
              <w:keepLines/>
              <w:jc w:val="left"/>
              <w:rPr>
                <w:rFonts w:ascii="Arial Narrow" w:eastAsia="Times New Roman" w:hAnsi="Arial Narrow"/>
                <w:sz w:val="19"/>
                <w:szCs w:val="19"/>
              </w:rPr>
            </w:pPr>
            <w:r w:rsidRPr="00B24C99">
              <w:rPr>
                <w:rFonts w:ascii="Arial Narrow" w:eastAsia="Times New Roman" w:hAnsi="Arial Narrow"/>
                <w:sz w:val="19"/>
                <w:szCs w:val="19"/>
              </w:rPr>
              <w:t xml:space="preserve">Incident mesothelioma population </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1</w:t>
            </w:r>
          </w:p>
        </w:tc>
        <w:tc>
          <w:tcPr>
            <w:tcW w:w="537" w:type="pct"/>
            <w:vAlign w:val="center"/>
          </w:tcPr>
          <w:p w:rsidR="0032034C" w:rsidRPr="00B24C99" w:rsidRDefault="0032034C" w:rsidP="0032034C">
            <w:pPr>
              <w:keepNext/>
              <w:keepLines/>
              <w:jc w:val="center"/>
              <w:rPr>
                <w:rFonts w:ascii="Arial Narrow" w:eastAsia="Times New Roman" w:hAnsi="Arial Narrow"/>
                <w:sz w:val="19"/>
                <w:szCs w:val="19"/>
              </w:rPr>
            </w:pPr>
          </w:p>
        </w:tc>
        <w:tc>
          <w:tcPr>
            <w:tcW w:w="537" w:type="pct"/>
            <w:vAlign w:val="center"/>
          </w:tcPr>
          <w:p w:rsidR="0032034C" w:rsidRPr="00B24C99" w:rsidRDefault="0032034C" w:rsidP="0032034C">
            <w:pPr>
              <w:keepNext/>
              <w:keepLines/>
              <w:jc w:val="center"/>
              <w:rPr>
                <w:rFonts w:ascii="Arial Narrow" w:eastAsia="Times New Roman" w:hAnsi="Arial Narrow"/>
                <w:sz w:val="19"/>
                <w:szCs w:val="19"/>
              </w:rPr>
            </w:pPr>
            <w:r w:rsidRPr="00B24C99">
              <w:rPr>
                <w:rFonts w:ascii="Arial Narrow" w:eastAsia="Times New Roman" w:hAnsi="Arial Narrow"/>
                <w:sz w:val="19"/>
                <w:szCs w:val="19"/>
              </w:rPr>
              <w:t>-</w:t>
            </w:r>
          </w:p>
        </w:tc>
        <w:tc>
          <w:tcPr>
            <w:tcW w:w="537" w:type="pct"/>
            <w:vAlign w:val="center"/>
          </w:tcPr>
          <w:p w:rsidR="0032034C" w:rsidRPr="00B24C99" w:rsidRDefault="0032034C" w:rsidP="0032034C">
            <w:pPr>
              <w:keepNext/>
              <w:keepLines/>
              <w:jc w:val="center"/>
              <w:rPr>
                <w:rFonts w:ascii="Arial Narrow" w:eastAsia="Times New Roman" w:hAnsi="Arial Narrow"/>
                <w:sz w:val="19"/>
                <w:szCs w:val="19"/>
              </w:rPr>
            </w:pPr>
            <w:r w:rsidRPr="00B24C99">
              <w:rPr>
                <w:rFonts w:ascii="Arial Narrow" w:eastAsia="Times New Roman" w:hAnsi="Arial Narrow"/>
                <w:sz w:val="19"/>
                <w:szCs w:val="19"/>
              </w:rPr>
              <w:t>-</w:t>
            </w:r>
          </w:p>
        </w:tc>
        <w:tc>
          <w:tcPr>
            <w:tcW w:w="537" w:type="pct"/>
            <w:vAlign w:val="center"/>
          </w:tcPr>
          <w:p w:rsidR="0032034C" w:rsidRPr="00B24C99" w:rsidRDefault="0032034C" w:rsidP="0032034C">
            <w:pPr>
              <w:keepNext/>
              <w:keepLines/>
              <w:jc w:val="center"/>
              <w:rPr>
                <w:rFonts w:ascii="Arial Narrow" w:eastAsia="Times New Roman" w:hAnsi="Arial Narrow"/>
                <w:sz w:val="19"/>
                <w:szCs w:val="19"/>
              </w:rPr>
            </w:pPr>
            <w:r w:rsidRPr="00B24C99">
              <w:rPr>
                <w:rFonts w:ascii="Arial Narrow" w:eastAsia="Times New Roman" w:hAnsi="Arial Narrow"/>
                <w:sz w:val="19"/>
                <w:szCs w:val="19"/>
              </w:rPr>
              <w:t>-</w:t>
            </w:r>
          </w:p>
        </w:tc>
        <w:tc>
          <w:tcPr>
            <w:tcW w:w="537" w:type="pct"/>
            <w:vAlign w:val="center"/>
          </w:tcPr>
          <w:p w:rsidR="0032034C" w:rsidRPr="00B24C99" w:rsidRDefault="0032034C" w:rsidP="0032034C">
            <w:pPr>
              <w:keepNext/>
              <w:keepLines/>
              <w:jc w:val="center"/>
              <w:rPr>
                <w:rFonts w:ascii="Arial Narrow" w:eastAsia="Times New Roman" w:hAnsi="Arial Narrow"/>
                <w:sz w:val="19"/>
                <w:szCs w:val="19"/>
              </w:rPr>
            </w:pPr>
            <w:r w:rsidRPr="00B24C99">
              <w:rPr>
                <w:rFonts w:ascii="Arial Narrow" w:eastAsia="Times New Roman" w:hAnsi="Arial Narrow"/>
                <w:sz w:val="19"/>
                <w:szCs w:val="19"/>
              </w:rPr>
              <w:t>-</w:t>
            </w:r>
          </w:p>
        </w:tc>
      </w:tr>
      <w:tr w:rsidR="0032034C" w:rsidRPr="00B24C99" w:rsidTr="00634962">
        <w:tc>
          <w:tcPr>
            <w:tcW w:w="1776" w:type="pct"/>
            <w:vAlign w:val="center"/>
          </w:tcPr>
          <w:p w:rsidR="0032034C" w:rsidRPr="00B24C99" w:rsidRDefault="0032034C" w:rsidP="0032034C">
            <w:pPr>
              <w:keepNext/>
              <w:keepLines/>
              <w:jc w:val="left"/>
              <w:rPr>
                <w:rFonts w:ascii="Arial Narrow" w:eastAsia="Times New Roman" w:hAnsi="Arial Narrow"/>
                <w:sz w:val="19"/>
                <w:szCs w:val="19"/>
              </w:rPr>
            </w:pPr>
            <w:r w:rsidRPr="00B24C99">
              <w:rPr>
                <w:rFonts w:ascii="Arial Narrow" w:eastAsia="Times New Roman" w:hAnsi="Arial Narrow"/>
                <w:sz w:val="19"/>
                <w:szCs w:val="19"/>
              </w:rPr>
              <w:t>Total 2L patients treated with NIVO+ IPI</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c>
          <w:tcPr>
            <w:tcW w:w="537" w:type="pct"/>
            <w:vAlign w:val="center"/>
          </w:tcPr>
          <w:p w:rsidR="0032034C" w:rsidRPr="00B24C99" w:rsidRDefault="0032034C" w:rsidP="0032034C">
            <w:pPr>
              <w:keepNext/>
              <w:keepLines/>
              <w:jc w:val="center"/>
              <w:rPr>
                <w:rFonts w:ascii="Arial Narrow" w:eastAsia="Times New Roman" w:hAnsi="Arial Narrow"/>
                <w:sz w:val="19"/>
                <w:szCs w:val="19"/>
              </w:rPr>
            </w:pPr>
          </w:p>
        </w:tc>
        <w:tc>
          <w:tcPr>
            <w:tcW w:w="537" w:type="pct"/>
            <w:vAlign w:val="center"/>
          </w:tcPr>
          <w:p w:rsidR="0032034C" w:rsidRPr="00B24C99" w:rsidRDefault="0032034C" w:rsidP="0032034C">
            <w:pPr>
              <w:keepNext/>
              <w:keepLines/>
              <w:jc w:val="center"/>
              <w:rPr>
                <w:rFonts w:ascii="Arial Narrow" w:eastAsia="Times New Roman" w:hAnsi="Arial Narrow"/>
                <w:sz w:val="19"/>
                <w:szCs w:val="19"/>
              </w:rPr>
            </w:pPr>
            <w:r w:rsidRPr="00B24C99">
              <w:rPr>
                <w:rFonts w:ascii="Arial Narrow" w:eastAsia="Times New Roman" w:hAnsi="Arial Narrow"/>
                <w:sz w:val="19"/>
                <w:szCs w:val="19"/>
              </w:rPr>
              <w:t>-</w:t>
            </w:r>
          </w:p>
        </w:tc>
        <w:tc>
          <w:tcPr>
            <w:tcW w:w="537" w:type="pct"/>
            <w:vAlign w:val="center"/>
          </w:tcPr>
          <w:p w:rsidR="0032034C" w:rsidRPr="00B24C99" w:rsidRDefault="0032034C" w:rsidP="0032034C">
            <w:pPr>
              <w:keepNext/>
              <w:keepLines/>
              <w:jc w:val="center"/>
              <w:rPr>
                <w:rFonts w:ascii="Arial Narrow" w:eastAsia="Times New Roman" w:hAnsi="Arial Narrow"/>
                <w:sz w:val="19"/>
                <w:szCs w:val="19"/>
              </w:rPr>
            </w:pPr>
            <w:r w:rsidRPr="00B24C99">
              <w:rPr>
                <w:rFonts w:ascii="Arial Narrow" w:eastAsia="Times New Roman" w:hAnsi="Arial Narrow"/>
                <w:sz w:val="19"/>
                <w:szCs w:val="19"/>
              </w:rPr>
              <w:t>-</w:t>
            </w:r>
          </w:p>
        </w:tc>
        <w:tc>
          <w:tcPr>
            <w:tcW w:w="537" w:type="pct"/>
            <w:vAlign w:val="center"/>
          </w:tcPr>
          <w:p w:rsidR="0032034C" w:rsidRPr="00B24C99" w:rsidRDefault="0032034C" w:rsidP="0032034C">
            <w:pPr>
              <w:keepNext/>
              <w:keepLines/>
              <w:jc w:val="center"/>
              <w:rPr>
                <w:rFonts w:ascii="Arial Narrow" w:eastAsia="Times New Roman" w:hAnsi="Arial Narrow"/>
                <w:sz w:val="19"/>
                <w:szCs w:val="19"/>
              </w:rPr>
            </w:pPr>
            <w:r w:rsidRPr="00B24C99">
              <w:rPr>
                <w:rFonts w:ascii="Arial Narrow" w:eastAsia="Times New Roman" w:hAnsi="Arial Narrow"/>
                <w:sz w:val="19"/>
                <w:szCs w:val="19"/>
              </w:rPr>
              <w:t>-</w:t>
            </w:r>
          </w:p>
        </w:tc>
        <w:tc>
          <w:tcPr>
            <w:tcW w:w="537" w:type="pct"/>
            <w:vAlign w:val="center"/>
          </w:tcPr>
          <w:p w:rsidR="0032034C" w:rsidRPr="00B24C99" w:rsidRDefault="0032034C" w:rsidP="0032034C">
            <w:pPr>
              <w:keepNext/>
              <w:keepLines/>
              <w:jc w:val="center"/>
              <w:rPr>
                <w:rFonts w:ascii="Arial Narrow" w:eastAsia="Times New Roman" w:hAnsi="Arial Narrow"/>
                <w:sz w:val="19"/>
                <w:szCs w:val="19"/>
              </w:rPr>
            </w:pPr>
            <w:r w:rsidRPr="00B24C99">
              <w:rPr>
                <w:rFonts w:ascii="Arial Narrow" w:eastAsia="Times New Roman" w:hAnsi="Arial Narrow"/>
                <w:sz w:val="19"/>
                <w:szCs w:val="19"/>
              </w:rPr>
              <w:t>-</w:t>
            </w:r>
          </w:p>
        </w:tc>
      </w:tr>
      <w:tr w:rsidR="0032034C" w:rsidRPr="00B24C99" w:rsidTr="00634962">
        <w:trPr>
          <w:trHeight w:val="230"/>
        </w:trPr>
        <w:tc>
          <w:tcPr>
            <w:tcW w:w="1776" w:type="pct"/>
            <w:vAlign w:val="center"/>
          </w:tcPr>
          <w:p w:rsidR="0032034C" w:rsidRPr="00B24C99" w:rsidRDefault="0032034C" w:rsidP="0032034C">
            <w:pPr>
              <w:keepNext/>
              <w:keepLines/>
              <w:jc w:val="left"/>
              <w:rPr>
                <w:rFonts w:ascii="Arial Narrow" w:eastAsia="Times New Roman" w:hAnsi="Arial Narrow"/>
                <w:b/>
                <w:sz w:val="19"/>
                <w:szCs w:val="19"/>
              </w:rPr>
            </w:pPr>
            <w:r w:rsidRPr="00B24C99">
              <w:rPr>
                <w:rFonts w:ascii="Arial Narrow" w:eastAsia="Times New Roman" w:hAnsi="Arial Narrow"/>
                <w:b/>
                <w:sz w:val="19"/>
                <w:szCs w:val="19"/>
              </w:rPr>
              <w:t>Total patients treated with NIVO+ IPI</w:t>
            </w:r>
          </w:p>
          <w:p w:rsidR="0032034C" w:rsidRPr="00B24C99" w:rsidRDefault="0032034C" w:rsidP="0032034C">
            <w:pPr>
              <w:keepNext/>
              <w:keepLines/>
              <w:jc w:val="left"/>
              <w:rPr>
                <w:rFonts w:ascii="Arial Narrow" w:eastAsia="Times New Roman" w:hAnsi="Arial Narrow"/>
                <w:b/>
                <w:sz w:val="19"/>
                <w:szCs w:val="19"/>
              </w:rPr>
            </w:pPr>
            <w:r w:rsidRPr="00B24C99">
              <w:rPr>
                <w:rFonts w:ascii="Arial Narrow" w:eastAsia="Times New Roman" w:hAnsi="Arial Narrow"/>
                <w:b/>
                <w:sz w:val="19"/>
                <w:szCs w:val="19"/>
              </w:rPr>
              <w:t xml:space="preserve">(1L + 2L) </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r>
      <w:tr w:rsidR="0032034C" w:rsidRPr="00B24C99" w:rsidTr="00634962">
        <w:trPr>
          <w:trHeight w:val="230"/>
        </w:trPr>
        <w:tc>
          <w:tcPr>
            <w:tcW w:w="5000" w:type="pct"/>
            <w:gridSpan w:val="7"/>
            <w:vAlign w:val="center"/>
          </w:tcPr>
          <w:p w:rsidR="0032034C" w:rsidRPr="00B24C99" w:rsidRDefault="0032034C" w:rsidP="0032034C">
            <w:pPr>
              <w:keepNext/>
              <w:keepLines/>
              <w:jc w:val="left"/>
              <w:rPr>
                <w:rFonts w:ascii="Arial Narrow" w:eastAsia="Times New Roman" w:hAnsi="Arial Narrow"/>
                <w:b/>
                <w:sz w:val="19"/>
                <w:szCs w:val="19"/>
              </w:rPr>
            </w:pPr>
            <w:r w:rsidRPr="00B24C99">
              <w:rPr>
                <w:rFonts w:ascii="Arial Narrow" w:eastAsia="Times New Roman" w:hAnsi="Arial Narrow"/>
                <w:b/>
                <w:sz w:val="19"/>
                <w:szCs w:val="19"/>
              </w:rPr>
              <w:t>Estimated effective cost of NIVO+ IPI to PBS/RPBS</w:t>
            </w:r>
          </w:p>
        </w:tc>
      </w:tr>
      <w:tr w:rsidR="0032034C" w:rsidRPr="00B24C99" w:rsidTr="00634962">
        <w:trPr>
          <w:trHeight w:val="230"/>
        </w:trPr>
        <w:tc>
          <w:tcPr>
            <w:tcW w:w="1776" w:type="pct"/>
            <w:vAlign w:val="center"/>
          </w:tcPr>
          <w:p w:rsidR="0032034C" w:rsidRPr="00B24C99" w:rsidRDefault="0032034C" w:rsidP="0032034C">
            <w:pPr>
              <w:keepNext/>
              <w:keepLines/>
              <w:jc w:val="left"/>
              <w:rPr>
                <w:rFonts w:ascii="Arial Narrow" w:eastAsia="Times New Roman" w:hAnsi="Arial Narrow"/>
                <w:b/>
                <w:sz w:val="19"/>
                <w:szCs w:val="19"/>
              </w:rPr>
            </w:pPr>
            <w:r w:rsidRPr="00B24C99">
              <w:rPr>
                <w:rFonts w:ascii="Arial Narrow" w:eastAsia="Times New Roman" w:hAnsi="Arial Narrow"/>
                <w:sz w:val="19"/>
                <w:szCs w:val="19"/>
              </w:rPr>
              <w:t>Net cost NIVO (1L +2L)</w:t>
            </w:r>
          </w:p>
        </w:tc>
        <w:tc>
          <w:tcPr>
            <w:tcW w:w="537" w:type="pct"/>
            <w:vAlign w:val="center"/>
          </w:tcPr>
          <w:p w:rsidR="0032034C" w:rsidRPr="004E3484" w:rsidRDefault="001E2CF2" w:rsidP="001E2CF2">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3</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4</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3</w:t>
            </w:r>
          </w:p>
        </w:tc>
        <w:tc>
          <w:tcPr>
            <w:tcW w:w="537" w:type="pct"/>
            <w:vAlign w:val="center"/>
          </w:tcPr>
          <w:p w:rsidR="0032034C" w:rsidRPr="001A6D09"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3</w:t>
            </w:r>
          </w:p>
        </w:tc>
        <w:tc>
          <w:tcPr>
            <w:tcW w:w="537" w:type="pct"/>
            <w:vAlign w:val="center"/>
          </w:tcPr>
          <w:p w:rsidR="0032034C" w:rsidRPr="001A6D09"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3</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3</w:t>
            </w:r>
          </w:p>
        </w:tc>
      </w:tr>
      <w:tr w:rsidR="0032034C" w:rsidRPr="00B24C99" w:rsidTr="00634962">
        <w:trPr>
          <w:trHeight w:val="230"/>
        </w:trPr>
        <w:tc>
          <w:tcPr>
            <w:tcW w:w="1776" w:type="pct"/>
            <w:vAlign w:val="center"/>
          </w:tcPr>
          <w:p w:rsidR="0032034C" w:rsidRPr="00B24C99" w:rsidRDefault="0032034C" w:rsidP="0032034C">
            <w:pPr>
              <w:keepNext/>
              <w:keepLines/>
              <w:jc w:val="left"/>
              <w:rPr>
                <w:rFonts w:ascii="Arial Narrow" w:eastAsia="Times New Roman" w:hAnsi="Arial Narrow"/>
                <w:sz w:val="19"/>
                <w:szCs w:val="19"/>
              </w:rPr>
            </w:pPr>
            <w:r w:rsidRPr="00B24C99">
              <w:rPr>
                <w:rFonts w:ascii="Arial Narrow" w:eastAsia="Times New Roman" w:hAnsi="Arial Narrow"/>
                <w:sz w:val="19"/>
                <w:szCs w:val="19"/>
              </w:rPr>
              <w:t>Net cost IPI (1L + 2L)</w:t>
            </w:r>
          </w:p>
        </w:tc>
        <w:tc>
          <w:tcPr>
            <w:tcW w:w="537" w:type="pct"/>
            <w:vAlign w:val="center"/>
          </w:tcPr>
          <w:p w:rsidR="0032034C" w:rsidRPr="004E3484" w:rsidRDefault="001E2CF2" w:rsidP="001E2CF2">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4</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4</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4</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4</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4</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4</w:t>
            </w:r>
          </w:p>
        </w:tc>
      </w:tr>
      <w:tr w:rsidR="0032034C" w:rsidRPr="00B24C99" w:rsidTr="00634962">
        <w:trPr>
          <w:trHeight w:val="230"/>
        </w:trPr>
        <w:tc>
          <w:tcPr>
            <w:tcW w:w="1776" w:type="pct"/>
            <w:vAlign w:val="center"/>
          </w:tcPr>
          <w:p w:rsidR="0032034C" w:rsidRPr="00B24C99" w:rsidRDefault="0032034C" w:rsidP="0032034C">
            <w:pPr>
              <w:keepNext/>
              <w:keepLines/>
              <w:jc w:val="left"/>
              <w:rPr>
                <w:rFonts w:ascii="Arial Narrow" w:eastAsia="Times New Roman" w:hAnsi="Arial Narrow"/>
                <w:sz w:val="19"/>
                <w:szCs w:val="19"/>
              </w:rPr>
            </w:pPr>
            <w:r w:rsidRPr="00B24C99">
              <w:rPr>
                <w:rFonts w:ascii="Arial Narrow" w:eastAsia="Times New Roman" w:hAnsi="Arial Narrow"/>
                <w:sz w:val="19"/>
                <w:szCs w:val="19"/>
              </w:rPr>
              <w:t>Net cost NIVO + IPI (1L +2L)</w:t>
            </w:r>
          </w:p>
        </w:tc>
        <w:tc>
          <w:tcPr>
            <w:tcW w:w="537" w:type="pct"/>
          </w:tcPr>
          <w:p w:rsidR="0032034C" w:rsidRPr="004E3484" w:rsidRDefault="001E2CF2" w:rsidP="001E2CF2">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3</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3</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3</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3</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3</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3</w:t>
            </w:r>
          </w:p>
        </w:tc>
      </w:tr>
      <w:tr w:rsidR="0032034C" w:rsidRPr="00B24C99" w:rsidTr="00634962">
        <w:trPr>
          <w:trHeight w:val="230"/>
        </w:trPr>
        <w:tc>
          <w:tcPr>
            <w:tcW w:w="5000" w:type="pct"/>
            <w:gridSpan w:val="7"/>
            <w:vAlign w:val="center"/>
          </w:tcPr>
          <w:p w:rsidR="0032034C" w:rsidRPr="00B24C99" w:rsidRDefault="0032034C" w:rsidP="0032034C">
            <w:pPr>
              <w:keepNext/>
              <w:keepLines/>
              <w:jc w:val="left"/>
              <w:rPr>
                <w:rFonts w:ascii="Arial Narrow" w:eastAsia="Times New Roman" w:hAnsi="Arial Narrow"/>
                <w:sz w:val="19"/>
                <w:szCs w:val="19"/>
              </w:rPr>
            </w:pPr>
            <w:r w:rsidRPr="00B24C99">
              <w:rPr>
                <w:rFonts w:ascii="Arial Narrow" w:eastAsia="Times New Roman" w:hAnsi="Arial Narrow"/>
                <w:b/>
                <w:sz w:val="19"/>
                <w:szCs w:val="19"/>
              </w:rPr>
              <w:t>Estimation changes in use and financial impact of currently listed chemotherapy*</w:t>
            </w:r>
          </w:p>
        </w:tc>
      </w:tr>
      <w:tr w:rsidR="0032034C" w:rsidRPr="00B24C99" w:rsidTr="00634962">
        <w:trPr>
          <w:trHeight w:val="230"/>
        </w:trPr>
        <w:tc>
          <w:tcPr>
            <w:tcW w:w="1776" w:type="pct"/>
            <w:vAlign w:val="center"/>
          </w:tcPr>
          <w:p w:rsidR="0032034C" w:rsidRPr="00B24C99" w:rsidRDefault="0032034C" w:rsidP="0032034C">
            <w:pPr>
              <w:keepNext/>
              <w:keepLines/>
              <w:jc w:val="left"/>
              <w:rPr>
                <w:rFonts w:ascii="Arial Narrow" w:eastAsia="Times New Roman" w:hAnsi="Arial Narrow"/>
                <w:sz w:val="19"/>
                <w:szCs w:val="19"/>
              </w:rPr>
            </w:pPr>
            <w:r w:rsidRPr="00B24C99">
              <w:rPr>
                <w:rFonts w:ascii="Arial Narrow" w:eastAsia="Times New Roman" w:hAnsi="Arial Narrow"/>
                <w:sz w:val="19"/>
                <w:szCs w:val="19"/>
              </w:rPr>
              <w:t>Total number of patients who would have been treated with CHEMO displaced by PBS listing of NIVO + IPI (1L +2L)</w:t>
            </w:r>
          </w:p>
        </w:tc>
        <w:tc>
          <w:tcPr>
            <w:tcW w:w="537" w:type="pct"/>
            <w:vAlign w:val="center"/>
          </w:tcPr>
          <w:p w:rsidR="0032034C" w:rsidRPr="00B24C99"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r w:rsidR="0032034C" w:rsidRPr="00B24C99">
              <w:rPr>
                <w:rFonts w:ascii="Arial Narrow" w:eastAsia="Times New Roman" w:hAnsi="Arial Narrow"/>
                <w:sz w:val="19"/>
                <w:szCs w:val="19"/>
              </w:rPr>
              <w:t xml:space="preserve"> (incl. </w:t>
            </w: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r w:rsidR="0032034C" w:rsidRPr="00B24C99">
              <w:rPr>
                <w:rFonts w:ascii="Arial Narrow" w:eastAsia="Times New Roman" w:hAnsi="Arial Narrow"/>
                <w:sz w:val="19"/>
                <w:szCs w:val="19"/>
              </w:rPr>
              <w:t xml:space="preserve"> in 2L)</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c>
          <w:tcPr>
            <w:tcW w:w="537" w:type="pct"/>
            <w:vAlign w:val="center"/>
          </w:tcPr>
          <w:p w:rsidR="0032034C" w:rsidRPr="004E3484" w:rsidRDefault="004E3484" w:rsidP="0032034C">
            <w:pPr>
              <w:keepNext/>
              <w:keepLines/>
              <w:jc w:val="center"/>
              <w:rPr>
                <w:rFonts w:ascii="Arial Narrow" w:eastAsia="Times New Roman" w:hAnsi="Arial Narrow"/>
                <w:sz w:val="19"/>
                <w:szCs w:val="19"/>
              </w:rPr>
            </w:pPr>
            <w:r>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2</w:t>
            </w:r>
          </w:p>
        </w:tc>
      </w:tr>
      <w:tr w:rsidR="0032034C" w:rsidRPr="00B24C99" w:rsidTr="00634962">
        <w:trPr>
          <w:trHeight w:val="230"/>
        </w:trPr>
        <w:tc>
          <w:tcPr>
            <w:tcW w:w="1776" w:type="pct"/>
            <w:vAlign w:val="center"/>
          </w:tcPr>
          <w:p w:rsidR="0032034C" w:rsidRPr="00B24C99" w:rsidRDefault="0032034C" w:rsidP="0032034C">
            <w:pPr>
              <w:keepNext/>
              <w:keepLines/>
              <w:jc w:val="left"/>
              <w:rPr>
                <w:rFonts w:ascii="Arial Narrow" w:eastAsia="Times New Roman" w:hAnsi="Arial Narrow"/>
                <w:sz w:val="19"/>
                <w:szCs w:val="19"/>
              </w:rPr>
            </w:pPr>
            <w:r w:rsidRPr="00B24C99">
              <w:rPr>
                <w:rFonts w:ascii="Arial Narrow" w:eastAsia="Times New Roman" w:hAnsi="Arial Narrow"/>
                <w:b/>
                <w:sz w:val="19"/>
                <w:szCs w:val="19"/>
              </w:rPr>
              <w:t>Total cost offset to PBS/RPBS</w:t>
            </w:r>
          </w:p>
        </w:tc>
        <w:tc>
          <w:tcPr>
            <w:tcW w:w="537" w:type="pct"/>
            <w:vAlign w:val="center"/>
          </w:tcPr>
          <w:p w:rsidR="0032034C" w:rsidRPr="004E3484" w:rsidRDefault="001E2CF2" w:rsidP="000122AD">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0122AD">
              <w:rPr>
                <w:rFonts w:ascii="Arial Narrow" w:eastAsia="Times New Roman" w:hAnsi="Arial Narrow"/>
                <w:sz w:val="19"/>
                <w:szCs w:val="19"/>
                <w:vertAlign w:val="superscript"/>
              </w:rPr>
              <w:t>5</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0122AD">
              <w:rPr>
                <w:rFonts w:ascii="Arial Narrow" w:eastAsia="Times New Roman" w:hAnsi="Arial Narrow"/>
                <w:sz w:val="19"/>
                <w:szCs w:val="19"/>
                <w:vertAlign w:val="superscript"/>
              </w:rPr>
              <w:t>5</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0122AD">
              <w:rPr>
                <w:rFonts w:ascii="Arial Narrow" w:eastAsia="Times New Roman" w:hAnsi="Arial Narrow"/>
                <w:sz w:val="19"/>
                <w:szCs w:val="19"/>
                <w:vertAlign w:val="superscript"/>
              </w:rPr>
              <w:t>5</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0122AD">
              <w:rPr>
                <w:rFonts w:ascii="Arial Narrow" w:eastAsia="Times New Roman" w:hAnsi="Arial Narrow"/>
                <w:sz w:val="19"/>
                <w:szCs w:val="19"/>
                <w:vertAlign w:val="superscript"/>
              </w:rPr>
              <w:t>5</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0122AD">
              <w:rPr>
                <w:rFonts w:ascii="Arial Narrow" w:eastAsia="Times New Roman" w:hAnsi="Arial Narrow"/>
                <w:sz w:val="19"/>
                <w:szCs w:val="19"/>
                <w:vertAlign w:val="superscript"/>
              </w:rPr>
              <w:t>5</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0122AD">
              <w:rPr>
                <w:rFonts w:ascii="Arial Narrow" w:eastAsia="Times New Roman" w:hAnsi="Arial Narrow"/>
                <w:sz w:val="19"/>
                <w:szCs w:val="19"/>
                <w:vertAlign w:val="superscript"/>
              </w:rPr>
              <w:t>5</w:t>
            </w:r>
          </w:p>
        </w:tc>
      </w:tr>
      <w:tr w:rsidR="0032034C" w:rsidRPr="00B24C99" w:rsidTr="00634962">
        <w:trPr>
          <w:trHeight w:val="230"/>
        </w:trPr>
        <w:tc>
          <w:tcPr>
            <w:tcW w:w="5000" w:type="pct"/>
            <w:gridSpan w:val="7"/>
            <w:vAlign w:val="center"/>
          </w:tcPr>
          <w:p w:rsidR="0032034C" w:rsidRPr="00B24C99" w:rsidRDefault="0032034C" w:rsidP="0032034C">
            <w:pPr>
              <w:keepNext/>
              <w:keepLines/>
              <w:jc w:val="left"/>
              <w:rPr>
                <w:rFonts w:ascii="Arial Narrow" w:eastAsia="Times New Roman" w:hAnsi="Arial Narrow"/>
                <w:sz w:val="19"/>
                <w:szCs w:val="19"/>
              </w:rPr>
            </w:pPr>
            <w:r w:rsidRPr="00B24C99">
              <w:rPr>
                <w:rFonts w:ascii="Arial Narrow" w:eastAsia="Times New Roman" w:hAnsi="Arial Narrow"/>
                <w:b/>
                <w:sz w:val="19"/>
                <w:szCs w:val="19"/>
              </w:rPr>
              <w:t>Estimated financial implications for the PBS/RPBS and the health budget</w:t>
            </w:r>
          </w:p>
        </w:tc>
      </w:tr>
      <w:tr w:rsidR="0032034C" w:rsidRPr="00B24C99" w:rsidTr="00634962">
        <w:trPr>
          <w:trHeight w:val="230"/>
        </w:trPr>
        <w:tc>
          <w:tcPr>
            <w:tcW w:w="1776" w:type="pct"/>
            <w:vAlign w:val="center"/>
          </w:tcPr>
          <w:p w:rsidR="0032034C" w:rsidRPr="00B24C99" w:rsidRDefault="0032034C" w:rsidP="0032034C">
            <w:pPr>
              <w:keepNext/>
              <w:keepLines/>
              <w:jc w:val="left"/>
              <w:rPr>
                <w:rFonts w:ascii="Arial Narrow" w:eastAsia="Times New Roman" w:hAnsi="Arial Narrow"/>
                <w:sz w:val="19"/>
                <w:szCs w:val="19"/>
              </w:rPr>
            </w:pPr>
            <w:r w:rsidRPr="00B24C99">
              <w:rPr>
                <w:rFonts w:ascii="Arial Narrow" w:eastAsia="Times New Roman" w:hAnsi="Arial Narrow"/>
                <w:sz w:val="19"/>
                <w:szCs w:val="19"/>
              </w:rPr>
              <w:t>Net cost PBS/RPBS, proposed listing (net cost offsets)</w:t>
            </w:r>
          </w:p>
        </w:tc>
        <w:tc>
          <w:tcPr>
            <w:tcW w:w="537" w:type="pct"/>
            <w:vAlign w:val="center"/>
          </w:tcPr>
          <w:p w:rsidR="0032034C" w:rsidRPr="004E3484" w:rsidRDefault="001E2CF2" w:rsidP="001E2CF2">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3</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3</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3</w:t>
            </w:r>
          </w:p>
        </w:tc>
        <w:tc>
          <w:tcPr>
            <w:tcW w:w="537" w:type="pct"/>
            <w:vAlign w:val="center"/>
          </w:tcPr>
          <w:p w:rsidR="0032034C" w:rsidRPr="004E3484"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3</w:t>
            </w:r>
          </w:p>
        </w:tc>
        <w:tc>
          <w:tcPr>
            <w:tcW w:w="537" w:type="pct"/>
            <w:vAlign w:val="center"/>
          </w:tcPr>
          <w:p w:rsidR="0032034C" w:rsidRPr="001A6D09"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hAnsi="Arial Narrow"/>
                <w:noProof/>
                <w:color w:val="000000"/>
                <w:sz w:val="20"/>
                <w:szCs w:val="20"/>
                <w:highlight w:val="black"/>
              </w:rPr>
              <w:t>''''''''''''''''''''''''''</w:t>
            </w:r>
            <w:r w:rsidR="001A6D09">
              <w:rPr>
                <w:rFonts w:ascii="Arial Narrow" w:eastAsia="Times New Roman" w:hAnsi="Arial Narrow"/>
                <w:sz w:val="19"/>
                <w:szCs w:val="19"/>
                <w:vertAlign w:val="superscript"/>
              </w:rPr>
              <w:t>3</w:t>
            </w:r>
          </w:p>
        </w:tc>
        <w:tc>
          <w:tcPr>
            <w:tcW w:w="537" w:type="pct"/>
            <w:vAlign w:val="center"/>
          </w:tcPr>
          <w:p w:rsidR="0032034C" w:rsidRPr="001A6D09" w:rsidRDefault="0032034C" w:rsidP="0032034C">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eastAsia="Times New Roman" w:hAnsi="Arial Narrow"/>
                <w:noProof/>
                <w:color w:val="000000"/>
                <w:sz w:val="19"/>
                <w:szCs w:val="19"/>
                <w:highlight w:val="black"/>
              </w:rPr>
              <w:t>''''''''''''''''''''''''''</w:t>
            </w:r>
            <w:r w:rsidR="001A6D09">
              <w:rPr>
                <w:rFonts w:ascii="Arial Narrow" w:eastAsia="Times New Roman" w:hAnsi="Arial Narrow"/>
                <w:sz w:val="19"/>
                <w:szCs w:val="19"/>
                <w:vertAlign w:val="superscript"/>
              </w:rPr>
              <w:t>3</w:t>
            </w:r>
          </w:p>
        </w:tc>
      </w:tr>
      <w:tr w:rsidR="00A95A28" w:rsidRPr="00B24C99" w:rsidTr="00634962">
        <w:trPr>
          <w:trHeight w:val="230"/>
        </w:trPr>
        <w:tc>
          <w:tcPr>
            <w:tcW w:w="1776" w:type="pct"/>
            <w:vAlign w:val="center"/>
          </w:tcPr>
          <w:p w:rsidR="00A95A28" w:rsidRPr="00B24C99" w:rsidRDefault="00A95A28" w:rsidP="00A95A28">
            <w:pPr>
              <w:keepNext/>
              <w:keepLines/>
              <w:jc w:val="left"/>
              <w:rPr>
                <w:rFonts w:ascii="Arial Narrow" w:hAnsi="Arial Narrow"/>
                <w:sz w:val="19"/>
                <w:szCs w:val="19"/>
              </w:rPr>
            </w:pPr>
            <w:r w:rsidRPr="00B24C99">
              <w:rPr>
                <w:rFonts w:ascii="Arial Narrow" w:hAnsi="Arial Narrow"/>
                <w:sz w:val="20"/>
                <w:szCs w:val="20"/>
              </w:rPr>
              <w:t>Net cost to MBS</w:t>
            </w:r>
          </w:p>
        </w:tc>
        <w:tc>
          <w:tcPr>
            <w:tcW w:w="537" w:type="pct"/>
            <w:vAlign w:val="center"/>
          </w:tcPr>
          <w:p w:rsidR="00A95A28" w:rsidRPr="004E3484" w:rsidRDefault="00A95A28" w:rsidP="00A95A28">
            <w:pPr>
              <w:jc w:val="center"/>
              <w:rPr>
                <w:rFonts w:ascii="Arial Narrow" w:hAnsi="Arial Narrow"/>
                <w:sz w:val="20"/>
                <w:szCs w:val="20"/>
              </w:rPr>
            </w:pPr>
            <w:r w:rsidRPr="001A6D09">
              <w:rPr>
                <w:rFonts w:ascii="Arial Narrow" w:eastAsia="Times New Roman" w:hAnsi="Arial Narrow"/>
                <w:sz w:val="19"/>
                <w:szCs w:val="19"/>
              </w:rPr>
              <w:t>$</w:t>
            </w:r>
            <w:r w:rsidR="004E3484">
              <w:rPr>
                <w:rFonts w:ascii="Arial Narrow" w:hAnsi="Arial Narrow"/>
                <w:noProof/>
                <w:color w:val="000000"/>
                <w:sz w:val="20"/>
                <w:szCs w:val="20"/>
                <w:highlight w:val="black"/>
              </w:rPr>
              <w:t>'''''''''''''''''''''</w:t>
            </w:r>
            <w:r w:rsidR="001A6D09">
              <w:rPr>
                <w:rFonts w:ascii="Arial Narrow" w:eastAsia="Times New Roman" w:hAnsi="Arial Narrow"/>
                <w:sz w:val="19"/>
                <w:szCs w:val="19"/>
                <w:vertAlign w:val="superscript"/>
              </w:rPr>
              <w:t>4</w:t>
            </w:r>
          </w:p>
        </w:tc>
        <w:tc>
          <w:tcPr>
            <w:tcW w:w="537" w:type="pct"/>
            <w:vAlign w:val="center"/>
          </w:tcPr>
          <w:p w:rsidR="00A95A28" w:rsidRPr="004E3484" w:rsidRDefault="00A95A28" w:rsidP="00A95A28">
            <w:pPr>
              <w:keepNext/>
              <w:keepLines/>
              <w:jc w:val="center"/>
              <w:rPr>
                <w:rFonts w:ascii="Arial Narrow" w:hAnsi="Arial Narrow"/>
                <w:sz w:val="19"/>
                <w:szCs w:val="19"/>
              </w:rPr>
            </w:pPr>
            <w:r w:rsidRPr="001A6D09">
              <w:rPr>
                <w:rFonts w:ascii="Arial Narrow" w:eastAsia="Times New Roman" w:hAnsi="Arial Narrow"/>
                <w:sz w:val="19"/>
                <w:szCs w:val="19"/>
              </w:rPr>
              <w:t>$</w:t>
            </w:r>
            <w:r w:rsidR="004E3484">
              <w:rPr>
                <w:rFonts w:ascii="Arial Narrow" w:hAnsi="Arial Narrow"/>
                <w:noProof/>
                <w:color w:val="000000"/>
                <w:sz w:val="20"/>
                <w:szCs w:val="20"/>
                <w:highlight w:val="black"/>
              </w:rPr>
              <w:t>'''''''''''''''''''''</w:t>
            </w:r>
            <w:r w:rsidR="001A6D09">
              <w:rPr>
                <w:rFonts w:ascii="Arial Narrow" w:eastAsia="Times New Roman" w:hAnsi="Arial Narrow"/>
                <w:sz w:val="19"/>
                <w:szCs w:val="19"/>
                <w:vertAlign w:val="superscript"/>
              </w:rPr>
              <w:t>4</w:t>
            </w:r>
          </w:p>
        </w:tc>
        <w:tc>
          <w:tcPr>
            <w:tcW w:w="537" w:type="pct"/>
            <w:vAlign w:val="center"/>
          </w:tcPr>
          <w:p w:rsidR="00A95A28" w:rsidRPr="004E3484" w:rsidRDefault="00A95A28" w:rsidP="00A95A28">
            <w:pPr>
              <w:keepNext/>
              <w:keepLines/>
              <w:jc w:val="center"/>
              <w:rPr>
                <w:rFonts w:ascii="Arial Narrow" w:hAnsi="Arial Narrow"/>
                <w:sz w:val="19"/>
                <w:szCs w:val="19"/>
              </w:rPr>
            </w:pPr>
            <w:r w:rsidRPr="001A6D09">
              <w:rPr>
                <w:rFonts w:ascii="Arial Narrow" w:eastAsia="Times New Roman" w:hAnsi="Arial Narrow"/>
                <w:sz w:val="19"/>
                <w:szCs w:val="19"/>
              </w:rPr>
              <w:t>$</w:t>
            </w:r>
            <w:r w:rsidR="004E3484">
              <w:rPr>
                <w:rFonts w:ascii="Arial Narrow" w:hAnsi="Arial Narrow"/>
                <w:noProof/>
                <w:color w:val="000000"/>
                <w:sz w:val="20"/>
                <w:szCs w:val="20"/>
                <w:highlight w:val="black"/>
              </w:rPr>
              <w:t>'''''''''''''''''''''</w:t>
            </w:r>
            <w:r w:rsidR="001A6D09">
              <w:rPr>
                <w:rFonts w:ascii="Arial Narrow" w:eastAsia="Times New Roman" w:hAnsi="Arial Narrow"/>
                <w:sz w:val="19"/>
                <w:szCs w:val="19"/>
                <w:vertAlign w:val="superscript"/>
              </w:rPr>
              <w:t>4</w:t>
            </w:r>
          </w:p>
        </w:tc>
        <w:tc>
          <w:tcPr>
            <w:tcW w:w="537" w:type="pct"/>
            <w:vAlign w:val="center"/>
          </w:tcPr>
          <w:p w:rsidR="00A95A28" w:rsidRPr="001A6D09" w:rsidRDefault="00A95A28" w:rsidP="00A95A28">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hAnsi="Arial Narrow"/>
                <w:noProof/>
                <w:color w:val="000000"/>
                <w:sz w:val="20"/>
                <w:szCs w:val="20"/>
                <w:highlight w:val="black"/>
              </w:rPr>
              <w:t>'''''''''''''''''''</w:t>
            </w:r>
            <w:r w:rsidR="001A6D09">
              <w:rPr>
                <w:rFonts w:ascii="Arial Narrow" w:eastAsia="Times New Roman" w:hAnsi="Arial Narrow"/>
                <w:sz w:val="19"/>
                <w:szCs w:val="19"/>
                <w:vertAlign w:val="superscript"/>
              </w:rPr>
              <w:t>4</w:t>
            </w:r>
          </w:p>
        </w:tc>
        <w:tc>
          <w:tcPr>
            <w:tcW w:w="537" w:type="pct"/>
            <w:vAlign w:val="center"/>
          </w:tcPr>
          <w:p w:rsidR="00A95A28" w:rsidRPr="004E3484" w:rsidRDefault="00A95A28" w:rsidP="00A95A28">
            <w:pPr>
              <w:keepNext/>
              <w:keepLines/>
              <w:jc w:val="center"/>
              <w:rPr>
                <w:rFonts w:ascii="Arial Narrow" w:hAnsi="Arial Narrow"/>
                <w:sz w:val="19"/>
                <w:szCs w:val="19"/>
              </w:rPr>
            </w:pPr>
            <w:r w:rsidRPr="001A6D09">
              <w:rPr>
                <w:rFonts w:ascii="Arial Narrow" w:eastAsia="Times New Roman" w:hAnsi="Arial Narrow"/>
                <w:sz w:val="19"/>
                <w:szCs w:val="19"/>
              </w:rPr>
              <w:t>$</w:t>
            </w:r>
            <w:r w:rsidR="004E3484">
              <w:rPr>
                <w:rFonts w:ascii="Arial Narrow" w:hAnsi="Arial Narrow"/>
                <w:noProof/>
                <w:color w:val="000000"/>
                <w:sz w:val="20"/>
                <w:szCs w:val="20"/>
                <w:highlight w:val="black"/>
              </w:rPr>
              <w:t>'''''''''''''''''''</w:t>
            </w:r>
            <w:r w:rsidR="001A6D09">
              <w:rPr>
                <w:rFonts w:ascii="Arial Narrow" w:eastAsia="Times New Roman" w:hAnsi="Arial Narrow"/>
                <w:sz w:val="19"/>
                <w:szCs w:val="19"/>
                <w:vertAlign w:val="superscript"/>
              </w:rPr>
              <w:t>4</w:t>
            </w:r>
          </w:p>
        </w:tc>
        <w:tc>
          <w:tcPr>
            <w:tcW w:w="537" w:type="pct"/>
            <w:vAlign w:val="center"/>
          </w:tcPr>
          <w:p w:rsidR="00A95A28" w:rsidRPr="004E3484" w:rsidRDefault="004E3484" w:rsidP="00A95A28">
            <w:pPr>
              <w:keepNext/>
              <w:keepLines/>
              <w:jc w:val="center"/>
              <w:rPr>
                <w:rFonts w:ascii="Arial Narrow" w:hAnsi="Arial Narrow"/>
                <w:sz w:val="19"/>
                <w:szCs w:val="19"/>
              </w:rPr>
            </w:pPr>
            <w:r>
              <w:rPr>
                <w:rFonts w:ascii="Arial Narrow" w:eastAsia="Times New Roman" w:hAnsi="Arial Narrow"/>
                <w:noProof/>
                <w:color w:val="000000"/>
                <w:sz w:val="19"/>
                <w:szCs w:val="19"/>
                <w:highlight w:val="black"/>
              </w:rPr>
              <w:t>''''</w:t>
            </w:r>
            <w:r>
              <w:rPr>
                <w:rFonts w:ascii="Arial Narrow" w:hAnsi="Arial Narrow"/>
                <w:noProof/>
                <w:color w:val="000000"/>
                <w:sz w:val="20"/>
                <w:szCs w:val="20"/>
                <w:highlight w:val="black"/>
              </w:rPr>
              <w:t>''''''''''''''''''</w:t>
            </w:r>
            <w:r w:rsidR="001A6D09">
              <w:rPr>
                <w:rFonts w:ascii="Arial Narrow" w:eastAsia="Times New Roman" w:hAnsi="Arial Narrow"/>
                <w:sz w:val="19"/>
                <w:szCs w:val="19"/>
                <w:vertAlign w:val="superscript"/>
              </w:rPr>
              <w:t>4</w:t>
            </w:r>
          </w:p>
        </w:tc>
      </w:tr>
      <w:tr w:rsidR="00A95A28" w:rsidRPr="00B24C99" w:rsidTr="00634962">
        <w:trPr>
          <w:trHeight w:val="230"/>
        </w:trPr>
        <w:tc>
          <w:tcPr>
            <w:tcW w:w="1776" w:type="pct"/>
            <w:vAlign w:val="center"/>
          </w:tcPr>
          <w:p w:rsidR="00A95A28" w:rsidRPr="001A6D09" w:rsidRDefault="00A95A28" w:rsidP="00A95A28">
            <w:pPr>
              <w:keepNext/>
              <w:keepLines/>
              <w:jc w:val="left"/>
              <w:rPr>
                <w:rFonts w:ascii="Arial Narrow" w:eastAsia="Times New Roman" w:hAnsi="Arial Narrow"/>
                <w:sz w:val="19"/>
                <w:szCs w:val="19"/>
              </w:rPr>
            </w:pPr>
            <w:r w:rsidRPr="001A6D09">
              <w:rPr>
                <w:rFonts w:ascii="Arial Narrow" w:eastAsia="Times New Roman" w:hAnsi="Arial Narrow"/>
                <w:sz w:val="19"/>
                <w:szCs w:val="19"/>
              </w:rPr>
              <w:t>Net change to PBS/RPBS/ MBS</w:t>
            </w:r>
          </w:p>
        </w:tc>
        <w:tc>
          <w:tcPr>
            <w:tcW w:w="537" w:type="pct"/>
            <w:vAlign w:val="center"/>
          </w:tcPr>
          <w:p w:rsidR="00A95A28" w:rsidRPr="001A6D09" w:rsidRDefault="00A95A28" w:rsidP="00A95A28">
            <w:pPr>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hAnsi="Arial Narrow"/>
                <w:noProof/>
                <w:color w:val="000000"/>
                <w:sz w:val="20"/>
                <w:szCs w:val="20"/>
                <w:highlight w:val="black"/>
              </w:rPr>
              <w:t>''''''''''''''''''''''''</w:t>
            </w:r>
            <w:r w:rsidR="001A6D09">
              <w:rPr>
                <w:rFonts w:ascii="Arial Narrow" w:eastAsia="Times New Roman" w:hAnsi="Arial Narrow"/>
                <w:sz w:val="19"/>
                <w:szCs w:val="19"/>
                <w:vertAlign w:val="superscript"/>
              </w:rPr>
              <w:t>3</w:t>
            </w:r>
          </w:p>
        </w:tc>
        <w:tc>
          <w:tcPr>
            <w:tcW w:w="537" w:type="pct"/>
            <w:vAlign w:val="center"/>
          </w:tcPr>
          <w:p w:rsidR="00A95A28" w:rsidRPr="001A6D09" w:rsidRDefault="00A95A28" w:rsidP="00A95A28">
            <w:pPr>
              <w:keepNext/>
              <w:keepLines/>
              <w:jc w:val="center"/>
              <w:rPr>
                <w:rFonts w:ascii="Arial Narrow" w:eastAsia="Times New Roman" w:hAnsi="Arial Narrow"/>
                <w:sz w:val="19"/>
                <w:szCs w:val="19"/>
              </w:rPr>
            </w:pPr>
            <w:r w:rsidRPr="001A6D09">
              <w:rPr>
                <w:rFonts w:ascii="Arial Narrow" w:eastAsia="Times New Roman" w:hAnsi="Arial Narrow"/>
                <w:sz w:val="19"/>
                <w:szCs w:val="19"/>
              </w:rPr>
              <w:t>$</w:t>
            </w:r>
            <w:r w:rsidR="004E3484">
              <w:rPr>
                <w:rFonts w:ascii="Arial Narrow" w:hAnsi="Arial Narrow"/>
                <w:noProof/>
                <w:color w:val="000000"/>
                <w:sz w:val="20"/>
                <w:szCs w:val="20"/>
                <w:highlight w:val="black"/>
              </w:rPr>
              <w:t>'''''''''''''''''''''''''''</w:t>
            </w:r>
            <w:r w:rsidR="001A6D09">
              <w:rPr>
                <w:rFonts w:ascii="Arial Narrow" w:eastAsia="Times New Roman" w:hAnsi="Arial Narrow"/>
                <w:sz w:val="19"/>
                <w:szCs w:val="19"/>
                <w:vertAlign w:val="superscript"/>
              </w:rPr>
              <w:t>3</w:t>
            </w:r>
          </w:p>
        </w:tc>
        <w:tc>
          <w:tcPr>
            <w:tcW w:w="537" w:type="pct"/>
            <w:vAlign w:val="center"/>
          </w:tcPr>
          <w:p w:rsidR="00A95A28" w:rsidRPr="004E3484" w:rsidRDefault="00A95A28" w:rsidP="00A95A28">
            <w:pPr>
              <w:keepNext/>
              <w:keepLines/>
              <w:jc w:val="center"/>
              <w:rPr>
                <w:rFonts w:ascii="Arial Narrow" w:hAnsi="Arial Narrow"/>
                <w:sz w:val="20"/>
                <w:szCs w:val="20"/>
              </w:rPr>
            </w:pPr>
            <w:r w:rsidRPr="001A6D09">
              <w:rPr>
                <w:rFonts w:ascii="Arial Narrow" w:eastAsia="Times New Roman" w:hAnsi="Arial Narrow"/>
                <w:sz w:val="19"/>
                <w:szCs w:val="19"/>
              </w:rPr>
              <w:t>$</w:t>
            </w:r>
            <w:r w:rsidR="004E3484">
              <w:rPr>
                <w:rFonts w:ascii="Arial Narrow" w:hAnsi="Arial Narrow"/>
                <w:noProof/>
                <w:color w:val="000000"/>
                <w:sz w:val="20"/>
                <w:szCs w:val="20"/>
                <w:highlight w:val="black"/>
              </w:rPr>
              <w:t>''''''''''''''''''''''''''</w:t>
            </w:r>
            <w:r w:rsidR="001A6D09">
              <w:rPr>
                <w:rFonts w:ascii="Arial Narrow" w:eastAsia="Times New Roman" w:hAnsi="Arial Narrow"/>
                <w:sz w:val="19"/>
                <w:szCs w:val="19"/>
                <w:vertAlign w:val="superscript"/>
              </w:rPr>
              <w:t>3</w:t>
            </w:r>
          </w:p>
        </w:tc>
        <w:tc>
          <w:tcPr>
            <w:tcW w:w="537" w:type="pct"/>
            <w:vAlign w:val="center"/>
          </w:tcPr>
          <w:p w:rsidR="00A95A28" w:rsidRPr="004E3484" w:rsidRDefault="00A95A28" w:rsidP="00A95A28">
            <w:pPr>
              <w:keepNext/>
              <w:keepLines/>
              <w:jc w:val="center"/>
              <w:rPr>
                <w:rFonts w:ascii="Arial Narrow" w:hAnsi="Arial Narrow"/>
                <w:sz w:val="20"/>
                <w:szCs w:val="20"/>
              </w:rPr>
            </w:pPr>
            <w:r w:rsidRPr="001A6D09">
              <w:rPr>
                <w:rFonts w:ascii="Arial Narrow" w:hAnsi="Arial Narrow"/>
                <w:sz w:val="20"/>
                <w:szCs w:val="20"/>
              </w:rPr>
              <w:t>$</w:t>
            </w:r>
            <w:r w:rsidR="004E3484">
              <w:rPr>
                <w:rFonts w:ascii="Arial Narrow" w:hAnsi="Arial Narrow"/>
                <w:noProof/>
                <w:color w:val="000000"/>
                <w:sz w:val="20"/>
                <w:szCs w:val="20"/>
                <w:highlight w:val="black"/>
              </w:rPr>
              <w:t>'''''''''''''''''''''''''</w:t>
            </w:r>
            <w:r w:rsidR="001A6D09">
              <w:rPr>
                <w:rFonts w:ascii="Arial Narrow" w:eastAsia="Times New Roman" w:hAnsi="Arial Narrow"/>
                <w:sz w:val="19"/>
                <w:szCs w:val="19"/>
                <w:vertAlign w:val="superscript"/>
              </w:rPr>
              <w:t>3</w:t>
            </w:r>
          </w:p>
        </w:tc>
        <w:tc>
          <w:tcPr>
            <w:tcW w:w="537" w:type="pct"/>
            <w:vAlign w:val="center"/>
          </w:tcPr>
          <w:p w:rsidR="00A95A28" w:rsidRPr="004E3484" w:rsidRDefault="00A95A28" w:rsidP="00A95A28">
            <w:pPr>
              <w:keepNext/>
              <w:keepLines/>
              <w:jc w:val="center"/>
              <w:rPr>
                <w:rFonts w:ascii="Arial Narrow" w:hAnsi="Arial Narrow"/>
                <w:sz w:val="20"/>
                <w:szCs w:val="20"/>
              </w:rPr>
            </w:pPr>
            <w:r w:rsidRPr="001A6D09">
              <w:rPr>
                <w:rFonts w:ascii="Arial Narrow" w:eastAsia="Times New Roman" w:hAnsi="Arial Narrow"/>
                <w:sz w:val="19"/>
                <w:szCs w:val="19"/>
              </w:rPr>
              <w:t>$</w:t>
            </w:r>
            <w:r w:rsidR="004E3484">
              <w:rPr>
                <w:rFonts w:ascii="Arial Narrow" w:hAnsi="Arial Narrow"/>
                <w:noProof/>
                <w:color w:val="000000"/>
                <w:sz w:val="20"/>
                <w:szCs w:val="20"/>
                <w:highlight w:val="black"/>
              </w:rPr>
              <w:t>'''''''''''''''''''''''''''</w:t>
            </w:r>
            <w:r w:rsidR="001A6D09">
              <w:rPr>
                <w:rFonts w:ascii="Arial Narrow" w:eastAsia="Times New Roman" w:hAnsi="Arial Narrow"/>
                <w:sz w:val="19"/>
                <w:szCs w:val="19"/>
                <w:vertAlign w:val="superscript"/>
              </w:rPr>
              <w:t>3</w:t>
            </w:r>
          </w:p>
        </w:tc>
        <w:tc>
          <w:tcPr>
            <w:tcW w:w="537" w:type="pct"/>
            <w:vAlign w:val="center"/>
          </w:tcPr>
          <w:p w:rsidR="00A95A28" w:rsidRPr="004E3484" w:rsidRDefault="00A95A28" w:rsidP="00A95A28">
            <w:pPr>
              <w:keepNext/>
              <w:keepLines/>
              <w:jc w:val="center"/>
              <w:rPr>
                <w:rFonts w:ascii="Arial Narrow" w:hAnsi="Arial Narrow"/>
                <w:sz w:val="20"/>
                <w:szCs w:val="20"/>
              </w:rPr>
            </w:pPr>
            <w:r w:rsidRPr="001A6D09">
              <w:rPr>
                <w:rFonts w:ascii="Arial Narrow" w:eastAsia="Times New Roman" w:hAnsi="Arial Narrow"/>
                <w:sz w:val="19"/>
                <w:szCs w:val="19"/>
              </w:rPr>
              <w:t>$</w:t>
            </w:r>
            <w:r w:rsidR="004E3484">
              <w:rPr>
                <w:rFonts w:ascii="Arial Narrow" w:hAnsi="Arial Narrow"/>
                <w:noProof/>
                <w:color w:val="000000"/>
                <w:sz w:val="20"/>
                <w:szCs w:val="20"/>
                <w:highlight w:val="black"/>
              </w:rPr>
              <w:t>'''''''''''''''''''''''''''</w:t>
            </w:r>
            <w:r w:rsidR="001A6D09">
              <w:rPr>
                <w:rFonts w:ascii="Arial Narrow" w:eastAsia="Times New Roman" w:hAnsi="Arial Narrow"/>
                <w:sz w:val="19"/>
                <w:szCs w:val="19"/>
                <w:vertAlign w:val="superscript"/>
              </w:rPr>
              <w:t>3</w:t>
            </w:r>
          </w:p>
        </w:tc>
      </w:tr>
    </w:tbl>
    <w:p w:rsidR="0032034C" w:rsidRPr="00B24C99" w:rsidRDefault="0032034C" w:rsidP="0032034C">
      <w:pPr>
        <w:keepNext/>
        <w:keepLines/>
        <w:spacing w:after="120"/>
        <w:contextualSpacing/>
        <w:rPr>
          <w:rFonts w:ascii="Arial Narrow" w:hAnsi="Arial Narrow"/>
          <w:snapToGrid w:val="0"/>
          <w:sz w:val="18"/>
          <w:szCs w:val="22"/>
        </w:rPr>
      </w:pPr>
      <w:r w:rsidRPr="00B24C99">
        <w:rPr>
          <w:rFonts w:ascii="Arial Narrow" w:hAnsi="Arial Narrow"/>
          <w:snapToGrid w:val="0"/>
          <w:sz w:val="18"/>
          <w:szCs w:val="22"/>
        </w:rPr>
        <w:t>Notes: ^note 2L costs have only been assumed for 2022 year (accounting for patient who have started chemo while awaiting PBS listing of NIVO+IPI); *chemotherapy split: 100% pemetrexed, 33% cisplatin, 67% carboplatin</w:t>
      </w:r>
    </w:p>
    <w:p w:rsidR="0032034C" w:rsidRPr="00B24C99" w:rsidRDefault="0032034C" w:rsidP="0032034C">
      <w:pPr>
        <w:keepNext/>
        <w:keepLines/>
        <w:spacing w:after="120"/>
        <w:contextualSpacing/>
        <w:rPr>
          <w:rFonts w:ascii="Arial Narrow" w:hAnsi="Arial Narrow"/>
          <w:snapToGrid w:val="0"/>
          <w:sz w:val="18"/>
          <w:szCs w:val="22"/>
        </w:rPr>
      </w:pPr>
      <w:r w:rsidRPr="00B24C99">
        <w:rPr>
          <w:rFonts w:ascii="Arial Narrow" w:hAnsi="Arial Narrow"/>
          <w:snapToGrid w:val="0"/>
          <w:sz w:val="18"/>
          <w:szCs w:val="18"/>
        </w:rPr>
        <w:t xml:space="preserve">Abbreviations: </w:t>
      </w:r>
      <w:r w:rsidRPr="00B24C99">
        <w:rPr>
          <w:rFonts w:ascii="Arial Narrow" w:hAnsi="Arial Narrow"/>
          <w:snapToGrid w:val="0"/>
          <w:sz w:val="18"/>
          <w:szCs w:val="22"/>
        </w:rPr>
        <w:t>Abbreviations: 1L, first-line treatment; 2L, second-line treatment; Chemo, pemetrexed plus cisplatin/carboplatin; incl. including; IPI, ipilimumab; NIVO, nivolumab</w:t>
      </w:r>
    </w:p>
    <w:p w:rsidR="0032034C" w:rsidRPr="001A6D09" w:rsidRDefault="0032034C" w:rsidP="0032034C">
      <w:pPr>
        <w:keepNext/>
        <w:keepLines/>
        <w:spacing w:after="120"/>
        <w:contextualSpacing/>
        <w:rPr>
          <w:rFonts w:ascii="Arial Narrow" w:hAnsi="Arial Narrow"/>
          <w:snapToGrid w:val="0"/>
          <w:sz w:val="18"/>
          <w:szCs w:val="18"/>
        </w:rPr>
      </w:pPr>
      <w:r w:rsidRPr="001A6D09">
        <w:rPr>
          <w:rFonts w:ascii="Arial Narrow" w:hAnsi="Arial Narrow"/>
          <w:snapToGrid w:val="0"/>
          <w:sz w:val="18"/>
          <w:szCs w:val="18"/>
        </w:rPr>
        <w:t>Source: Tables 106, 108, 110, 111,114, 115, 116, 117, 118 of submission and complied during the evaluation</w:t>
      </w:r>
    </w:p>
    <w:p w:rsidR="001A6D09" w:rsidRDefault="001A6D09" w:rsidP="001A6D09">
      <w:pPr>
        <w:keepNext/>
        <w:keepLines/>
        <w:spacing w:after="120"/>
        <w:contextualSpacing/>
        <w:rPr>
          <w:rFonts w:ascii="Arial Narrow" w:hAnsi="Arial Narrow"/>
          <w:i/>
          <w:snapToGrid w:val="0"/>
          <w:sz w:val="18"/>
          <w:szCs w:val="18"/>
        </w:rPr>
      </w:pPr>
      <w:r w:rsidRPr="001A6D09">
        <w:rPr>
          <w:rFonts w:ascii="Arial Narrow" w:hAnsi="Arial Narrow"/>
          <w:i/>
          <w:snapToGrid w:val="0"/>
          <w:sz w:val="18"/>
          <w:szCs w:val="18"/>
        </w:rPr>
        <w:t>The redacted values correspond to the following ranges:</w:t>
      </w:r>
    </w:p>
    <w:p w:rsidR="001A6D09" w:rsidRDefault="001A6D09" w:rsidP="001A6D09">
      <w:pPr>
        <w:keepNext/>
        <w:keepLines/>
        <w:spacing w:after="120"/>
        <w:contextualSpacing/>
        <w:rPr>
          <w:rFonts w:ascii="Arial Narrow" w:hAnsi="Arial Narrow"/>
          <w:i/>
          <w:snapToGrid w:val="0"/>
          <w:sz w:val="18"/>
          <w:szCs w:val="18"/>
        </w:rPr>
      </w:pPr>
      <w:r>
        <w:rPr>
          <w:rFonts w:ascii="Arial Narrow" w:hAnsi="Arial Narrow"/>
          <w:i/>
          <w:snapToGrid w:val="0"/>
          <w:sz w:val="18"/>
          <w:szCs w:val="18"/>
          <w:vertAlign w:val="superscript"/>
        </w:rPr>
        <w:t xml:space="preserve">1 </w:t>
      </w:r>
      <w:r w:rsidRPr="001A6D09">
        <w:rPr>
          <w:rFonts w:ascii="Arial Narrow" w:hAnsi="Arial Narrow"/>
          <w:i/>
          <w:snapToGrid w:val="0"/>
          <w:sz w:val="18"/>
          <w:szCs w:val="18"/>
        </w:rPr>
        <w:t>500 to &lt; 5,000</w:t>
      </w:r>
    </w:p>
    <w:p w:rsidR="001A6D09" w:rsidRDefault="001A6D09" w:rsidP="001A6D09">
      <w:pPr>
        <w:keepNext/>
        <w:keepLines/>
        <w:spacing w:after="120"/>
        <w:contextualSpacing/>
        <w:rPr>
          <w:rFonts w:ascii="Arial Narrow" w:hAnsi="Arial Narrow"/>
          <w:i/>
          <w:snapToGrid w:val="0"/>
          <w:sz w:val="18"/>
          <w:szCs w:val="18"/>
        </w:rPr>
      </w:pPr>
      <w:r>
        <w:rPr>
          <w:rFonts w:ascii="Arial Narrow" w:hAnsi="Arial Narrow"/>
          <w:i/>
          <w:snapToGrid w:val="0"/>
          <w:sz w:val="18"/>
          <w:szCs w:val="18"/>
          <w:vertAlign w:val="superscript"/>
        </w:rPr>
        <w:t xml:space="preserve">2 </w:t>
      </w:r>
      <w:r w:rsidRPr="001A6D09">
        <w:rPr>
          <w:rFonts w:ascii="Arial Narrow" w:hAnsi="Arial Narrow"/>
          <w:i/>
          <w:snapToGrid w:val="0"/>
          <w:sz w:val="18"/>
          <w:szCs w:val="18"/>
        </w:rPr>
        <w:t>&lt; 500</w:t>
      </w:r>
    </w:p>
    <w:p w:rsidR="001A6D09" w:rsidRDefault="001A6D09" w:rsidP="001A6D09">
      <w:pPr>
        <w:keepNext/>
        <w:keepLines/>
        <w:spacing w:after="120"/>
        <w:contextualSpacing/>
        <w:rPr>
          <w:rFonts w:ascii="Arial Narrow" w:hAnsi="Arial Narrow"/>
          <w:i/>
          <w:snapToGrid w:val="0"/>
          <w:sz w:val="18"/>
          <w:szCs w:val="18"/>
        </w:rPr>
      </w:pPr>
      <w:r>
        <w:rPr>
          <w:rFonts w:ascii="Arial Narrow" w:hAnsi="Arial Narrow"/>
          <w:i/>
          <w:snapToGrid w:val="0"/>
          <w:sz w:val="18"/>
          <w:szCs w:val="18"/>
          <w:vertAlign w:val="superscript"/>
        </w:rPr>
        <w:t xml:space="preserve">3 </w:t>
      </w:r>
      <w:r w:rsidRPr="001A6D09">
        <w:rPr>
          <w:rFonts w:ascii="Arial Narrow" w:hAnsi="Arial Narrow"/>
          <w:i/>
          <w:snapToGrid w:val="0"/>
          <w:sz w:val="18"/>
          <w:szCs w:val="18"/>
        </w:rPr>
        <w:t>$10 million to &lt; $20 million</w:t>
      </w:r>
    </w:p>
    <w:p w:rsidR="001A6D09" w:rsidRPr="001A6D09" w:rsidRDefault="001A6D09" w:rsidP="001A6D09">
      <w:pPr>
        <w:keepNext/>
        <w:keepLines/>
        <w:spacing w:after="120"/>
        <w:contextualSpacing/>
        <w:rPr>
          <w:rFonts w:ascii="Arial Narrow" w:hAnsi="Arial Narrow"/>
          <w:i/>
          <w:snapToGrid w:val="0"/>
          <w:sz w:val="18"/>
          <w:szCs w:val="18"/>
        </w:rPr>
      </w:pPr>
      <w:r>
        <w:rPr>
          <w:rFonts w:ascii="Arial Narrow" w:hAnsi="Arial Narrow"/>
          <w:i/>
          <w:snapToGrid w:val="0"/>
          <w:sz w:val="18"/>
          <w:szCs w:val="18"/>
          <w:vertAlign w:val="superscript"/>
        </w:rPr>
        <w:t xml:space="preserve">4 </w:t>
      </w:r>
      <w:r w:rsidRPr="001A6D09">
        <w:rPr>
          <w:rFonts w:ascii="Arial Narrow" w:hAnsi="Arial Narrow"/>
          <w:i/>
          <w:snapToGrid w:val="0"/>
          <w:sz w:val="18"/>
          <w:szCs w:val="18"/>
        </w:rPr>
        <w:t xml:space="preserve"> $0 to &lt; $10 million</w:t>
      </w:r>
    </w:p>
    <w:p w:rsidR="001A6D09" w:rsidRPr="000122AD" w:rsidRDefault="000122AD" w:rsidP="0032034C">
      <w:pPr>
        <w:keepNext/>
        <w:keepLines/>
        <w:spacing w:after="120"/>
        <w:contextualSpacing/>
        <w:rPr>
          <w:rFonts w:ascii="Arial Narrow" w:hAnsi="Arial Narrow"/>
          <w:i/>
          <w:snapToGrid w:val="0"/>
          <w:sz w:val="18"/>
          <w:szCs w:val="22"/>
        </w:rPr>
      </w:pPr>
      <w:r>
        <w:rPr>
          <w:rFonts w:ascii="Arial Narrow" w:hAnsi="Arial Narrow"/>
          <w:i/>
          <w:snapToGrid w:val="0"/>
          <w:sz w:val="18"/>
          <w:szCs w:val="22"/>
          <w:vertAlign w:val="superscript"/>
        </w:rPr>
        <w:t>5</w:t>
      </w:r>
      <w:r>
        <w:rPr>
          <w:rFonts w:ascii="Arial Narrow" w:hAnsi="Arial Narrow"/>
          <w:i/>
          <w:snapToGrid w:val="0"/>
          <w:sz w:val="18"/>
          <w:szCs w:val="22"/>
        </w:rPr>
        <w:t xml:space="preserve"> net cost saving</w:t>
      </w:r>
    </w:p>
    <w:p w:rsidR="00142DFF" w:rsidRPr="00B24C99" w:rsidRDefault="0032034C" w:rsidP="00C97C8A">
      <w:pPr>
        <w:pStyle w:val="3-BodyText"/>
      </w:pPr>
      <w:r w:rsidRPr="00B24C99">
        <w:t xml:space="preserve">The </w:t>
      </w:r>
      <w:r w:rsidR="002E522B">
        <w:t xml:space="preserve">submission estimated the </w:t>
      </w:r>
      <w:r w:rsidRPr="00B24C99">
        <w:t xml:space="preserve">net cost to PBS/RPBS </w:t>
      </w:r>
      <w:r w:rsidR="001E2CF2" w:rsidRPr="00B24C99">
        <w:t xml:space="preserve">to be approximately </w:t>
      </w:r>
      <w:r w:rsidR="00C97C8A" w:rsidRPr="00C97C8A">
        <w:t>$80 million to &lt; $90 million</w:t>
      </w:r>
      <w:r w:rsidR="00C97C8A">
        <w:t xml:space="preserve"> </w:t>
      </w:r>
      <w:r w:rsidR="00A95A28" w:rsidRPr="00B24C99">
        <w:t xml:space="preserve">(plus </w:t>
      </w:r>
      <w:r w:rsidR="00C97C8A" w:rsidRPr="00C97C8A">
        <w:t>$0 to &lt; $10 million</w:t>
      </w:r>
      <w:r w:rsidR="00C97C8A">
        <w:t xml:space="preserve"> </w:t>
      </w:r>
      <w:r w:rsidRPr="00B24C99">
        <w:t xml:space="preserve">net cost to MBS) over the first six years of listing. </w:t>
      </w:r>
    </w:p>
    <w:p w:rsidR="001933B6" w:rsidRPr="00B24C99" w:rsidRDefault="001933B6" w:rsidP="001933B6">
      <w:pPr>
        <w:pStyle w:val="3-BodyText"/>
      </w:pPr>
      <w:r w:rsidRPr="00B24C99">
        <w:t xml:space="preserve">The DUSC agreed with the PSCR that there is likely to be a small prevalent pool for use as a second line treatment in unresectable MPM however noted that there may also be a proportion of patients who relapse following surgery where 33% of patients have received adjuvant chemotherapy. The DUSC considered that the second line population may be larger than anticipated and leakage into the adjuvant and potentially neo-adjuvant setting may result in increased financial costs to the PBS. </w:t>
      </w:r>
      <w:r w:rsidR="002E522B">
        <w:t xml:space="preserve">The pre-PBAC response included an additional </w:t>
      </w:r>
      <w:r w:rsidR="007D3B4A">
        <w:t xml:space="preserve">&lt; 500 </w:t>
      </w:r>
      <w:r w:rsidR="002E522B">
        <w:t xml:space="preserve">patients per year to account for patients who have relapsed after surgery. </w:t>
      </w:r>
    </w:p>
    <w:p w:rsidR="001933B6" w:rsidRPr="00B24C99" w:rsidRDefault="001933B6" w:rsidP="001933B6">
      <w:pPr>
        <w:pStyle w:val="3-BodyText"/>
      </w:pPr>
      <w:r w:rsidRPr="00B24C99">
        <w:lastRenderedPageBreak/>
        <w:t>The DUSC noted that the Australian population accessing NIVO+IPI would be older and frailer than the population in the clinical trial and therefore the trial is likely to underestimate the number of patients treated with nivolumab monotherapy. The DUSC noted that there is also a risk of leakage into patients with an ECOG of ≥ 2. A retrospective study done on patients presenting to a clinic in Australia from January 2012 to July 2018 for unresectable MPM found 21% of patients presented with an ECOG of ≥2</w:t>
      </w:r>
      <w:r w:rsidR="00B24C99">
        <w:t xml:space="preserve">. </w:t>
      </w:r>
      <w:r w:rsidRPr="00B24C99">
        <w:t xml:space="preserve"> The DUSC noted that this could result in this group of patients beginning treatment on NIVO+IPI and subsequently stepping down to the more tolerable nivolumab monotherapy, particularly in the context of recent research findings relating to the effectiveness of monotherapy in the second line setting.</w:t>
      </w:r>
    </w:p>
    <w:p w:rsidR="00142DFF" w:rsidRPr="00B24C99" w:rsidRDefault="001E2CF2" w:rsidP="001933B6">
      <w:pPr>
        <w:pStyle w:val="3-BodyText"/>
      </w:pPr>
      <w:r w:rsidRPr="00B24C99">
        <w:t xml:space="preserve">The </w:t>
      </w:r>
      <w:r w:rsidR="00142DFF" w:rsidRPr="00B24C99">
        <w:t xml:space="preserve">DUSC noted that mesothelioma can develop 20 to 60 years after exposure to asbestos and that Australia’s ban on asbestos use occurred in December 2003. </w:t>
      </w:r>
      <w:r w:rsidRPr="00B24C99">
        <w:t xml:space="preserve">The </w:t>
      </w:r>
      <w:r w:rsidR="00142DFF" w:rsidRPr="00B24C99">
        <w:t xml:space="preserve">DUSC noted that the incident rate of mesothelioma is likely to increase and the rate of 2.78 per 100,000 is an underestimate. </w:t>
      </w:r>
      <w:r w:rsidRPr="00B24C99">
        <w:t xml:space="preserve">The PBAC agreed with the </w:t>
      </w:r>
      <w:r w:rsidR="00142DFF" w:rsidRPr="00B24C99">
        <w:t>DUSC that a</w:t>
      </w:r>
      <w:r w:rsidRPr="00B24C99">
        <w:t>n incidence of 3</w:t>
      </w:r>
      <w:r w:rsidR="00042D64" w:rsidRPr="00B24C99">
        <w:t>.0</w:t>
      </w:r>
      <w:r w:rsidRPr="00B24C99">
        <w:t xml:space="preserve"> per 100,000 would </w:t>
      </w:r>
      <w:r w:rsidR="00142DFF" w:rsidRPr="00B24C99">
        <w:t>be more appropriate.</w:t>
      </w:r>
    </w:p>
    <w:p w:rsidR="00142DFF" w:rsidRPr="00B24C99" w:rsidRDefault="00142DFF" w:rsidP="00C97C8A">
      <w:pPr>
        <w:pStyle w:val="3-BodyText"/>
      </w:pPr>
      <w:r w:rsidRPr="00B24C99">
        <w:t xml:space="preserve">The </w:t>
      </w:r>
      <w:r w:rsidR="001E2CF2" w:rsidRPr="00B24C99">
        <w:t xml:space="preserve">evaluation </w:t>
      </w:r>
      <w:r w:rsidRPr="00B24C99">
        <w:t xml:space="preserve">noted that the uptake rate is likely underestimated due to the substantial improvement in OS in the non-epithelioid subgroup of MPM which comprised 47.5% of the total MPM population in 2019 in Australia. </w:t>
      </w:r>
      <w:r w:rsidR="001E2CF2" w:rsidRPr="00B24C99">
        <w:t xml:space="preserve">The </w:t>
      </w:r>
      <w:r w:rsidR="00042D64" w:rsidRPr="00B24C99">
        <w:t xml:space="preserve">DUSC agreed with the evaluation </w:t>
      </w:r>
      <w:r w:rsidRPr="00B24C99">
        <w:t xml:space="preserve">that it is likely that a </w:t>
      </w:r>
      <w:r w:rsidR="00042D64" w:rsidRPr="00B24C99">
        <w:t xml:space="preserve">higher </w:t>
      </w:r>
      <w:r w:rsidRPr="00B24C99">
        <w:t xml:space="preserve">proportion of these patients would uptake NIVO+IPI. </w:t>
      </w:r>
      <w:r w:rsidR="001E2CF2" w:rsidRPr="00B24C99">
        <w:t xml:space="preserve">The </w:t>
      </w:r>
      <w:r w:rsidRPr="00B24C99">
        <w:t xml:space="preserve">DUSC noted </w:t>
      </w:r>
      <w:r w:rsidR="001E2CF2" w:rsidRPr="00B24C99">
        <w:t xml:space="preserve">a </w:t>
      </w:r>
      <w:r w:rsidRPr="00B24C99">
        <w:t xml:space="preserve">sensitivity analysis showed a 20% relative increase in uptake rate translated to 19.67% increase in total six year cost to the PBS from </w:t>
      </w:r>
      <w:r w:rsidR="00C97C8A" w:rsidRPr="00C97C8A">
        <w:t>$80 million to &lt; $90 million</w:t>
      </w:r>
      <w:r w:rsidRPr="00B24C99">
        <w:t xml:space="preserve"> to </w:t>
      </w:r>
      <w:r w:rsidR="00C97C8A" w:rsidRPr="00C97C8A">
        <w:t>$100 million to &lt; $200 million</w:t>
      </w:r>
      <w:r w:rsidRPr="00B24C99">
        <w:t>.</w:t>
      </w:r>
      <w:r w:rsidR="001E2CF2" w:rsidRPr="00B24C99">
        <w:t xml:space="preserve"> The PBAC considered the relative uptake in patients with non-epithelioid MPM may be higher than the 10% applied in the submission but also considered the relative uptake in patients with epithelioid MPM may be lower than 10%. Overall, the PBAC considered a 10% relative increase in uptake across the MPM population</w:t>
      </w:r>
      <w:r w:rsidR="004F61D4" w:rsidRPr="00B24C99">
        <w:t>, which resulted</w:t>
      </w:r>
      <w:r w:rsidR="000A185F" w:rsidRPr="00B24C99">
        <w:t xml:space="preserve"> in </w:t>
      </w:r>
      <w:r w:rsidR="004F61D4" w:rsidRPr="00B24C99">
        <w:t xml:space="preserve">an uptake of NIVO + IPI of 58.99% </w:t>
      </w:r>
      <w:r w:rsidR="001E2CF2" w:rsidRPr="00B24C99">
        <w:t xml:space="preserve">was </w:t>
      </w:r>
      <w:r w:rsidR="00533A46" w:rsidRPr="00B24C99">
        <w:t xml:space="preserve">uncertain but a </w:t>
      </w:r>
      <w:r w:rsidR="001E2CF2" w:rsidRPr="00B24C99">
        <w:t>reasonable</w:t>
      </w:r>
      <w:r w:rsidR="00533A46" w:rsidRPr="00B24C99">
        <w:t xml:space="preserve"> assumption. </w:t>
      </w:r>
    </w:p>
    <w:p w:rsidR="00142DFF" w:rsidRPr="00B24C99" w:rsidRDefault="00533A46" w:rsidP="006F518E">
      <w:pPr>
        <w:pStyle w:val="3-BodyText"/>
      </w:pPr>
      <w:r w:rsidRPr="00B24C99">
        <w:t xml:space="preserve">The </w:t>
      </w:r>
      <w:r w:rsidR="00142DFF" w:rsidRPr="00B24C99">
        <w:t xml:space="preserve">DUSC agreed with the </w:t>
      </w:r>
      <w:r w:rsidRPr="00B24C99">
        <w:t xml:space="preserve">evaluation </w:t>
      </w:r>
      <w:r w:rsidR="00142DFF" w:rsidRPr="00B24C99">
        <w:t xml:space="preserve">that flat dosing is likely to increase financial costs to the PBS. </w:t>
      </w:r>
      <w:r w:rsidRPr="00B24C99">
        <w:t xml:space="preserve">The </w:t>
      </w:r>
      <w:r w:rsidR="00142DFF" w:rsidRPr="00B24C99">
        <w:t>DUSC acknowledged the sponsor’s willingness to work with the PBAC/Department of Health as outlined in the PSCR to enter a Risk Share Arrangement to offset the points of uncertainty and mitigate risk to the government.</w:t>
      </w:r>
      <w:r w:rsidR="006F518E" w:rsidRPr="00B24C99">
        <w:t xml:space="preserve"> The pre-PBAC response states that while it is correct that, for some patients, use of weight based dosing would result in a higher cost per patient compared to flat dosing, this can be negated by the introduction of a restriction note in line with existing NIVO listings. This note would ensure that weight based dosing is used only in patients for whom the cost per infusion would be equal to or lesser than flat dosing (that is, patients 80kg or less).</w:t>
      </w:r>
    </w:p>
    <w:p w:rsidR="00142DFF" w:rsidRPr="00B24C99" w:rsidRDefault="00533A46" w:rsidP="00C97C8A">
      <w:pPr>
        <w:pStyle w:val="3-BodyText"/>
      </w:pPr>
      <w:r w:rsidRPr="00B24C99">
        <w:t xml:space="preserve">The </w:t>
      </w:r>
      <w:r w:rsidR="00142DFF" w:rsidRPr="00B24C99">
        <w:t xml:space="preserve">DUSC noted that the addition of </w:t>
      </w:r>
      <w:r w:rsidR="00C97C8A">
        <w:t>&lt; 500</w:t>
      </w:r>
      <w:r w:rsidR="00C97C8A" w:rsidRPr="00B24C99">
        <w:t xml:space="preserve"> </w:t>
      </w:r>
      <w:r w:rsidR="00142DFF" w:rsidRPr="00B24C99">
        <w:t xml:space="preserve">patients on compassionate supply from the Sponsor to the financial estimates </w:t>
      </w:r>
      <w:r w:rsidR="007039E3" w:rsidRPr="00B24C99">
        <w:t xml:space="preserve">in the PSCR </w:t>
      </w:r>
      <w:r w:rsidR="00142DFF" w:rsidRPr="00B24C99">
        <w:t xml:space="preserve">resulted in an increase of approximately </w:t>
      </w:r>
      <w:r w:rsidR="00C97C8A" w:rsidRPr="00C97C8A">
        <w:t>$0 to &lt; $10 million</w:t>
      </w:r>
      <w:r w:rsidR="00C97C8A">
        <w:t xml:space="preserve"> </w:t>
      </w:r>
      <w:r w:rsidR="00142DFF" w:rsidRPr="00B24C99">
        <w:t>to the net cost to the PBS/RPBS in the first year of listing</w:t>
      </w:r>
      <w:r w:rsidR="007039E3" w:rsidRPr="00B24C99">
        <w:t xml:space="preserve"> (assuming full treatment cost)</w:t>
      </w:r>
      <w:r w:rsidR="00142DFF" w:rsidRPr="00B24C99">
        <w:t>.</w:t>
      </w:r>
      <w:r w:rsidRPr="00B24C99">
        <w:t xml:space="preserve"> The PBAC noted the number of patients was increased to </w:t>
      </w:r>
      <w:r w:rsidR="00C97C8A">
        <w:t>&lt; 500</w:t>
      </w:r>
      <w:r w:rsidR="00C97C8A" w:rsidRPr="00B24C99">
        <w:t xml:space="preserve"> </w:t>
      </w:r>
      <w:r w:rsidRPr="00B24C99">
        <w:t xml:space="preserve">in the pre-PBAC response and the cost per patient was reduced to account for treatment already received. </w:t>
      </w:r>
    </w:p>
    <w:p w:rsidR="00576972" w:rsidRPr="00B24C99" w:rsidRDefault="00576972" w:rsidP="00606FBA">
      <w:pPr>
        <w:pStyle w:val="4-SubsectionHeading"/>
      </w:pPr>
      <w:bookmarkStart w:id="43" w:name="_Toc22897649"/>
      <w:bookmarkStart w:id="44" w:name="_Toc62036371"/>
      <w:r w:rsidRPr="00B24C99">
        <w:lastRenderedPageBreak/>
        <w:t>Financial Management – Risk Sharing Arrangements</w:t>
      </w:r>
      <w:bookmarkEnd w:id="43"/>
      <w:bookmarkEnd w:id="44"/>
    </w:p>
    <w:p w:rsidR="00442B9B" w:rsidRPr="00B24C99" w:rsidRDefault="00442B9B" w:rsidP="00442B9B">
      <w:pPr>
        <w:pStyle w:val="3-BodyText"/>
      </w:pPr>
      <w:bookmarkStart w:id="45" w:name="_Toc22897650"/>
      <w:r w:rsidRPr="00B24C99">
        <w:t>The submission reported that the sponsor is willing to enter a risk-sharing agreement, including possible subsidisation caps. The submission stated that there is the potential for treatment to be received by other mesothelioma patients (e.g. peritoneal mesothelioma). The submission stated that the PBS restriction restricts access to immunotherapy retreatment and therefore mitigates risk of repeated administration with NIVO + IPI.</w:t>
      </w:r>
    </w:p>
    <w:p w:rsidR="00605637" w:rsidRPr="00B24C99" w:rsidRDefault="00605637" w:rsidP="00605637">
      <w:pPr>
        <w:pStyle w:val="3-BodyText"/>
        <w:numPr>
          <w:ilvl w:val="0"/>
          <w:numId w:val="0"/>
        </w:numPr>
      </w:pPr>
      <w:r w:rsidRPr="00B24C99">
        <w:rPr>
          <w:i/>
        </w:rPr>
        <w:t>For more detail on PBAC’s view, see section 7 PBAC outcome.</w:t>
      </w:r>
    </w:p>
    <w:bookmarkEnd w:id="45"/>
    <w:p w:rsidR="003B7C03" w:rsidRPr="00B24C99" w:rsidRDefault="003B7C03" w:rsidP="003B7C03">
      <w:pPr>
        <w:pStyle w:val="2-SectionHeading"/>
      </w:pPr>
      <w:r w:rsidRPr="00B24C99">
        <w:t>PBAC Outcome</w:t>
      </w:r>
    </w:p>
    <w:p w:rsidR="003B7C03" w:rsidRPr="00B24C99" w:rsidRDefault="0008607F" w:rsidP="0008607F">
      <w:pPr>
        <w:pStyle w:val="3-BodyText"/>
      </w:pPr>
      <w:r w:rsidRPr="00B24C99">
        <w:t xml:space="preserve">The PBAC recommended the </w:t>
      </w:r>
      <w:r w:rsidR="00616B96" w:rsidRPr="00B24C99">
        <w:t xml:space="preserve">Section 100 (Efficient Funding of Chemotherapy – Public and Private Hospital) Authority Required (Streamlined) </w:t>
      </w:r>
      <w:r w:rsidRPr="00B24C99">
        <w:t>listing of nivo</w:t>
      </w:r>
      <w:r w:rsidR="00616B96" w:rsidRPr="00B24C99">
        <w:t xml:space="preserve">lumab </w:t>
      </w:r>
      <w:r w:rsidRPr="00B24C99">
        <w:t>in combination with ipilimumab</w:t>
      </w:r>
      <w:r w:rsidR="00616B96" w:rsidRPr="00B24C99">
        <w:t xml:space="preserve"> (NIVO+IPI)</w:t>
      </w:r>
      <w:r w:rsidRPr="00B24C99">
        <w:t>, for the treatment of malignant pleural mesothelioma (MPM). The PBAC considered that there was a high clinical need for effective therapies for MPM</w:t>
      </w:r>
      <w:r w:rsidR="00EC3AFE">
        <w:t>,</w:t>
      </w:r>
      <w:r w:rsidRPr="00B24C99">
        <w:t xml:space="preserve"> and </w:t>
      </w:r>
      <w:r w:rsidR="00A15BFF" w:rsidRPr="00B24C99">
        <w:t>NIVO+IPI</w:t>
      </w:r>
      <w:r w:rsidRPr="00B24C99">
        <w:t xml:space="preserve"> </w:t>
      </w:r>
      <w:r w:rsidR="00CD0317">
        <w:t xml:space="preserve">is likely to </w:t>
      </w:r>
      <w:r w:rsidRPr="00B24C99">
        <w:t>provide a substantial clinical benefit compared to pemetrexed-based chemotherapy</w:t>
      </w:r>
      <w:r w:rsidR="00CD0317">
        <w:t xml:space="preserve"> for some patients</w:t>
      </w:r>
      <w:r w:rsidR="00B24C99">
        <w:t xml:space="preserve">. </w:t>
      </w:r>
      <w:r w:rsidRPr="00B24C99">
        <w:t xml:space="preserve">The PBAC considered it would be appropriate for the listing of </w:t>
      </w:r>
      <w:r w:rsidR="00616B96" w:rsidRPr="00B24C99">
        <w:t xml:space="preserve">NIVO+IPI </w:t>
      </w:r>
      <w:r w:rsidRPr="00B24C99">
        <w:t xml:space="preserve">to allow use in the first-and second-line treatment setting and in the small number of patients with unresectable disease and non-pleural mesothelioma. </w:t>
      </w:r>
      <w:r w:rsidR="008A7812" w:rsidRPr="00B24C99">
        <w:t>The PBAC</w:t>
      </w:r>
      <w:r w:rsidR="00C06F33">
        <w:t>’s recommendation for listing was based on, among other matters, its assessment that the cost-effectiveness of</w:t>
      </w:r>
      <w:r w:rsidR="008A7812" w:rsidRPr="00B24C99">
        <w:t xml:space="preserve"> NIVO+IPI </w:t>
      </w:r>
      <w:r w:rsidR="00D905DE">
        <w:t>c</w:t>
      </w:r>
      <w:r w:rsidR="008A7812" w:rsidRPr="00B24C99">
        <w:t xml:space="preserve">ould be </w:t>
      </w:r>
      <w:r w:rsidR="00D905DE">
        <w:t xml:space="preserve">brought into an </w:t>
      </w:r>
      <w:r w:rsidR="00C06F33">
        <w:t xml:space="preserve">acceptable </w:t>
      </w:r>
      <w:r w:rsidR="00D905DE">
        <w:t>range with a price reduction</w:t>
      </w:r>
      <w:r w:rsidR="00C06F33">
        <w:t xml:space="preserve">. </w:t>
      </w:r>
      <w:r w:rsidRPr="00B24C99">
        <w:t xml:space="preserve">The PBAC considered a risk share arrangement </w:t>
      </w:r>
      <w:r w:rsidR="00616B96" w:rsidRPr="00B24C99">
        <w:t xml:space="preserve">(RSA) </w:t>
      </w:r>
      <w:r w:rsidR="002A40A8" w:rsidRPr="00B24C99">
        <w:t xml:space="preserve">would be </w:t>
      </w:r>
      <w:r w:rsidRPr="00B24C99">
        <w:t>required to manage the uncertainty associated with the number of patients that would be treated</w:t>
      </w:r>
      <w:r w:rsidR="00B24C99">
        <w:t xml:space="preserve">. </w:t>
      </w:r>
    </w:p>
    <w:p w:rsidR="00F06857" w:rsidRPr="00B24C99" w:rsidRDefault="00D048D5" w:rsidP="00D048D5">
      <w:pPr>
        <w:pStyle w:val="3-BodyText"/>
      </w:pPr>
      <w:r w:rsidRPr="00B24C99">
        <w:t xml:space="preserve">The PBAC is satisfied that nivolumab in combination with ipilimumab provides, for some patients, a significant improvement in efficacy over pemetrexed-based chemotherapy. </w:t>
      </w:r>
    </w:p>
    <w:p w:rsidR="00616B96" w:rsidRPr="00B24C99" w:rsidRDefault="00616B96" w:rsidP="00616B96">
      <w:pPr>
        <w:pStyle w:val="3-BodyText"/>
        <w:rPr>
          <w:bCs/>
        </w:rPr>
      </w:pPr>
      <w:r w:rsidRPr="00B24C99">
        <w:t>The PBAC noted there is a high clinical need for effective treatments for MPM and</w:t>
      </w:r>
      <w:r w:rsidR="00825AAC" w:rsidRPr="00B24C99">
        <w:t xml:space="preserve"> considered NIVO+ IPI provides a substantial </w:t>
      </w:r>
      <w:r w:rsidR="00EC3AFE">
        <w:t xml:space="preserve">net </w:t>
      </w:r>
      <w:r w:rsidR="00825AAC" w:rsidRPr="00B24C99">
        <w:t>clinical benefit. The PBAC noted</w:t>
      </w:r>
      <w:r w:rsidRPr="00B24C99">
        <w:t xml:space="preserve"> this was supported by the consumer comments received for this submission.</w:t>
      </w:r>
    </w:p>
    <w:p w:rsidR="00825AAC" w:rsidRPr="00B24C99" w:rsidRDefault="009B3970" w:rsidP="00DC7644">
      <w:pPr>
        <w:pStyle w:val="3-BodyText"/>
      </w:pPr>
      <w:r w:rsidRPr="00B24C99">
        <w:t xml:space="preserve">The PBAC noted the proposed </w:t>
      </w:r>
      <w:r w:rsidR="00E606F0" w:rsidRPr="00B24C99">
        <w:t xml:space="preserve">TGA </w:t>
      </w:r>
      <w:r w:rsidRPr="00B24C99">
        <w:t xml:space="preserve">indication </w:t>
      </w:r>
      <w:r w:rsidR="00E606F0" w:rsidRPr="00B24C99">
        <w:t xml:space="preserve">was for </w:t>
      </w:r>
      <w:r w:rsidRPr="00B24C99">
        <w:t xml:space="preserve">the </w:t>
      </w:r>
      <w:r w:rsidR="00E606F0" w:rsidRPr="00B24C99">
        <w:t xml:space="preserve">first line </w:t>
      </w:r>
      <w:r w:rsidRPr="00B24C99">
        <w:t>treatment of unresectable MPM</w:t>
      </w:r>
      <w:r w:rsidR="00E606F0" w:rsidRPr="00B24C99">
        <w:t xml:space="preserve">. </w:t>
      </w:r>
      <w:r w:rsidR="00825AAC" w:rsidRPr="00B24C99">
        <w:t xml:space="preserve">The PBAC noted the submission requested </w:t>
      </w:r>
      <w:r w:rsidR="00E606F0" w:rsidRPr="00B24C99">
        <w:t>a l</w:t>
      </w:r>
      <w:r w:rsidR="00825AAC" w:rsidRPr="00B24C99">
        <w:t xml:space="preserve">isting </w:t>
      </w:r>
      <w:r w:rsidRPr="00B24C99">
        <w:t xml:space="preserve">for unresectable MPM </w:t>
      </w:r>
      <w:r w:rsidR="00E606F0" w:rsidRPr="00B24C99">
        <w:t>that did not specify line of treatment</w:t>
      </w:r>
      <w:r w:rsidR="00825AAC" w:rsidRPr="00B24C99">
        <w:t xml:space="preserve">. </w:t>
      </w:r>
      <w:r w:rsidR="00E606F0" w:rsidRPr="00B24C99">
        <w:t>The submission presented a number of naïve indirect comparisons of NIVO+IPI and BSC in the second- and later-line settings</w:t>
      </w:r>
      <w:r w:rsidRPr="00B24C99">
        <w:t xml:space="preserve"> to support use</w:t>
      </w:r>
      <w:r w:rsidR="00135533" w:rsidRPr="00B24C99">
        <w:t xml:space="preserve"> in these treatment settings</w:t>
      </w:r>
      <w:r w:rsidR="00E606F0" w:rsidRPr="00B24C99">
        <w:t xml:space="preserve">. </w:t>
      </w:r>
      <w:r w:rsidR="00135533" w:rsidRPr="00B24C99">
        <w:t>The PBAC considered the comparison of NIVO+IPI and BSC was uninformative due to the heterogeneity observed in the trials</w:t>
      </w:r>
      <w:r w:rsidR="00B24C99">
        <w:t xml:space="preserve">. </w:t>
      </w:r>
    </w:p>
    <w:p w:rsidR="005C1A4D" w:rsidRPr="00B24C99" w:rsidRDefault="00825AAC" w:rsidP="005C1A4D">
      <w:pPr>
        <w:pStyle w:val="3-BodyText"/>
      </w:pPr>
      <w:r w:rsidRPr="00B24C99">
        <w:t xml:space="preserve">The submission </w:t>
      </w:r>
      <w:r w:rsidR="00E606F0" w:rsidRPr="00B24C99">
        <w:t xml:space="preserve">presented </w:t>
      </w:r>
      <w:r w:rsidRPr="00B24C99">
        <w:t>one head-to-head randomised, Phase III, open-label trial comparing NIVO+IPI to pemetrexed-based chemotherapy for the first-line treatment of unresectable MPM</w:t>
      </w:r>
      <w:r w:rsidR="00E606F0" w:rsidRPr="00B24C99">
        <w:t xml:space="preserve"> (CheckMate 743, n=605)</w:t>
      </w:r>
      <w:r w:rsidRPr="00B24C99">
        <w:t>.</w:t>
      </w:r>
      <w:r w:rsidR="009B3970" w:rsidRPr="00B24C99">
        <w:t xml:space="preserve"> The PBAC noted the median OS was 18.1 months in the NIVO+IPI treatment arm and 14.1 months in the pemetrexed-</w:t>
      </w:r>
      <w:r w:rsidR="009B3970" w:rsidRPr="00B24C99">
        <w:lastRenderedPageBreak/>
        <w:t>based chemotherapy treatment arm with a HR for OS of 0.74 (95%</w:t>
      </w:r>
      <w:r w:rsidR="004431F8" w:rsidRPr="00B24C99">
        <w:t xml:space="preserve"> </w:t>
      </w:r>
      <w:r w:rsidR="009B3970" w:rsidRPr="00B24C99">
        <w:t xml:space="preserve">CI: 0.60, 0.91). </w:t>
      </w:r>
      <w:r w:rsidR="009A60B2" w:rsidRPr="00B24C99">
        <w:t xml:space="preserve">The PBAC noted </w:t>
      </w:r>
      <w:r w:rsidR="00C517D5" w:rsidRPr="00B24C99">
        <w:t>there was no</w:t>
      </w:r>
      <w:r w:rsidR="005C1A4D" w:rsidRPr="00B24C99">
        <w:t xml:space="preserve"> benefit </w:t>
      </w:r>
      <w:r w:rsidR="00FB1694" w:rsidRPr="00B24C99">
        <w:t xml:space="preserve">for patients treated with </w:t>
      </w:r>
      <w:r w:rsidR="005C1A4D" w:rsidRPr="00B24C99">
        <w:t xml:space="preserve">NIVO+IPI for </w:t>
      </w:r>
      <w:r w:rsidR="00C517D5" w:rsidRPr="00B24C99">
        <w:t>PFS</w:t>
      </w:r>
      <w:r w:rsidR="005C1A4D" w:rsidRPr="00B24C99">
        <w:t xml:space="preserve">, disease control rate or </w:t>
      </w:r>
      <w:r w:rsidR="00C517D5" w:rsidRPr="00B24C99">
        <w:t>response rate</w:t>
      </w:r>
      <w:r w:rsidR="00B03888" w:rsidRPr="00B24C99">
        <w:t>,</w:t>
      </w:r>
      <w:r w:rsidR="00C517D5" w:rsidRPr="00B24C99">
        <w:t xml:space="preserve"> and the quality of life data was inconclusive due to small patient numbers</w:t>
      </w:r>
      <w:r w:rsidR="008E2691" w:rsidRPr="00B24C99">
        <w:t>.</w:t>
      </w:r>
      <w:r w:rsidR="00925A6C" w:rsidRPr="00B24C99">
        <w:t xml:space="preserve"> The PBAC noted that, as observed in other indications, there was a</w:t>
      </w:r>
      <w:r w:rsidR="00EC3AFE">
        <w:t>n increased</w:t>
      </w:r>
      <w:r w:rsidR="00925A6C" w:rsidRPr="00B24C99">
        <w:t xml:space="preserve"> risk of early progression for patients receiving NIVO+IPI compared to pemetrexed-based chemotherapy</w:t>
      </w:r>
      <w:r w:rsidR="00B24C99">
        <w:t xml:space="preserve">. </w:t>
      </w:r>
      <w:r w:rsidR="00925A6C" w:rsidRPr="00B24C99">
        <w:t xml:space="preserve">  </w:t>
      </w:r>
    </w:p>
    <w:p w:rsidR="002F1D4C" w:rsidRPr="00B24C99" w:rsidRDefault="008E2691" w:rsidP="003B7C03">
      <w:pPr>
        <w:pStyle w:val="3-BodyText"/>
      </w:pPr>
      <w:r w:rsidRPr="00B24C99">
        <w:t xml:space="preserve">The PBAC noted </w:t>
      </w:r>
      <w:r w:rsidR="00CD0317">
        <w:t xml:space="preserve">that the evidence of a benefit was weak </w:t>
      </w:r>
      <w:r w:rsidR="00087390">
        <w:t>i</w:t>
      </w:r>
      <w:r w:rsidR="00CD0317">
        <w:t xml:space="preserve">n </w:t>
      </w:r>
      <w:r w:rsidRPr="00B24C99">
        <w:t>subgroup analyses for people with epithelioid histology</w:t>
      </w:r>
      <w:r w:rsidR="003447B4" w:rsidRPr="00B24C99">
        <w:t xml:space="preserve">, </w:t>
      </w:r>
      <w:r w:rsidRPr="00B24C99">
        <w:t xml:space="preserve">PD-L1 expression </w:t>
      </w:r>
      <w:r w:rsidRPr="00B24C99">
        <w:rPr>
          <w:rFonts w:cstheme="minorHAnsi"/>
        </w:rPr>
        <w:t>≤</w:t>
      </w:r>
      <w:r w:rsidRPr="00B24C99">
        <w:t xml:space="preserve"> 1%</w:t>
      </w:r>
      <w:r w:rsidR="003447B4" w:rsidRPr="00B24C99">
        <w:t xml:space="preserve"> or aged older than 75 years.</w:t>
      </w:r>
      <w:r w:rsidR="004431F8" w:rsidRPr="00B24C99">
        <w:t xml:space="preserve"> </w:t>
      </w:r>
      <w:r w:rsidR="000A185F" w:rsidRPr="00B24C99">
        <w:t xml:space="preserve">The </w:t>
      </w:r>
      <w:r w:rsidR="003447B4" w:rsidRPr="00B24C99">
        <w:t>C</w:t>
      </w:r>
      <w:r w:rsidRPr="00B24C99">
        <w:t xml:space="preserve">heckMate 743 </w:t>
      </w:r>
      <w:r w:rsidR="00C06F33">
        <w:t xml:space="preserve">study </w:t>
      </w:r>
      <w:r w:rsidRPr="00B24C99">
        <w:t xml:space="preserve">was not powered to </w:t>
      </w:r>
      <w:r w:rsidR="00CD4BF2">
        <w:t>exclude</w:t>
      </w:r>
      <w:r w:rsidR="00CD4BF2" w:rsidRPr="00B24C99">
        <w:t xml:space="preserve"> </w:t>
      </w:r>
      <w:r w:rsidRPr="00B24C99">
        <w:t>an OS benefit in subgroups</w:t>
      </w:r>
      <w:r w:rsidR="004431F8" w:rsidRPr="00B24C99">
        <w:t xml:space="preserve"> and, on balance, </w:t>
      </w:r>
      <w:r w:rsidR="003447B4" w:rsidRPr="00B24C99">
        <w:t xml:space="preserve">the PBAC </w:t>
      </w:r>
      <w:r w:rsidR="004431F8" w:rsidRPr="00B24C99">
        <w:t>considered it was not reasonable to limit access to NIVO + IPI based on the subgroup analyses</w:t>
      </w:r>
      <w:r w:rsidR="00B24C99">
        <w:t xml:space="preserve">. </w:t>
      </w:r>
    </w:p>
    <w:p w:rsidR="00F06857" w:rsidRPr="00B24C99" w:rsidRDefault="008E2691" w:rsidP="003B7C03">
      <w:pPr>
        <w:pStyle w:val="3-BodyText"/>
      </w:pPr>
      <w:r w:rsidRPr="00B24C99">
        <w:t>The PBAC considered NIVO+IPI</w:t>
      </w:r>
      <w:r w:rsidR="005C1A4D" w:rsidRPr="00B24C99">
        <w:t xml:space="preserve"> was </w:t>
      </w:r>
      <w:r w:rsidRPr="00B24C99">
        <w:t>o</w:t>
      </w:r>
      <w:r w:rsidR="005C1A4D" w:rsidRPr="00B24C99">
        <w:t>f</w:t>
      </w:r>
      <w:r w:rsidRPr="00B24C99">
        <w:t xml:space="preserve"> </w:t>
      </w:r>
      <w:r w:rsidR="005C1A4D" w:rsidRPr="00B24C99">
        <w:t xml:space="preserve">inferior safety compared to </w:t>
      </w:r>
      <w:r w:rsidRPr="00B24C99">
        <w:t>pemetrexed-based chemotherapy but the AE profile was manageable.</w:t>
      </w:r>
      <w:r w:rsidR="005C1A4D" w:rsidRPr="00B24C99">
        <w:t xml:space="preserve"> The PBAC noted a higher proportion of patients in the NIVO+IPI treatment arm experienced Grade 3 or 4 AEs compared to patients in the pemetrexed-based chemotherapy arm an</w:t>
      </w:r>
      <w:r w:rsidR="002F1D4C" w:rsidRPr="00B24C99">
        <w:t>d</w:t>
      </w:r>
      <w:r w:rsidR="005C1A4D" w:rsidRPr="00B24C99">
        <w:t xml:space="preserve"> a higher proportion discontinued due to Grade 3 or 4 AEs</w:t>
      </w:r>
      <w:r w:rsidR="00B24C99">
        <w:t xml:space="preserve">. </w:t>
      </w:r>
      <w:r w:rsidR="005C1A4D" w:rsidRPr="00B24C99">
        <w:t xml:space="preserve"> </w:t>
      </w:r>
    </w:p>
    <w:p w:rsidR="008E2691" w:rsidRPr="00B24C99" w:rsidRDefault="00925A6C" w:rsidP="001A6D09">
      <w:pPr>
        <w:pStyle w:val="3-BodyText"/>
      </w:pPr>
      <w:r w:rsidRPr="00B24C99">
        <w:t xml:space="preserve">The PBAC noted the </w:t>
      </w:r>
      <w:r w:rsidR="0044166D" w:rsidRPr="00B24C99">
        <w:t xml:space="preserve">base case ICER presented in the submission was </w:t>
      </w:r>
      <w:r w:rsidR="001A6D09" w:rsidRPr="001A6D09">
        <w:t xml:space="preserve">$55,000 to &lt; $75,000 </w:t>
      </w:r>
      <w:r w:rsidR="0044166D" w:rsidRPr="00B24C99">
        <w:t xml:space="preserve">per QALY gained. The PBAC noted this was based on extrapolation of OS from 17.35 months in the NIVO +IPI arm and 13.27 months in the pemetrexed-based chemotherapy and considered this was not appropriate as it did not make full use of the available KM data. The PBAC noted the ICER based on extrapolation of OS from 29.7 months (median follow-up for OS) was </w:t>
      </w:r>
      <w:r w:rsidR="001A6D09" w:rsidRPr="001A6D09">
        <w:t>$75,000 to &lt; $95,000</w:t>
      </w:r>
      <w:r w:rsidR="001A6D09">
        <w:t xml:space="preserve"> </w:t>
      </w:r>
      <w:r w:rsidR="0044166D" w:rsidRPr="00B24C99">
        <w:t>per QALY gained</w:t>
      </w:r>
      <w:r w:rsidR="00B24C99">
        <w:t xml:space="preserve">. </w:t>
      </w:r>
      <w:r w:rsidR="00791464" w:rsidRPr="00B24C99">
        <w:t>The PBAC noted this model predict</w:t>
      </w:r>
      <w:r w:rsidR="0066555F" w:rsidRPr="00B24C99">
        <w:t>ed</w:t>
      </w:r>
      <w:r w:rsidR="00791464" w:rsidRPr="00B24C99">
        <w:t xml:space="preserve"> </w:t>
      </w:r>
      <w:r w:rsidR="0066555F" w:rsidRPr="00B24C99">
        <w:t xml:space="preserve">approximately </w:t>
      </w:r>
      <w:r w:rsidR="00791464" w:rsidRPr="00B24C99">
        <w:t>5% of NVIO+IPI patients would be alive at 10 years</w:t>
      </w:r>
      <w:r w:rsidR="00EC3AFE">
        <w:t>,</w:t>
      </w:r>
      <w:r w:rsidR="00791464" w:rsidRPr="00B24C99">
        <w:t xml:space="preserve"> which may not be reasonable for an unresectable MPM population. The PBAC noted assuming extrap</w:t>
      </w:r>
      <w:r w:rsidR="0066555F" w:rsidRPr="00B24C99">
        <w:t>olation</w:t>
      </w:r>
      <w:r w:rsidR="00791464" w:rsidRPr="00B24C99">
        <w:t xml:space="preserve"> from 29.7 months and convergence of OS between 5 and 10 years (as proposed in the pre-PBAC response) resulted in an ICER of </w:t>
      </w:r>
      <w:r w:rsidR="001A6D09" w:rsidRPr="001A6D09">
        <w:t xml:space="preserve">$95,000 to &lt; $115,000 </w:t>
      </w:r>
      <w:r w:rsidR="00791464" w:rsidRPr="00B24C99">
        <w:t>per QALY</w:t>
      </w:r>
      <w:r w:rsidR="00112AF0" w:rsidRPr="00B24C99">
        <w:t xml:space="preserve"> gained</w:t>
      </w:r>
      <w:r w:rsidR="00791464" w:rsidRPr="00B24C99">
        <w:t>.</w:t>
      </w:r>
      <w:r w:rsidR="002E246F" w:rsidRPr="00B24C99">
        <w:t xml:space="preserve"> The PBAC considered it was appropriate for the OS curves to converge over a 10 year time horizon and this was a reasonable ICER for decision-making</w:t>
      </w:r>
      <w:r w:rsidR="00B24C99">
        <w:t xml:space="preserve">. </w:t>
      </w:r>
      <w:r w:rsidR="002E246F" w:rsidRPr="00B24C99">
        <w:t xml:space="preserve">The PBAC considered NIVO+IPI </w:t>
      </w:r>
      <w:r w:rsidR="00E32F4B" w:rsidRPr="00B24C99">
        <w:t xml:space="preserve">would be cost effective if the </w:t>
      </w:r>
      <w:r w:rsidR="00FA33F5" w:rsidRPr="00B24C99">
        <w:t>ICER was between $80,000 and $90,000</w:t>
      </w:r>
      <w:r w:rsidR="00E32F4B" w:rsidRPr="00B24C99">
        <w:t xml:space="preserve">. </w:t>
      </w:r>
    </w:p>
    <w:p w:rsidR="009466FD" w:rsidRPr="00B24C99" w:rsidRDefault="00D725B4" w:rsidP="009466FD">
      <w:pPr>
        <w:pStyle w:val="3-BodyText"/>
      </w:pPr>
      <w:r>
        <w:t>The PBAC considered that</w:t>
      </w:r>
      <w:r w:rsidRPr="00B03888">
        <w:t xml:space="preserve"> </w:t>
      </w:r>
      <w:r w:rsidRPr="00AD510F">
        <w:t>it was appropriate for NIVO+IPI to be available in the second-line treatment setting</w:t>
      </w:r>
      <w:r>
        <w:t>, given the lack of effective treatment options and that the evidence in the first-line setting demonstrating superiority is likely to be at least partially applicable for later line use.</w:t>
      </w:r>
      <w:r w:rsidRPr="00B24C99" w:rsidDel="00D725B4">
        <w:t xml:space="preserve"> </w:t>
      </w:r>
      <w:r>
        <w:t xml:space="preserve"> </w:t>
      </w:r>
      <w:r w:rsidR="00AD510F" w:rsidRPr="00B24C99">
        <w:t xml:space="preserve">The PBAC </w:t>
      </w:r>
      <w:r w:rsidR="00CD4BF2">
        <w:t xml:space="preserve">also </w:t>
      </w:r>
      <w:r w:rsidR="00AD510F" w:rsidRPr="00B24C99">
        <w:t>considered it w</w:t>
      </w:r>
      <w:r w:rsidR="00087390">
        <w:t xml:space="preserve">ould </w:t>
      </w:r>
      <w:r w:rsidR="00CD4BF2">
        <w:t xml:space="preserve">not </w:t>
      </w:r>
      <w:r w:rsidR="00087390">
        <w:t xml:space="preserve">be </w:t>
      </w:r>
      <w:r w:rsidR="00AD510F" w:rsidRPr="00B24C99">
        <w:t xml:space="preserve">appropriate to </w:t>
      </w:r>
      <w:r w:rsidR="00005F7A" w:rsidRPr="00B24C99">
        <w:t xml:space="preserve">exclude </w:t>
      </w:r>
      <w:r w:rsidR="00AD510F" w:rsidRPr="00B24C99">
        <w:t xml:space="preserve">access </w:t>
      </w:r>
      <w:r w:rsidR="00005F7A" w:rsidRPr="00B24C99">
        <w:t xml:space="preserve">to </w:t>
      </w:r>
      <w:r w:rsidR="00AD510F" w:rsidRPr="00B24C99">
        <w:t>patients with non-pleural mesothelioma</w:t>
      </w:r>
      <w:r w:rsidR="00845F97" w:rsidRPr="00B24C99">
        <w:t xml:space="preserve">. </w:t>
      </w:r>
      <w:r w:rsidR="002F1D4C" w:rsidRPr="00B24C99">
        <w:t xml:space="preserve">The PBAC </w:t>
      </w:r>
      <w:r w:rsidR="000F0EAE" w:rsidRPr="00B24C99">
        <w:t xml:space="preserve">noted non-pleural mesothelioma accounted for approximately 7% </w:t>
      </w:r>
      <w:r w:rsidR="00005F7A" w:rsidRPr="00B24C99">
        <w:t xml:space="preserve">of </w:t>
      </w:r>
      <w:r w:rsidR="000F0EAE" w:rsidRPr="00B24C99">
        <w:t xml:space="preserve">mesothelioma cases and </w:t>
      </w:r>
      <w:r w:rsidR="002F1D4C" w:rsidRPr="00B24C99">
        <w:t xml:space="preserve">considered </w:t>
      </w:r>
      <w:r w:rsidR="000E3EA0" w:rsidRPr="00B24C99">
        <w:t xml:space="preserve">it was reasonable to assume that </w:t>
      </w:r>
      <w:r w:rsidR="00173948" w:rsidRPr="00B24C99">
        <w:t xml:space="preserve">allowing access for </w:t>
      </w:r>
      <w:r w:rsidR="000F0EAE" w:rsidRPr="00B24C99">
        <w:t xml:space="preserve">these </w:t>
      </w:r>
      <w:r w:rsidR="00173948" w:rsidRPr="00B24C99">
        <w:t>patients would increase the patient numbers</w:t>
      </w:r>
      <w:r w:rsidR="00005F7A" w:rsidRPr="00B24C99">
        <w:t xml:space="preserve"> by</w:t>
      </w:r>
      <w:r w:rsidR="00173948" w:rsidRPr="00B24C99">
        <w:t xml:space="preserve"> </w:t>
      </w:r>
      <w:r w:rsidR="0052512E">
        <w:t>&lt; 500</w:t>
      </w:r>
      <w:r w:rsidR="0052512E" w:rsidRPr="00B24C99">
        <w:t xml:space="preserve"> </w:t>
      </w:r>
      <w:r w:rsidR="00454E91" w:rsidRPr="00B24C99">
        <w:t>per year</w:t>
      </w:r>
      <w:r w:rsidR="00B24C99">
        <w:t xml:space="preserve">. </w:t>
      </w:r>
    </w:p>
    <w:p w:rsidR="004D3DA7" w:rsidRPr="00B24C99" w:rsidRDefault="004D3DA7" w:rsidP="004D3DA7">
      <w:pPr>
        <w:pStyle w:val="3-BodyText"/>
      </w:pPr>
      <w:r w:rsidRPr="00B24C99">
        <w:t xml:space="preserve">The PBAC noted the pre-PBAC response indicated </w:t>
      </w:r>
      <w:r w:rsidR="0052512E">
        <w:t>&lt; 500</w:t>
      </w:r>
      <w:r w:rsidR="0052512E" w:rsidRPr="00B24C99">
        <w:t xml:space="preserve"> </w:t>
      </w:r>
      <w:r w:rsidRPr="00B24C99">
        <w:t xml:space="preserve">patients would require grandfathering onto PBS-subsidised treatment and these patients were added to the financial estimates with </w:t>
      </w:r>
      <w:r w:rsidR="00824421" w:rsidRPr="00B24C99">
        <w:t>~</w:t>
      </w:r>
      <w:r w:rsidRPr="00B24C99">
        <w:t xml:space="preserve">75% of the treatment cost applied to account for treatment </w:t>
      </w:r>
      <w:r w:rsidRPr="00B24C99">
        <w:lastRenderedPageBreak/>
        <w:t>already received. The PBAC considered it was appropriate to add the cost of treating the GF patients to the financial estimates</w:t>
      </w:r>
      <w:r w:rsidR="00D725B4">
        <w:t xml:space="preserve"> and to assume only a proportion of </w:t>
      </w:r>
      <w:r w:rsidRPr="00B24C99">
        <w:t xml:space="preserve">  their treatment cost will be PBS-subsidised. </w:t>
      </w:r>
    </w:p>
    <w:p w:rsidR="001228AC" w:rsidRPr="00B24C99" w:rsidRDefault="001228AC" w:rsidP="001228AC">
      <w:pPr>
        <w:pStyle w:val="3-BodyText"/>
      </w:pPr>
      <w:r w:rsidRPr="00B24C99">
        <w:t>The PBAC considered it was reasonable to apply an incidence of MPM of 3.0 per 100,000 patients to estimate the number of patients that would be eligible for NIVO+IPI</w:t>
      </w:r>
      <w:r w:rsidR="00B24C99">
        <w:t xml:space="preserve">. </w:t>
      </w:r>
      <w:r w:rsidRPr="00B24C99">
        <w:t>Additionally, the number of treated patients should be amended to include</w:t>
      </w:r>
      <w:r w:rsidR="004431F8" w:rsidRPr="00B24C99">
        <w:t xml:space="preserve"> the GF patients (</w:t>
      </w:r>
      <w:r w:rsidR="004431F8" w:rsidRPr="00087390">
        <w:t>paragraph 7.</w:t>
      </w:r>
      <w:r w:rsidR="00D725B4" w:rsidRPr="00087390">
        <w:t>10</w:t>
      </w:r>
      <w:r w:rsidR="00670394" w:rsidRPr="00087390">
        <w:t>)</w:t>
      </w:r>
      <w:r w:rsidRPr="00087390">
        <w:t>,</w:t>
      </w:r>
      <w:r w:rsidRPr="00B24C99">
        <w:t xml:space="preserve"> patients with non-pleural mesothelioma (paragraph </w:t>
      </w:r>
      <w:r w:rsidRPr="00087390">
        <w:t>7.</w:t>
      </w:r>
      <w:r w:rsidR="00D725B4" w:rsidRPr="00087390">
        <w:t>9</w:t>
      </w:r>
      <w:r w:rsidRPr="00B24C99">
        <w:t>)</w:t>
      </w:r>
      <w:r w:rsidR="003038B0">
        <w:t xml:space="preserve"> and patients who have relapsed after surgery (paragraph </w:t>
      </w:r>
      <w:r w:rsidR="003038B0" w:rsidRPr="00087390">
        <w:t>6.68</w:t>
      </w:r>
      <w:r w:rsidR="003038B0">
        <w:t>)</w:t>
      </w:r>
      <w:r w:rsidR="00B24C99">
        <w:t xml:space="preserve">. </w:t>
      </w:r>
    </w:p>
    <w:p w:rsidR="004D3DA7" w:rsidRPr="00B24C99" w:rsidRDefault="004D3DA7" w:rsidP="00CC65C7">
      <w:pPr>
        <w:pStyle w:val="3-BodyText"/>
      </w:pPr>
      <w:r w:rsidRPr="00B24C99">
        <w:t xml:space="preserve">The PBAC advised that a risk sharing arrangement with expenditure caps based on the cost of NIVO+IPI as defined by the patient numbers in </w:t>
      </w:r>
      <w:r w:rsidRPr="00087390">
        <w:t>paragraphs 7.1</w:t>
      </w:r>
      <w:r w:rsidR="00D725B4" w:rsidRPr="00087390">
        <w:t>1</w:t>
      </w:r>
      <w:r w:rsidRPr="00B24C99">
        <w:t xml:space="preserve"> would be required.</w:t>
      </w:r>
      <w:r w:rsidR="001228AC" w:rsidRPr="00B24C99">
        <w:t xml:space="preserve"> </w:t>
      </w:r>
      <w:r w:rsidR="00CC65C7" w:rsidRPr="00CC65C7">
        <w:t xml:space="preserve">The PBAC considered the number of second line patients who would access treatment, and the associated cost-effectiveness, as well as the impact of flat dosing on overall financial costs, to be uncertain. Acknowledging the high clinical need in patients with MPM and the </w:t>
      </w:r>
      <w:r w:rsidR="00CC65C7">
        <w:t xml:space="preserve">limited </w:t>
      </w:r>
      <w:r w:rsidR="00CC65C7" w:rsidRPr="00CC65C7">
        <w:t xml:space="preserve">risk of substantial use beyond the recommended patient population, the PBAC considered a rebate of less than </w:t>
      </w:r>
      <w:r w:rsidR="004E3484">
        <w:rPr>
          <w:noProof/>
          <w:color w:val="000000"/>
          <w:highlight w:val="black"/>
        </w:rPr>
        <w:t>'''''''</w:t>
      </w:r>
      <w:r w:rsidR="00CC65C7" w:rsidRPr="00CC65C7">
        <w:t xml:space="preserve">% for use above the expenditure caps may be appropriate, however any rebate would need to require the sponsor to rebate the majority of the cost of use outside the defined RSA cap to ensure control of any non cost-effective </w:t>
      </w:r>
      <w:r w:rsidR="00087390">
        <w:t>use</w:t>
      </w:r>
      <w:r w:rsidR="00CC65C7" w:rsidRPr="00CC65C7">
        <w:t>.</w:t>
      </w:r>
    </w:p>
    <w:p w:rsidR="001228AC" w:rsidRPr="00B24C99" w:rsidRDefault="001228AC" w:rsidP="001228AC">
      <w:pPr>
        <w:pStyle w:val="3-BodyText"/>
      </w:pPr>
      <w:r w:rsidRPr="00B24C99">
        <w:t>The PBAC advised the following changes to the restriction criteria were appropriate:</w:t>
      </w:r>
    </w:p>
    <w:p w:rsidR="001228AC" w:rsidRPr="00B24C99" w:rsidRDefault="001228AC" w:rsidP="00C64B2B">
      <w:pPr>
        <w:pStyle w:val="3-BodyText"/>
        <w:numPr>
          <w:ilvl w:val="0"/>
          <w:numId w:val="13"/>
        </w:numPr>
      </w:pPr>
      <w:r w:rsidRPr="00B24C99">
        <w:t xml:space="preserve">A single restriction criteria (rather than initial and continuing criteria) as proposed by the Secretariat in </w:t>
      </w:r>
      <w:r w:rsidRPr="00087390">
        <w:t>paragraph 3.1;</w:t>
      </w:r>
    </w:p>
    <w:p w:rsidR="001228AC" w:rsidRPr="00910B68" w:rsidRDefault="001228AC" w:rsidP="00C64B2B">
      <w:pPr>
        <w:pStyle w:val="3-BodyText"/>
        <w:numPr>
          <w:ilvl w:val="0"/>
          <w:numId w:val="13"/>
        </w:numPr>
      </w:pPr>
      <w:r w:rsidRPr="00B24C99">
        <w:t xml:space="preserve">Change the number of repeats to 8 </w:t>
      </w:r>
      <w:r w:rsidR="00910B68">
        <w:t xml:space="preserve">for nivolumab </w:t>
      </w:r>
      <w:r w:rsidRPr="00B24C99">
        <w:t xml:space="preserve">and include an administration note: </w:t>
      </w:r>
      <w:r w:rsidRPr="00B24C99">
        <w:rPr>
          <w:i/>
        </w:rPr>
        <w:t>“An increase of number of repeats may be authorised up to 11 if the patient is receiving a weight based dosing of 3mg/kg every 2 weeks”</w:t>
      </w:r>
      <w:r w:rsidR="00B24C99">
        <w:rPr>
          <w:i/>
        </w:rPr>
        <w:t xml:space="preserve">. </w:t>
      </w:r>
    </w:p>
    <w:p w:rsidR="00910B68" w:rsidRPr="00910B68" w:rsidRDefault="00910B68" w:rsidP="00C64B2B">
      <w:pPr>
        <w:pStyle w:val="3-BodyText"/>
        <w:numPr>
          <w:ilvl w:val="0"/>
          <w:numId w:val="13"/>
        </w:numPr>
      </w:pPr>
      <w:r w:rsidRPr="00910B68">
        <w:t>Change the number of repeats to 3 for ipilimumab.</w:t>
      </w:r>
    </w:p>
    <w:p w:rsidR="001228AC" w:rsidRPr="00B24C99" w:rsidRDefault="001228AC" w:rsidP="00C64B2B">
      <w:pPr>
        <w:pStyle w:val="3-BodyText"/>
        <w:numPr>
          <w:ilvl w:val="0"/>
          <w:numId w:val="13"/>
        </w:numPr>
      </w:pPr>
      <w:r w:rsidRPr="00B24C99">
        <w:t xml:space="preserve">Inclusion of the clinical criteria: </w:t>
      </w:r>
      <w:r w:rsidRPr="00B24C99">
        <w:rPr>
          <w:i/>
        </w:rPr>
        <w:t>“The treatment must not exceed a maximum of 24 months in a lifetime for this condition”.</w:t>
      </w:r>
      <w:r w:rsidRPr="00B24C99">
        <w:t xml:space="preserve"> </w:t>
      </w:r>
    </w:p>
    <w:p w:rsidR="001228AC" w:rsidRPr="00B24C99" w:rsidRDefault="001228AC" w:rsidP="00C64B2B">
      <w:pPr>
        <w:pStyle w:val="3-BodyText"/>
        <w:numPr>
          <w:ilvl w:val="0"/>
          <w:numId w:val="13"/>
        </w:numPr>
      </w:pPr>
      <w:r w:rsidRPr="00B24C99">
        <w:t>Removal of ‘pleural’.</w:t>
      </w:r>
    </w:p>
    <w:p w:rsidR="009466FD" w:rsidRPr="00B24C99" w:rsidRDefault="009466FD" w:rsidP="009466FD">
      <w:pPr>
        <w:pStyle w:val="3-BodyText"/>
      </w:pPr>
      <w:r w:rsidRPr="00B24C99">
        <w:t xml:space="preserve">The PBAC found that the criteria prescribed by the </w:t>
      </w:r>
      <w:r w:rsidRPr="00B079F5">
        <w:rPr>
          <w:i/>
        </w:rPr>
        <w:t>National Health (Pharmaceutical and Vaccines – Cost Recovery) Regulations 2009</w:t>
      </w:r>
      <w:r w:rsidRPr="00B24C99">
        <w:t xml:space="preserve"> for Pricing Pathway A were met. Specifically, the PBAC found that in the circumstances of its recommendation for NIVO+IPI:</w:t>
      </w:r>
    </w:p>
    <w:p w:rsidR="009466FD" w:rsidRPr="00B24C99" w:rsidRDefault="009466FD" w:rsidP="00C64B2B">
      <w:pPr>
        <w:pStyle w:val="3-BodyText"/>
        <w:numPr>
          <w:ilvl w:val="0"/>
          <w:numId w:val="12"/>
        </w:numPr>
      </w:pPr>
      <w:r w:rsidRPr="00B24C99">
        <w:t>The treatment is expected to provide a substantial and clinically relevant improvement in efficacy over the nominated comparator in terms of overall survival in the unresectable MPM patient population;</w:t>
      </w:r>
    </w:p>
    <w:p w:rsidR="009466FD" w:rsidRPr="00B24C99" w:rsidRDefault="009466FD" w:rsidP="00C64B2B">
      <w:pPr>
        <w:pStyle w:val="3-BodyText"/>
        <w:numPr>
          <w:ilvl w:val="0"/>
          <w:numId w:val="12"/>
        </w:numPr>
      </w:pPr>
      <w:r w:rsidRPr="00B24C99">
        <w:t>The treatment is expected to address a high and urgent unmet clinical need as the current medicines available for the treatment of patients with unresectable MPM have limited efficacy;</w:t>
      </w:r>
    </w:p>
    <w:p w:rsidR="009466FD" w:rsidRPr="00B24C99" w:rsidRDefault="009466FD" w:rsidP="00C64B2B">
      <w:pPr>
        <w:pStyle w:val="3-BodyText"/>
        <w:numPr>
          <w:ilvl w:val="0"/>
          <w:numId w:val="12"/>
        </w:numPr>
      </w:pPr>
      <w:r w:rsidRPr="00B24C99">
        <w:lastRenderedPageBreak/>
        <w:t>It would be in the public interest for the subsequent pricing application to be progressed under Pricing Pathway A on the basis of the preceding findings.</w:t>
      </w:r>
    </w:p>
    <w:p w:rsidR="00F06857" w:rsidRPr="00B24C99" w:rsidRDefault="009466FD" w:rsidP="009466FD">
      <w:pPr>
        <w:pStyle w:val="3-BodyText"/>
      </w:pPr>
      <w:r w:rsidRPr="00B24C99">
        <w:t>The PBAC noted that this submission is not eligible for an Independent Review as it received a positive recommendation.</w:t>
      </w:r>
    </w:p>
    <w:p w:rsidR="00F06857" w:rsidRPr="00B24C99" w:rsidRDefault="00F06857" w:rsidP="00F06857">
      <w:pPr>
        <w:tabs>
          <w:tab w:val="left" w:pos="1080"/>
        </w:tabs>
        <w:autoSpaceDE w:val="0"/>
        <w:autoSpaceDN w:val="0"/>
        <w:adjustRightInd w:val="0"/>
        <w:spacing w:before="240"/>
        <w:rPr>
          <w:rFonts w:asciiTheme="minorHAnsi" w:hAnsiTheme="minorHAnsi" w:cstheme="minorHAnsi"/>
          <w:b/>
          <w:bCs/>
        </w:rPr>
      </w:pPr>
      <w:r w:rsidRPr="00B24C99">
        <w:rPr>
          <w:rFonts w:asciiTheme="minorHAnsi" w:hAnsiTheme="minorHAnsi" w:cstheme="minorHAnsi"/>
          <w:b/>
          <w:bCs/>
        </w:rPr>
        <w:t>Outcome:</w:t>
      </w:r>
    </w:p>
    <w:p w:rsidR="00F06857" w:rsidRPr="00B24C99" w:rsidRDefault="00F06857" w:rsidP="00F06857">
      <w:pPr>
        <w:tabs>
          <w:tab w:val="left" w:pos="1080"/>
        </w:tabs>
        <w:autoSpaceDE w:val="0"/>
        <w:autoSpaceDN w:val="0"/>
        <w:adjustRightInd w:val="0"/>
        <w:spacing w:after="120"/>
        <w:rPr>
          <w:rFonts w:asciiTheme="minorHAnsi" w:hAnsiTheme="minorHAnsi" w:cstheme="minorHAnsi"/>
        </w:rPr>
      </w:pPr>
      <w:r w:rsidRPr="00B24C99">
        <w:rPr>
          <w:rFonts w:asciiTheme="minorHAnsi" w:hAnsiTheme="minorHAnsi" w:cstheme="minorHAnsi"/>
        </w:rPr>
        <w:t xml:space="preserve">Recommended </w:t>
      </w:r>
    </w:p>
    <w:p w:rsidR="00F06857" w:rsidRPr="00B24C99" w:rsidRDefault="00F06857" w:rsidP="00F06857">
      <w:pPr>
        <w:pStyle w:val="3-BodyText"/>
        <w:numPr>
          <w:ilvl w:val="0"/>
          <w:numId w:val="0"/>
        </w:numPr>
      </w:pPr>
    </w:p>
    <w:p w:rsidR="000A185F" w:rsidRPr="00B24C99" w:rsidRDefault="000A185F">
      <w:pPr>
        <w:jc w:val="left"/>
        <w:rPr>
          <w:rFonts w:asciiTheme="minorHAnsi" w:hAnsiTheme="minorHAnsi"/>
          <w:snapToGrid w:val="0"/>
        </w:rPr>
      </w:pPr>
      <w:r w:rsidRPr="00B24C99">
        <w:br w:type="page"/>
      </w:r>
    </w:p>
    <w:p w:rsidR="00F06857" w:rsidRPr="00B24C99" w:rsidRDefault="00F06857" w:rsidP="00F06857">
      <w:pPr>
        <w:pStyle w:val="2-SectionHeading"/>
      </w:pPr>
      <w:r w:rsidRPr="00B24C99">
        <w:lastRenderedPageBreak/>
        <w:t>Recommended listing</w:t>
      </w:r>
    </w:p>
    <w:p w:rsidR="00112AF0" w:rsidRPr="00B24C99" w:rsidRDefault="00112AF0" w:rsidP="00112AF0">
      <w:pPr>
        <w:pStyle w:val="3-BodyText"/>
      </w:pPr>
      <w:r w:rsidRPr="00B24C99">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1"/>
        <w:gridCol w:w="1145"/>
        <w:gridCol w:w="1003"/>
        <w:gridCol w:w="858"/>
        <w:gridCol w:w="2150"/>
      </w:tblGrid>
      <w:tr w:rsidR="00092F31" w:rsidRPr="00A80D53" w:rsidTr="00ED72F2">
        <w:trPr>
          <w:cantSplit/>
          <w:trHeight w:val="471"/>
        </w:trPr>
        <w:tc>
          <w:tcPr>
            <w:tcW w:w="2141" w:type="pct"/>
          </w:tcPr>
          <w:p w:rsidR="00092F31" w:rsidRPr="00A80D53" w:rsidRDefault="00092F31" w:rsidP="00092F31">
            <w:pPr>
              <w:rPr>
                <w:rFonts w:ascii="Arial Narrow" w:hAnsi="Arial Narrow"/>
                <w:snapToGrid w:val="0"/>
                <w:sz w:val="20"/>
              </w:rPr>
            </w:pPr>
            <w:r w:rsidRPr="00A80D53">
              <w:rPr>
                <w:rFonts w:ascii="Arial Narrow" w:hAnsi="Arial Narrow"/>
                <w:snapToGrid w:val="0"/>
                <w:sz w:val="20"/>
              </w:rPr>
              <w:t>Name, Restriction,</w:t>
            </w:r>
          </w:p>
          <w:p w:rsidR="00092F31" w:rsidRPr="00A80D53" w:rsidRDefault="00092F31" w:rsidP="00092F31">
            <w:pPr>
              <w:rPr>
                <w:rFonts w:ascii="Arial Narrow" w:hAnsi="Arial Narrow"/>
                <w:snapToGrid w:val="0"/>
                <w:sz w:val="20"/>
              </w:rPr>
            </w:pPr>
            <w:r w:rsidRPr="00A80D53">
              <w:rPr>
                <w:rFonts w:ascii="Arial Narrow" w:hAnsi="Arial Narrow"/>
                <w:snapToGrid w:val="0"/>
                <w:sz w:val="20"/>
              </w:rPr>
              <w:t>Manner of administration and form</w:t>
            </w:r>
          </w:p>
        </w:tc>
        <w:tc>
          <w:tcPr>
            <w:tcW w:w="635" w:type="pct"/>
          </w:tcPr>
          <w:p w:rsidR="00092F31" w:rsidRPr="00A80D53" w:rsidRDefault="00092F31" w:rsidP="00092F31">
            <w:pPr>
              <w:rPr>
                <w:rFonts w:ascii="Arial Narrow" w:hAnsi="Arial Narrow"/>
                <w:sz w:val="20"/>
              </w:rPr>
            </w:pPr>
            <w:r w:rsidRPr="00A80D53">
              <w:rPr>
                <w:rFonts w:ascii="Arial Narrow" w:hAnsi="Arial Narrow"/>
                <w:sz w:val="20"/>
              </w:rPr>
              <w:t>PBS item code</w:t>
            </w:r>
          </w:p>
        </w:tc>
        <w:tc>
          <w:tcPr>
            <w:tcW w:w="556" w:type="pct"/>
          </w:tcPr>
          <w:p w:rsidR="00092F31" w:rsidRPr="00A80D53" w:rsidRDefault="00092F31" w:rsidP="00092F31">
            <w:pPr>
              <w:rPr>
                <w:rFonts w:ascii="Arial Narrow" w:hAnsi="Arial Narrow"/>
                <w:sz w:val="20"/>
              </w:rPr>
            </w:pPr>
            <w:r w:rsidRPr="00A80D53">
              <w:rPr>
                <w:rFonts w:ascii="Arial Narrow" w:hAnsi="Arial Narrow"/>
                <w:sz w:val="20"/>
              </w:rPr>
              <w:t>Max.</w:t>
            </w:r>
          </w:p>
          <w:p w:rsidR="00092F31" w:rsidRPr="00A80D53" w:rsidRDefault="00092F31" w:rsidP="00092F31">
            <w:pPr>
              <w:rPr>
                <w:rFonts w:ascii="Arial Narrow" w:hAnsi="Arial Narrow"/>
                <w:sz w:val="20"/>
              </w:rPr>
            </w:pPr>
            <w:r w:rsidRPr="00A80D53">
              <w:rPr>
                <w:rFonts w:ascii="Arial Narrow" w:hAnsi="Arial Narrow"/>
                <w:sz w:val="20"/>
              </w:rPr>
              <w:t>Amount</w:t>
            </w:r>
          </w:p>
        </w:tc>
        <w:tc>
          <w:tcPr>
            <w:tcW w:w="476" w:type="pct"/>
          </w:tcPr>
          <w:p w:rsidR="00092F31" w:rsidRPr="00A80D53" w:rsidRDefault="00092F31" w:rsidP="00092F31">
            <w:pPr>
              <w:rPr>
                <w:rFonts w:ascii="Arial Narrow" w:hAnsi="Arial Narrow"/>
                <w:sz w:val="20"/>
              </w:rPr>
            </w:pPr>
            <w:r w:rsidRPr="00A80D53">
              <w:rPr>
                <w:rFonts w:ascii="Arial Narrow" w:hAnsi="Arial Narrow"/>
                <w:sz w:val="20"/>
              </w:rPr>
              <w:t>№.of</w:t>
            </w:r>
          </w:p>
          <w:p w:rsidR="00092F31" w:rsidRPr="00A80D53" w:rsidRDefault="00092F31" w:rsidP="00092F31">
            <w:pPr>
              <w:rPr>
                <w:rFonts w:ascii="Arial Narrow" w:hAnsi="Arial Narrow"/>
                <w:sz w:val="20"/>
              </w:rPr>
            </w:pPr>
            <w:r w:rsidRPr="00A80D53">
              <w:rPr>
                <w:rFonts w:ascii="Arial Narrow" w:hAnsi="Arial Narrow"/>
                <w:sz w:val="20"/>
              </w:rPr>
              <w:t>Rpts</w:t>
            </w:r>
          </w:p>
        </w:tc>
        <w:tc>
          <w:tcPr>
            <w:tcW w:w="1191" w:type="pct"/>
          </w:tcPr>
          <w:p w:rsidR="00092F31" w:rsidRPr="00A80D53" w:rsidRDefault="00092F31" w:rsidP="00092F31">
            <w:pPr>
              <w:rPr>
                <w:rFonts w:ascii="Arial Narrow" w:hAnsi="Arial Narrow"/>
                <w:sz w:val="20"/>
              </w:rPr>
            </w:pPr>
            <w:r w:rsidRPr="00A80D53">
              <w:rPr>
                <w:rFonts w:ascii="Arial Narrow" w:hAnsi="Arial Narrow"/>
                <w:sz w:val="20"/>
              </w:rPr>
              <w:t>Manufacturer</w:t>
            </w:r>
          </w:p>
        </w:tc>
      </w:tr>
      <w:tr w:rsidR="00092F31" w:rsidRPr="005111EB" w:rsidTr="005111EB">
        <w:trPr>
          <w:cantSplit/>
          <w:trHeight w:val="523"/>
        </w:trPr>
        <w:tc>
          <w:tcPr>
            <w:tcW w:w="2141" w:type="pct"/>
          </w:tcPr>
          <w:p w:rsidR="00092F31" w:rsidRPr="005111EB" w:rsidRDefault="00092F31" w:rsidP="005111EB">
            <w:pPr>
              <w:keepNext/>
              <w:ind w:left="-108"/>
              <w:rPr>
                <w:rFonts w:ascii="Arial Narrow" w:hAnsi="Arial Narrow"/>
                <w:color w:val="000000" w:themeColor="text1"/>
                <w:sz w:val="20"/>
                <w:szCs w:val="20"/>
              </w:rPr>
            </w:pPr>
            <w:r w:rsidRPr="005111EB">
              <w:rPr>
                <w:rFonts w:ascii="Arial Narrow" w:hAnsi="Arial Narrow"/>
                <w:color w:val="000000" w:themeColor="text1"/>
                <w:sz w:val="20"/>
                <w:szCs w:val="20"/>
              </w:rPr>
              <w:t>NIVOLUMAB</w:t>
            </w:r>
          </w:p>
          <w:p w:rsidR="00092F31" w:rsidRPr="005111EB" w:rsidRDefault="00092F31" w:rsidP="005111EB">
            <w:pPr>
              <w:keepNext/>
              <w:ind w:left="-108"/>
              <w:rPr>
                <w:rFonts w:ascii="Arial Narrow" w:hAnsi="Arial Narrow" w:cs="Arial Narrow"/>
                <w:color w:val="000000" w:themeColor="text1"/>
                <w:sz w:val="20"/>
                <w:szCs w:val="20"/>
              </w:rPr>
            </w:pPr>
            <w:r w:rsidRPr="005111EB">
              <w:rPr>
                <w:rFonts w:ascii="Arial Narrow" w:hAnsi="Arial Narrow" w:cs="Arial Narrow"/>
                <w:color w:val="000000" w:themeColor="text1"/>
                <w:sz w:val="20"/>
                <w:szCs w:val="20"/>
              </w:rPr>
              <w:t>Injection</w:t>
            </w:r>
          </w:p>
          <w:p w:rsidR="00092F31" w:rsidRPr="005111EB" w:rsidRDefault="00092F31" w:rsidP="005111EB">
            <w:pPr>
              <w:keepNext/>
              <w:ind w:left="-108"/>
              <w:rPr>
                <w:rFonts w:ascii="Arial Narrow" w:hAnsi="Arial Narrow"/>
                <w:color w:val="000000" w:themeColor="text1"/>
                <w:sz w:val="20"/>
                <w:szCs w:val="20"/>
              </w:rPr>
            </w:pPr>
          </w:p>
        </w:tc>
        <w:tc>
          <w:tcPr>
            <w:tcW w:w="635" w:type="pct"/>
          </w:tcPr>
          <w:p w:rsidR="00092F31" w:rsidRPr="005111EB" w:rsidRDefault="00092F31" w:rsidP="005111EB">
            <w:pPr>
              <w:keepNext/>
              <w:ind w:left="-108"/>
              <w:rPr>
                <w:rFonts w:ascii="Arial Narrow" w:hAnsi="Arial Narrow"/>
                <w:color w:val="000000" w:themeColor="text1"/>
                <w:sz w:val="20"/>
                <w:szCs w:val="20"/>
              </w:rPr>
            </w:pPr>
          </w:p>
          <w:p w:rsidR="00092F31" w:rsidRPr="005111EB" w:rsidRDefault="00092F31" w:rsidP="005111EB">
            <w:pPr>
              <w:keepNext/>
              <w:ind w:left="-108"/>
              <w:rPr>
                <w:rFonts w:ascii="Arial Narrow" w:hAnsi="Arial Narrow"/>
                <w:color w:val="000000" w:themeColor="text1"/>
                <w:sz w:val="20"/>
                <w:szCs w:val="20"/>
              </w:rPr>
            </w:pPr>
            <w:r w:rsidRPr="005111EB">
              <w:rPr>
                <w:rFonts w:ascii="Arial Narrow" w:hAnsi="Arial Narrow"/>
                <w:color w:val="000000" w:themeColor="text1"/>
                <w:sz w:val="20"/>
                <w:szCs w:val="20"/>
              </w:rPr>
              <w:t>NEW (Public)</w:t>
            </w:r>
          </w:p>
          <w:p w:rsidR="00092F31" w:rsidRPr="005111EB" w:rsidRDefault="00092F31" w:rsidP="005111EB">
            <w:pPr>
              <w:keepNext/>
              <w:ind w:left="-108"/>
              <w:rPr>
                <w:rFonts w:ascii="Arial Narrow" w:hAnsi="Arial Narrow"/>
                <w:color w:val="000000" w:themeColor="text1"/>
                <w:sz w:val="20"/>
                <w:szCs w:val="20"/>
              </w:rPr>
            </w:pPr>
            <w:r w:rsidRPr="005111EB">
              <w:rPr>
                <w:rFonts w:ascii="Arial Narrow" w:hAnsi="Arial Narrow"/>
                <w:color w:val="000000" w:themeColor="text1"/>
                <w:sz w:val="20"/>
                <w:szCs w:val="20"/>
              </w:rPr>
              <w:t>NEW (Private)</w:t>
            </w:r>
          </w:p>
        </w:tc>
        <w:tc>
          <w:tcPr>
            <w:tcW w:w="556" w:type="pct"/>
            <w:vAlign w:val="center"/>
          </w:tcPr>
          <w:p w:rsidR="00092F31" w:rsidRPr="005111EB" w:rsidRDefault="00092F31" w:rsidP="005111EB">
            <w:pPr>
              <w:keepNext/>
              <w:ind w:left="-108"/>
              <w:jc w:val="center"/>
              <w:rPr>
                <w:rFonts w:ascii="Arial Narrow" w:hAnsi="Arial Narrow"/>
                <w:i/>
                <w:color w:val="000000" w:themeColor="text1"/>
                <w:sz w:val="20"/>
                <w:szCs w:val="20"/>
              </w:rPr>
            </w:pPr>
          </w:p>
          <w:p w:rsidR="00092F31" w:rsidRPr="005111EB" w:rsidRDefault="00092F31" w:rsidP="005111EB">
            <w:pPr>
              <w:keepNext/>
              <w:ind w:left="-108"/>
              <w:jc w:val="center"/>
              <w:rPr>
                <w:rFonts w:ascii="Arial Narrow" w:hAnsi="Arial Narrow"/>
                <w:color w:val="000000" w:themeColor="text1"/>
                <w:sz w:val="20"/>
                <w:szCs w:val="20"/>
              </w:rPr>
            </w:pPr>
            <w:r w:rsidRPr="005111EB">
              <w:rPr>
                <w:rFonts w:ascii="Arial Narrow" w:hAnsi="Arial Narrow"/>
                <w:color w:val="000000" w:themeColor="text1"/>
                <w:sz w:val="20"/>
                <w:szCs w:val="20"/>
              </w:rPr>
              <w:t>360mg</w:t>
            </w:r>
          </w:p>
          <w:p w:rsidR="00092F31" w:rsidRPr="005111EB" w:rsidRDefault="00092F31" w:rsidP="005111EB">
            <w:pPr>
              <w:keepNext/>
              <w:ind w:left="-108"/>
              <w:jc w:val="center"/>
              <w:rPr>
                <w:rFonts w:ascii="Arial Narrow" w:hAnsi="Arial Narrow"/>
                <w:i/>
                <w:color w:val="000000" w:themeColor="text1"/>
                <w:sz w:val="20"/>
                <w:szCs w:val="20"/>
              </w:rPr>
            </w:pPr>
          </w:p>
        </w:tc>
        <w:tc>
          <w:tcPr>
            <w:tcW w:w="476" w:type="pct"/>
            <w:vAlign w:val="center"/>
          </w:tcPr>
          <w:p w:rsidR="00092F31" w:rsidRPr="005111EB" w:rsidRDefault="00092F31" w:rsidP="005111EB">
            <w:pPr>
              <w:keepNext/>
              <w:ind w:left="-108"/>
              <w:jc w:val="center"/>
              <w:rPr>
                <w:rFonts w:ascii="Arial Narrow" w:hAnsi="Arial Narrow"/>
                <w:i/>
                <w:color w:val="000000" w:themeColor="text1"/>
                <w:sz w:val="20"/>
                <w:szCs w:val="20"/>
              </w:rPr>
            </w:pPr>
          </w:p>
          <w:p w:rsidR="00092F31" w:rsidRPr="005111EB" w:rsidRDefault="00402ACB" w:rsidP="005111EB">
            <w:pPr>
              <w:keepNext/>
              <w:ind w:left="-108"/>
              <w:jc w:val="center"/>
              <w:rPr>
                <w:rFonts w:ascii="Arial Narrow" w:hAnsi="Arial Narrow"/>
                <w:color w:val="000000" w:themeColor="text1"/>
                <w:sz w:val="20"/>
                <w:szCs w:val="20"/>
              </w:rPr>
            </w:pPr>
            <w:r w:rsidRPr="005111EB">
              <w:rPr>
                <w:rFonts w:ascii="Arial Narrow" w:hAnsi="Arial Narrow"/>
                <w:color w:val="000000" w:themeColor="text1"/>
                <w:sz w:val="20"/>
                <w:szCs w:val="20"/>
              </w:rPr>
              <w:t>8</w:t>
            </w:r>
          </w:p>
          <w:p w:rsidR="00092F31" w:rsidRPr="005111EB" w:rsidRDefault="00092F31" w:rsidP="005111EB">
            <w:pPr>
              <w:keepNext/>
              <w:ind w:left="-108"/>
              <w:jc w:val="center"/>
              <w:rPr>
                <w:rFonts w:ascii="Arial Narrow" w:hAnsi="Arial Narrow"/>
                <w:color w:val="000000" w:themeColor="text1"/>
                <w:sz w:val="20"/>
                <w:szCs w:val="20"/>
              </w:rPr>
            </w:pPr>
          </w:p>
        </w:tc>
        <w:tc>
          <w:tcPr>
            <w:tcW w:w="1191" w:type="pct"/>
            <w:vAlign w:val="center"/>
          </w:tcPr>
          <w:p w:rsidR="00092F31" w:rsidRPr="005111EB" w:rsidRDefault="00092F31" w:rsidP="005111EB">
            <w:pPr>
              <w:keepNext/>
              <w:rPr>
                <w:rFonts w:ascii="Arial Narrow" w:hAnsi="Arial Narrow"/>
                <w:color w:val="000000" w:themeColor="text1"/>
                <w:sz w:val="20"/>
                <w:szCs w:val="20"/>
              </w:rPr>
            </w:pPr>
            <w:r w:rsidRPr="005111EB">
              <w:rPr>
                <w:rFonts w:ascii="Arial Narrow" w:hAnsi="Arial Narrow"/>
                <w:color w:val="000000" w:themeColor="text1"/>
                <w:sz w:val="20"/>
                <w:szCs w:val="20"/>
              </w:rPr>
              <w:t>Bristol-Myers Squibb Australia Pty Ltd</w:t>
            </w:r>
          </w:p>
        </w:tc>
      </w:tr>
      <w:tr w:rsidR="00092F31" w:rsidRPr="00B24C99" w:rsidTr="00ED72F2">
        <w:trPr>
          <w:cantSplit/>
          <w:trHeight w:val="360"/>
        </w:trPr>
        <w:tc>
          <w:tcPr>
            <w:tcW w:w="5000" w:type="pct"/>
            <w:gridSpan w:val="5"/>
          </w:tcPr>
          <w:p w:rsidR="00092F31" w:rsidRPr="005111EB" w:rsidRDefault="00092F31" w:rsidP="00ED72F2">
            <w:pPr>
              <w:rPr>
                <w:rFonts w:ascii="Arial Narrow" w:hAnsi="Arial Narrow"/>
                <w:b/>
                <w:color w:val="000000" w:themeColor="text1"/>
                <w:sz w:val="20"/>
                <w:szCs w:val="18"/>
              </w:rPr>
            </w:pPr>
            <w:r w:rsidRPr="005111EB">
              <w:rPr>
                <w:rFonts w:ascii="Arial Narrow" w:hAnsi="Arial Narrow"/>
                <w:b/>
                <w:color w:val="000000" w:themeColor="text1"/>
                <w:sz w:val="20"/>
                <w:szCs w:val="18"/>
              </w:rPr>
              <w:t>Available brands</w:t>
            </w:r>
          </w:p>
          <w:p w:rsidR="00092F31" w:rsidRPr="005111EB" w:rsidRDefault="00092F31" w:rsidP="00ED72F2">
            <w:pPr>
              <w:rPr>
                <w:rFonts w:ascii="Arial Narrow" w:hAnsi="Arial Narrow"/>
                <w:color w:val="000000" w:themeColor="text1"/>
                <w:sz w:val="20"/>
                <w:szCs w:val="18"/>
              </w:rPr>
            </w:pPr>
            <w:r w:rsidRPr="005111EB">
              <w:rPr>
                <w:rFonts w:ascii="Arial Narrow" w:hAnsi="Arial Narrow"/>
                <w:color w:val="000000" w:themeColor="text1"/>
                <w:sz w:val="20"/>
                <w:szCs w:val="18"/>
              </w:rPr>
              <w:t>Opdivo</w:t>
            </w:r>
          </w:p>
          <w:p w:rsidR="00092F31" w:rsidRPr="005111EB" w:rsidRDefault="00092F31" w:rsidP="00ED72F2">
            <w:pPr>
              <w:rPr>
                <w:rFonts w:ascii="Arial Narrow" w:hAnsi="Arial Narrow"/>
                <w:color w:val="000000" w:themeColor="text1"/>
                <w:sz w:val="20"/>
                <w:szCs w:val="18"/>
              </w:rPr>
            </w:pPr>
            <w:r w:rsidRPr="005111EB">
              <w:rPr>
                <w:rFonts w:ascii="Arial Narrow" w:hAnsi="Arial Narrow"/>
                <w:color w:val="000000" w:themeColor="text1"/>
                <w:sz w:val="20"/>
                <w:szCs w:val="18"/>
              </w:rPr>
              <w:t>(nivolumab 40 mg/4 mL injection, 4 mL vial)</w:t>
            </w:r>
          </w:p>
          <w:p w:rsidR="00092F31" w:rsidRPr="005111EB" w:rsidRDefault="00092F31" w:rsidP="00ED72F2">
            <w:pPr>
              <w:rPr>
                <w:rFonts w:ascii="Arial Narrow" w:hAnsi="Arial Narrow"/>
                <w:color w:val="000000" w:themeColor="text1"/>
                <w:sz w:val="20"/>
                <w:szCs w:val="18"/>
              </w:rPr>
            </w:pPr>
            <w:r w:rsidRPr="005111EB">
              <w:rPr>
                <w:rFonts w:ascii="Arial Narrow" w:hAnsi="Arial Narrow"/>
                <w:color w:val="000000" w:themeColor="text1"/>
                <w:sz w:val="20"/>
                <w:szCs w:val="18"/>
              </w:rPr>
              <w:t>Opdivo</w:t>
            </w:r>
          </w:p>
          <w:p w:rsidR="00092F31" w:rsidRPr="00B24C99" w:rsidRDefault="00092F31" w:rsidP="00ED72F2">
            <w:pPr>
              <w:rPr>
                <w:rFonts w:ascii="Arial Narrow" w:hAnsi="Arial Narrow"/>
                <w:color w:val="000000" w:themeColor="text1"/>
                <w:sz w:val="18"/>
                <w:szCs w:val="18"/>
              </w:rPr>
            </w:pPr>
            <w:r w:rsidRPr="005111EB">
              <w:rPr>
                <w:rFonts w:ascii="Arial Narrow" w:hAnsi="Arial Narrow"/>
                <w:color w:val="000000" w:themeColor="text1"/>
                <w:sz w:val="20"/>
                <w:szCs w:val="18"/>
              </w:rPr>
              <w:t>(nivolumab 100 mg/10 mL injection, 10 mL vial)</w:t>
            </w:r>
          </w:p>
        </w:tc>
      </w:tr>
    </w:tbl>
    <w:p w:rsidR="00092F31" w:rsidRPr="00B24C99" w:rsidRDefault="00092F31" w:rsidP="00092F31"/>
    <w:p w:rsidR="00092F31" w:rsidRPr="00B24C99" w:rsidRDefault="00092F31" w:rsidP="00092F31">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092F31" w:rsidRPr="00B24C99" w:rsidTr="00ED72F2">
        <w:tc>
          <w:tcPr>
            <w:tcW w:w="5000" w:type="pct"/>
            <w:tcBorders>
              <w:top w:val="single" w:sz="4" w:space="0" w:color="auto"/>
              <w:left w:val="single" w:sz="4" w:space="0" w:color="auto"/>
              <w:bottom w:val="single" w:sz="4" w:space="0" w:color="auto"/>
              <w:right w:val="single" w:sz="4" w:space="0" w:color="auto"/>
            </w:tcBorders>
          </w:tcPr>
          <w:p w:rsidR="00092F31" w:rsidRPr="00B24C99" w:rsidRDefault="00092F31" w:rsidP="00ED72F2">
            <w:pPr>
              <w:rPr>
                <w:rFonts w:ascii="Arial Narrow" w:hAnsi="Arial Narrow"/>
                <w:sz w:val="18"/>
                <w:szCs w:val="18"/>
              </w:rPr>
            </w:pPr>
            <w:r w:rsidRPr="00B24C99">
              <w:rPr>
                <w:rFonts w:ascii="Arial Narrow" w:hAnsi="Arial Narrow"/>
                <w:b/>
                <w:sz w:val="18"/>
                <w:szCs w:val="18"/>
              </w:rPr>
              <w:t xml:space="preserve">Category / Program:   </w:t>
            </w:r>
            <w:r w:rsidRPr="00B24C99">
              <w:rPr>
                <w:rFonts w:ascii="Arial Narrow" w:hAnsi="Arial Narrow"/>
                <w:sz w:val="18"/>
                <w:szCs w:val="18"/>
              </w:rPr>
              <w:t xml:space="preserve">Section 100 – Efficient Funding of Chemotherapy Public/Private hospitals </w:t>
            </w:r>
          </w:p>
        </w:tc>
      </w:tr>
      <w:tr w:rsidR="00092F31" w:rsidRPr="00B24C99" w:rsidTr="00ED72F2">
        <w:trPr>
          <w:trHeight w:val="240"/>
        </w:trPr>
        <w:tc>
          <w:tcPr>
            <w:tcW w:w="5000" w:type="pct"/>
            <w:tcBorders>
              <w:top w:val="single" w:sz="4" w:space="0" w:color="auto"/>
              <w:left w:val="single" w:sz="4" w:space="0" w:color="auto"/>
              <w:bottom w:val="single" w:sz="4" w:space="0" w:color="auto"/>
              <w:right w:val="single" w:sz="4" w:space="0" w:color="auto"/>
            </w:tcBorders>
          </w:tcPr>
          <w:p w:rsidR="00092F31" w:rsidRPr="00B24C99" w:rsidRDefault="00092F31" w:rsidP="00ED72F2">
            <w:pPr>
              <w:rPr>
                <w:rFonts w:ascii="Arial Narrow" w:hAnsi="Arial Narrow"/>
                <w:b/>
                <w:sz w:val="18"/>
                <w:szCs w:val="18"/>
              </w:rPr>
            </w:pPr>
            <w:r w:rsidRPr="00B24C99">
              <w:rPr>
                <w:rFonts w:ascii="Arial Narrow" w:hAnsi="Arial Narrow"/>
                <w:b/>
                <w:sz w:val="18"/>
                <w:szCs w:val="18"/>
              </w:rPr>
              <w:t xml:space="preserve">Prescriber type:   </w:t>
            </w:r>
            <w:r w:rsidRPr="00B24C99">
              <w:rPr>
                <w:rFonts w:ascii="Arial Narrow" w:hAnsi="Arial Narrow"/>
                <w:sz w:val="18"/>
                <w:szCs w:val="18"/>
              </w:rPr>
              <w:fldChar w:fldCharType="begin">
                <w:ffData>
                  <w:name w:val="Check1"/>
                  <w:enabled/>
                  <w:calcOnExit w:val="0"/>
                  <w:checkBox>
                    <w:sizeAuto/>
                    <w:default w:val="0"/>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 xml:space="preserve">Dental    </w:t>
            </w:r>
            <w:r w:rsidRPr="00B24C99">
              <w:rPr>
                <w:rFonts w:ascii="Arial Narrow" w:hAnsi="Arial Narrow"/>
                <w:sz w:val="18"/>
                <w:szCs w:val="18"/>
              </w:rPr>
              <w:fldChar w:fldCharType="begin">
                <w:ffData>
                  <w:name w:val=""/>
                  <w:enabled/>
                  <w:calcOnExit w:val="0"/>
                  <w:checkBox>
                    <w:sizeAuto/>
                    <w:default w:val="1"/>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 xml:space="preserve">Medical Practitioners    </w:t>
            </w:r>
            <w:r w:rsidRPr="00B24C99">
              <w:rPr>
                <w:rFonts w:ascii="Arial Narrow" w:hAnsi="Arial Narrow"/>
                <w:sz w:val="18"/>
                <w:szCs w:val="18"/>
              </w:rPr>
              <w:fldChar w:fldCharType="begin">
                <w:ffData>
                  <w:name w:val="Check3"/>
                  <w:enabled/>
                  <w:calcOnExit w:val="0"/>
                  <w:checkBox>
                    <w:sizeAuto/>
                    <w:default w:val="0"/>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 xml:space="preserve">Nurse practitioners     </w:t>
            </w:r>
            <w:r w:rsidRPr="00B24C99">
              <w:rPr>
                <w:rFonts w:ascii="Arial Narrow" w:hAnsi="Arial Narrow"/>
                <w:sz w:val="18"/>
                <w:szCs w:val="18"/>
              </w:rPr>
              <w:fldChar w:fldCharType="begin">
                <w:ffData>
                  <w:name w:val=""/>
                  <w:enabled/>
                  <w:calcOnExit w:val="0"/>
                  <w:checkBox>
                    <w:sizeAuto/>
                    <w:default w:val="0"/>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 xml:space="preserve">Optometrists    </w:t>
            </w:r>
            <w:r w:rsidRPr="00B24C99">
              <w:rPr>
                <w:rFonts w:ascii="Arial Narrow" w:hAnsi="Arial Narrow"/>
                <w:sz w:val="18"/>
                <w:szCs w:val="18"/>
              </w:rPr>
              <w:fldChar w:fldCharType="begin">
                <w:ffData>
                  <w:name w:val="Check5"/>
                  <w:enabled/>
                  <w:calcOnExit w:val="0"/>
                  <w:checkBox>
                    <w:sizeAuto/>
                    <w:default w:val="0"/>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Midwives</w:t>
            </w:r>
          </w:p>
        </w:tc>
      </w:tr>
      <w:tr w:rsidR="00092F31" w:rsidRPr="00B24C99" w:rsidTr="00ED72F2">
        <w:tc>
          <w:tcPr>
            <w:tcW w:w="5000" w:type="pct"/>
            <w:tcBorders>
              <w:top w:val="single" w:sz="4" w:space="0" w:color="auto"/>
              <w:left w:val="single" w:sz="4" w:space="0" w:color="auto"/>
              <w:bottom w:val="single" w:sz="4" w:space="0" w:color="auto"/>
              <w:right w:val="single" w:sz="4" w:space="0" w:color="auto"/>
            </w:tcBorders>
          </w:tcPr>
          <w:p w:rsidR="00092F31" w:rsidRPr="00B24C99" w:rsidRDefault="00092F31" w:rsidP="00ED72F2">
            <w:pPr>
              <w:rPr>
                <w:rFonts w:ascii="Arial Narrow" w:hAnsi="Arial Narrow"/>
                <w:b/>
                <w:sz w:val="18"/>
                <w:szCs w:val="18"/>
              </w:rPr>
            </w:pPr>
            <w:r w:rsidRPr="00B24C99">
              <w:rPr>
                <w:rFonts w:ascii="Arial Narrow" w:hAnsi="Arial Narrow"/>
                <w:b/>
                <w:sz w:val="18"/>
                <w:szCs w:val="18"/>
              </w:rPr>
              <w:t>Restriction Type – assessment time by Medicare – Method of obtaining authority approval (if Authority Required):</w:t>
            </w:r>
          </w:p>
          <w:p w:rsidR="00092F31" w:rsidRPr="00B24C99" w:rsidRDefault="00092F31" w:rsidP="00ED72F2">
            <w:pPr>
              <w:rPr>
                <w:rFonts w:ascii="Arial Narrow" w:eastAsia="Calibri" w:hAnsi="Arial Narrow"/>
                <w:sz w:val="18"/>
                <w:szCs w:val="18"/>
              </w:rPr>
            </w:pPr>
            <w:r w:rsidRPr="00B24C99">
              <w:rPr>
                <w:rFonts w:ascii="Arial Narrow" w:eastAsia="Calibri" w:hAnsi="Arial Narrow"/>
                <w:sz w:val="18"/>
                <w:szCs w:val="18"/>
              </w:rPr>
              <w:fldChar w:fldCharType="begin">
                <w:ffData>
                  <w:name w:val=""/>
                  <w:enabled/>
                  <w:calcOnExit w:val="0"/>
                  <w:checkBox>
                    <w:sizeAuto/>
                    <w:default w:val="1"/>
                  </w:checkBox>
                </w:ffData>
              </w:fldChar>
            </w:r>
            <w:r w:rsidRPr="00B24C99">
              <w:rPr>
                <w:rFonts w:ascii="Arial Narrow" w:eastAsia="Calibri" w:hAnsi="Arial Narrow"/>
                <w:sz w:val="18"/>
                <w:szCs w:val="18"/>
              </w:rPr>
              <w:instrText xml:space="preserve"> FORMCHECKBOX </w:instrText>
            </w:r>
            <w:r w:rsidR="006D409D">
              <w:rPr>
                <w:rFonts w:ascii="Arial Narrow" w:eastAsia="Calibri" w:hAnsi="Arial Narrow"/>
                <w:sz w:val="18"/>
                <w:szCs w:val="18"/>
              </w:rPr>
            </w:r>
            <w:r w:rsidR="006D409D">
              <w:rPr>
                <w:rFonts w:ascii="Arial Narrow" w:eastAsia="Calibri" w:hAnsi="Arial Narrow"/>
                <w:sz w:val="18"/>
                <w:szCs w:val="18"/>
              </w:rPr>
              <w:fldChar w:fldCharType="separate"/>
            </w:r>
            <w:r w:rsidRPr="00B24C99">
              <w:rPr>
                <w:rFonts w:ascii="Arial Narrow" w:eastAsia="Calibri" w:hAnsi="Arial Narrow"/>
                <w:sz w:val="18"/>
                <w:szCs w:val="18"/>
              </w:rPr>
              <w:fldChar w:fldCharType="end"/>
            </w:r>
            <w:r w:rsidRPr="00B24C99">
              <w:rPr>
                <w:rFonts w:ascii="Arial Narrow" w:eastAsia="Calibri" w:hAnsi="Arial Narrow"/>
                <w:sz w:val="18"/>
                <w:szCs w:val="18"/>
              </w:rPr>
              <w:t xml:space="preserve">Authority Required – Streamlined [new/existing code] (specification of 4-digit code by prescriber to certify that they have read the PBS restriction; no prior assessment by Medicare; retrospective audit of patient records possible) </w:t>
            </w:r>
          </w:p>
        </w:tc>
      </w:tr>
      <w:tr w:rsidR="00092F31" w:rsidRPr="00B24C99" w:rsidTr="00ED72F2">
        <w:tc>
          <w:tcPr>
            <w:tcW w:w="5000" w:type="pct"/>
            <w:vAlign w:val="center"/>
          </w:tcPr>
          <w:p w:rsidR="00092F31" w:rsidRPr="00B24C99" w:rsidRDefault="00092F31" w:rsidP="00ED72F2">
            <w:pPr>
              <w:rPr>
                <w:rFonts w:ascii="Arial Narrow" w:hAnsi="Arial Narrow"/>
                <w:bCs/>
                <w:color w:val="333333"/>
                <w:sz w:val="18"/>
                <w:szCs w:val="18"/>
              </w:rPr>
            </w:pPr>
            <w:r w:rsidRPr="00B24C99">
              <w:rPr>
                <w:rFonts w:ascii="Arial Narrow" w:hAnsi="Arial Narrow"/>
                <w:b/>
                <w:bCs/>
                <w:color w:val="000000" w:themeColor="text1"/>
                <w:sz w:val="18"/>
                <w:szCs w:val="18"/>
              </w:rPr>
              <w:t xml:space="preserve">Episodicity: </w:t>
            </w:r>
            <w:r w:rsidRPr="00B24C99">
              <w:rPr>
                <w:rFonts w:ascii="Arial Narrow" w:hAnsi="Arial Narrow"/>
                <w:bCs/>
                <w:color w:val="000000" w:themeColor="text1"/>
                <w:sz w:val="18"/>
                <w:szCs w:val="18"/>
              </w:rPr>
              <w:t>[nil]</w:t>
            </w:r>
          </w:p>
        </w:tc>
      </w:tr>
      <w:tr w:rsidR="0032752F" w:rsidRPr="00B24C99" w:rsidTr="00ED72F2">
        <w:tc>
          <w:tcPr>
            <w:tcW w:w="5000" w:type="pct"/>
            <w:vAlign w:val="center"/>
          </w:tcPr>
          <w:p w:rsidR="0032752F" w:rsidRPr="00B24C99" w:rsidRDefault="0032752F" w:rsidP="00402ACB">
            <w:pPr>
              <w:rPr>
                <w:rFonts w:ascii="Arial Narrow" w:hAnsi="Arial Narrow"/>
                <w:b/>
                <w:bCs/>
                <w:color w:val="000000" w:themeColor="text1"/>
                <w:sz w:val="18"/>
                <w:szCs w:val="18"/>
              </w:rPr>
            </w:pPr>
            <w:r>
              <w:rPr>
                <w:rFonts w:ascii="Arial Narrow" w:hAnsi="Arial Narrow"/>
                <w:b/>
                <w:bCs/>
                <w:color w:val="000000" w:themeColor="text1"/>
                <w:sz w:val="18"/>
                <w:szCs w:val="18"/>
              </w:rPr>
              <w:t xml:space="preserve">Severity: </w:t>
            </w:r>
            <w:r w:rsidRPr="0032752F">
              <w:rPr>
                <w:rFonts w:ascii="Arial Narrow" w:hAnsi="Arial Narrow"/>
                <w:bCs/>
                <w:color w:val="000000" w:themeColor="text1"/>
                <w:sz w:val="18"/>
                <w:szCs w:val="18"/>
              </w:rPr>
              <w:t>Unresectable</w:t>
            </w:r>
          </w:p>
        </w:tc>
      </w:tr>
      <w:tr w:rsidR="00092F31" w:rsidRPr="00B24C99" w:rsidTr="00ED72F2">
        <w:tc>
          <w:tcPr>
            <w:tcW w:w="5000" w:type="pct"/>
            <w:vAlign w:val="center"/>
          </w:tcPr>
          <w:p w:rsidR="00092F31" w:rsidRPr="00B24C99" w:rsidRDefault="00092F31" w:rsidP="00402ACB">
            <w:pPr>
              <w:rPr>
                <w:rFonts w:ascii="Arial Narrow" w:hAnsi="Arial Narrow"/>
                <w:b/>
                <w:bCs/>
                <w:color w:val="333333"/>
                <w:sz w:val="18"/>
                <w:szCs w:val="18"/>
              </w:rPr>
            </w:pPr>
            <w:r w:rsidRPr="00B24C99">
              <w:rPr>
                <w:rFonts w:ascii="Arial Narrow" w:hAnsi="Arial Narrow"/>
                <w:b/>
                <w:bCs/>
                <w:color w:val="000000" w:themeColor="text1"/>
                <w:sz w:val="18"/>
                <w:szCs w:val="18"/>
              </w:rPr>
              <w:t xml:space="preserve">Condition: </w:t>
            </w:r>
            <w:r w:rsidRPr="00B24C99">
              <w:rPr>
                <w:rFonts w:ascii="Arial Narrow" w:hAnsi="Arial Narrow"/>
                <w:bCs/>
                <w:color w:val="000000" w:themeColor="text1"/>
                <w:sz w:val="18"/>
                <w:szCs w:val="18"/>
              </w:rPr>
              <w:t>Malignant mesothelioma</w:t>
            </w:r>
          </w:p>
        </w:tc>
      </w:tr>
      <w:tr w:rsidR="00092F31" w:rsidRPr="00B24C99" w:rsidTr="00ED72F2">
        <w:tc>
          <w:tcPr>
            <w:tcW w:w="5000" w:type="pct"/>
            <w:vAlign w:val="center"/>
            <w:hideMark/>
          </w:tcPr>
          <w:p w:rsidR="00092F31" w:rsidRPr="00B24C99" w:rsidRDefault="00092F31" w:rsidP="00402ACB">
            <w:pPr>
              <w:rPr>
                <w:rFonts w:ascii="Arial Narrow" w:hAnsi="Arial Narrow"/>
                <w:color w:val="333333"/>
                <w:sz w:val="18"/>
                <w:szCs w:val="18"/>
              </w:rPr>
            </w:pPr>
            <w:r w:rsidRPr="00B24C99">
              <w:rPr>
                <w:rFonts w:ascii="Arial Narrow" w:hAnsi="Arial Narrow"/>
                <w:b/>
                <w:bCs/>
                <w:color w:val="000000" w:themeColor="text1"/>
                <w:sz w:val="18"/>
                <w:szCs w:val="18"/>
              </w:rPr>
              <w:t>Indication:</w:t>
            </w:r>
            <w:r w:rsidR="000D03D8">
              <w:rPr>
                <w:rFonts w:ascii="Arial Narrow" w:hAnsi="Arial Narrow"/>
                <w:b/>
                <w:bCs/>
                <w:color w:val="000000" w:themeColor="text1"/>
                <w:sz w:val="18"/>
                <w:szCs w:val="18"/>
              </w:rPr>
              <w:t xml:space="preserve"> </w:t>
            </w:r>
            <w:r w:rsidR="00E853CB" w:rsidRPr="00E853CB">
              <w:rPr>
                <w:rFonts w:ascii="Arial Narrow" w:hAnsi="Arial Narrow"/>
                <w:bCs/>
                <w:color w:val="000000" w:themeColor="text1"/>
                <w:sz w:val="18"/>
                <w:szCs w:val="18"/>
              </w:rPr>
              <w:t>Unresectable</w:t>
            </w:r>
            <w:r w:rsidR="00E853CB">
              <w:rPr>
                <w:rFonts w:ascii="Arial Narrow" w:hAnsi="Arial Narrow"/>
                <w:b/>
                <w:bCs/>
                <w:color w:val="000000" w:themeColor="text1"/>
                <w:sz w:val="18"/>
                <w:szCs w:val="18"/>
              </w:rPr>
              <w:t xml:space="preserve"> </w:t>
            </w:r>
            <w:r w:rsidR="00E853CB">
              <w:rPr>
                <w:rFonts w:ascii="Arial Narrow" w:hAnsi="Arial Narrow"/>
                <w:color w:val="000000" w:themeColor="text1"/>
                <w:sz w:val="18"/>
                <w:szCs w:val="18"/>
              </w:rPr>
              <w:t>m</w:t>
            </w:r>
            <w:r w:rsidRPr="00B24C99">
              <w:rPr>
                <w:rFonts w:ascii="Arial Narrow" w:hAnsi="Arial Narrow"/>
                <w:color w:val="000000" w:themeColor="text1"/>
                <w:sz w:val="18"/>
                <w:szCs w:val="18"/>
              </w:rPr>
              <w:t>alignant mesothelioma</w:t>
            </w:r>
          </w:p>
        </w:tc>
      </w:tr>
      <w:tr w:rsidR="00092F31" w:rsidRPr="00B24C99" w:rsidTr="00ED72F2">
        <w:tc>
          <w:tcPr>
            <w:tcW w:w="5000" w:type="pct"/>
            <w:vAlign w:val="center"/>
            <w:hideMark/>
          </w:tcPr>
          <w:p w:rsidR="00092F31" w:rsidRPr="00B24C99" w:rsidRDefault="00092F31" w:rsidP="00ED72F2">
            <w:pPr>
              <w:rPr>
                <w:rFonts w:ascii="Arial Narrow" w:hAnsi="Arial Narrow"/>
                <w:color w:val="333333"/>
                <w:sz w:val="18"/>
                <w:szCs w:val="18"/>
              </w:rPr>
            </w:pPr>
            <w:r w:rsidRPr="00B24C99">
              <w:rPr>
                <w:rFonts w:ascii="Arial Narrow" w:hAnsi="Arial Narrow"/>
                <w:b/>
                <w:bCs/>
                <w:color w:val="333333"/>
                <w:sz w:val="18"/>
                <w:szCs w:val="18"/>
              </w:rPr>
              <w:t>Clinical criteria:</w:t>
            </w:r>
          </w:p>
        </w:tc>
      </w:tr>
      <w:tr w:rsidR="00092F31" w:rsidRPr="00B24C99" w:rsidTr="00ED72F2">
        <w:tc>
          <w:tcPr>
            <w:tcW w:w="5000" w:type="pct"/>
            <w:vAlign w:val="center"/>
          </w:tcPr>
          <w:p w:rsidR="00092F31" w:rsidRPr="00B24C99" w:rsidRDefault="00092F31" w:rsidP="00092F31">
            <w:pPr>
              <w:rPr>
                <w:rFonts w:ascii="Arial Narrow" w:hAnsi="Arial Narrow"/>
                <w:b/>
                <w:bCs/>
                <w:color w:val="333333"/>
                <w:sz w:val="18"/>
                <w:szCs w:val="18"/>
              </w:rPr>
            </w:pPr>
            <w:r w:rsidRPr="00B24C99">
              <w:rPr>
                <w:rFonts w:ascii="Arial Narrow" w:hAnsi="Arial Narrow"/>
                <w:bCs/>
                <w:color w:val="000000" w:themeColor="text1"/>
                <w:sz w:val="18"/>
                <w:szCs w:val="18"/>
              </w:rPr>
              <w:t>Patient must have a WHO performance status of 0 or 1.</w:t>
            </w:r>
          </w:p>
        </w:tc>
      </w:tr>
      <w:tr w:rsidR="00092F31" w:rsidRPr="00B24C99" w:rsidTr="00ED72F2">
        <w:tc>
          <w:tcPr>
            <w:tcW w:w="5000" w:type="pct"/>
            <w:vAlign w:val="center"/>
          </w:tcPr>
          <w:p w:rsidR="00092F31" w:rsidRPr="00B24C99" w:rsidRDefault="00092F31" w:rsidP="00ED72F2">
            <w:pPr>
              <w:rPr>
                <w:rFonts w:ascii="Arial Narrow" w:hAnsi="Arial Narrow"/>
                <w:bCs/>
                <w:color w:val="000000" w:themeColor="text1"/>
                <w:sz w:val="18"/>
                <w:szCs w:val="18"/>
              </w:rPr>
            </w:pPr>
            <w:r w:rsidRPr="00B24C99">
              <w:rPr>
                <w:rFonts w:ascii="Arial Narrow" w:hAnsi="Arial Narrow"/>
                <w:bCs/>
                <w:color w:val="000000" w:themeColor="text1"/>
                <w:sz w:val="18"/>
                <w:szCs w:val="18"/>
              </w:rPr>
              <w:t>AND</w:t>
            </w:r>
          </w:p>
        </w:tc>
      </w:tr>
      <w:tr w:rsidR="00092F31" w:rsidRPr="00B24C99" w:rsidTr="00ED72F2">
        <w:tc>
          <w:tcPr>
            <w:tcW w:w="5000" w:type="pct"/>
            <w:vAlign w:val="center"/>
          </w:tcPr>
          <w:p w:rsidR="00092F31" w:rsidRPr="00B24C99" w:rsidRDefault="00092F31" w:rsidP="00ED72F2">
            <w:pPr>
              <w:rPr>
                <w:rFonts w:ascii="Arial Narrow" w:hAnsi="Arial Narrow"/>
                <w:bCs/>
                <w:color w:val="000000" w:themeColor="text1"/>
                <w:sz w:val="18"/>
                <w:szCs w:val="18"/>
              </w:rPr>
            </w:pPr>
            <w:r w:rsidRPr="00B24C99">
              <w:rPr>
                <w:rFonts w:ascii="Arial Narrow" w:hAnsi="Arial Narrow"/>
                <w:bCs/>
                <w:color w:val="000000" w:themeColor="text1"/>
                <w:sz w:val="18"/>
                <w:szCs w:val="18"/>
              </w:rPr>
              <w:t>The treatment must be in combination with  PBS-subsidised ipilimumab, unless an intolerance to ipilimumab of a severity necessitating permanent treatment withdrawal of ipilimumab</w:t>
            </w:r>
          </w:p>
        </w:tc>
      </w:tr>
      <w:tr w:rsidR="00092F31" w:rsidRPr="00B24C99" w:rsidTr="00ED72F2">
        <w:tc>
          <w:tcPr>
            <w:tcW w:w="5000" w:type="pct"/>
            <w:vAlign w:val="center"/>
          </w:tcPr>
          <w:p w:rsidR="00092F31" w:rsidRPr="00B24C99" w:rsidRDefault="00092F31" w:rsidP="00ED72F2">
            <w:pPr>
              <w:rPr>
                <w:rFonts w:ascii="Arial Narrow" w:hAnsi="Arial Narrow"/>
                <w:bCs/>
                <w:color w:val="000000" w:themeColor="text1"/>
                <w:sz w:val="18"/>
                <w:szCs w:val="18"/>
              </w:rPr>
            </w:pPr>
            <w:r w:rsidRPr="00B24C99">
              <w:rPr>
                <w:rFonts w:ascii="Arial Narrow" w:hAnsi="Arial Narrow"/>
                <w:bCs/>
                <w:color w:val="000000" w:themeColor="text1"/>
                <w:sz w:val="18"/>
                <w:szCs w:val="18"/>
              </w:rPr>
              <w:t>AND</w:t>
            </w:r>
          </w:p>
        </w:tc>
      </w:tr>
      <w:tr w:rsidR="00092F31" w:rsidRPr="00B24C99" w:rsidTr="00ED72F2">
        <w:tc>
          <w:tcPr>
            <w:tcW w:w="5000" w:type="pct"/>
            <w:vAlign w:val="center"/>
          </w:tcPr>
          <w:p w:rsidR="00092F31" w:rsidRPr="00B24C99" w:rsidRDefault="00092F31" w:rsidP="00ED72F2">
            <w:pPr>
              <w:spacing w:before="60" w:after="60"/>
              <w:rPr>
                <w:rFonts w:ascii="Verdana" w:hAnsi="Verdana"/>
                <w:sz w:val="18"/>
                <w:szCs w:val="18"/>
              </w:rPr>
            </w:pPr>
            <w:r w:rsidRPr="00B24C99">
              <w:rPr>
                <w:rFonts w:ascii="Arial Narrow" w:hAnsi="Arial Narrow"/>
                <w:bCs/>
                <w:color w:val="000000" w:themeColor="text1"/>
                <w:sz w:val="18"/>
                <w:szCs w:val="18"/>
              </w:rPr>
              <w:t>Patient must not have developed disease progression while being treated with this drug for this condition</w:t>
            </w:r>
          </w:p>
        </w:tc>
      </w:tr>
      <w:tr w:rsidR="00092F31" w:rsidRPr="00B24C99" w:rsidTr="00ED72F2">
        <w:tc>
          <w:tcPr>
            <w:tcW w:w="5000" w:type="pct"/>
            <w:vAlign w:val="center"/>
          </w:tcPr>
          <w:p w:rsidR="00092F31" w:rsidRPr="00B24C99" w:rsidRDefault="00092F31" w:rsidP="00ED72F2">
            <w:pPr>
              <w:rPr>
                <w:rFonts w:ascii="Arial Narrow" w:hAnsi="Arial Narrow"/>
                <w:b/>
                <w:bCs/>
                <w:color w:val="000000" w:themeColor="text1"/>
                <w:sz w:val="18"/>
                <w:szCs w:val="18"/>
              </w:rPr>
            </w:pPr>
            <w:r w:rsidRPr="00B24C99">
              <w:rPr>
                <w:rFonts w:ascii="Arial Narrow" w:hAnsi="Arial Narrow"/>
                <w:bCs/>
                <w:color w:val="000000" w:themeColor="text1"/>
                <w:sz w:val="18"/>
                <w:szCs w:val="18"/>
              </w:rPr>
              <w:t>AND</w:t>
            </w:r>
          </w:p>
        </w:tc>
      </w:tr>
      <w:tr w:rsidR="00092F31" w:rsidRPr="00B24C99" w:rsidTr="00ED72F2">
        <w:tc>
          <w:tcPr>
            <w:tcW w:w="5000" w:type="pct"/>
            <w:vAlign w:val="center"/>
          </w:tcPr>
          <w:p w:rsidR="00092F31" w:rsidRPr="00B24C99" w:rsidRDefault="00092F31" w:rsidP="00ED72F2">
            <w:pPr>
              <w:spacing w:before="60" w:after="60"/>
              <w:rPr>
                <w:rFonts w:ascii="Verdana" w:hAnsi="Verdana"/>
                <w:sz w:val="18"/>
                <w:szCs w:val="18"/>
              </w:rPr>
            </w:pPr>
            <w:r w:rsidRPr="00B24C99">
              <w:rPr>
                <w:rFonts w:ascii="Arial Narrow" w:hAnsi="Arial Narrow"/>
                <w:bCs/>
                <w:color w:val="000000" w:themeColor="text1"/>
                <w:sz w:val="18"/>
                <w:szCs w:val="18"/>
              </w:rPr>
              <w:t>The treatment must not exceed a maximum total of 24 months in a lifetime for this condition.</w:t>
            </w:r>
          </w:p>
        </w:tc>
      </w:tr>
      <w:tr w:rsidR="00092F31" w:rsidRPr="00B24C99" w:rsidTr="00ED72F2">
        <w:tc>
          <w:tcPr>
            <w:tcW w:w="5000" w:type="pct"/>
            <w:vAlign w:val="center"/>
            <w:hideMark/>
          </w:tcPr>
          <w:p w:rsidR="00092F31" w:rsidRPr="00B24C99" w:rsidRDefault="00092F31" w:rsidP="00ED72F2">
            <w:pPr>
              <w:rPr>
                <w:rFonts w:ascii="Arial Narrow" w:hAnsi="Arial Narrow"/>
                <w:color w:val="333333"/>
                <w:sz w:val="18"/>
                <w:szCs w:val="18"/>
              </w:rPr>
            </w:pPr>
            <w:r w:rsidRPr="00B24C99">
              <w:rPr>
                <w:rFonts w:ascii="Arial Narrow" w:hAnsi="Arial Narrow"/>
                <w:b/>
                <w:bCs/>
                <w:color w:val="000000" w:themeColor="text1"/>
                <w:sz w:val="18"/>
                <w:szCs w:val="18"/>
              </w:rPr>
              <w:t>Administrative Advice:</w:t>
            </w:r>
            <w:r w:rsidRPr="00B24C99">
              <w:rPr>
                <w:rFonts w:ascii="Arial Narrow" w:hAnsi="Arial Narrow"/>
                <w:color w:val="000000" w:themeColor="text1"/>
                <w:sz w:val="18"/>
                <w:szCs w:val="18"/>
              </w:rPr>
              <w:t xml:space="preserve"> No increase in the maximum number of repeats may be authorised</w:t>
            </w:r>
          </w:p>
        </w:tc>
      </w:tr>
      <w:tr w:rsidR="00092F31" w:rsidRPr="00B24C99" w:rsidTr="00ED72F2">
        <w:tc>
          <w:tcPr>
            <w:tcW w:w="5000" w:type="pct"/>
            <w:vAlign w:val="center"/>
            <w:hideMark/>
          </w:tcPr>
          <w:p w:rsidR="00092F31" w:rsidRPr="00B24C99" w:rsidRDefault="00092F31" w:rsidP="00ED72F2">
            <w:pPr>
              <w:rPr>
                <w:rFonts w:ascii="Arial Narrow" w:hAnsi="Arial Narrow"/>
                <w:color w:val="333333"/>
                <w:sz w:val="18"/>
                <w:szCs w:val="18"/>
              </w:rPr>
            </w:pPr>
            <w:r w:rsidRPr="00B24C99">
              <w:rPr>
                <w:rFonts w:ascii="Arial Narrow" w:hAnsi="Arial Narrow"/>
                <w:b/>
                <w:bCs/>
                <w:color w:val="000000" w:themeColor="text1"/>
                <w:sz w:val="18"/>
                <w:szCs w:val="18"/>
              </w:rPr>
              <w:t xml:space="preserve">Administrative Advice: </w:t>
            </w:r>
            <w:r w:rsidRPr="00B24C99">
              <w:rPr>
                <w:rFonts w:ascii="Arial Narrow" w:hAnsi="Arial Narrow"/>
                <w:bCs/>
                <w:color w:val="000000" w:themeColor="text1"/>
                <w:sz w:val="18"/>
                <w:szCs w:val="18"/>
              </w:rPr>
              <w:t>Special Pricing Arrangements apply</w:t>
            </w:r>
          </w:p>
        </w:tc>
      </w:tr>
      <w:tr w:rsidR="00092F31" w:rsidRPr="00B24C99" w:rsidTr="00ED72F2">
        <w:tc>
          <w:tcPr>
            <w:tcW w:w="5000" w:type="pct"/>
            <w:vAlign w:val="center"/>
            <w:hideMark/>
          </w:tcPr>
          <w:p w:rsidR="00092F31" w:rsidRPr="00B24C99" w:rsidRDefault="00092F31" w:rsidP="00ED72F2">
            <w:pPr>
              <w:rPr>
                <w:rFonts w:ascii="Arial Narrow" w:hAnsi="Arial Narrow"/>
                <w:bCs/>
                <w:color w:val="000000" w:themeColor="text1"/>
                <w:sz w:val="18"/>
                <w:szCs w:val="18"/>
              </w:rPr>
            </w:pPr>
            <w:r w:rsidRPr="00B24C99">
              <w:rPr>
                <w:rFonts w:ascii="Arial Narrow" w:hAnsi="Arial Narrow"/>
                <w:b/>
                <w:bCs/>
                <w:color w:val="000000" w:themeColor="text1"/>
                <w:sz w:val="18"/>
                <w:szCs w:val="18"/>
              </w:rPr>
              <w:t>Administrative Advice:</w:t>
            </w:r>
            <w:r w:rsidRPr="00B24C99">
              <w:rPr>
                <w:rFonts w:ascii="Arial Narrow" w:hAnsi="Arial Narrow"/>
                <w:bCs/>
                <w:color w:val="000000" w:themeColor="text1"/>
                <w:sz w:val="18"/>
                <w:szCs w:val="18"/>
              </w:rPr>
              <w:t xml:space="preserve"> In the first few months after start of immunotherapy, some patients can have a transient tumour flare with subsequent disease response. When progression is suspected, this should be confirmed through a confirmatory scan, taken at least 4 weeks later.</w:t>
            </w:r>
          </w:p>
          <w:p w:rsidR="00092F31" w:rsidRPr="00B24C99" w:rsidRDefault="00092F31" w:rsidP="00ED72F2">
            <w:pPr>
              <w:rPr>
                <w:rFonts w:ascii="Arial Narrow" w:hAnsi="Arial Narrow"/>
                <w:bCs/>
                <w:color w:val="000000" w:themeColor="text1"/>
                <w:sz w:val="18"/>
                <w:szCs w:val="18"/>
              </w:rPr>
            </w:pPr>
          </w:p>
          <w:p w:rsidR="00092F31" w:rsidRPr="00B24C99" w:rsidRDefault="00092F31" w:rsidP="00ED72F2">
            <w:pPr>
              <w:rPr>
                <w:rFonts w:ascii="Arial Narrow" w:hAnsi="Arial Narrow"/>
                <w:color w:val="333333"/>
                <w:sz w:val="18"/>
                <w:szCs w:val="18"/>
              </w:rPr>
            </w:pPr>
            <w:r w:rsidRPr="00B24C99">
              <w:rPr>
                <w:rFonts w:ascii="Arial Narrow" w:hAnsi="Arial Narrow"/>
                <w:color w:val="333333"/>
                <w:sz w:val="18"/>
                <w:szCs w:val="18"/>
              </w:rPr>
              <w:t xml:space="preserve">CAUTION: Combination treatment with ipilimumab and nivolumab is associated with an increased incidence and severity of immune-related adverse reactions compared with monotherapy with these agents. Monitoring at least prior to each dose is recommended. </w:t>
            </w:r>
          </w:p>
          <w:p w:rsidR="00402ACB" w:rsidRPr="00B24C99" w:rsidRDefault="00402ACB" w:rsidP="00ED72F2">
            <w:pPr>
              <w:rPr>
                <w:rFonts w:ascii="Arial Narrow" w:hAnsi="Arial Narrow"/>
                <w:color w:val="333333"/>
                <w:sz w:val="18"/>
                <w:szCs w:val="18"/>
              </w:rPr>
            </w:pPr>
          </w:p>
          <w:p w:rsidR="00092F31" w:rsidRPr="00B24C99" w:rsidRDefault="00402ACB" w:rsidP="00ED72F2">
            <w:pPr>
              <w:rPr>
                <w:rFonts w:ascii="Arial Narrow" w:hAnsi="Arial Narrow"/>
                <w:color w:val="333333"/>
                <w:sz w:val="18"/>
                <w:szCs w:val="18"/>
              </w:rPr>
            </w:pPr>
            <w:r w:rsidRPr="00B24C99">
              <w:rPr>
                <w:rFonts w:ascii="Arial Narrow" w:hAnsi="Arial Narrow"/>
                <w:color w:val="333333"/>
                <w:sz w:val="18"/>
                <w:szCs w:val="18"/>
              </w:rPr>
              <w:t>An increase of number of repeats may be authorised up to 11 if the patient is receiving a weight based dosing of 3mg/kg every 2 weeks.</w:t>
            </w:r>
          </w:p>
          <w:p w:rsidR="00402ACB" w:rsidRPr="00B24C99" w:rsidRDefault="00402ACB" w:rsidP="00ED72F2">
            <w:pPr>
              <w:rPr>
                <w:rFonts w:ascii="Arial Narrow" w:hAnsi="Arial Narrow"/>
                <w:color w:val="333333"/>
                <w:sz w:val="18"/>
                <w:szCs w:val="18"/>
              </w:rPr>
            </w:pPr>
          </w:p>
          <w:p w:rsidR="00402ACB" w:rsidRPr="00B24C99" w:rsidRDefault="00402ACB" w:rsidP="00402ACB">
            <w:pPr>
              <w:rPr>
                <w:rFonts w:ascii="Arial Narrow" w:hAnsi="Arial Narrow"/>
                <w:color w:val="333333"/>
                <w:sz w:val="18"/>
                <w:szCs w:val="18"/>
              </w:rPr>
            </w:pPr>
            <w:r w:rsidRPr="00B24C99">
              <w:rPr>
                <w:rFonts w:ascii="Arial Narrow" w:hAnsi="Arial Narrow"/>
                <w:color w:val="333333"/>
                <w:sz w:val="18"/>
                <w:szCs w:val="18"/>
              </w:rPr>
              <w:t xml:space="preserve">The patient's body weight must be documented in the patient's medical records at the time treatment is initiated </w:t>
            </w:r>
          </w:p>
          <w:p w:rsidR="00092F31" w:rsidRPr="00B24C99" w:rsidRDefault="00092F31" w:rsidP="00ED72F2">
            <w:pPr>
              <w:rPr>
                <w:rFonts w:ascii="Arial Narrow" w:hAnsi="Arial Narrow"/>
                <w:color w:val="333333"/>
                <w:sz w:val="18"/>
                <w:szCs w:val="18"/>
              </w:rPr>
            </w:pPr>
          </w:p>
        </w:tc>
      </w:tr>
    </w:tbl>
    <w:p w:rsidR="00092F31" w:rsidRPr="00B24C99" w:rsidRDefault="00092F31" w:rsidP="00092F31">
      <w:pPr>
        <w:rPr>
          <w:b/>
          <w:u w:val="single"/>
        </w:rPr>
      </w:pPr>
    </w:p>
    <w:p w:rsidR="00092F31" w:rsidRPr="00B24C99" w:rsidRDefault="00092F31" w:rsidP="00092F31">
      <w:pPr>
        <w:spacing w:after="120"/>
        <w:rPr>
          <w:rFonts w:asciiTheme="minorHAnsi" w:hAnsiTheme="minorHAnsi" w:cstheme="minorHAnsi"/>
          <w:i/>
        </w:rPr>
      </w:pPr>
      <w:r w:rsidRPr="00B24C99">
        <w:rPr>
          <w:rFonts w:asciiTheme="minorHAnsi" w:hAnsiTheme="minorHAnsi" w:cstheme="minorHAnsi"/>
          <w:i/>
        </w:rPr>
        <w:t>Add new indication to ipilimumab as follows: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727"/>
        <w:gridCol w:w="1305"/>
        <w:gridCol w:w="1679"/>
        <w:gridCol w:w="2316"/>
      </w:tblGrid>
      <w:tr w:rsidR="00092F31" w:rsidRPr="00B24C99" w:rsidTr="00ED72F2">
        <w:trPr>
          <w:tblHeader/>
        </w:trPr>
        <w:tc>
          <w:tcPr>
            <w:tcW w:w="2064" w:type="pct"/>
            <w:tcBorders>
              <w:bottom w:val="single" w:sz="4" w:space="0" w:color="auto"/>
            </w:tcBorders>
          </w:tcPr>
          <w:p w:rsidR="00092F31" w:rsidRPr="00B24C99" w:rsidRDefault="00092F31" w:rsidP="00ED72F2">
            <w:pPr>
              <w:jc w:val="left"/>
              <w:rPr>
                <w:rFonts w:ascii="Arial Narrow" w:hAnsi="Arial Narrow"/>
                <w:b/>
                <w:sz w:val="20"/>
                <w:szCs w:val="20"/>
              </w:rPr>
            </w:pPr>
            <w:r w:rsidRPr="00B24C99">
              <w:rPr>
                <w:rFonts w:ascii="Arial Narrow" w:hAnsi="Arial Narrow"/>
                <w:b/>
                <w:sz w:val="20"/>
                <w:szCs w:val="20"/>
              </w:rPr>
              <w:lastRenderedPageBreak/>
              <w:t>Name, restriction, manner of administration, form</w:t>
            </w:r>
          </w:p>
        </w:tc>
        <w:tc>
          <w:tcPr>
            <w:tcW w:w="723" w:type="pct"/>
            <w:tcBorders>
              <w:bottom w:val="single" w:sz="4" w:space="0" w:color="auto"/>
            </w:tcBorders>
          </w:tcPr>
          <w:p w:rsidR="00092F31" w:rsidRPr="00B24C99" w:rsidRDefault="00092F31" w:rsidP="00ED72F2">
            <w:pPr>
              <w:jc w:val="center"/>
              <w:rPr>
                <w:rFonts w:ascii="Arial Narrow" w:hAnsi="Arial Narrow"/>
                <w:b/>
                <w:sz w:val="20"/>
                <w:szCs w:val="20"/>
              </w:rPr>
            </w:pPr>
            <w:r w:rsidRPr="00B24C99">
              <w:rPr>
                <w:rFonts w:ascii="Arial Narrow" w:hAnsi="Arial Narrow"/>
                <w:b/>
                <w:sz w:val="20"/>
                <w:szCs w:val="20"/>
              </w:rPr>
              <w:t>Maximum amount</w:t>
            </w:r>
          </w:p>
        </w:tc>
        <w:tc>
          <w:tcPr>
            <w:tcW w:w="930" w:type="pct"/>
            <w:tcBorders>
              <w:bottom w:val="single" w:sz="4" w:space="0" w:color="auto"/>
            </w:tcBorders>
          </w:tcPr>
          <w:p w:rsidR="00092F31" w:rsidRPr="00B24C99" w:rsidRDefault="00092F31" w:rsidP="00ED72F2">
            <w:pPr>
              <w:jc w:val="center"/>
              <w:rPr>
                <w:rFonts w:ascii="Arial Narrow" w:hAnsi="Arial Narrow"/>
                <w:b/>
                <w:sz w:val="20"/>
                <w:szCs w:val="20"/>
              </w:rPr>
            </w:pPr>
            <w:r w:rsidRPr="00B24C99">
              <w:rPr>
                <w:rFonts w:ascii="Arial Narrow" w:hAnsi="Arial Narrow"/>
                <w:b/>
                <w:sz w:val="20"/>
                <w:szCs w:val="20"/>
              </w:rPr>
              <w:t>No. of repeats</w:t>
            </w:r>
          </w:p>
        </w:tc>
        <w:tc>
          <w:tcPr>
            <w:tcW w:w="1283" w:type="pct"/>
            <w:tcBorders>
              <w:bottom w:val="single" w:sz="4" w:space="0" w:color="auto"/>
            </w:tcBorders>
          </w:tcPr>
          <w:p w:rsidR="00092F31" w:rsidRPr="00B24C99" w:rsidRDefault="00092F31" w:rsidP="00ED72F2">
            <w:pPr>
              <w:rPr>
                <w:rFonts w:ascii="Arial Narrow" w:hAnsi="Arial Narrow"/>
                <w:b/>
                <w:sz w:val="20"/>
                <w:szCs w:val="20"/>
              </w:rPr>
            </w:pPr>
            <w:r w:rsidRPr="00B24C99">
              <w:rPr>
                <w:rFonts w:ascii="Arial Narrow" w:hAnsi="Arial Narrow"/>
                <w:b/>
                <w:sz w:val="20"/>
                <w:szCs w:val="20"/>
              </w:rPr>
              <w:t>Proprietary name and manufacturer</w:t>
            </w:r>
          </w:p>
        </w:tc>
      </w:tr>
      <w:tr w:rsidR="00092F31" w:rsidRPr="00B24C99" w:rsidTr="00ED72F2">
        <w:tc>
          <w:tcPr>
            <w:tcW w:w="2064" w:type="pct"/>
            <w:tcBorders>
              <w:bottom w:val="single" w:sz="4" w:space="0" w:color="auto"/>
            </w:tcBorders>
            <w:vAlign w:val="center"/>
          </w:tcPr>
          <w:p w:rsidR="00092F31" w:rsidRPr="00B24C99" w:rsidRDefault="00092F31" w:rsidP="00ED72F2">
            <w:pPr>
              <w:pStyle w:val="TableText0"/>
              <w:rPr>
                <w:smallCaps/>
              </w:rPr>
            </w:pPr>
            <w:r w:rsidRPr="00B24C99">
              <w:rPr>
                <w:smallCaps/>
              </w:rPr>
              <w:t xml:space="preserve">Ipilimumab </w:t>
            </w:r>
          </w:p>
          <w:p w:rsidR="00092F31" w:rsidRPr="00B24C99" w:rsidRDefault="00092F31" w:rsidP="00ED72F2">
            <w:pPr>
              <w:pStyle w:val="TableText0"/>
            </w:pPr>
            <w:r w:rsidRPr="00B24C99">
              <w:t>50 mg/10 mL injection, 10 mL vial</w:t>
            </w:r>
          </w:p>
        </w:tc>
        <w:tc>
          <w:tcPr>
            <w:tcW w:w="723" w:type="pct"/>
            <w:tcBorders>
              <w:bottom w:val="single" w:sz="4" w:space="0" w:color="auto"/>
            </w:tcBorders>
            <w:vAlign w:val="center"/>
          </w:tcPr>
          <w:p w:rsidR="00092F31" w:rsidRPr="00B24C99" w:rsidRDefault="00092F31" w:rsidP="00ED72F2">
            <w:pPr>
              <w:pStyle w:val="TableText0"/>
              <w:jc w:val="center"/>
            </w:pPr>
            <w:r w:rsidRPr="00B24C99">
              <w:t>120 mg</w:t>
            </w:r>
          </w:p>
        </w:tc>
        <w:tc>
          <w:tcPr>
            <w:tcW w:w="930" w:type="pct"/>
            <w:tcBorders>
              <w:bottom w:val="single" w:sz="4" w:space="0" w:color="auto"/>
            </w:tcBorders>
            <w:vAlign w:val="center"/>
          </w:tcPr>
          <w:p w:rsidR="00092F31" w:rsidRPr="00B24C99" w:rsidRDefault="00910B68" w:rsidP="00ED72F2">
            <w:pPr>
              <w:pStyle w:val="TableText0"/>
              <w:jc w:val="center"/>
            </w:pPr>
            <w:r>
              <w:t>3</w:t>
            </w:r>
            <w:r w:rsidRPr="00B24C99">
              <w:rPr>
                <w:vertAlign w:val="superscript"/>
              </w:rPr>
              <w:t xml:space="preserve"> </w:t>
            </w:r>
          </w:p>
        </w:tc>
        <w:tc>
          <w:tcPr>
            <w:tcW w:w="1283" w:type="pct"/>
            <w:tcBorders>
              <w:bottom w:val="single" w:sz="4" w:space="0" w:color="auto"/>
            </w:tcBorders>
            <w:vAlign w:val="center"/>
          </w:tcPr>
          <w:p w:rsidR="00092F31" w:rsidRPr="00B24C99" w:rsidRDefault="00092F31" w:rsidP="00ED72F2">
            <w:pPr>
              <w:pStyle w:val="TableText0"/>
            </w:pPr>
            <w:r w:rsidRPr="00B24C99">
              <w:t>Yervoy</w:t>
            </w:r>
            <w:r w:rsidRPr="00B24C99">
              <w:rPr>
                <w:vertAlign w:val="superscript"/>
              </w:rPr>
              <w:t>®</w:t>
            </w:r>
          </w:p>
          <w:p w:rsidR="00092F31" w:rsidRPr="00B24C99" w:rsidRDefault="00092F31" w:rsidP="00ED72F2">
            <w:pPr>
              <w:pStyle w:val="TableText0"/>
            </w:pPr>
            <w:r w:rsidRPr="00B24C99">
              <w:t>Bristol-Myers Squibb Australia Pty Ltd</w:t>
            </w:r>
          </w:p>
        </w:tc>
      </w:tr>
    </w:tbl>
    <w:p w:rsidR="00092F31" w:rsidRPr="00B24C99" w:rsidRDefault="00092F31" w:rsidP="00092F31">
      <w:pPr>
        <w:spacing w:after="120"/>
        <w:rPr>
          <w:rFonts w:asciiTheme="minorHAnsi" w:hAnsiTheme="minorHAnsi" w:cstheme="min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092F31" w:rsidRPr="00B24C99" w:rsidTr="00ED72F2">
        <w:tc>
          <w:tcPr>
            <w:tcW w:w="5000" w:type="pct"/>
            <w:tcBorders>
              <w:top w:val="single" w:sz="4" w:space="0" w:color="auto"/>
              <w:left w:val="single" w:sz="4" w:space="0" w:color="auto"/>
              <w:bottom w:val="single" w:sz="4" w:space="0" w:color="auto"/>
              <w:right w:val="single" w:sz="4" w:space="0" w:color="auto"/>
            </w:tcBorders>
          </w:tcPr>
          <w:p w:rsidR="00092F31" w:rsidRPr="00B24C99" w:rsidRDefault="00092F31" w:rsidP="00ED72F2">
            <w:pPr>
              <w:rPr>
                <w:rFonts w:ascii="Arial Narrow" w:hAnsi="Arial Narrow"/>
                <w:sz w:val="18"/>
                <w:szCs w:val="18"/>
              </w:rPr>
            </w:pPr>
            <w:r w:rsidRPr="00B24C99">
              <w:rPr>
                <w:rFonts w:ascii="Arial Narrow" w:hAnsi="Arial Narrow"/>
                <w:b/>
                <w:sz w:val="18"/>
                <w:szCs w:val="18"/>
              </w:rPr>
              <w:t xml:space="preserve">Category / Program:   </w:t>
            </w:r>
            <w:r w:rsidRPr="00B24C99">
              <w:rPr>
                <w:rFonts w:ascii="Arial Narrow" w:hAnsi="Arial Narrow"/>
                <w:sz w:val="18"/>
                <w:szCs w:val="18"/>
              </w:rPr>
              <w:t xml:space="preserve">Section 100 – Efficient Funding of Chemotherapy Public/Private hospitals </w:t>
            </w:r>
          </w:p>
        </w:tc>
      </w:tr>
      <w:tr w:rsidR="00092F31" w:rsidRPr="00B24C99" w:rsidTr="00ED72F2">
        <w:trPr>
          <w:trHeight w:val="240"/>
        </w:trPr>
        <w:tc>
          <w:tcPr>
            <w:tcW w:w="5000" w:type="pct"/>
            <w:tcBorders>
              <w:top w:val="single" w:sz="4" w:space="0" w:color="auto"/>
              <w:left w:val="single" w:sz="4" w:space="0" w:color="auto"/>
              <w:bottom w:val="single" w:sz="4" w:space="0" w:color="auto"/>
              <w:right w:val="single" w:sz="4" w:space="0" w:color="auto"/>
            </w:tcBorders>
          </w:tcPr>
          <w:p w:rsidR="00092F31" w:rsidRPr="00B24C99" w:rsidRDefault="00092F31" w:rsidP="00ED72F2">
            <w:pPr>
              <w:rPr>
                <w:rFonts w:ascii="Arial Narrow" w:hAnsi="Arial Narrow"/>
                <w:b/>
                <w:sz w:val="18"/>
                <w:szCs w:val="18"/>
              </w:rPr>
            </w:pPr>
            <w:r w:rsidRPr="00B24C99">
              <w:rPr>
                <w:rFonts w:ascii="Arial Narrow" w:hAnsi="Arial Narrow"/>
                <w:b/>
                <w:sz w:val="18"/>
                <w:szCs w:val="18"/>
              </w:rPr>
              <w:t xml:space="preserve">Prescriber type:   </w:t>
            </w:r>
            <w:r w:rsidRPr="00B24C99">
              <w:rPr>
                <w:rFonts w:ascii="Arial Narrow" w:hAnsi="Arial Narrow"/>
                <w:sz w:val="18"/>
                <w:szCs w:val="18"/>
              </w:rPr>
              <w:fldChar w:fldCharType="begin">
                <w:ffData>
                  <w:name w:val="Check1"/>
                  <w:enabled/>
                  <w:calcOnExit w:val="0"/>
                  <w:checkBox>
                    <w:sizeAuto/>
                    <w:default w:val="0"/>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 xml:space="preserve">Dental    </w:t>
            </w:r>
            <w:r w:rsidRPr="00B24C99">
              <w:rPr>
                <w:rFonts w:ascii="Arial Narrow" w:hAnsi="Arial Narrow"/>
                <w:sz w:val="18"/>
                <w:szCs w:val="18"/>
              </w:rPr>
              <w:fldChar w:fldCharType="begin">
                <w:ffData>
                  <w:name w:val=""/>
                  <w:enabled/>
                  <w:calcOnExit w:val="0"/>
                  <w:checkBox>
                    <w:sizeAuto/>
                    <w:default w:val="1"/>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 xml:space="preserve">Medical Practitioners    </w:t>
            </w:r>
            <w:r w:rsidRPr="00B24C99">
              <w:rPr>
                <w:rFonts w:ascii="Arial Narrow" w:hAnsi="Arial Narrow"/>
                <w:sz w:val="18"/>
                <w:szCs w:val="18"/>
              </w:rPr>
              <w:fldChar w:fldCharType="begin">
                <w:ffData>
                  <w:name w:val="Check3"/>
                  <w:enabled/>
                  <w:calcOnExit w:val="0"/>
                  <w:checkBox>
                    <w:sizeAuto/>
                    <w:default w:val="0"/>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 xml:space="preserve">Nurse practitioners     </w:t>
            </w:r>
            <w:r w:rsidRPr="00B24C99">
              <w:rPr>
                <w:rFonts w:ascii="Arial Narrow" w:hAnsi="Arial Narrow"/>
                <w:sz w:val="18"/>
                <w:szCs w:val="18"/>
              </w:rPr>
              <w:fldChar w:fldCharType="begin">
                <w:ffData>
                  <w:name w:val=""/>
                  <w:enabled/>
                  <w:calcOnExit w:val="0"/>
                  <w:checkBox>
                    <w:sizeAuto/>
                    <w:default w:val="0"/>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 xml:space="preserve">Optometrists    </w:t>
            </w:r>
            <w:r w:rsidRPr="00B24C99">
              <w:rPr>
                <w:rFonts w:ascii="Arial Narrow" w:hAnsi="Arial Narrow"/>
                <w:sz w:val="18"/>
                <w:szCs w:val="18"/>
              </w:rPr>
              <w:fldChar w:fldCharType="begin">
                <w:ffData>
                  <w:name w:val="Check5"/>
                  <w:enabled/>
                  <w:calcOnExit w:val="0"/>
                  <w:checkBox>
                    <w:sizeAuto/>
                    <w:default w:val="0"/>
                  </w:checkBox>
                </w:ffData>
              </w:fldChar>
            </w:r>
            <w:r w:rsidRPr="00B24C99">
              <w:rPr>
                <w:rFonts w:ascii="Arial Narrow" w:hAnsi="Arial Narrow"/>
                <w:sz w:val="18"/>
                <w:szCs w:val="18"/>
              </w:rPr>
              <w:instrText xml:space="preserve"> FORMCHECKBOX </w:instrText>
            </w:r>
            <w:r w:rsidR="006D409D">
              <w:rPr>
                <w:rFonts w:ascii="Arial Narrow" w:hAnsi="Arial Narrow"/>
                <w:sz w:val="18"/>
                <w:szCs w:val="18"/>
              </w:rPr>
            </w:r>
            <w:r w:rsidR="006D409D">
              <w:rPr>
                <w:rFonts w:ascii="Arial Narrow" w:hAnsi="Arial Narrow"/>
                <w:sz w:val="18"/>
                <w:szCs w:val="18"/>
              </w:rPr>
              <w:fldChar w:fldCharType="separate"/>
            </w:r>
            <w:r w:rsidRPr="00B24C99">
              <w:rPr>
                <w:rFonts w:ascii="Arial Narrow" w:hAnsi="Arial Narrow"/>
                <w:sz w:val="18"/>
                <w:szCs w:val="18"/>
              </w:rPr>
              <w:fldChar w:fldCharType="end"/>
            </w:r>
            <w:r w:rsidRPr="00B24C99">
              <w:rPr>
                <w:rFonts w:ascii="Arial Narrow" w:hAnsi="Arial Narrow"/>
                <w:sz w:val="18"/>
                <w:szCs w:val="18"/>
              </w:rPr>
              <w:t>Midwives</w:t>
            </w:r>
          </w:p>
        </w:tc>
      </w:tr>
      <w:tr w:rsidR="00092F31" w:rsidRPr="00B24C99" w:rsidTr="00ED72F2">
        <w:tc>
          <w:tcPr>
            <w:tcW w:w="5000" w:type="pct"/>
            <w:tcBorders>
              <w:top w:val="single" w:sz="4" w:space="0" w:color="auto"/>
              <w:left w:val="single" w:sz="4" w:space="0" w:color="auto"/>
              <w:bottom w:val="single" w:sz="4" w:space="0" w:color="auto"/>
              <w:right w:val="single" w:sz="4" w:space="0" w:color="auto"/>
            </w:tcBorders>
          </w:tcPr>
          <w:p w:rsidR="00092F31" w:rsidRPr="00B24C99" w:rsidRDefault="00092F31" w:rsidP="00ED72F2">
            <w:pPr>
              <w:rPr>
                <w:rFonts w:ascii="Arial Narrow" w:hAnsi="Arial Narrow"/>
                <w:b/>
                <w:sz w:val="18"/>
                <w:szCs w:val="18"/>
              </w:rPr>
            </w:pPr>
            <w:r w:rsidRPr="00B24C99">
              <w:rPr>
                <w:rFonts w:ascii="Arial Narrow" w:hAnsi="Arial Narrow"/>
                <w:b/>
                <w:sz w:val="18"/>
                <w:szCs w:val="18"/>
              </w:rPr>
              <w:t>Restriction Type – assessment time by Medicare – Method of obtaining authority approval (if Authority Required):</w:t>
            </w:r>
          </w:p>
          <w:p w:rsidR="00092F31" w:rsidRPr="00B24C99" w:rsidRDefault="00092F31" w:rsidP="00ED72F2">
            <w:pPr>
              <w:rPr>
                <w:rFonts w:ascii="Arial Narrow" w:eastAsia="Calibri" w:hAnsi="Arial Narrow"/>
                <w:sz w:val="18"/>
                <w:szCs w:val="18"/>
              </w:rPr>
            </w:pPr>
            <w:r w:rsidRPr="00B24C99">
              <w:rPr>
                <w:rFonts w:ascii="Arial Narrow" w:eastAsia="Calibri" w:hAnsi="Arial Narrow"/>
                <w:sz w:val="18"/>
                <w:szCs w:val="18"/>
              </w:rPr>
              <w:fldChar w:fldCharType="begin">
                <w:ffData>
                  <w:name w:val=""/>
                  <w:enabled/>
                  <w:calcOnExit w:val="0"/>
                  <w:checkBox>
                    <w:sizeAuto/>
                    <w:default w:val="1"/>
                  </w:checkBox>
                </w:ffData>
              </w:fldChar>
            </w:r>
            <w:r w:rsidRPr="00B24C99">
              <w:rPr>
                <w:rFonts w:ascii="Arial Narrow" w:eastAsia="Calibri" w:hAnsi="Arial Narrow"/>
                <w:sz w:val="18"/>
                <w:szCs w:val="18"/>
              </w:rPr>
              <w:instrText xml:space="preserve"> FORMCHECKBOX </w:instrText>
            </w:r>
            <w:r w:rsidR="006D409D">
              <w:rPr>
                <w:rFonts w:ascii="Arial Narrow" w:eastAsia="Calibri" w:hAnsi="Arial Narrow"/>
                <w:sz w:val="18"/>
                <w:szCs w:val="18"/>
              </w:rPr>
            </w:r>
            <w:r w:rsidR="006D409D">
              <w:rPr>
                <w:rFonts w:ascii="Arial Narrow" w:eastAsia="Calibri" w:hAnsi="Arial Narrow"/>
                <w:sz w:val="18"/>
                <w:szCs w:val="18"/>
              </w:rPr>
              <w:fldChar w:fldCharType="separate"/>
            </w:r>
            <w:r w:rsidRPr="00B24C99">
              <w:rPr>
                <w:rFonts w:ascii="Arial Narrow" w:eastAsia="Calibri" w:hAnsi="Arial Narrow"/>
                <w:sz w:val="18"/>
                <w:szCs w:val="18"/>
              </w:rPr>
              <w:fldChar w:fldCharType="end"/>
            </w:r>
            <w:r w:rsidRPr="00B24C99">
              <w:rPr>
                <w:rFonts w:ascii="Arial Narrow" w:eastAsia="Calibri" w:hAnsi="Arial Narrow"/>
                <w:sz w:val="18"/>
                <w:szCs w:val="18"/>
              </w:rPr>
              <w:t xml:space="preserve">Authority Required – Streamlined [new/existing code] (specification of 4-digit code by prescriber to certify that they have read the PBS restriction; no prior assessment by Medicare; retrospective audit of patient records possible) </w:t>
            </w:r>
          </w:p>
        </w:tc>
      </w:tr>
      <w:tr w:rsidR="00092F31" w:rsidRPr="00B24C99" w:rsidTr="00ED72F2">
        <w:tc>
          <w:tcPr>
            <w:tcW w:w="5000" w:type="pct"/>
            <w:vAlign w:val="center"/>
          </w:tcPr>
          <w:p w:rsidR="00092F31" w:rsidRPr="00B24C99" w:rsidRDefault="00092F31" w:rsidP="00ED72F2">
            <w:pPr>
              <w:rPr>
                <w:rFonts w:ascii="Arial Narrow" w:hAnsi="Arial Narrow"/>
                <w:bCs/>
                <w:color w:val="333333"/>
                <w:sz w:val="18"/>
                <w:szCs w:val="18"/>
              </w:rPr>
            </w:pPr>
            <w:r w:rsidRPr="00B24C99">
              <w:rPr>
                <w:rFonts w:ascii="Arial Narrow" w:hAnsi="Arial Narrow"/>
                <w:b/>
                <w:bCs/>
                <w:color w:val="000000" w:themeColor="text1"/>
                <w:sz w:val="18"/>
                <w:szCs w:val="18"/>
              </w:rPr>
              <w:t xml:space="preserve">Episodicity: </w:t>
            </w:r>
            <w:r w:rsidRPr="00B24C99">
              <w:rPr>
                <w:rFonts w:ascii="Arial Narrow" w:hAnsi="Arial Narrow"/>
                <w:bCs/>
                <w:color w:val="000000" w:themeColor="text1"/>
                <w:sz w:val="18"/>
                <w:szCs w:val="18"/>
              </w:rPr>
              <w:t>[nil]</w:t>
            </w:r>
          </w:p>
        </w:tc>
      </w:tr>
      <w:tr w:rsidR="0032752F" w:rsidRPr="00B24C99" w:rsidTr="00ED72F2">
        <w:tc>
          <w:tcPr>
            <w:tcW w:w="5000" w:type="pct"/>
            <w:vAlign w:val="center"/>
          </w:tcPr>
          <w:p w:rsidR="0032752F" w:rsidRPr="00B24C99" w:rsidRDefault="0032752F" w:rsidP="00402ACB">
            <w:pPr>
              <w:rPr>
                <w:rFonts w:ascii="Arial Narrow" w:hAnsi="Arial Narrow"/>
                <w:b/>
                <w:bCs/>
                <w:color w:val="000000" w:themeColor="text1"/>
                <w:sz w:val="18"/>
                <w:szCs w:val="18"/>
              </w:rPr>
            </w:pPr>
            <w:r>
              <w:rPr>
                <w:rFonts w:ascii="Arial Narrow" w:hAnsi="Arial Narrow"/>
                <w:b/>
                <w:bCs/>
                <w:color w:val="000000" w:themeColor="text1"/>
                <w:sz w:val="18"/>
                <w:szCs w:val="18"/>
              </w:rPr>
              <w:t xml:space="preserve">Severity: </w:t>
            </w:r>
            <w:r w:rsidR="00D566DC">
              <w:rPr>
                <w:rFonts w:ascii="Arial Narrow" w:hAnsi="Arial Narrow"/>
                <w:bCs/>
                <w:color w:val="000000" w:themeColor="text1"/>
                <w:sz w:val="18"/>
                <w:szCs w:val="18"/>
              </w:rPr>
              <w:t>U</w:t>
            </w:r>
            <w:r w:rsidRPr="0032752F">
              <w:rPr>
                <w:rFonts w:ascii="Arial Narrow" w:hAnsi="Arial Narrow"/>
                <w:bCs/>
                <w:color w:val="000000" w:themeColor="text1"/>
                <w:sz w:val="18"/>
                <w:szCs w:val="18"/>
              </w:rPr>
              <w:t>nresectable</w:t>
            </w:r>
            <w:r>
              <w:rPr>
                <w:rFonts w:ascii="Arial Narrow" w:hAnsi="Arial Narrow"/>
                <w:b/>
                <w:bCs/>
                <w:color w:val="000000" w:themeColor="text1"/>
                <w:sz w:val="18"/>
                <w:szCs w:val="18"/>
              </w:rPr>
              <w:t xml:space="preserve"> </w:t>
            </w:r>
          </w:p>
        </w:tc>
      </w:tr>
      <w:tr w:rsidR="00092F31" w:rsidRPr="00B24C99" w:rsidTr="00ED72F2">
        <w:tc>
          <w:tcPr>
            <w:tcW w:w="5000" w:type="pct"/>
            <w:vAlign w:val="center"/>
          </w:tcPr>
          <w:p w:rsidR="00092F31" w:rsidRPr="00B24C99" w:rsidRDefault="00092F31" w:rsidP="00402ACB">
            <w:pPr>
              <w:rPr>
                <w:rFonts w:ascii="Arial Narrow" w:hAnsi="Arial Narrow"/>
                <w:b/>
                <w:bCs/>
                <w:color w:val="333333"/>
                <w:sz w:val="18"/>
                <w:szCs w:val="18"/>
              </w:rPr>
            </w:pPr>
            <w:r w:rsidRPr="00B24C99">
              <w:rPr>
                <w:rFonts w:ascii="Arial Narrow" w:hAnsi="Arial Narrow"/>
                <w:b/>
                <w:bCs/>
                <w:color w:val="000000" w:themeColor="text1"/>
                <w:sz w:val="18"/>
                <w:szCs w:val="18"/>
              </w:rPr>
              <w:t xml:space="preserve">Condition: </w:t>
            </w:r>
            <w:r w:rsidRPr="00B24C99">
              <w:rPr>
                <w:rFonts w:ascii="Arial Narrow" w:hAnsi="Arial Narrow"/>
                <w:bCs/>
                <w:color w:val="000000" w:themeColor="text1"/>
                <w:sz w:val="18"/>
                <w:szCs w:val="18"/>
              </w:rPr>
              <w:t>Malignant mesothelioma</w:t>
            </w:r>
          </w:p>
        </w:tc>
      </w:tr>
      <w:tr w:rsidR="00092F31" w:rsidRPr="00B24C99" w:rsidTr="00ED72F2">
        <w:tc>
          <w:tcPr>
            <w:tcW w:w="5000" w:type="pct"/>
            <w:vAlign w:val="center"/>
            <w:hideMark/>
          </w:tcPr>
          <w:p w:rsidR="00092F31" w:rsidRPr="00B24C99" w:rsidRDefault="00092F31" w:rsidP="00402ACB">
            <w:pPr>
              <w:rPr>
                <w:rFonts w:ascii="Arial Narrow" w:hAnsi="Arial Narrow"/>
                <w:color w:val="333333"/>
                <w:sz w:val="18"/>
                <w:szCs w:val="18"/>
              </w:rPr>
            </w:pPr>
            <w:r w:rsidRPr="00B24C99">
              <w:rPr>
                <w:rFonts w:ascii="Arial Narrow" w:hAnsi="Arial Narrow"/>
                <w:b/>
                <w:bCs/>
                <w:color w:val="000000" w:themeColor="text1"/>
                <w:sz w:val="18"/>
                <w:szCs w:val="18"/>
              </w:rPr>
              <w:t>Indication:</w:t>
            </w:r>
            <w:r w:rsidRPr="00B24C99">
              <w:rPr>
                <w:rFonts w:ascii="Arial Narrow" w:hAnsi="Arial Narrow"/>
                <w:color w:val="000000" w:themeColor="text1"/>
                <w:sz w:val="18"/>
                <w:szCs w:val="18"/>
              </w:rPr>
              <w:t xml:space="preserve"> </w:t>
            </w:r>
            <w:r w:rsidR="00D566DC">
              <w:rPr>
                <w:rFonts w:ascii="Arial Narrow" w:hAnsi="Arial Narrow"/>
                <w:color w:val="000000" w:themeColor="text1"/>
                <w:sz w:val="18"/>
                <w:szCs w:val="18"/>
              </w:rPr>
              <w:t>U</w:t>
            </w:r>
            <w:r w:rsidR="0032752F">
              <w:rPr>
                <w:rFonts w:ascii="Arial Narrow" w:hAnsi="Arial Narrow"/>
                <w:color w:val="000000" w:themeColor="text1"/>
                <w:sz w:val="18"/>
                <w:szCs w:val="18"/>
              </w:rPr>
              <w:t>nresectable m</w:t>
            </w:r>
            <w:r w:rsidRPr="00B24C99">
              <w:rPr>
                <w:rFonts w:ascii="Arial Narrow" w:hAnsi="Arial Narrow"/>
                <w:color w:val="000000" w:themeColor="text1"/>
                <w:sz w:val="18"/>
                <w:szCs w:val="18"/>
              </w:rPr>
              <w:t>alignant mesothelioma</w:t>
            </w:r>
          </w:p>
        </w:tc>
      </w:tr>
      <w:tr w:rsidR="00092F31" w:rsidRPr="00B24C99" w:rsidTr="00ED72F2">
        <w:tc>
          <w:tcPr>
            <w:tcW w:w="5000" w:type="pct"/>
            <w:vAlign w:val="center"/>
          </w:tcPr>
          <w:p w:rsidR="00092F31" w:rsidRPr="00B24C99" w:rsidRDefault="00092F31" w:rsidP="00ED72F2">
            <w:pPr>
              <w:rPr>
                <w:rFonts w:ascii="Arial Narrow" w:hAnsi="Arial Narrow"/>
                <w:b/>
                <w:bCs/>
                <w:color w:val="333333"/>
                <w:sz w:val="18"/>
                <w:szCs w:val="18"/>
              </w:rPr>
            </w:pPr>
            <w:r w:rsidRPr="00B24C99">
              <w:rPr>
                <w:rFonts w:ascii="Arial Narrow" w:hAnsi="Arial Narrow"/>
                <w:b/>
                <w:bCs/>
                <w:color w:val="333333"/>
                <w:sz w:val="18"/>
                <w:szCs w:val="18"/>
              </w:rPr>
              <w:t>Clinical criteria:</w:t>
            </w:r>
          </w:p>
        </w:tc>
      </w:tr>
      <w:tr w:rsidR="00092F31" w:rsidRPr="00B24C99" w:rsidTr="00ED72F2">
        <w:tc>
          <w:tcPr>
            <w:tcW w:w="5000" w:type="pct"/>
            <w:vAlign w:val="center"/>
          </w:tcPr>
          <w:p w:rsidR="00092F31" w:rsidRPr="00B24C99" w:rsidRDefault="00092F31" w:rsidP="00092F31">
            <w:pPr>
              <w:rPr>
                <w:rFonts w:ascii="Arial Narrow" w:hAnsi="Arial Narrow"/>
                <w:b/>
                <w:bCs/>
                <w:color w:val="333333"/>
                <w:sz w:val="18"/>
                <w:szCs w:val="18"/>
              </w:rPr>
            </w:pPr>
            <w:r w:rsidRPr="00B24C99">
              <w:rPr>
                <w:rFonts w:ascii="Arial Narrow" w:hAnsi="Arial Narrow"/>
                <w:bCs/>
                <w:color w:val="000000" w:themeColor="text1"/>
                <w:sz w:val="18"/>
                <w:szCs w:val="18"/>
              </w:rPr>
              <w:t>Patient must have a WHO performance status of 0 or 1.</w:t>
            </w:r>
          </w:p>
        </w:tc>
      </w:tr>
      <w:tr w:rsidR="00092F31" w:rsidRPr="00B24C99" w:rsidTr="00ED72F2">
        <w:tc>
          <w:tcPr>
            <w:tcW w:w="5000" w:type="pct"/>
            <w:vAlign w:val="center"/>
          </w:tcPr>
          <w:p w:rsidR="00092F31" w:rsidRPr="00B24C99" w:rsidRDefault="00092F31" w:rsidP="00ED72F2">
            <w:pPr>
              <w:rPr>
                <w:rFonts w:ascii="Arial Narrow" w:hAnsi="Arial Narrow"/>
                <w:bCs/>
                <w:color w:val="000000" w:themeColor="text1"/>
                <w:sz w:val="18"/>
                <w:szCs w:val="18"/>
              </w:rPr>
            </w:pPr>
            <w:r w:rsidRPr="00B24C99">
              <w:rPr>
                <w:rFonts w:ascii="Arial Narrow" w:hAnsi="Arial Narrow"/>
                <w:bCs/>
                <w:color w:val="000000" w:themeColor="text1"/>
                <w:sz w:val="18"/>
                <w:szCs w:val="18"/>
              </w:rPr>
              <w:t>AND</w:t>
            </w:r>
          </w:p>
        </w:tc>
      </w:tr>
      <w:tr w:rsidR="00092F31" w:rsidRPr="00B24C99" w:rsidTr="00ED72F2">
        <w:tc>
          <w:tcPr>
            <w:tcW w:w="5000" w:type="pct"/>
            <w:vAlign w:val="center"/>
          </w:tcPr>
          <w:p w:rsidR="00092F31" w:rsidRPr="00B24C99" w:rsidRDefault="00092F31" w:rsidP="00ED72F2">
            <w:pPr>
              <w:rPr>
                <w:rFonts w:ascii="Arial Narrow" w:hAnsi="Arial Narrow"/>
                <w:bCs/>
                <w:color w:val="000000" w:themeColor="text1"/>
                <w:sz w:val="18"/>
                <w:szCs w:val="18"/>
              </w:rPr>
            </w:pPr>
            <w:r w:rsidRPr="00B24C99">
              <w:rPr>
                <w:rFonts w:ascii="Arial Narrow" w:hAnsi="Arial Narrow"/>
                <w:bCs/>
                <w:color w:val="000000" w:themeColor="text1"/>
                <w:sz w:val="18"/>
                <w:szCs w:val="18"/>
              </w:rPr>
              <w:t>The treatment must be in combination with  PBS-subsidised nivolumab</w:t>
            </w:r>
            <w:r w:rsidR="0006028D" w:rsidRPr="00B24C99">
              <w:rPr>
                <w:rFonts w:ascii="Arial Narrow" w:hAnsi="Arial Narrow"/>
                <w:bCs/>
                <w:color w:val="000000" w:themeColor="text1"/>
                <w:sz w:val="18"/>
                <w:szCs w:val="18"/>
              </w:rPr>
              <w:t xml:space="preserve"> for this condition</w:t>
            </w:r>
          </w:p>
        </w:tc>
      </w:tr>
      <w:tr w:rsidR="00092F31" w:rsidRPr="00B24C99" w:rsidTr="00ED72F2">
        <w:tc>
          <w:tcPr>
            <w:tcW w:w="5000" w:type="pct"/>
            <w:vAlign w:val="center"/>
          </w:tcPr>
          <w:p w:rsidR="00092F31" w:rsidRPr="00B24C99" w:rsidRDefault="00092F31" w:rsidP="00ED72F2">
            <w:pPr>
              <w:rPr>
                <w:rFonts w:ascii="Arial Narrow" w:hAnsi="Arial Narrow"/>
                <w:bCs/>
                <w:color w:val="000000" w:themeColor="text1"/>
                <w:sz w:val="18"/>
                <w:szCs w:val="18"/>
              </w:rPr>
            </w:pPr>
            <w:r w:rsidRPr="00B24C99">
              <w:rPr>
                <w:rFonts w:ascii="Arial Narrow" w:hAnsi="Arial Narrow"/>
                <w:bCs/>
                <w:color w:val="000000" w:themeColor="text1"/>
                <w:sz w:val="18"/>
                <w:szCs w:val="18"/>
              </w:rPr>
              <w:t>AND</w:t>
            </w:r>
          </w:p>
        </w:tc>
      </w:tr>
      <w:tr w:rsidR="00092F31" w:rsidRPr="00B24C99" w:rsidTr="00ED72F2">
        <w:tc>
          <w:tcPr>
            <w:tcW w:w="5000" w:type="pct"/>
            <w:vAlign w:val="center"/>
          </w:tcPr>
          <w:p w:rsidR="00092F31" w:rsidRPr="00B24C99" w:rsidRDefault="00092F31" w:rsidP="00ED72F2">
            <w:pPr>
              <w:rPr>
                <w:rFonts w:ascii="Arial Narrow" w:hAnsi="Arial Narrow"/>
                <w:bCs/>
                <w:color w:val="000000" w:themeColor="text1"/>
                <w:sz w:val="18"/>
                <w:szCs w:val="18"/>
              </w:rPr>
            </w:pPr>
            <w:r w:rsidRPr="00B24C99">
              <w:rPr>
                <w:rFonts w:ascii="Arial Narrow" w:hAnsi="Arial Narrow"/>
                <w:bCs/>
                <w:color w:val="000000" w:themeColor="text1"/>
                <w:sz w:val="18"/>
                <w:szCs w:val="18"/>
              </w:rPr>
              <w:t>Patient must not have developed disease progression while being treated with this drug for this condition</w:t>
            </w:r>
          </w:p>
        </w:tc>
      </w:tr>
      <w:tr w:rsidR="00092F31" w:rsidRPr="00B24C99" w:rsidTr="00ED72F2">
        <w:tc>
          <w:tcPr>
            <w:tcW w:w="5000" w:type="pct"/>
            <w:vAlign w:val="center"/>
          </w:tcPr>
          <w:p w:rsidR="00092F31" w:rsidRPr="00B24C99" w:rsidRDefault="00092F31" w:rsidP="00ED72F2">
            <w:pPr>
              <w:rPr>
                <w:rFonts w:ascii="Arial Narrow" w:hAnsi="Arial Narrow"/>
                <w:bCs/>
                <w:color w:val="000000" w:themeColor="text1"/>
                <w:sz w:val="18"/>
                <w:szCs w:val="18"/>
              </w:rPr>
            </w:pPr>
            <w:r w:rsidRPr="00B24C99">
              <w:rPr>
                <w:rFonts w:ascii="Arial Narrow" w:hAnsi="Arial Narrow"/>
                <w:bCs/>
                <w:color w:val="000000" w:themeColor="text1"/>
                <w:sz w:val="18"/>
                <w:szCs w:val="18"/>
              </w:rPr>
              <w:t>AND</w:t>
            </w:r>
          </w:p>
        </w:tc>
      </w:tr>
      <w:tr w:rsidR="00092F31" w:rsidRPr="00B24C99" w:rsidTr="00ED72F2">
        <w:tc>
          <w:tcPr>
            <w:tcW w:w="5000" w:type="pct"/>
            <w:vAlign w:val="center"/>
          </w:tcPr>
          <w:p w:rsidR="00092F31" w:rsidRPr="00B24C99" w:rsidRDefault="00092F31" w:rsidP="00ED72F2">
            <w:pPr>
              <w:rPr>
                <w:rFonts w:ascii="Arial Narrow" w:hAnsi="Arial Narrow"/>
                <w:bCs/>
                <w:color w:val="000000" w:themeColor="text1"/>
                <w:sz w:val="18"/>
                <w:szCs w:val="18"/>
              </w:rPr>
            </w:pPr>
            <w:r w:rsidRPr="00B24C99">
              <w:rPr>
                <w:rFonts w:ascii="Arial Narrow" w:hAnsi="Arial Narrow"/>
                <w:bCs/>
                <w:color w:val="000000" w:themeColor="text1"/>
                <w:sz w:val="18"/>
                <w:szCs w:val="18"/>
              </w:rPr>
              <w:t>The treatment must not exceed a maximum total of 24 months in a lifetime for this condition.</w:t>
            </w:r>
          </w:p>
        </w:tc>
      </w:tr>
      <w:tr w:rsidR="00092F31" w:rsidRPr="00B24C99" w:rsidTr="00ED72F2">
        <w:tc>
          <w:tcPr>
            <w:tcW w:w="5000" w:type="pct"/>
            <w:vAlign w:val="center"/>
          </w:tcPr>
          <w:p w:rsidR="00092F31" w:rsidRPr="00B24C99" w:rsidRDefault="00092F31" w:rsidP="00ED72F2">
            <w:pPr>
              <w:rPr>
                <w:rFonts w:ascii="Arial Narrow" w:hAnsi="Arial Narrow"/>
                <w:b/>
                <w:bCs/>
                <w:strike/>
                <w:color w:val="000000" w:themeColor="text1"/>
                <w:sz w:val="18"/>
                <w:szCs w:val="18"/>
              </w:rPr>
            </w:pPr>
            <w:r w:rsidRPr="00B24C99">
              <w:rPr>
                <w:rFonts w:ascii="Arial Narrow" w:hAnsi="Arial Narrow"/>
                <w:b/>
                <w:bCs/>
                <w:color w:val="000000" w:themeColor="text1"/>
                <w:sz w:val="18"/>
                <w:szCs w:val="18"/>
              </w:rPr>
              <w:t>Administrative Advice:</w:t>
            </w:r>
            <w:r w:rsidRPr="00B24C99">
              <w:rPr>
                <w:rFonts w:ascii="Arial Narrow" w:hAnsi="Arial Narrow"/>
                <w:color w:val="000000" w:themeColor="text1"/>
                <w:sz w:val="18"/>
                <w:szCs w:val="18"/>
              </w:rPr>
              <w:t xml:space="preserve"> No increase in the maximum number of repeats may be authorised</w:t>
            </w:r>
          </w:p>
        </w:tc>
      </w:tr>
      <w:tr w:rsidR="00092F31" w:rsidRPr="00B24C99" w:rsidTr="00ED72F2">
        <w:tc>
          <w:tcPr>
            <w:tcW w:w="5000" w:type="pct"/>
            <w:vAlign w:val="center"/>
          </w:tcPr>
          <w:p w:rsidR="00092F31" w:rsidRPr="00B24C99" w:rsidRDefault="00092F31" w:rsidP="00ED72F2">
            <w:pPr>
              <w:rPr>
                <w:rFonts w:ascii="Arial Narrow" w:hAnsi="Arial Narrow"/>
                <w:b/>
                <w:bCs/>
                <w:color w:val="000000" w:themeColor="text1"/>
                <w:sz w:val="18"/>
                <w:szCs w:val="18"/>
              </w:rPr>
            </w:pPr>
            <w:r w:rsidRPr="00B24C99">
              <w:rPr>
                <w:rFonts w:ascii="Arial Narrow" w:hAnsi="Arial Narrow"/>
                <w:b/>
                <w:bCs/>
                <w:color w:val="000000" w:themeColor="text1"/>
                <w:sz w:val="18"/>
                <w:szCs w:val="18"/>
              </w:rPr>
              <w:t xml:space="preserve">Administrative Advice: </w:t>
            </w:r>
            <w:r w:rsidRPr="00B24C99">
              <w:rPr>
                <w:rFonts w:ascii="Arial Narrow" w:hAnsi="Arial Narrow"/>
                <w:bCs/>
                <w:color w:val="000000" w:themeColor="text1"/>
                <w:sz w:val="18"/>
                <w:szCs w:val="18"/>
              </w:rPr>
              <w:t>Special Pricing Arrangements apply</w:t>
            </w:r>
          </w:p>
        </w:tc>
      </w:tr>
      <w:tr w:rsidR="00092F31" w:rsidRPr="00B24C99" w:rsidTr="00ED72F2">
        <w:tc>
          <w:tcPr>
            <w:tcW w:w="5000" w:type="pct"/>
            <w:vAlign w:val="center"/>
          </w:tcPr>
          <w:p w:rsidR="00092F31" w:rsidRPr="00B24C99" w:rsidRDefault="00092F31" w:rsidP="00ED72F2">
            <w:pPr>
              <w:rPr>
                <w:rFonts w:ascii="Arial Narrow" w:hAnsi="Arial Narrow"/>
                <w:bCs/>
                <w:color w:val="000000" w:themeColor="text1"/>
                <w:sz w:val="18"/>
                <w:szCs w:val="18"/>
              </w:rPr>
            </w:pPr>
            <w:r w:rsidRPr="00B24C99">
              <w:rPr>
                <w:rFonts w:ascii="Arial Narrow" w:hAnsi="Arial Narrow"/>
                <w:b/>
                <w:bCs/>
                <w:color w:val="000000" w:themeColor="text1"/>
                <w:sz w:val="18"/>
                <w:szCs w:val="18"/>
              </w:rPr>
              <w:t>Administrative Advice:</w:t>
            </w:r>
            <w:r w:rsidRPr="00B24C99">
              <w:rPr>
                <w:rFonts w:ascii="Arial Narrow" w:hAnsi="Arial Narrow"/>
                <w:bCs/>
                <w:color w:val="000000" w:themeColor="text1"/>
                <w:sz w:val="18"/>
                <w:szCs w:val="18"/>
              </w:rPr>
              <w:t xml:space="preserve"> In the first few months after start of immunotherapy, some patients can have a transient tumour flare with subsequent disease response. When progression is suspected, this should be confirmed through a confirmatory scan, taken at least 4 weeks later.</w:t>
            </w:r>
          </w:p>
          <w:p w:rsidR="00092F31" w:rsidRPr="00B24C99" w:rsidRDefault="00092F31" w:rsidP="00ED72F2">
            <w:pPr>
              <w:rPr>
                <w:rFonts w:ascii="Arial Narrow" w:hAnsi="Arial Narrow"/>
                <w:bCs/>
                <w:color w:val="000000" w:themeColor="text1"/>
                <w:sz w:val="18"/>
                <w:szCs w:val="18"/>
              </w:rPr>
            </w:pPr>
          </w:p>
          <w:p w:rsidR="00092F31" w:rsidRPr="00B24C99" w:rsidRDefault="00092F31" w:rsidP="00ED72F2">
            <w:pPr>
              <w:rPr>
                <w:rFonts w:ascii="Arial Narrow" w:hAnsi="Arial Narrow"/>
                <w:color w:val="333333"/>
                <w:sz w:val="18"/>
                <w:szCs w:val="18"/>
              </w:rPr>
            </w:pPr>
            <w:r w:rsidRPr="00B24C99">
              <w:rPr>
                <w:rFonts w:ascii="Arial Narrow" w:hAnsi="Arial Narrow"/>
                <w:color w:val="333333"/>
                <w:sz w:val="18"/>
                <w:szCs w:val="18"/>
              </w:rPr>
              <w:t xml:space="preserve">CAUTION: Combination treatment with ipilimumab and nivolumab is associated with an increased incidence and severity of immune-related adverse reactions compared with monotherapy with these agents. Monitoring at least prior to each dose is recommended. </w:t>
            </w:r>
          </w:p>
          <w:p w:rsidR="00092F31" w:rsidRPr="00B24C99" w:rsidRDefault="00092F31" w:rsidP="00ED72F2">
            <w:pPr>
              <w:rPr>
                <w:rFonts w:ascii="Arial Narrow" w:hAnsi="Arial Narrow"/>
                <w:color w:val="333333"/>
                <w:sz w:val="18"/>
                <w:szCs w:val="18"/>
              </w:rPr>
            </w:pPr>
          </w:p>
          <w:p w:rsidR="00092F31" w:rsidRPr="00B24C99" w:rsidRDefault="00092F31" w:rsidP="00ED72F2">
            <w:pPr>
              <w:rPr>
                <w:rFonts w:ascii="Arial Narrow" w:hAnsi="Arial Narrow"/>
                <w:b/>
                <w:bCs/>
                <w:color w:val="000000" w:themeColor="text1"/>
                <w:sz w:val="18"/>
                <w:szCs w:val="18"/>
              </w:rPr>
            </w:pPr>
            <w:r w:rsidRPr="00B24C99">
              <w:rPr>
                <w:rFonts w:ascii="Arial Narrow" w:hAnsi="Arial Narrow"/>
                <w:color w:val="333333"/>
                <w:sz w:val="18"/>
                <w:szCs w:val="18"/>
              </w:rPr>
              <w:t>No increase in the maximum number of repeats may be authorised.</w:t>
            </w:r>
          </w:p>
        </w:tc>
      </w:tr>
    </w:tbl>
    <w:p w:rsidR="00755084" w:rsidRPr="00B24C99" w:rsidRDefault="00755084" w:rsidP="00E375D9">
      <w:pPr>
        <w:jc w:val="left"/>
        <w:rPr>
          <w:color w:val="3366FF"/>
        </w:rPr>
      </w:pPr>
    </w:p>
    <w:p w:rsidR="0032752F" w:rsidRPr="00E209B2" w:rsidRDefault="0032752F" w:rsidP="0032752F">
      <w:pPr>
        <w:ind w:left="11" w:hanging="11"/>
        <w:jc w:val="left"/>
        <w:rPr>
          <w:b/>
          <w:bCs/>
          <w:i/>
          <w:iCs/>
          <w:sz w:val="23"/>
          <w:szCs w:val="23"/>
        </w:rPr>
      </w:pPr>
      <w:r w:rsidRPr="00E209B2">
        <w:rPr>
          <w:b/>
          <w:bCs/>
          <w:i/>
          <w:iCs/>
          <w:sz w:val="23"/>
          <w:szCs w:val="23"/>
        </w:rPr>
        <w:t>This restriction may be subject to further review. Should there be any changes made to the restriction the Sponsor will be informed.</w:t>
      </w:r>
    </w:p>
    <w:p w:rsidR="00215889" w:rsidRDefault="00215889" w:rsidP="00E375D9">
      <w:pPr>
        <w:jc w:val="left"/>
        <w:rPr>
          <w:color w:val="3366FF"/>
        </w:rPr>
      </w:pPr>
    </w:p>
    <w:p w:rsidR="00A15A9C" w:rsidRPr="00A15A9C" w:rsidRDefault="00A15A9C" w:rsidP="00A15A9C">
      <w:pPr>
        <w:pStyle w:val="2-SectionHeading"/>
      </w:pPr>
      <w:r w:rsidRPr="00C07617">
        <w:t>Context for Decision</w:t>
      </w:r>
    </w:p>
    <w:p w:rsidR="00A15A9C" w:rsidRPr="007129F2" w:rsidRDefault="00A15A9C" w:rsidP="00B539DD">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A15A9C" w:rsidRPr="00A15A9C" w:rsidRDefault="00A15A9C" w:rsidP="00A15A9C">
      <w:pPr>
        <w:pStyle w:val="2-SectionHeading"/>
      </w:pPr>
      <w:r>
        <w:lastRenderedPageBreak/>
        <w:t>Sponsor’s Comment</w:t>
      </w:r>
    </w:p>
    <w:p w:rsidR="00A15A9C" w:rsidRPr="00B24C99" w:rsidRDefault="00631F70" w:rsidP="00B539DD">
      <w:pPr>
        <w:ind w:left="720"/>
        <w:jc w:val="left"/>
        <w:rPr>
          <w:color w:val="3366FF"/>
        </w:rPr>
      </w:pPr>
      <w:r w:rsidRPr="00631F70">
        <w:rPr>
          <w:bCs/>
          <w:lang w:val="en-GB"/>
        </w:rPr>
        <w:t xml:space="preserve">The Sponsor welcomes the PBAC recommendation to list nivolumab plus ipilimumab for the treatment of unresectable malignant mesothelioma.  The Committee’s pragmatic decision to grant a broad PBS restriction that includes use in the first-line and second-line treatment setting and in the small number of patients with non-pleural mesothelioma provides important access to a group of patients with high unmet clinical need.  The Sponsor acknowledges the collective effort from multiple stakeholders to achieve this outcome and looks forward to partnering with the Department to achieve PBS listing as soon as practicable. </w:t>
      </w:r>
    </w:p>
    <w:sectPr w:rsidR="00A15A9C" w:rsidRPr="00B24C99" w:rsidSect="00755084">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833F9C" w16cid:durableId="240DC887"/>
  <w16cid:commentId w16cid:paraId="70F721E2" w16cid:durableId="240DC8A3"/>
  <w16cid:commentId w16cid:paraId="0CFB436E" w16cid:durableId="240DC8B2"/>
  <w16cid:commentId w16cid:paraId="66091C81" w16cid:durableId="240DCADF"/>
  <w16cid:commentId w16cid:paraId="6E8B96DD" w16cid:durableId="240EBF2D"/>
  <w16cid:commentId w16cid:paraId="4E80A7BF" w16cid:durableId="240EBF2E"/>
  <w16cid:commentId w16cid:paraId="22C87FD2" w16cid:durableId="240EBF2F"/>
  <w16cid:commentId w16cid:paraId="0997D17C" w16cid:durableId="240D742E"/>
  <w16cid:commentId w16cid:paraId="49CCF115" w16cid:durableId="240DCB42"/>
  <w16cid:commentId w16cid:paraId="378CCCA5" w16cid:durableId="240DCBD9"/>
  <w16cid:commentId w16cid:paraId="2327DA11" w16cid:durableId="240D7430"/>
  <w16cid:commentId w16cid:paraId="30366D6A" w16cid:durableId="240DCD08"/>
  <w16cid:commentId w16cid:paraId="7D024D0E" w16cid:durableId="240DCCC4"/>
  <w16cid:commentId w16cid:paraId="693AC1BA" w16cid:durableId="240DCC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FD3" w:rsidRDefault="00611FD3" w:rsidP="00124A51">
      <w:r>
        <w:separator/>
      </w:r>
    </w:p>
    <w:p w:rsidR="00611FD3" w:rsidRDefault="00611FD3"/>
  </w:endnote>
  <w:endnote w:type="continuationSeparator" w:id="0">
    <w:p w:rsidR="00611FD3" w:rsidRDefault="00611FD3" w:rsidP="00124A51">
      <w:r>
        <w:continuationSeparator/>
      </w:r>
    </w:p>
    <w:p w:rsidR="00611FD3" w:rsidRDefault="00611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D3" w:rsidRDefault="00611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D3" w:rsidRDefault="00611FD3" w:rsidP="00605637">
    <w:pPr>
      <w:pStyle w:val="Footer"/>
      <w:jc w:val="center"/>
    </w:pPr>
  </w:p>
  <w:p w:rsidR="00611FD3" w:rsidRPr="00605637" w:rsidRDefault="00611FD3" w:rsidP="00605637">
    <w:pPr>
      <w:pStyle w:val="Footer"/>
      <w:jc w:val="center"/>
      <w:rPr>
        <w:b/>
      </w:rPr>
    </w:pPr>
    <w:r w:rsidRPr="00605637">
      <w:rPr>
        <w:b/>
      </w:rPr>
      <w:fldChar w:fldCharType="begin"/>
    </w:r>
    <w:r w:rsidRPr="00605637">
      <w:rPr>
        <w:b/>
      </w:rPr>
      <w:instrText xml:space="preserve"> PAGE   \* MERGEFORMAT </w:instrText>
    </w:r>
    <w:r w:rsidRPr="00605637">
      <w:rPr>
        <w:b/>
      </w:rPr>
      <w:fldChar w:fldCharType="separate"/>
    </w:r>
    <w:r w:rsidR="006D409D">
      <w:rPr>
        <w:b/>
        <w:noProof/>
      </w:rPr>
      <w:t>21</w:t>
    </w:r>
    <w:r w:rsidRPr="00605637">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D3" w:rsidRDefault="00611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FD3" w:rsidRDefault="00611FD3" w:rsidP="00124A51">
      <w:r>
        <w:separator/>
      </w:r>
    </w:p>
    <w:p w:rsidR="00611FD3" w:rsidRDefault="00611FD3"/>
  </w:footnote>
  <w:footnote w:type="continuationSeparator" w:id="0">
    <w:p w:rsidR="00611FD3" w:rsidRDefault="00611FD3" w:rsidP="00124A51">
      <w:r>
        <w:continuationSeparator/>
      </w:r>
    </w:p>
    <w:p w:rsidR="00611FD3" w:rsidRDefault="00611FD3"/>
  </w:footnote>
  <w:footnote w:id="1">
    <w:p w:rsidR="00611FD3" w:rsidRDefault="00611FD3">
      <w:pPr>
        <w:pStyle w:val="FootnoteText"/>
      </w:pPr>
      <w:r>
        <w:rPr>
          <w:rStyle w:val="FootnoteReference"/>
        </w:rPr>
        <w:footnoteRef/>
      </w:r>
      <w:r>
        <w:t xml:space="preserve"> van Zandwijk N, Clarke C, Henderson D et al. (2013) Guidelines for the diagnosis and treatment of malignant pleural mesothelioma. Journal of Thoracic Disease 5(6), E254–E307.</w:t>
      </w:r>
    </w:p>
  </w:footnote>
  <w:footnote w:id="2">
    <w:p w:rsidR="00611FD3" w:rsidRDefault="00611FD3">
      <w:pPr>
        <w:pStyle w:val="FootnoteText"/>
      </w:pPr>
      <w:r>
        <w:rPr>
          <w:rStyle w:val="FootnoteReference"/>
        </w:rPr>
        <w:footnoteRef/>
      </w:r>
      <w:r w:rsidRPr="006F46A1">
        <w:rPr>
          <w:lang w:val="de-DE"/>
        </w:rPr>
        <w:t xml:space="preserve"> Meyerhoff RR, Yang CJ, Speicher PJ et al. </w:t>
      </w:r>
      <w:r>
        <w:t>(2015) Impact of mesothelioma histologic subtype on outcomes in the Surveillance, Epidemiology, and End Results database. Journal of Surgical Research 196(1), 23–32.</w:t>
      </w:r>
    </w:p>
  </w:footnote>
  <w:footnote w:id="3">
    <w:p w:rsidR="00611FD3" w:rsidRDefault="00611FD3" w:rsidP="00A011B4">
      <w:pPr>
        <w:pStyle w:val="FootnoteText"/>
      </w:pPr>
      <w:r>
        <w:rPr>
          <w:rStyle w:val="FootnoteReference"/>
        </w:rPr>
        <w:footnoteRef/>
      </w:r>
      <w:r>
        <w:t xml:space="preserve"> </w:t>
      </w:r>
      <w:r w:rsidRPr="00DE5E3D">
        <w:t>Systemic treatment for unresectable malignant pleural mesothelioma</w:t>
      </w:r>
      <w:r>
        <w:t xml:space="preserve">; UpToDate, accessed 5 Jan 2021: </w:t>
      </w:r>
      <w:r w:rsidRPr="004A4054">
        <w:t>https://www.uptodate.com/contents/systemic-treatment-for-unresectable-malignant-pleural-mesothelioma?search=mesothelioma&amp;source=search_result&amp;selectedTitle=4~86&amp;usage_type=default&amp;display_rank=4#H4259687384</w:t>
      </w:r>
    </w:p>
  </w:footnote>
  <w:footnote w:id="4">
    <w:p w:rsidR="00611FD3" w:rsidRDefault="00611FD3">
      <w:pPr>
        <w:pStyle w:val="FootnoteText"/>
      </w:pPr>
      <w:r>
        <w:rPr>
          <w:rStyle w:val="FootnoteReference"/>
        </w:rPr>
        <w:footnoteRef/>
      </w:r>
      <w:r>
        <w:t xml:space="preserve"> </w:t>
      </w:r>
      <w:r w:rsidRPr="00CD0E93">
        <w:rPr>
          <w:rFonts w:ascii="Times New Roman" w:hAnsi="Times New Roman" w:cs="Times New Roman"/>
          <w:sz w:val="16"/>
          <w:szCs w:val="16"/>
        </w:rPr>
        <w:t>Cherny NI, Dafni U, Bogaerts J, et al: ESMO-Magnitude of Clinical Benefit Scale version 1.1. Annals of Oncology 28:2340-2366, 2017</w:t>
      </w:r>
    </w:p>
  </w:footnote>
  <w:footnote w:id="5">
    <w:p w:rsidR="00611FD3" w:rsidRDefault="00611FD3" w:rsidP="00316B1D">
      <w:pPr>
        <w:pStyle w:val="FootnoteText"/>
      </w:pPr>
      <w:r>
        <w:rPr>
          <w:rStyle w:val="FootnoteReference"/>
        </w:rPr>
        <w:footnoteRef/>
      </w:r>
      <w:r w:rsidRPr="00B666CC">
        <w:rPr>
          <w:lang w:val="it-IT"/>
        </w:rPr>
        <w:t xml:space="preserve"> Petrelli F, Ardito R, Conti B et al. </w:t>
      </w:r>
      <w:r>
        <w:t xml:space="preserve">A systematic review and meta-analysis of second-line therapies for treatment of mesothelioma. </w:t>
      </w:r>
      <w:r w:rsidRPr="00BF3D1B">
        <w:rPr>
          <w:i/>
        </w:rPr>
        <w:t>Respiratory Medicine</w:t>
      </w:r>
      <w:r>
        <w:t xml:space="preserve"> 2018; 141: 72-80.</w:t>
      </w:r>
    </w:p>
  </w:footnote>
  <w:footnote w:id="6">
    <w:p w:rsidR="00611FD3" w:rsidRDefault="00611FD3" w:rsidP="00316B1D">
      <w:pPr>
        <w:pStyle w:val="FootnoteText"/>
      </w:pPr>
      <w:r>
        <w:rPr>
          <w:rStyle w:val="FootnoteReference"/>
        </w:rPr>
        <w:footnoteRef/>
      </w:r>
      <w:r>
        <w:t xml:space="preserve"> Abdel-Rahman, O and Kelany M. Systemic therapy options for malignant pleural mesothelioma beyond first-line therapy: a systematic review. </w:t>
      </w:r>
      <w:r w:rsidRPr="00A574AF">
        <w:rPr>
          <w:i/>
        </w:rPr>
        <w:t>Expert Review of Respiratory Medicine</w:t>
      </w:r>
      <w:r>
        <w:t xml:space="preserve"> 2015; 9(5): 533-549.</w:t>
      </w:r>
    </w:p>
  </w:footnote>
  <w:footnote w:id="7">
    <w:p w:rsidR="00611FD3" w:rsidRPr="00E761C6" w:rsidRDefault="00611FD3" w:rsidP="00316B1D">
      <w:pPr>
        <w:pStyle w:val="FootnoteText"/>
        <w:rPr>
          <w:lang w:val="it-IT"/>
        </w:rPr>
      </w:pPr>
      <w:r>
        <w:rPr>
          <w:rStyle w:val="FootnoteReference"/>
        </w:rPr>
        <w:footnoteRef/>
      </w:r>
      <w:r>
        <w:t xml:space="preserve"> Buikhuisen W, Hiddinga B, Baas P et al. Second line therapy in malignant pleural mesothelioma: A systematic review. </w:t>
      </w:r>
      <w:r w:rsidRPr="00E761C6">
        <w:rPr>
          <w:i/>
          <w:lang w:val="it-IT"/>
        </w:rPr>
        <w:t>Lung Cancer</w:t>
      </w:r>
      <w:r w:rsidRPr="00E761C6">
        <w:rPr>
          <w:lang w:val="it-IT"/>
        </w:rPr>
        <w:t xml:space="preserve"> 2015; 89: 223-231.</w:t>
      </w:r>
    </w:p>
  </w:footnote>
  <w:footnote w:id="8">
    <w:p w:rsidR="00611FD3" w:rsidRPr="00E761C6" w:rsidRDefault="00611FD3" w:rsidP="00316B1D">
      <w:pPr>
        <w:pStyle w:val="FootnoteText"/>
        <w:rPr>
          <w:lang w:val="it-IT"/>
        </w:rPr>
      </w:pPr>
      <w:r>
        <w:rPr>
          <w:rStyle w:val="FootnoteReference"/>
        </w:rPr>
        <w:footnoteRef/>
      </w:r>
      <w:r w:rsidRPr="00E761C6">
        <w:rPr>
          <w:lang w:val="it-IT"/>
        </w:rPr>
        <w:t xml:space="preserve"> Zucali P, Simonelli M, Michetti G et al. </w:t>
      </w:r>
      <w:r>
        <w:t xml:space="preserve">Second-line chemotherapy in malignant pleural mesothelioma: Results of a retrospective multicentre survey. </w:t>
      </w:r>
      <w:r w:rsidRPr="00E761C6">
        <w:rPr>
          <w:i/>
          <w:lang w:val="it-IT"/>
        </w:rPr>
        <w:t>Lung Cancer</w:t>
      </w:r>
      <w:r w:rsidRPr="00E761C6">
        <w:rPr>
          <w:lang w:val="it-IT"/>
        </w:rPr>
        <w:t xml:space="preserve"> 2012; 75: 360-367.</w:t>
      </w:r>
    </w:p>
  </w:footnote>
  <w:footnote w:id="9">
    <w:p w:rsidR="00611FD3" w:rsidRDefault="00611FD3" w:rsidP="00316B1D">
      <w:pPr>
        <w:pStyle w:val="FootnoteText"/>
      </w:pPr>
      <w:r>
        <w:rPr>
          <w:rStyle w:val="FootnoteReference"/>
        </w:rPr>
        <w:footnoteRef/>
      </w:r>
      <w:r w:rsidRPr="00E761C6">
        <w:rPr>
          <w:lang w:val="it-IT"/>
        </w:rPr>
        <w:t xml:space="preserve"> Bearz A, Talamini R, Rossoni G et al. </w:t>
      </w:r>
      <w:r>
        <w:t>Re-challenge with pemetrexed in advanced mesothelioma: a multi-institutional experience. BMC Research Notes 2012; 5: 482.</w:t>
      </w:r>
    </w:p>
  </w:footnote>
  <w:footnote w:id="10">
    <w:p w:rsidR="00611FD3" w:rsidRDefault="00611FD3" w:rsidP="00C0080D">
      <w:pPr>
        <w:pStyle w:val="FootnoteText"/>
      </w:pPr>
      <w:r>
        <w:rPr>
          <w:rStyle w:val="FootnoteReference"/>
        </w:rPr>
        <w:footnoteRef/>
      </w:r>
      <w:r>
        <w:t xml:space="preserve"> </w:t>
      </w:r>
      <w:r w:rsidRPr="00C45AD0">
        <w:t>Gyawali B, Hey SP, Kesselheim AS. A Comparison of Response Patterns for Progression-Free Survival and Overall Survival Following Treatment for Cancer With PD-1 Inhibitors: A Meta-analysis of Correlation and Differences in Effect Sizes. JAMA Netw Open. 2018;1(2):e180416. doi:10.1001/jamanetworkopen.2018.0416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D3" w:rsidRDefault="00611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D3" w:rsidRDefault="00611FD3" w:rsidP="00A15A9C">
    <w:pPr>
      <w:tabs>
        <w:tab w:val="left" w:pos="142"/>
        <w:tab w:val="right" w:pos="9027"/>
      </w:tabs>
      <w:jc w:val="center"/>
    </w:pPr>
    <w:r>
      <w:rPr>
        <w:i/>
      </w:rPr>
      <w:t>Public Summary Document</w:t>
    </w:r>
    <w:r w:rsidRPr="00605637">
      <w:rPr>
        <w:i/>
      </w:rPr>
      <w:t xml:space="preserve"> – March 2021 PBAC Meeting</w:t>
    </w:r>
  </w:p>
  <w:p w:rsidR="00611FD3" w:rsidRDefault="00611FD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D3" w:rsidRDefault="00611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5F266EC"/>
    <w:lvl w:ilvl="0">
      <w:start w:val="1"/>
      <w:numFmt w:val="bullet"/>
      <w:pStyle w:val="ListBullet"/>
      <w:lvlText w:val=""/>
      <w:lvlJc w:val="left"/>
      <w:pPr>
        <w:tabs>
          <w:tab w:val="num" w:pos="644"/>
        </w:tabs>
        <w:ind w:left="644" w:hanging="360"/>
      </w:pPr>
      <w:rPr>
        <w:rFonts w:ascii="Symbol" w:hAnsi="Symbol" w:hint="default"/>
      </w:rPr>
    </w:lvl>
  </w:abstractNum>
  <w:abstractNum w:abstractNumId="1" w15:restartNumberingAfterBreak="0">
    <w:nsid w:val="10247830"/>
    <w:multiLevelType w:val="hybridMultilevel"/>
    <w:tmpl w:val="48DECB52"/>
    <w:lvl w:ilvl="0" w:tplc="6254C84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384283"/>
    <w:multiLevelType w:val="hybridMultilevel"/>
    <w:tmpl w:val="DF8CB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990761"/>
    <w:multiLevelType w:val="hybridMultilevel"/>
    <w:tmpl w:val="781E86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658" w:hanging="360"/>
      </w:pPr>
      <w:rPr>
        <w:rFonts w:ascii="Courier New" w:hAnsi="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7" w15:restartNumberingAfterBreak="0">
    <w:nsid w:val="4B234B3F"/>
    <w:multiLevelType w:val="hybridMultilevel"/>
    <w:tmpl w:val="3F8EB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4D3476EA"/>
    <w:multiLevelType w:val="hybridMultilevel"/>
    <w:tmpl w:val="8B3AC6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8BD1B8B"/>
    <w:multiLevelType w:val="hybridMultilevel"/>
    <w:tmpl w:val="A01A9286"/>
    <w:lvl w:ilvl="0" w:tplc="6254C84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5B6D1C"/>
    <w:multiLevelType w:val="hybridMultilevel"/>
    <w:tmpl w:val="6908CE20"/>
    <w:lvl w:ilvl="0" w:tplc="A1A4832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B073C5"/>
    <w:multiLevelType w:val="hybridMultilevel"/>
    <w:tmpl w:val="42BA58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1"/>
  </w:num>
  <w:num w:numId="2">
    <w:abstractNumId w:val="5"/>
  </w:num>
  <w:num w:numId="3">
    <w:abstractNumId w:val="6"/>
  </w:num>
  <w:num w:numId="4">
    <w:abstractNumId w:val="0"/>
  </w:num>
  <w:num w:numId="5">
    <w:abstractNumId w:val="3"/>
  </w:num>
  <w:num w:numId="6">
    <w:abstractNumId w:val="2"/>
  </w:num>
  <w:num w:numId="7">
    <w:abstractNumId w:val="12"/>
  </w:num>
  <w:num w:numId="8">
    <w:abstractNumId w:val="7"/>
  </w:num>
  <w:num w:numId="9">
    <w:abstractNumId w:val="8"/>
  </w:num>
  <w:num w:numId="10">
    <w:abstractNumId w:val="9"/>
  </w:num>
  <w:num w:numId="11">
    <w:abstractNumId w:val="1"/>
  </w:num>
  <w:num w:numId="12">
    <w:abstractNumId w:val="10"/>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activeWritingStyle w:appName="MSWord" w:lang="fr-FR" w:vendorID="64" w:dllVersion="6" w:nlCheck="1" w:checkStyle="0"/>
  <w:activeWritingStyle w:appName="MSWord" w:lang="es-MX"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4096" w:nlCheck="1" w:checkStyle="0"/>
  <w:activeWritingStyle w:appName="MSWord" w:lang="en-AU" w:vendorID="64" w:dllVersion="0" w:nlCheck="1" w:checkStyle="0"/>
  <w:activeWritingStyle w:appName="MSWord" w:lang="en-AU"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AA7"/>
    <w:rsid w:val="0000110B"/>
    <w:rsid w:val="00001B96"/>
    <w:rsid w:val="00001F23"/>
    <w:rsid w:val="00002E06"/>
    <w:rsid w:val="00003499"/>
    <w:rsid w:val="000039B7"/>
    <w:rsid w:val="00004046"/>
    <w:rsid w:val="000041D0"/>
    <w:rsid w:val="00004EF3"/>
    <w:rsid w:val="00005F7A"/>
    <w:rsid w:val="0000639A"/>
    <w:rsid w:val="000122AD"/>
    <w:rsid w:val="000128E9"/>
    <w:rsid w:val="00012A00"/>
    <w:rsid w:val="00013247"/>
    <w:rsid w:val="000149D0"/>
    <w:rsid w:val="00015030"/>
    <w:rsid w:val="00015886"/>
    <w:rsid w:val="000162EF"/>
    <w:rsid w:val="000172E0"/>
    <w:rsid w:val="000174C0"/>
    <w:rsid w:val="000207C9"/>
    <w:rsid w:val="000209BC"/>
    <w:rsid w:val="00020CBD"/>
    <w:rsid w:val="00021515"/>
    <w:rsid w:val="0002225F"/>
    <w:rsid w:val="00022BBE"/>
    <w:rsid w:val="00022E47"/>
    <w:rsid w:val="00022ECE"/>
    <w:rsid w:val="00023763"/>
    <w:rsid w:val="000240F6"/>
    <w:rsid w:val="000254DA"/>
    <w:rsid w:val="00026BE9"/>
    <w:rsid w:val="000274B8"/>
    <w:rsid w:val="0003022C"/>
    <w:rsid w:val="0003092B"/>
    <w:rsid w:val="00030D8E"/>
    <w:rsid w:val="00031CB5"/>
    <w:rsid w:val="00032B78"/>
    <w:rsid w:val="00032C3C"/>
    <w:rsid w:val="00033863"/>
    <w:rsid w:val="000339B5"/>
    <w:rsid w:val="00034B5A"/>
    <w:rsid w:val="00034EF5"/>
    <w:rsid w:val="00034F4E"/>
    <w:rsid w:val="0003583C"/>
    <w:rsid w:val="00035DC0"/>
    <w:rsid w:val="00036829"/>
    <w:rsid w:val="00040144"/>
    <w:rsid w:val="00040895"/>
    <w:rsid w:val="00040AE5"/>
    <w:rsid w:val="00040E43"/>
    <w:rsid w:val="00042688"/>
    <w:rsid w:val="00042CDC"/>
    <w:rsid w:val="00042D64"/>
    <w:rsid w:val="000435EE"/>
    <w:rsid w:val="00043C20"/>
    <w:rsid w:val="00043C37"/>
    <w:rsid w:val="00044762"/>
    <w:rsid w:val="00045017"/>
    <w:rsid w:val="00045A2B"/>
    <w:rsid w:val="0004698F"/>
    <w:rsid w:val="0004745F"/>
    <w:rsid w:val="00047DB3"/>
    <w:rsid w:val="00050543"/>
    <w:rsid w:val="0005065E"/>
    <w:rsid w:val="00050A7B"/>
    <w:rsid w:val="00051189"/>
    <w:rsid w:val="000517E9"/>
    <w:rsid w:val="000539D0"/>
    <w:rsid w:val="00054621"/>
    <w:rsid w:val="000546D7"/>
    <w:rsid w:val="00055A98"/>
    <w:rsid w:val="00055AEE"/>
    <w:rsid w:val="0005632C"/>
    <w:rsid w:val="00056888"/>
    <w:rsid w:val="00056ECF"/>
    <w:rsid w:val="0006028D"/>
    <w:rsid w:val="000604DF"/>
    <w:rsid w:val="00060E4B"/>
    <w:rsid w:val="00061C26"/>
    <w:rsid w:val="000624D3"/>
    <w:rsid w:val="000653B5"/>
    <w:rsid w:val="00065E99"/>
    <w:rsid w:val="00066360"/>
    <w:rsid w:val="00066AF8"/>
    <w:rsid w:val="00066FBF"/>
    <w:rsid w:val="00067270"/>
    <w:rsid w:val="00070433"/>
    <w:rsid w:val="00071248"/>
    <w:rsid w:val="000720B9"/>
    <w:rsid w:val="00072DCF"/>
    <w:rsid w:val="000737F7"/>
    <w:rsid w:val="00073A83"/>
    <w:rsid w:val="000742D9"/>
    <w:rsid w:val="00074A9E"/>
    <w:rsid w:val="00074B51"/>
    <w:rsid w:val="0007672F"/>
    <w:rsid w:val="00076B54"/>
    <w:rsid w:val="000774F0"/>
    <w:rsid w:val="000802A9"/>
    <w:rsid w:val="00080909"/>
    <w:rsid w:val="00081229"/>
    <w:rsid w:val="000812CA"/>
    <w:rsid w:val="000818DB"/>
    <w:rsid w:val="00081E63"/>
    <w:rsid w:val="0008258D"/>
    <w:rsid w:val="000829B6"/>
    <w:rsid w:val="00083E99"/>
    <w:rsid w:val="00084810"/>
    <w:rsid w:val="00084FA8"/>
    <w:rsid w:val="000856C5"/>
    <w:rsid w:val="00085C31"/>
    <w:rsid w:val="0008607F"/>
    <w:rsid w:val="00086856"/>
    <w:rsid w:val="00086DCC"/>
    <w:rsid w:val="00086F5B"/>
    <w:rsid w:val="00087390"/>
    <w:rsid w:val="00087454"/>
    <w:rsid w:val="000902D9"/>
    <w:rsid w:val="00090C5A"/>
    <w:rsid w:val="00090C7E"/>
    <w:rsid w:val="00092600"/>
    <w:rsid w:val="0009262B"/>
    <w:rsid w:val="00092F31"/>
    <w:rsid w:val="00093106"/>
    <w:rsid w:val="00093310"/>
    <w:rsid w:val="0009445C"/>
    <w:rsid w:val="00094E8E"/>
    <w:rsid w:val="00095200"/>
    <w:rsid w:val="000952AB"/>
    <w:rsid w:val="00095FE5"/>
    <w:rsid w:val="00096284"/>
    <w:rsid w:val="00097178"/>
    <w:rsid w:val="0009780C"/>
    <w:rsid w:val="000A060C"/>
    <w:rsid w:val="000A185F"/>
    <w:rsid w:val="000A1BC0"/>
    <w:rsid w:val="000A26C1"/>
    <w:rsid w:val="000A4024"/>
    <w:rsid w:val="000A4B5D"/>
    <w:rsid w:val="000A56A2"/>
    <w:rsid w:val="000A6039"/>
    <w:rsid w:val="000A73D5"/>
    <w:rsid w:val="000A7453"/>
    <w:rsid w:val="000A765C"/>
    <w:rsid w:val="000A7AE2"/>
    <w:rsid w:val="000A7D08"/>
    <w:rsid w:val="000B0121"/>
    <w:rsid w:val="000B0670"/>
    <w:rsid w:val="000B0E75"/>
    <w:rsid w:val="000B1339"/>
    <w:rsid w:val="000B21BF"/>
    <w:rsid w:val="000B2DCB"/>
    <w:rsid w:val="000B2E96"/>
    <w:rsid w:val="000B39C8"/>
    <w:rsid w:val="000B3CC9"/>
    <w:rsid w:val="000B4B49"/>
    <w:rsid w:val="000B4C36"/>
    <w:rsid w:val="000B5CE0"/>
    <w:rsid w:val="000B6807"/>
    <w:rsid w:val="000B6CAC"/>
    <w:rsid w:val="000B7612"/>
    <w:rsid w:val="000B76FC"/>
    <w:rsid w:val="000B78AE"/>
    <w:rsid w:val="000C0E7A"/>
    <w:rsid w:val="000C13ED"/>
    <w:rsid w:val="000C18D6"/>
    <w:rsid w:val="000C1912"/>
    <w:rsid w:val="000C3DF9"/>
    <w:rsid w:val="000C52D0"/>
    <w:rsid w:val="000C5571"/>
    <w:rsid w:val="000C5AE6"/>
    <w:rsid w:val="000C6713"/>
    <w:rsid w:val="000D016E"/>
    <w:rsid w:val="000D03D8"/>
    <w:rsid w:val="000D0D5A"/>
    <w:rsid w:val="000D1BFC"/>
    <w:rsid w:val="000D1D31"/>
    <w:rsid w:val="000D1D5D"/>
    <w:rsid w:val="000D1F45"/>
    <w:rsid w:val="000D281A"/>
    <w:rsid w:val="000D2848"/>
    <w:rsid w:val="000D2C1C"/>
    <w:rsid w:val="000D2E22"/>
    <w:rsid w:val="000D326A"/>
    <w:rsid w:val="000D4672"/>
    <w:rsid w:val="000D51FB"/>
    <w:rsid w:val="000D5B0C"/>
    <w:rsid w:val="000D5E33"/>
    <w:rsid w:val="000D7491"/>
    <w:rsid w:val="000E0640"/>
    <w:rsid w:val="000E135D"/>
    <w:rsid w:val="000E2DE4"/>
    <w:rsid w:val="000E3EA0"/>
    <w:rsid w:val="000E53F9"/>
    <w:rsid w:val="000E5B31"/>
    <w:rsid w:val="000E66ED"/>
    <w:rsid w:val="000E79A2"/>
    <w:rsid w:val="000F00BA"/>
    <w:rsid w:val="000F0EAE"/>
    <w:rsid w:val="000F1400"/>
    <w:rsid w:val="000F1DE3"/>
    <w:rsid w:val="000F226C"/>
    <w:rsid w:val="000F2CD1"/>
    <w:rsid w:val="000F316A"/>
    <w:rsid w:val="000F3454"/>
    <w:rsid w:val="000F378A"/>
    <w:rsid w:val="000F3C74"/>
    <w:rsid w:val="000F3FB8"/>
    <w:rsid w:val="000F4BB8"/>
    <w:rsid w:val="000F4FA9"/>
    <w:rsid w:val="000F53FB"/>
    <w:rsid w:val="000F68B7"/>
    <w:rsid w:val="000F7127"/>
    <w:rsid w:val="000F7B54"/>
    <w:rsid w:val="00100F8A"/>
    <w:rsid w:val="001012F5"/>
    <w:rsid w:val="00102945"/>
    <w:rsid w:val="0010452E"/>
    <w:rsid w:val="001049C0"/>
    <w:rsid w:val="00105AC0"/>
    <w:rsid w:val="00105AE2"/>
    <w:rsid w:val="001060C6"/>
    <w:rsid w:val="00106B80"/>
    <w:rsid w:val="00107110"/>
    <w:rsid w:val="0011032E"/>
    <w:rsid w:val="001108C2"/>
    <w:rsid w:val="00110B94"/>
    <w:rsid w:val="00112708"/>
    <w:rsid w:val="00112A7D"/>
    <w:rsid w:val="00112AF0"/>
    <w:rsid w:val="00113375"/>
    <w:rsid w:val="0011348B"/>
    <w:rsid w:val="0011515B"/>
    <w:rsid w:val="001152A3"/>
    <w:rsid w:val="00115982"/>
    <w:rsid w:val="00116C53"/>
    <w:rsid w:val="00117274"/>
    <w:rsid w:val="001200BC"/>
    <w:rsid w:val="00121799"/>
    <w:rsid w:val="001222FC"/>
    <w:rsid w:val="001228AC"/>
    <w:rsid w:val="001229ED"/>
    <w:rsid w:val="001229F8"/>
    <w:rsid w:val="00122F42"/>
    <w:rsid w:val="00123902"/>
    <w:rsid w:val="00123E7F"/>
    <w:rsid w:val="00124A51"/>
    <w:rsid w:val="00125BE8"/>
    <w:rsid w:val="00126621"/>
    <w:rsid w:val="00126B1D"/>
    <w:rsid w:val="001301E9"/>
    <w:rsid w:val="001303C4"/>
    <w:rsid w:val="00131D82"/>
    <w:rsid w:val="00131DEE"/>
    <w:rsid w:val="00132B22"/>
    <w:rsid w:val="001338DF"/>
    <w:rsid w:val="00133BA7"/>
    <w:rsid w:val="00133D36"/>
    <w:rsid w:val="001341EB"/>
    <w:rsid w:val="00135533"/>
    <w:rsid w:val="0013554E"/>
    <w:rsid w:val="001356DC"/>
    <w:rsid w:val="001362C4"/>
    <w:rsid w:val="0013674F"/>
    <w:rsid w:val="00136D61"/>
    <w:rsid w:val="00137645"/>
    <w:rsid w:val="00137C1F"/>
    <w:rsid w:val="00137CB8"/>
    <w:rsid w:val="00137E50"/>
    <w:rsid w:val="0014015A"/>
    <w:rsid w:val="0014053E"/>
    <w:rsid w:val="00140BBF"/>
    <w:rsid w:val="00140C76"/>
    <w:rsid w:val="00140E99"/>
    <w:rsid w:val="00141060"/>
    <w:rsid w:val="00142A0F"/>
    <w:rsid w:val="00142CF6"/>
    <w:rsid w:val="00142DFF"/>
    <w:rsid w:val="00143F67"/>
    <w:rsid w:val="001443AE"/>
    <w:rsid w:val="001443DE"/>
    <w:rsid w:val="00144E9B"/>
    <w:rsid w:val="00145540"/>
    <w:rsid w:val="001456B0"/>
    <w:rsid w:val="00145743"/>
    <w:rsid w:val="00147A53"/>
    <w:rsid w:val="00150571"/>
    <w:rsid w:val="001518C7"/>
    <w:rsid w:val="001524E4"/>
    <w:rsid w:val="0015375B"/>
    <w:rsid w:val="00155425"/>
    <w:rsid w:val="001558C9"/>
    <w:rsid w:val="00155AB1"/>
    <w:rsid w:val="00155E13"/>
    <w:rsid w:val="00156F8F"/>
    <w:rsid w:val="00157130"/>
    <w:rsid w:val="001576B1"/>
    <w:rsid w:val="0016047B"/>
    <w:rsid w:val="00160A4C"/>
    <w:rsid w:val="00161345"/>
    <w:rsid w:val="001615AA"/>
    <w:rsid w:val="00162913"/>
    <w:rsid w:val="00163EFF"/>
    <w:rsid w:val="00163F66"/>
    <w:rsid w:val="0016446D"/>
    <w:rsid w:val="00164B1B"/>
    <w:rsid w:val="001661FB"/>
    <w:rsid w:val="0016622C"/>
    <w:rsid w:val="001664BB"/>
    <w:rsid w:val="001667C7"/>
    <w:rsid w:val="00167090"/>
    <w:rsid w:val="001671A0"/>
    <w:rsid w:val="0016767F"/>
    <w:rsid w:val="00170D5A"/>
    <w:rsid w:val="0017276E"/>
    <w:rsid w:val="00173517"/>
    <w:rsid w:val="00173565"/>
    <w:rsid w:val="00173948"/>
    <w:rsid w:val="00173B07"/>
    <w:rsid w:val="001751FA"/>
    <w:rsid w:val="001752CB"/>
    <w:rsid w:val="001754D9"/>
    <w:rsid w:val="00175A73"/>
    <w:rsid w:val="00175DD3"/>
    <w:rsid w:val="0017625D"/>
    <w:rsid w:val="00176412"/>
    <w:rsid w:val="0017645F"/>
    <w:rsid w:val="001771FF"/>
    <w:rsid w:val="001774D4"/>
    <w:rsid w:val="001807A9"/>
    <w:rsid w:val="00180983"/>
    <w:rsid w:val="00181D9C"/>
    <w:rsid w:val="001834B5"/>
    <w:rsid w:val="00184B0E"/>
    <w:rsid w:val="0018500D"/>
    <w:rsid w:val="00185DDC"/>
    <w:rsid w:val="001862DD"/>
    <w:rsid w:val="0018752F"/>
    <w:rsid w:val="001920CF"/>
    <w:rsid w:val="00192C95"/>
    <w:rsid w:val="00193362"/>
    <w:rsid w:val="001933B6"/>
    <w:rsid w:val="00193838"/>
    <w:rsid w:val="00194AD8"/>
    <w:rsid w:val="00195222"/>
    <w:rsid w:val="00195FFB"/>
    <w:rsid w:val="00196450"/>
    <w:rsid w:val="001970F2"/>
    <w:rsid w:val="001973B5"/>
    <w:rsid w:val="001975D8"/>
    <w:rsid w:val="001A0254"/>
    <w:rsid w:val="001A14E2"/>
    <w:rsid w:val="001A178E"/>
    <w:rsid w:val="001A1BFF"/>
    <w:rsid w:val="001A1F13"/>
    <w:rsid w:val="001A1F81"/>
    <w:rsid w:val="001A2962"/>
    <w:rsid w:val="001A2B17"/>
    <w:rsid w:val="001A2E4E"/>
    <w:rsid w:val="001A41C0"/>
    <w:rsid w:val="001A42EB"/>
    <w:rsid w:val="001A43FA"/>
    <w:rsid w:val="001A47C5"/>
    <w:rsid w:val="001A59FB"/>
    <w:rsid w:val="001A5E9E"/>
    <w:rsid w:val="001A6354"/>
    <w:rsid w:val="001A6366"/>
    <w:rsid w:val="001A6B2A"/>
    <w:rsid w:val="001A6D09"/>
    <w:rsid w:val="001A7508"/>
    <w:rsid w:val="001A7AE8"/>
    <w:rsid w:val="001A7BF9"/>
    <w:rsid w:val="001A7D59"/>
    <w:rsid w:val="001B0EF1"/>
    <w:rsid w:val="001B14D1"/>
    <w:rsid w:val="001B204E"/>
    <w:rsid w:val="001B2372"/>
    <w:rsid w:val="001B29CF"/>
    <w:rsid w:val="001B3443"/>
    <w:rsid w:val="001B4D20"/>
    <w:rsid w:val="001B687F"/>
    <w:rsid w:val="001B6B12"/>
    <w:rsid w:val="001C2A9B"/>
    <w:rsid w:val="001C2C96"/>
    <w:rsid w:val="001C32C7"/>
    <w:rsid w:val="001C4299"/>
    <w:rsid w:val="001C4874"/>
    <w:rsid w:val="001C54A2"/>
    <w:rsid w:val="001C5D0B"/>
    <w:rsid w:val="001C5F94"/>
    <w:rsid w:val="001C6E66"/>
    <w:rsid w:val="001C7578"/>
    <w:rsid w:val="001C7918"/>
    <w:rsid w:val="001C7A98"/>
    <w:rsid w:val="001C7FD0"/>
    <w:rsid w:val="001D03EA"/>
    <w:rsid w:val="001D0CC7"/>
    <w:rsid w:val="001D1100"/>
    <w:rsid w:val="001D1391"/>
    <w:rsid w:val="001D25D7"/>
    <w:rsid w:val="001D2E66"/>
    <w:rsid w:val="001D2FAE"/>
    <w:rsid w:val="001D37C8"/>
    <w:rsid w:val="001D4123"/>
    <w:rsid w:val="001D43B8"/>
    <w:rsid w:val="001D466A"/>
    <w:rsid w:val="001D50B2"/>
    <w:rsid w:val="001D5B9B"/>
    <w:rsid w:val="001D7645"/>
    <w:rsid w:val="001D7EA0"/>
    <w:rsid w:val="001E0CA1"/>
    <w:rsid w:val="001E1E86"/>
    <w:rsid w:val="001E1F67"/>
    <w:rsid w:val="001E238E"/>
    <w:rsid w:val="001E2483"/>
    <w:rsid w:val="001E2B1E"/>
    <w:rsid w:val="001E2CF2"/>
    <w:rsid w:val="001E2CFF"/>
    <w:rsid w:val="001E2F24"/>
    <w:rsid w:val="001E30D4"/>
    <w:rsid w:val="001E34DF"/>
    <w:rsid w:val="001E4267"/>
    <w:rsid w:val="001E45C9"/>
    <w:rsid w:val="001E4F10"/>
    <w:rsid w:val="001E52EB"/>
    <w:rsid w:val="001E587D"/>
    <w:rsid w:val="001E616A"/>
    <w:rsid w:val="001E61D2"/>
    <w:rsid w:val="001E740C"/>
    <w:rsid w:val="001E7CC7"/>
    <w:rsid w:val="001F1235"/>
    <w:rsid w:val="001F1CB3"/>
    <w:rsid w:val="001F3499"/>
    <w:rsid w:val="001F38B5"/>
    <w:rsid w:val="001F3F5A"/>
    <w:rsid w:val="001F4081"/>
    <w:rsid w:val="001F4FBB"/>
    <w:rsid w:val="001F59F8"/>
    <w:rsid w:val="001F5E10"/>
    <w:rsid w:val="001F6BB7"/>
    <w:rsid w:val="001F7361"/>
    <w:rsid w:val="001F7D0A"/>
    <w:rsid w:val="002004C0"/>
    <w:rsid w:val="0020092F"/>
    <w:rsid w:val="002010E4"/>
    <w:rsid w:val="002011B0"/>
    <w:rsid w:val="00203181"/>
    <w:rsid w:val="00203783"/>
    <w:rsid w:val="0020385F"/>
    <w:rsid w:val="00203932"/>
    <w:rsid w:val="002068A0"/>
    <w:rsid w:val="00206EFB"/>
    <w:rsid w:val="00207021"/>
    <w:rsid w:val="0020732F"/>
    <w:rsid w:val="002079EA"/>
    <w:rsid w:val="00207AC0"/>
    <w:rsid w:val="00207D00"/>
    <w:rsid w:val="002105C1"/>
    <w:rsid w:val="00213149"/>
    <w:rsid w:val="00213EBD"/>
    <w:rsid w:val="00213EF5"/>
    <w:rsid w:val="00215385"/>
    <w:rsid w:val="00215889"/>
    <w:rsid w:val="00216BF5"/>
    <w:rsid w:val="00216D1D"/>
    <w:rsid w:val="00216D88"/>
    <w:rsid w:val="00220418"/>
    <w:rsid w:val="00221963"/>
    <w:rsid w:val="002232FC"/>
    <w:rsid w:val="00223B49"/>
    <w:rsid w:val="00223D5A"/>
    <w:rsid w:val="00224DD4"/>
    <w:rsid w:val="002278A0"/>
    <w:rsid w:val="00227FFB"/>
    <w:rsid w:val="002309CC"/>
    <w:rsid w:val="0023209F"/>
    <w:rsid w:val="002336D1"/>
    <w:rsid w:val="00233C01"/>
    <w:rsid w:val="00233C45"/>
    <w:rsid w:val="0023413C"/>
    <w:rsid w:val="002346F0"/>
    <w:rsid w:val="00235C83"/>
    <w:rsid w:val="0023629D"/>
    <w:rsid w:val="00236FAE"/>
    <w:rsid w:val="00237255"/>
    <w:rsid w:val="00241082"/>
    <w:rsid w:val="002413A0"/>
    <w:rsid w:val="002424AF"/>
    <w:rsid w:val="002426F7"/>
    <w:rsid w:val="002439DC"/>
    <w:rsid w:val="00243ABE"/>
    <w:rsid w:val="002441D2"/>
    <w:rsid w:val="00244DBD"/>
    <w:rsid w:val="00244DC8"/>
    <w:rsid w:val="002458BA"/>
    <w:rsid w:val="00245CE9"/>
    <w:rsid w:val="0024636C"/>
    <w:rsid w:val="0024782A"/>
    <w:rsid w:val="00247925"/>
    <w:rsid w:val="00251006"/>
    <w:rsid w:val="002524D5"/>
    <w:rsid w:val="00252A40"/>
    <w:rsid w:val="00252DE2"/>
    <w:rsid w:val="002532FC"/>
    <w:rsid w:val="00253B1D"/>
    <w:rsid w:val="002542E6"/>
    <w:rsid w:val="00254DCF"/>
    <w:rsid w:val="0025534B"/>
    <w:rsid w:val="00255BB7"/>
    <w:rsid w:val="00257253"/>
    <w:rsid w:val="00257541"/>
    <w:rsid w:val="00257A39"/>
    <w:rsid w:val="00257AC4"/>
    <w:rsid w:val="00261EEF"/>
    <w:rsid w:val="00262A1A"/>
    <w:rsid w:val="00262A87"/>
    <w:rsid w:val="00262BB7"/>
    <w:rsid w:val="00263729"/>
    <w:rsid w:val="00263C3B"/>
    <w:rsid w:val="00264B23"/>
    <w:rsid w:val="00264D26"/>
    <w:rsid w:val="00265EA2"/>
    <w:rsid w:val="0026617C"/>
    <w:rsid w:val="00266325"/>
    <w:rsid w:val="00266E7D"/>
    <w:rsid w:val="00267642"/>
    <w:rsid w:val="00267699"/>
    <w:rsid w:val="00267AEA"/>
    <w:rsid w:val="002700E6"/>
    <w:rsid w:val="002706DD"/>
    <w:rsid w:val="0027294B"/>
    <w:rsid w:val="00273EB4"/>
    <w:rsid w:val="00274682"/>
    <w:rsid w:val="00275B14"/>
    <w:rsid w:val="00275C5A"/>
    <w:rsid w:val="00280B97"/>
    <w:rsid w:val="00281014"/>
    <w:rsid w:val="00281352"/>
    <w:rsid w:val="00281A81"/>
    <w:rsid w:val="00281F09"/>
    <w:rsid w:val="00282AA6"/>
    <w:rsid w:val="0028665D"/>
    <w:rsid w:val="002870C0"/>
    <w:rsid w:val="002900BC"/>
    <w:rsid w:val="00290963"/>
    <w:rsid w:val="002919F6"/>
    <w:rsid w:val="0029288D"/>
    <w:rsid w:val="00292AA0"/>
    <w:rsid w:val="00293D07"/>
    <w:rsid w:val="00294304"/>
    <w:rsid w:val="002972DD"/>
    <w:rsid w:val="002A0EA6"/>
    <w:rsid w:val="002A1056"/>
    <w:rsid w:val="002A14AB"/>
    <w:rsid w:val="002A1FDC"/>
    <w:rsid w:val="002A25C6"/>
    <w:rsid w:val="002A2A40"/>
    <w:rsid w:val="002A2A6D"/>
    <w:rsid w:val="002A2ADE"/>
    <w:rsid w:val="002A2BB8"/>
    <w:rsid w:val="002A2F50"/>
    <w:rsid w:val="002A3C1B"/>
    <w:rsid w:val="002A3D87"/>
    <w:rsid w:val="002A40A8"/>
    <w:rsid w:val="002A4CC1"/>
    <w:rsid w:val="002A5523"/>
    <w:rsid w:val="002A71C7"/>
    <w:rsid w:val="002A7C34"/>
    <w:rsid w:val="002B05A1"/>
    <w:rsid w:val="002B09A4"/>
    <w:rsid w:val="002B0D25"/>
    <w:rsid w:val="002B1C1F"/>
    <w:rsid w:val="002B432F"/>
    <w:rsid w:val="002B43BE"/>
    <w:rsid w:val="002B4D05"/>
    <w:rsid w:val="002B4E23"/>
    <w:rsid w:val="002B62B3"/>
    <w:rsid w:val="002B6467"/>
    <w:rsid w:val="002B6754"/>
    <w:rsid w:val="002B6CCE"/>
    <w:rsid w:val="002C0481"/>
    <w:rsid w:val="002C2379"/>
    <w:rsid w:val="002C2510"/>
    <w:rsid w:val="002C2775"/>
    <w:rsid w:val="002C27C1"/>
    <w:rsid w:val="002C37F4"/>
    <w:rsid w:val="002C3AE7"/>
    <w:rsid w:val="002C3E29"/>
    <w:rsid w:val="002C4258"/>
    <w:rsid w:val="002C5099"/>
    <w:rsid w:val="002C50CE"/>
    <w:rsid w:val="002C5889"/>
    <w:rsid w:val="002C5AC5"/>
    <w:rsid w:val="002C6E02"/>
    <w:rsid w:val="002C71CE"/>
    <w:rsid w:val="002D0069"/>
    <w:rsid w:val="002D08F8"/>
    <w:rsid w:val="002D12B0"/>
    <w:rsid w:val="002D274A"/>
    <w:rsid w:val="002D2A2F"/>
    <w:rsid w:val="002D32F4"/>
    <w:rsid w:val="002D519D"/>
    <w:rsid w:val="002D577C"/>
    <w:rsid w:val="002E1071"/>
    <w:rsid w:val="002E15B9"/>
    <w:rsid w:val="002E15EA"/>
    <w:rsid w:val="002E2158"/>
    <w:rsid w:val="002E2207"/>
    <w:rsid w:val="002E246F"/>
    <w:rsid w:val="002E2DA1"/>
    <w:rsid w:val="002E3479"/>
    <w:rsid w:val="002E4EE9"/>
    <w:rsid w:val="002E4F02"/>
    <w:rsid w:val="002E522B"/>
    <w:rsid w:val="002E66DB"/>
    <w:rsid w:val="002E7722"/>
    <w:rsid w:val="002E7DCA"/>
    <w:rsid w:val="002F07BA"/>
    <w:rsid w:val="002F0DA9"/>
    <w:rsid w:val="002F1014"/>
    <w:rsid w:val="002F1D4C"/>
    <w:rsid w:val="002F396F"/>
    <w:rsid w:val="002F3E6E"/>
    <w:rsid w:val="002F643C"/>
    <w:rsid w:val="002F68D2"/>
    <w:rsid w:val="002F7161"/>
    <w:rsid w:val="002F71C0"/>
    <w:rsid w:val="002F74F1"/>
    <w:rsid w:val="00301017"/>
    <w:rsid w:val="003014D8"/>
    <w:rsid w:val="0030155F"/>
    <w:rsid w:val="003038B0"/>
    <w:rsid w:val="003050AF"/>
    <w:rsid w:val="0030587B"/>
    <w:rsid w:val="003063F1"/>
    <w:rsid w:val="00306D98"/>
    <w:rsid w:val="0030786C"/>
    <w:rsid w:val="00307CDE"/>
    <w:rsid w:val="003100CA"/>
    <w:rsid w:val="0031031A"/>
    <w:rsid w:val="003104CA"/>
    <w:rsid w:val="00310981"/>
    <w:rsid w:val="0031129E"/>
    <w:rsid w:val="003117F2"/>
    <w:rsid w:val="003124D9"/>
    <w:rsid w:val="00312594"/>
    <w:rsid w:val="003129DA"/>
    <w:rsid w:val="00312C50"/>
    <w:rsid w:val="0031372D"/>
    <w:rsid w:val="00315498"/>
    <w:rsid w:val="00316474"/>
    <w:rsid w:val="00316B1D"/>
    <w:rsid w:val="003174F5"/>
    <w:rsid w:val="0032034C"/>
    <w:rsid w:val="003207C4"/>
    <w:rsid w:val="00321682"/>
    <w:rsid w:val="00321B9E"/>
    <w:rsid w:val="00321CE6"/>
    <w:rsid w:val="00322107"/>
    <w:rsid w:val="00322355"/>
    <w:rsid w:val="00322846"/>
    <w:rsid w:val="00322A44"/>
    <w:rsid w:val="00322C18"/>
    <w:rsid w:val="00324807"/>
    <w:rsid w:val="003248ED"/>
    <w:rsid w:val="003251DB"/>
    <w:rsid w:val="003261A1"/>
    <w:rsid w:val="00326A53"/>
    <w:rsid w:val="00326DA7"/>
    <w:rsid w:val="00326DC4"/>
    <w:rsid w:val="003270E4"/>
    <w:rsid w:val="0032752F"/>
    <w:rsid w:val="00330DAA"/>
    <w:rsid w:val="00330F5C"/>
    <w:rsid w:val="00331376"/>
    <w:rsid w:val="00331961"/>
    <w:rsid w:val="00335375"/>
    <w:rsid w:val="003360AD"/>
    <w:rsid w:val="003366C9"/>
    <w:rsid w:val="003371B0"/>
    <w:rsid w:val="00337D93"/>
    <w:rsid w:val="00340DF1"/>
    <w:rsid w:val="00342318"/>
    <w:rsid w:val="003447B4"/>
    <w:rsid w:val="00344CBA"/>
    <w:rsid w:val="00345C05"/>
    <w:rsid w:val="00346733"/>
    <w:rsid w:val="00346D84"/>
    <w:rsid w:val="003517F9"/>
    <w:rsid w:val="00351A3C"/>
    <w:rsid w:val="00351BA9"/>
    <w:rsid w:val="00352220"/>
    <w:rsid w:val="003539E6"/>
    <w:rsid w:val="00353BF2"/>
    <w:rsid w:val="00354F64"/>
    <w:rsid w:val="00355289"/>
    <w:rsid w:val="0035620E"/>
    <w:rsid w:val="0035679E"/>
    <w:rsid w:val="00357185"/>
    <w:rsid w:val="0035771D"/>
    <w:rsid w:val="00360090"/>
    <w:rsid w:val="00360345"/>
    <w:rsid w:val="003608F0"/>
    <w:rsid w:val="00361A05"/>
    <w:rsid w:val="003624BF"/>
    <w:rsid w:val="003624C4"/>
    <w:rsid w:val="00363B00"/>
    <w:rsid w:val="00363C2F"/>
    <w:rsid w:val="00365437"/>
    <w:rsid w:val="003654AC"/>
    <w:rsid w:val="00365A24"/>
    <w:rsid w:val="00366744"/>
    <w:rsid w:val="00366F5D"/>
    <w:rsid w:val="003710CF"/>
    <w:rsid w:val="00371880"/>
    <w:rsid w:val="003719C4"/>
    <w:rsid w:val="003721CA"/>
    <w:rsid w:val="0037358A"/>
    <w:rsid w:val="00373DBC"/>
    <w:rsid w:val="00374B5F"/>
    <w:rsid w:val="003750F6"/>
    <w:rsid w:val="00375322"/>
    <w:rsid w:val="003760FC"/>
    <w:rsid w:val="00376DE0"/>
    <w:rsid w:val="00377C9B"/>
    <w:rsid w:val="003816F6"/>
    <w:rsid w:val="00381FF2"/>
    <w:rsid w:val="00382826"/>
    <w:rsid w:val="0038365C"/>
    <w:rsid w:val="0038369B"/>
    <w:rsid w:val="00383B78"/>
    <w:rsid w:val="0038449C"/>
    <w:rsid w:val="003844B1"/>
    <w:rsid w:val="00384F14"/>
    <w:rsid w:val="00385A9D"/>
    <w:rsid w:val="00386A94"/>
    <w:rsid w:val="00387984"/>
    <w:rsid w:val="003902B1"/>
    <w:rsid w:val="00390DCA"/>
    <w:rsid w:val="0039179C"/>
    <w:rsid w:val="003935AE"/>
    <w:rsid w:val="00393960"/>
    <w:rsid w:val="00394ACE"/>
    <w:rsid w:val="00395EDE"/>
    <w:rsid w:val="0039606F"/>
    <w:rsid w:val="0039643C"/>
    <w:rsid w:val="00396896"/>
    <w:rsid w:val="00396EFC"/>
    <w:rsid w:val="00396FD0"/>
    <w:rsid w:val="003A0708"/>
    <w:rsid w:val="003A1840"/>
    <w:rsid w:val="003A1A7A"/>
    <w:rsid w:val="003A1A9C"/>
    <w:rsid w:val="003A226F"/>
    <w:rsid w:val="003A2392"/>
    <w:rsid w:val="003A267F"/>
    <w:rsid w:val="003A2831"/>
    <w:rsid w:val="003A2A63"/>
    <w:rsid w:val="003A3887"/>
    <w:rsid w:val="003A3CB6"/>
    <w:rsid w:val="003A3ED1"/>
    <w:rsid w:val="003A434D"/>
    <w:rsid w:val="003A44DB"/>
    <w:rsid w:val="003A48E8"/>
    <w:rsid w:val="003A5EC9"/>
    <w:rsid w:val="003A69F4"/>
    <w:rsid w:val="003B13E5"/>
    <w:rsid w:val="003B1DC3"/>
    <w:rsid w:val="003B35F3"/>
    <w:rsid w:val="003B3971"/>
    <w:rsid w:val="003B4042"/>
    <w:rsid w:val="003B4CF6"/>
    <w:rsid w:val="003B55D1"/>
    <w:rsid w:val="003B5B61"/>
    <w:rsid w:val="003B7287"/>
    <w:rsid w:val="003B7457"/>
    <w:rsid w:val="003B7C03"/>
    <w:rsid w:val="003C1654"/>
    <w:rsid w:val="003C3A37"/>
    <w:rsid w:val="003C473B"/>
    <w:rsid w:val="003C4908"/>
    <w:rsid w:val="003C5542"/>
    <w:rsid w:val="003C7D19"/>
    <w:rsid w:val="003C7D2F"/>
    <w:rsid w:val="003D045B"/>
    <w:rsid w:val="003D1256"/>
    <w:rsid w:val="003D12F2"/>
    <w:rsid w:val="003D1828"/>
    <w:rsid w:val="003D1A8B"/>
    <w:rsid w:val="003D1DE4"/>
    <w:rsid w:val="003D1E9A"/>
    <w:rsid w:val="003D2422"/>
    <w:rsid w:val="003D2427"/>
    <w:rsid w:val="003D39A1"/>
    <w:rsid w:val="003D3FBF"/>
    <w:rsid w:val="003D4001"/>
    <w:rsid w:val="003D4172"/>
    <w:rsid w:val="003D49B2"/>
    <w:rsid w:val="003D4A30"/>
    <w:rsid w:val="003D4A87"/>
    <w:rsid w:val="003D54C5"/>
    <w:rsid w:val="003D69FD"/>
    <w:rsid w:val="003D7452"/>
    <w:rsid w:val="003D79BB"/>
    <w:rsid w:val="003D7C98"/>
    <w:rsid w:val="003D7D9D"/>
    <w:rsid w:val="003D7EE4"/>
    <w:rsid w:val="003E0543"/>
    <w:rsid w:val="003E1C86"/>
    <w:rsid w:val="003E205E"/>
    <w:rsid w:val="003E3389"/>
    <w:rsid w:val="003E490F"/>
    <w:rsid w:val="003E49DE"/>
    <w:rsid w:val="003E49E2"/>
    <w:rsid w:val="003E66A2"/>
    <w:rsid w:val="003E6ABD"/>
    <w:rsid w:val="003E749E"/>
    <w:rsid w:val="003E7BDE"/>
    <w:rsid w:val="003E7F33"/>
    <w:rsid w:val="003F130D"/>
    <w:rsid w:val="003F25D5"/>
    <w:rsid w:val="003F3FBE"/>
    <w:rsid w:val="003F4156"/>
    <w:rsid w:val="003F4402"/>
    <w:rsid w:val="003F4C49"/>
    <w:rsid w:val="003F5ADF"/>
    <w:rsid w:val="00400B29"/>
    <w:rsid w:val="00400CAA"/>
    <w:rsid w:val="004014F1"/>
    <w:rsid w:val="0040166B"/>
    <w:rsid w:val="00402ACB"/>
    <w:rsid w:val="00402B1F"/>
    <w:rsid w:val="0040500C"/>
    <w:rsid w:val="0040504B"/>
    <w:rsid w:val="0040548C"/>
    <w:rsid w:val="0040557B"/>
    <w:rsid w:val="004059F4"/>
    <w:rsid w:val="00405B41"/>
    <w:rsid w:val="004066A5"/>
    <w:rsid w:val="00406A89"/>
    <w:rsid w:val="00407ADA"/>
    <w:rsid w:val="00407FE5"/>
    <w:rsid w:val="004101B0"/>
    <w:rsid w:val="00410326"/>
    <w:rsid w:val="00410708"/>
    <w:rsid w:val="00410EC7"/>
    <w:rsid w:val="004116F7"/>
    <w:rsid w:val="00411730"/>
    <w:rsid w:val="00411B39"/>
    <w:rsid w:val="0041225D"/>
    <w:rsid w:val="00412761"/>
    <w:rsid w:val="004127A7"/>
    <w:rsid w:val="00413A1E"/>
    <w:rsid w:val="00414476"/>
    <w:rsid w:val="00414C2E"/>
    <w:rsid w:val="004151CF"/>
    <w:rsid w:val="004153B1"/>
    <w:rsid w:val="0041548F"/>
    <w:rsid w:val="004156C5"/>
    <w:rsid w:val="00416364"/>
    <w:rsid w:val="00416913"/>
    <w:rsid w:val="00416A23"/>
    <w:rsid w:val="00416CE2"/>
    <w:rsid w:val="00417A56"/>
    <w:rsid w:val="00417BC7"/>
    <w:rsid w:val="0042047F"/>
    <w:rsid w:val="00420AA6"/>
    <w:rsid w:val="00420B9F"/>
    <w:rsid w:val="00421092"/>
    <w:rsid w:val="0042192C"/>
    <w:rsid w:val="00421FCB"/>
    <w:rsid w:val="00422260"/>
    <w:rsid w:val="0042413F"/>
    <w:rsid w:val="00424377"/>
    <w:rsid w:val="00426CA1"/>
    <w:rsid w:val="004305F6"/>
    <w:rsid w:val="00431126"/>
    <w:rsid w:val="004313EF"/>
    <w:rsid w:val="004319F8"/>
    <w:rsid w:val="00431C9F"/>
    <w:rsid w:val="00431E55"/>
    <w:rsid w:val="004321F6"/>
    <w:rsid w:val="004323B5"/>
    <w:rsid w:val="00433044"/>
    <w:rsid w:val="0043406D"/>
    <w:rsid w:val="00434088"/>
    <w:rsid w:val="004342DC"/>
    <w:rsid w:val="00434F97"/>
    <w:rsid w:val="004362A7"/>
    <w:rsid w:val="0043742C"/>
    <w:rsid w:val="004375B9"/>
    <w:rsid w:val="004376DC"/>
    <w:rsid w:val="0044020D"/>
    <w:rsid w:val="00440B75"/>
    <w:rsid w:val="0044166D"/>
    <w:rsid w:val="00441737"/>
    <w:rsid w:val="00442704"/>
    <w:rsid w:val="004428D0"/>
    <w:rsid w:val="00442B9B"/>
    <w:rsid w:val="004431F8"/>
    <w:rsid w:val="00443291"/>
    <w:rsid w:val="004440F9"/>
    <w:rsid w:val="00444185"/>
    <w:rsid w:val="004443A7"/>
    <w:rsid w:val="0044442C"/>
    <w:rsid w:val="004457F2"/>
    <w:rsid w:val="00445941"/>
    <w:rsid w:val="004464EB"/>
    <w:rsid w:val="00447D26"/>
    <w:rsid w:val="00447DD6"/>
    <w:rsid w:val="00447DFC"/>
    <w:rsid w:val="00450109"/>
    <w:rsid w:val="00450FD7"/>
    <w:rsid w:val="0045135A"/>
    <w:rsid w:val="0045213F"/>
    <w:rsid w:val="00453D55"/>
    <w:rsid w:val="00454688"/>
    <w:rsid w:val="00454E91"/>
    <w:rsid w:val="00455AF2"/>
    <w:rsid w:val="00455D45"/>
    <w:rsid w:val="0045664C"/>
    <w:rsid w:val="004570A3"/>
    <w:rsid w:val="00457718"/>
    <w:rsid w:val="00457E5E"/>
    <w:rsid w:val="004622C0"/>
    <w:rsid w:val="00462C83"/>
    <w:rsid w:val="00463504"/>
    <w:rsid w:val="00464196"/>
    <w:rsid w:val="00464595"/>
    <w:rsid w:val="004658B5"/>
    <w:rsid w:val="0046676C"/>
    <w:rsid w:val="0047026D"/>
    <w:rsid w:val="00471EA5"/>
    <w:rsid w:val="00472A79"/>
    <w:rsid w:val="00472F83"/>
    <w:rsid w:val="00473F19"/>
    <w:rsid w:val="00473F5E"/>
    <w:rsid w:val="00475E22"/>
    <w:rsid w:val="00476D91"/>
    <w:rsid w:val="0048088E"/>
    <w:rsid w:val="00480F2B"/>
    <w:rsid w:val="0048150F"/>
    <w:rsid w:val="0048187C"/>
    <w:rsid w:val="00481AE7"/>
    <w:rsid w:val="0048202B"/>
    <w:rsid w:val="00482720"/>
    <w:rsid w:val="004835E7"/>
    <w:rsid w:val="004858CA"/>
    <w:rsid w:val="00486791"/>
    <w:rsid w:val="004867E2"/>
    <w:rsid w:val="00486D2E"/>
    <w:rsid w:val="0049053A"/>
    <w:rsid w:val="004909C0"/>
    <w:rsid w:val="00490B17"/>
    <w:rsid w:val="00491B3A"/>
    <w:rsid w:val="00492416"/>
    <w:rsid w:val="00492CFD"/>
    <w:rsid w:val="0049317E"/>
    <w:rsid w:val="0049338F"/>
    <w:rsid w:val="00493BE2"/>
    <w:rsid w:val="00494207"/>
    <w:rsid w:val="0049472F"/>
    <w:rsid w:val="00494DD5"/>
    <w:rsid w:val="004962D2"/>
    <w:rsid w:val="00497A18"/>
    <w:rsid w:val="004A0DA1"/>
    <w:rsid w:val="004A1206"/>
    <w:rsid w:val="004A13D6"/>
    <w:rsid w:val="004A2BFD"/>
    <w:rsid w:val="004A2FF9"/>
    <w:rsid w:val="004A358F"/>
    <w:rsid w:val="004A52E9"/>
    <w:rsid w:val="004A6040"/>
    <w:rsid w:val="004A617C"/>
    <w:rsid w:val="004A638E"/>
    <w:rsid w:val="004A6597"/>
    <w:rsid w:val="004A6B99"/>
    <w:rsid w:val="004A7848"/>
    <w:rsid w:val="004B012C"/>
    <w:rsid w:val="004B16ED"/>
    <w:rsid w:val="004B1CB4"/>
    <w:rsid w:val="004B22AC"/>
    <w:rsid w:val="004B2F18"/>
    <w:rsid w:val="004B3DDB"/>
    <w:rsid w:val="004B44FD"/>
    <w:rsid w:val="004B461A"/>
    <w:rsid w:val="004B59AE"/>
    <w:rsid w:val="004B5CFC"/>
    <w:rsid w:val="004B60BB"/>
    <w:rsid w:val="004B60DE"/>
    <w:rsid w:val="004B6E6C"/>
    <w:rsid w:val="004B6F79"/>
    <w:rsid w:val="004B774D"/>
    <w:rsid w:val="004B77A0"/>
    <w:rsid w:val="004C0AD9"/>
    <w:rsid w:val="004C1167"/>
    <w:rsid w:val="004C1C2A"/>
    <w:rsid w:val="004C294C"/>
    <w:rsid w:val="004C4AED"/>
    <w:rsid w:val="004C4C93"/>
    <w:rsid w:val="004C4D25"/>
    <w:rsid w:val="004C7048"/>
    <w:rsid w:val="004C78FF"/>
    <w:rsid w:val="004D0313"/>
    <w:rsid w:val="004D09CE"/>
    <w:rsid w:val="004D0A3D"/>
    <w:rsid w:val="004D1A7D"/>
    <w:rsid w:val="004D2C2D"/>
    <w:rsid w:val="004D3DA7"/>
    <w:rsid w:val="004D3F59"/>
    <w:rsid w:val="004D4E74"/>
    <w:rsid w:val="004D54DB"/>
    <w:rsid w:val="004D54E4"/>
    <w:rsid w:val="004D5959"/>
    <w:rsid w:val="004D66F2"/>
    <w:rsid w:val="004D69B5"/>
    <w:rsid w:val="004D6EF7"/>
    <w:rsid w:val="004D7227"/>
    <w:rsid w:val="004D722B"/>
    <w:rsid w:val="004D7EBA"/>
    <w:rsid w:val="004E0E7F"/>
    <w:rsid w:val="004E0EB8"/>
    <w:rsid w:val="004E18E9"/>
    <w:rsid w:val="004E2ADC"/>
    <w:rsid w:val="004E3010"/>
    <w:rsid w:val="004E3272"/>
    <w:rsid w:val="004E3484"/>
    <w:rsid w:val="004E3EEA"/>
    <w:rsid w:val="004E43B2"/>
    <w:rsid w:val="004E61B6"/>
    <w:rsid w:val="004E6B37"/>
    <w:rsid w:val="004E79F3"/>
    <w:rsid w:val="004E7E0D"/>
    <w:rsid w:val="004E7F0B"/>
    <w:rsid w:val="004F03E4"/>
    <w:rsid w:val="004F1D02"/>
    <w:rsid w:val="004F2679"/>
    <w:rsid w:val="004F27B4"/>
    <w:rsid w:val="004F27F5"/>
    <w:rsid w:val="004F2C8C"/>
    <w:rsid w:val="004F2F21"/>
    <w:rsid w:val="004F3DE5"/>
    <w:rsid w:val="004F4B18"/>
    <w:rsid w:val="004F4E09"/>
    <w:rsid w:val="004F56F2"/>
    <w:rsid w:val="004F61D4"/>
    <w:rsid w:val="004F64A3"/>
    <w:rsid w:val="004F6913"/>
    <w:rsid w:val="004F77A4"/>
    <w:rsid w:val="004F7865"/>
    <w:rsid w:val="004F7990"/>
    <w:rsid w:val="0050119D"/>
    <w:rsid w:val="0050174E"/>
    <w:rsid w:val="00501854"/>
    <w:rsid w:val="00501A27"/>
    <w:rsid w:val="0050219B"/>
    <w:rsid w:val="005024E1"/>
    <w:rsid w:val="00503F17"/>
    <w:rsid w:val="00503FAF"/>
    <w:rsid w:val="005053BF"/>
    <w:rsid w:val="005060B5"/>
    <w:rsid w:val="00506928"/>
    <w:rsid w:val="005077EF"/>
    <w:rsid w:val="00507F32"/>
    <w:rsid w:val="00507F76"/>
    <w:rsid w:val="00510DE7"/>
    <w:rsid w:val="005111EB"/>
    <w:rsid w:val="00511AD5"/>
    <w:rsid w:val="00511DC7"/>
    <w:rsid w:val="00512CB3"/>
    <w:rsid w:val="00512F54"/>
    <w:rsid w:val="00513652"/>
    <w:rsid w:val="005142C5"/>
    <w:rsid w:val="00514908"/>
    <w:rsid w:val="0051501B"/>
    <w:rsid w:val="005152B5"/>
    <w:rsid w:val="00516C34"/>
    <w:rsid w:val="00516FF3"/>
    <w:rsid w:val="0052012B"/>
    <w:rsid w:val="0052123C"/>
    <w:rsid w:val="00521319"/>
    <w:rsid w:val="00521600"/>
    <w:rsid w:val="00522BC8"/>
    <w:rsid w:val="00523629"/>
    <w:rsid w:val="005238EE"/>
    <w:rsid w:val="00523C28"/>
    <w:rsid w:val="0052512E"/>
    <w:rsid w:val="00525E02"/>
    <w:rsid w:val="0053176B"/>
    <w:rsid w:val="00531E0E"/>
    <w:rsid w:val="005320CA"/>
    <w:rsid w:val="005330E1"/>
    <w:rsid w:val="00533A46"/>
    <w:rsid w:val="00535101"/>
    <w:rsid w:val="00535980"/>
    <w:rsid w:val="00536E6D"/>
    <w:rsid w:val="00536F42"/>
    <w:rsid w:val="00537182"/>
    <w:rsid w:val="0054049E"/>
    <w:rsid w:val="00541EDD"/>
    <w:rsid w:val="00542743"/>
    <w:rsid w:val="005429D0"/>
    <w:rsid w:val="00542C2D"/>
    <w:rsid w:val="005431B3"/>
    <w:rsid w:val="005440FF"/>
    <w:rsid w:val="00545586"/>
    <w:rsid w:val="00545590"/>
    <w:rsid w:val="00546440"/>
    <w:rsid w:val="005473B0"/>
    <w:rsid w:val="00547641"/>
    <w:rsid w:val="005478BD"/>
    <w:rsid w:val="005479E3"/>
    <w:rsid w:val="00550407"/>
    <w:rsid w:val="00550FFF"/>
    <w:rsid w:val="00551985"/>
    <w:rsid w:val="00551C5F"/>
    <w:rsid w:val="00552BD3"/>
    <w:rsid w:val="005532A0"/>
    <w:rsid w:val="00553775"/>
    <w:rsid w:val="00555109"/>
    <w:rsid w:val="00555ECA"/>
    <w:rsid w:val="00556453"/>
    <w:rsid w:val="0055654D"/>
    <w:rsid w:val="00556B35"/>
    <w:rsid w:val="00556BA7"/>
    <w:rsid w:val="0055741A"/>
    <w:rsid w:val="0055785B"/>
    <w:rsid w:val="00557C2D"/>
    <w:rsid w:val="00560D83"/>
    <w:rsid w:val="0056109B"/>
    <w:rsid w:val="005611B7"/>
    <w:rsid w:val="005618D4"/>
    <w:rsid w:val="005636D5"/>
    <w:rsid w:val="00563C5D"/>
    <w:rsid w:val="005642BA"/>
    <w:rsid w:val="0056546B"/>
    <w:rsid w:val="00565DF0"/>
    <w:rsid w:val="0056696F"/>
    <w:rsid w:val="005715A2"/>
    <w:rsid w:val="00571BDA"/>
    <w:rsid w:val="00572269"/>
    <w:rsid w:val="0057244A"/>
    <w:rsid w:val="00572F26"/>
    <w:rsid w:val="00574506"/>
    <w:rsid w:val="005748C6"/>
    <w:rsid w:val="00574D14"/>
    <w:rsid w:val="005750C5"/>
    <w:rsid w:val="005752DE"/>
    <w:rsid w:val="00575D8D"/>
    <w:rsid w:val="00576972"/>
    <w:rsid w:val="00576978"/>
    <w:rsid w:val="005772CC"/>
    <w:rsid w:val="00582057"/>
    <w:rsid w:val="005825E9"/>
    <w:rsid w:val="00583191"/>
    <w:rsid w:val="00583699"/>
    <w:rsid w:val="0058391B"/>
    <w:rsid w:val="005844FE"/>
    <w:rsid w:val="00584622"/>
    <w:rsid w:val="0058512E"/>
    <w:rsid w:val="00585C4E"/>
    <w:rsid w:val="00585CDD"/>
    <w:rsid w:val="00587058"/>
    <w:rsid w:val="00587556"/>
    <w:rsid w:val="00587C93"/>
    <w:rsid w:val="005903E4"/>
    <w:rsid w:val="005903EE"/>
    <w:rsid w:val="00590B6F"/>
    <w:rsid w:val="00591292"/>
    <w:rsid w:val="00591957"/>
    <w:rsid w:val="005922AB"/>
    <w:rsid w:val="00593BE9"/>
    <w:rsid w:val="00594371"/>
    <w:rsid w:val="005962AE"/>
    <w:rsid w:val="005967EB"/>
    <w:rsid w:val="005971F0"/>
    <w:rsid w:val="00597843"/>
    <w:rsid w:val="00597BF9"/>
    <w:rsid w:val="005A0B85"/>
    <w:rsid w:val="005A309A"/>
    <w:rsid w:val="005A373D"/>
    <w:rsid w:val="005A3C0F"/>
    <w:rsid w:val="005A47E7"/>
    <w:rsid w:val="005A58A1"/>
    <w:rsid w:val="005A7196"/>
    <w:rsid w:val="005A7BBC"/>
    <w:rsid w:val="005B0888"/>
    <w:rsid w:val="005B0B58"/>
    <w:rsid w:val="005B2441"/>
    <w:rsid w:val="005B3C08"/>
    <w:rsid w:val="005B3C59"/>
    <w:rsid w:val="005B47EF"/>
    <w:rsid w:val="005B4E53"/>
    <w:rsid w:val="005B4F1A"/>
    <w:rsid w:val="005B5857"/>
    <w:rsid w:val="005B62D6"/>
    <w:rsid w:val="005B74CF"/>
    <w:rsid w:val="005C03F1"/>
    <w:rsid w:val="005C075C"/>
    <w:rsid w:val="005C1A4D"/>
    <w:rsid w:val="005C1B83"/>
    <w:rsid w:val="005C25FF"/>
    <w:rsid w:val="005C2D55"/>
    <w:rsid w:val="005C346B"/>
    <w:rsid w:val="005C4F5C"/>
    <w:rsid w:val="005C5FC3"/>
    <w:rsid w:val="005C6691"/>
    <w:rsid w:val="005C6FDF"/>
    <w:rsid w:val="005C7BA0"/>
    <w:rsid w:val="005C7BD9"/>
    <w:rsid w:val="005D044D"/>
    <w:rsid w:val="005D0ABD"/>
    <w:rsid w:val="005D18AD"/>
    <w:rsid w:val="005D221A"/>
    <w:rsid w:val="005D23D0"/>
    <w:rsid w:val="005D26B4"/>
    <w:rsid w:val="005D27A7"/>
    <w:rsid w:val="005D2CC6"/>
    <w:rsid w:val="005D4695"/>
    <w:rsid w:val="005D5010"/>
    <w:rsid w:val="005D5255"/>
    <w:rsid w:val="005D584F"/>
    <w:rsid w:val="005D6BB4"/>
    <w:rsid w:val="005D6FA6"/>
    <w:rsid w:val="005E28D4"/>
    <w:rsid w:val="005E67D3"/>
    <w:rsid w:val="005E6CBC"/>
    <w:rsid w:val="005E6D6B"/>
    <w:rsid w:val="005E70EC"/>
    <w:rsid w:val="005E72FF"/>
    <w:rsid w:val="005E73C0"/>
    <w:rsid w:val="005E7BB5"/>
    <w:rsid w:val="005E7E17"/>
    <w:rsid w:val="005F0A8A"/>
    <w:rsid w:val="005F0B7C"/>
    <w:rsid w:val="005F0D63"/>
    <w:rsid w:val="005F0DBA"/>
    <w:rsid w:val="005F118E"/>
    <w:rsid w:val="005F1E31"/>
    <w:rsid w:val="005F238B"/>
    <w:rsid w:val="005F2706"/>
    <w:rsid w:val="005F5FE7"/>
    <w:rsid w:val="005F6A8F"/>
    <w:rsid w:val="005F6BB7"/>
    <w:rsid w:val="005F708D"/>
    <w:rsid w:val="005F7588"/>
    <w:rsid w:val="006000EC"/>
    <w:rsid w:val="00601978"/>
    <w:rsid w:val="00601BB3"/>
    <w:rsid w:val="00603714"/>
    <w:rsid w:val="00603DB9"/>
    <w:rsid w:val="00605144"/>
    <w:rsid w:val="00605637"/>
    <w:rsid w:val="0060574E"/>
    <w:rsid w:val="00606FBA"/>
    <w:rsid w:val="00607669"/>
    <w:rsid w:val="006076F4"/>
    <w:rsid w:val="00607AFD"/>
    <w:rsid w:val="00607E9C"/>
    <w:rsid w:val="00611FD3"/>
    <w:rsid w:val="00612F97"/>
    <w:rsid w:val="0061345D"/>
    <w:rsid w:val="006145A0"/>
    <w:rsid w:val="0061549B"/>
    <w:rsid w:val="00615590"/>
    <w:rsid w:val="006163BE"/>
    <w:rsid w:val="00616802"/>
    <w:rsid w:val="00616B96"/>
    <w:rsid w:val="00617976"/>
    <w:rsid w:val="00617E12"/>
    <w:rsid w:val="00620256"/>
    <w:rsid w:val="00620C25"/>
    <w:rsid w:val="006213D3"/>
    <w:rsid w:val="00621477"/>
    <w:rsid w:val="00621ADA"/>
    <w:rsid w:val="00623958"/>
    <w:rsid w:val="00623F7B"/>
    <w:rsid w:val="0062436C"/>
    <w:rsid w:val="00624531"/>
    <w:rsid w:val="006249B0"/>
    <w:rsid w:val="00624F82"/>
    <w:rsid w:val="00625B4F"/>
    <w:rsid w:val="00627307"/>
    <w:rsid w:val="0062788C"/>
    <w:rsid w:val="00627C1F"/>
    <w:rsid w:val="00630BD8"/>
    <w:rsid w:val="0063140E"/>
    <w:rsid w:val="0063158F"/>
    <w:rsid w:val="00631D6B"/>
    <w:rsid w:val="00631F70"/>
    <w:rsid w:val="00632183"/>
    <w:rsid w:val="00632906"/>
    <w:rsid w:val="00632BDB"/>
    <w:rsid w:val="00632E54"/>
    <w:rsid w:val="006330A1"/>
    <w:rsid w:val="0063479F"/>
    <w:rsid w:val="00634962"/>
    <w:rsid w:val="00634DFD"/>
    <w:rsid w:val="006353F0"/>
    <w:rsid w:val="006357B5"/>
    <w:rsid w:val="006364A1"/>
    <w:rsid w:val="0063678E"/>
    <w:rsid w:val="00637BFD"/>
    <w:rsid w:val="00637D24"/>
    <w:rsid w:val="00641911"/>
    <w:rsid w:val="00641C1D"/>
    <w:rsid w:val="00641C4E"/>
    <w:rsid w:val="00641FB3"/>
    <w:rsid w:val="00642D9A"/>
    <w:rsid w:val="00642E67"/>
    <w:rsid w:val="006430DC"/>
    <w:rsid w:val="0064434C"/>
    <w:rsid w:val="006471CC"/>
    <w:rsid w:val="00647A29"/>
    <w:rsid w:val="0065079F"/>
    <w:rsid w:val="006514D8"/>
    <w:rsid w:val="00651AAF"/>
    <w:rsid w:val="00652A28"/>
    <w:rsid w:val="0065379F"/>
    <w:rsid w:val="006537D9"/>
    <w:rsid w:val="00653A28"/>
    <w:rsid w:val="006559BA"/>
    <w:rsid w:val="00656188"/>
    <w:rsid w:val="006569F7"/>
    <w:rsid w:val="0065715A"/>
    <w:rsid w:val="006610F1"/>
    <w:rsid w:val="0066192A"/>
    <w:rsid w:val="00661C6B"/>
    <w:rsid w:val="00662707"/>
    <w:rsid w:val="00662D0C"/>
    <w:rsid w:val="00663328"/>
    <w:rsid w:val="00663DA1"/>
    <w:rsid w:val="00665431"/>
    <w:rsid w:val="0066555F"/>
    <w:rsid w:val="0066604E"/>
    <w:rsid w:val="00670394"/>
    <w:rsid w:val="0067042C"/>
    <w:rsid w:val="00671004"/>
    <w:rsid w:val="00672646"/>
    <w:rsid w:val="006739AE"/>
    <w:rsid w:val="00673B98"/>
    <w:rsid w:val="00674365"/>
    <w:rsid w:val="00674E42"/>
    <w:rsid w:val="00677D42"/>
    <w:rsid w:val="006805D4"/>
    <w:rsid w:val="00680C0A"/>
    <w:rsid w:val="0068124A"/>
    <w:rsid w:val="006813F8"/>
    <w:rsid w:val="00681D20"/>
    <w:rsid w:val="00682112"/>
    <w:rsid w:val="00682AF9"/>
    <w:rsid w:val="00682BA6"/>
    <w:rsid w:val="00683563"/>
    <w:rsid w:val="00683ED7"/>
    <w:rsid w:val="0068425F"/>
    <w:rsid w:val="00684382"/>
    <w:rsid w:val="0068649D"/>
    <w:rsid w:val="00686957"/>
    <w:rsid w:val="006872BA"/>
    <w:rsid w:val="00687F22"/>
    <w:rsid w:val="0069076C"/>
    <w:rsid w:val="00690795"/>
    <w:rsid w:val="00691648"/>
    <w:rsid w:val="006917D7"/>
    <w:rsid w:val="00693B63"/>
    <w:rsid w:val="00693B66"/>
    <w:rsid w:val="0069434C"/>
    <w:rsid w:val="00694CFD"/>
    <w:rsid w:val="00694EDE"/>
    <w:rsid w:val="00694F44"/>
    <w:rsid w:val="006952F7"/>
    <w:rsid w:val="0069668E"/>
    <w:rsid w:val="00696E78"/>
    <w:rsid w:val="00696F51"/>
    <w:rsid w:val="006973AD"/>
    <w:rsid w:val="006975D3"/>
    <w:rsid w:val="006979A5"/>
    <w:rsid w:val="00697D99"/>
    <w:rsid w:val="006A05FF"/>
    <w:rsid w:val="006A1210"/>
    <w:rsid w:val="006A1475"/>
    <w:rsid w:val="006A1545"/>
    <w:rsid w:val="006A26D7"/>
    <w:rsid w:val="006A2D26"/>
    <w:rsid w:val="006A3081"/>
    <w:rsid w:val="006A3709"/>
    <w:rsid w:val="006A6B99"/>
    <w:rsid w:val="006A77ED"/>
    <w:rsid w:val="006A7E5F"/>
    <w:rsid w:val="006B1E5A"/>
    <w:rsid w:val="006B261B"/>
    <w:rsid w:val="006B261C"/>
    <w:rsid w:val="006B2C90"/>
    <w:rsid w:val="006B35E6"/>
    <w:rsid w:val="006B459B"/>
    <w:rsid w:val="006B465A"/>
    <w:rsid w:val="006B5145"/>
    <w:rsid w:val="006B6DD0"/>
    <w:rsid w:val="006B7109"/>
    <w:rsid w:val="006B7F98"/>
    <w:rsid w:val="006C0399"/>
    <w:rsid w:val="006C04EA"/>
    <w:rsid w:val="006C2A8E"/>
    <w:rsid w:val="006C3255"/>
    <w:rsid w:val="006C3F26"/>
    <w:rsid w:val="006C4AF2"/>
    <w:rsid w:val="006C535C"/>
    <w:rsid w:val="006C7665"/>
    <w:rsid w:val="006C781F"/>
    <w:rsid w:val="006C7979"/>
    <w:rsid w:val="006C7D56"/>
    <w:rsid w:val="006D0D17"/>
    <w:rsid w:val="006D1BCB"/>
    <w:rsid w:val="006D1F83"/>
    <w:rsid w:val="006D2271"/>
    <w:rsid w:val="006D29ED"/>
    <w:rsid w:val="006D3C7D"/>
    <w:rsid w:val="006D409D"/>
    <w:rsid w:val="006D451D"/>
    <w:rsid w:val="006D4659"/>
    <w:rsid w:val="006D5125"/>
    <w:rsid w:val="006D5A67"/>
    <w:rsid w:val="006D5D5F"/>
    <w:rsid w:val="006D68FB"/>
    <w:rsid w:val="006D719D"/>
    <w:rsid w:val="006E0D6E"/>
    <w:rsid w:val="006E121D"/>
    <w:rsid w:val="006E130C"/>
    <w:rsid w:val="006E1725"/>
    <w:rsid w:val="006E1CF4"/>
    <w:rsid w:val="006E2868"/>
    <w:rsid w:val="006E2A51"/>
    <w:rsid w:val="006E5866"/>
    <w:rsid w:val="006E6048"/>
    <w:rsid w:val="006E6071"/>
    <w:rsid w:val="006E65B2"/>
    <w:rsid w:val="006E66B1"/>
    <w:rsid w:val="006E72FA"/>
    <w:rsid w:val="006E7D31"/>
    <w:rsid w:val="006F1364"/>
    <w:rsid w:val="006F1825"/>
    <w:rsid w:val="006F2E94"/>
    <w:rsid w:val="006F306C"/>
    <w:rsid w:val="006F45CB"/>
    <w:rsid w:val="006F46A1"/>
    <w:rsid w:val="006F518E"/>
    <w:rsid w:val="006F63A5"/>
    <w:rsid w:val="006F7642"/>
    <w:rsid w:val="006F7BF8"/>
    <w:rsid w:val="0070003E"/>
    <w:rsid w:val="007013A2"/>
    <w:rsid w:val="0070142B"/>
    <w:rsid w:val="0070276E"/>
    <w:rsid w:val="00702F8F"/>
    <w:rsid w:val="0070359E"/>
    <w:rsid w:val="007039E3"/>
    <w:rsid w:val="00703C48"/>
    <w:rsid w:val="0070736E"/>
    <w:rsid w:val="007079FC"/>
    <w:rsid w:val="007101E1"/>
    <w:rsid w:val="00710756"/>
    <w:rsid w:val="007109A6"/>
    <w:rsid w:val="007109E4"/>
    <w:rsid w:val="00711A36"/>
    <w:rsid w:val="007141B7"/>
    <w:rsid w:val="00714C26"/>
    <w:rsid w:val="0071529C"/>
    <w:rsid w:val="007170DA"/>
    <w:rsid w:val="007172AD"/>
    <w:rsid w:val="007178CE"/>
    <w:rsid w:val="00717EDB"/>
    <w:rsid w:val="00720801"/>
    <w:rsid w:val="00722356"/>
    <w:rsid w:val="0072278E"/>
    <w:rsid w:val="00722821"/>
    <w:rsid w:val="00722B1B"/>
    <w:rsid w:val="00723D7A"/>
    <w:rsid w:val="00723EC2"/>
    <w:rsid w:val="0072416F"/>
    <w:rsid w:val="00724F60"/>
    <w:rsid w:val="007254F5"/>
    <w:rsid w:val="00726197"/>
    <w:rsid w:val="00726686"/>
    <w:rsid w:val="00727C94"/>
    <w:rsid w:val="00731B0A"/>
    <w:rsid w:val="00731EAE"/>
    <w:rsid w:val="007321F4"/>
    <w:rsid w:val="00732533"/>
    <w:rsid w:val="00733073"/>
    <w:rsid w:val="0073460F"/>
    <w:rsid w:val="00735033"/>
    <w:rsid w:val="00735179"/>
    <w:rsid w:val="00735328"/>
    <w:rsid w:val="007367E0"/>
    <w:rsid w:val="0073685B"/>
    <w:rsid w:val="00740485"/>
    <w:rsid w:val="007408BD"/>
    <w:rsid w:val="00741419"/>
    <w:rsid w:val="007416A5"/>
    <w:rsid w:val="00741FD8"/>
    <w:rsid w:val="00743D6C"/>
    <w:rsid w:val="00743E38"/>
    <w:rsid w:val="007442A5"/>
    <w:rsid w:val="007449BF"/>
    <w:rsid w:val="007462FC"/>
    <w:rsid w:val="00746BC0"/>
    <w:rsid w:val="00746FA2"/>
    <w:rsid w:val="007470A2"/>
    <w:rsid w:val="00747F09"/>
    <w:rsid w:val="00750576"/>
    <w:rsid w:val="007510B4"/>
    <w:rsid w:val="00752142"/>
    <w:rsid w:val="007523F9"/>
    <w:rsid w:val="0075260A"/>
    <w:rsid w:val="0075357E"/>
    <w:rsid w:val="00753B06"/>
    <w:rsid w:val="00753B90"/>
    <w:rsid w:val="00753E19"/>
    <w:rsid w:val="0075495C"/>
    <w:rsid w:val="00755084"/>
    <w:rsid w:val="007552B3"/>
    <w:rsid w:val="00756AC3"/>
    <w:rsid w:val="007573E8"/>
    <w:rsid w:val="00760C4E"/>
    <w:rsid w:val="00760F9E"/>
    <w:rsid w:val="007610A5"/>
    <w:rsid w:val="00761A54"/>
    <w:rsid w:val="007627BE"/>
    <w:rsid w:val="007633A2"/>
    <w:rsid w:val="0076361A"/>
    <w:rsid w:val="00764097"/>
    <w:rsid w:val="00764F03"/>
    <w:rsid w:val="00765825"/>
    <w:rsid w:val="00765B1A"/>
    <w:rsid w:val="0076606C"/>
    <w:rsid w:val="0076693A"/>
    <w:rsid w:val="00767630"/>
    <w:rsid w:val="00770B7B"/>
    <w:rsid w:val="0077104B"/>
    <w:rsid w:val="00772DC7"/>
    <w:rsid w:val="00773160"/>
    <w:rsid w:val="00773663"/>
    <w:rsid w:val="007752A7"/>
    <w:rsid w:val="007767B9"/>
    <w:rsid w:val="00777335"/>
    <w:rsid w:val="00777937"/>
    <w:rsid w:val="00777ABA"/>
    <w:rsid w:val="00781F3E"/>
    <w:rsid w:val="007820E6"/>
    <w:rsid w:val="00782952"/>
    <w:rsid w:val="007843F2"/>
    <w:rsid w:val="00785598"/>
    <w:rsid w:val="0078599A"/>
    <w:rsid w:val="00785A9F"/>
    <w:rsid w:val="00786337"/>
    <w:rsid w:val="0078656F"/>
    <w:rsid w:val="007906A1"/>
    <w:rsid w:val="00790921"/>
    <w:rsid w:val="00791464"/>
    <w:rsid w:val="00791B8A"/>
    <w:rsid w:val="007925DF"/>
    <w:rsid w:val="00794445"/>
    <w:rsid w:val="00795D0E"/>
    <w:rsid w:val="00796BD1"/>
    <w:rsid w:val="007A0026"/>
    <w:rsid w:val="007A08AA"/>
    <w:rsid w:val="007A0A12"/>
    <w:rsid w:val="007A132D"/>
    <w:rsid w:val="007A1345"/>
    <w:rsid w:val="007A1366"/>
    <w:rsid w:val="007A1F01"/>
    <w:rsid w:val="007A2DDB"/>
    <w:rsid w:val="007A3471"/>
    <w:rsid w:val="007A37BA"/>
    <w:rsid w:val="007A4D1C"/>
    <w:rsid w:val="007A5B93"/>
    <w:rsid w:val="007A70BA"/>
    <w:rsid w:val="007B0D68"/>
    <w:rsid w:val="007B0EF2"/>
    <w:rsid w:val="007B1A8F"/>
    <w:rsid w:val="007B2230"/>
    <w:rsid w:val="007B251D"/>
    <w:rsid w:val="007B31ED"/>
    <w:rsid w:val="007B3C04"/>
    <w:rsid w:val="007B4F58"/>
    <w:rsid w:val="007B528D"/>
    <w:rsid w:val="007B52BB"/>
    <w:rsid w:val="007B63CA"/>
    <w:rsid w:val="007B6802"/>
    <w:rsid w:val="007B77A0"/>
    <w:rsid w:val="007B77D1"/>
    <w:rsid w:val="007C07C7"/>
    <w:rsid w:val="007C0864"/>
    <w:rsid w:val="007C119E"/>
    <w:rsid w:val="007C1677"/>
    <w:rsid w:val="007C1C3B"/>
    <w:rsid w:val="007C1CD9"/>
    <w:rsid w:val="007C220D"/>
    <w:rsid w:val="007C2DE4"/>
    <w:rsid w:val="007C32D0"/>
    <w:rsid w:val="007C32EF"/>
    <w:rsid w:val="007C361D"/>
    <w:rsid w:val="007C4668"/>
    <w:rsid w:val="007C4ABE"/>
    <w:rsid w:val="007C4B84"/>
    <w:rsid w:val="007C4EB8"/>
    <w:rsid w:val="007C5313"/>
    <w:rsid w:val="007C6622"/>
    <w:rsid w:val="007C70FF"/>
    <w:rsid w:val="007C7612"/>
    <w:rsid w:val="007C7C25"/>
    <w:rsid w:val="007D004F"/>
    <w:rsid w:val="007D0B38"/>
    <w:rsid w:val="007D152A"/>
    <w:rsid w:val="007D2A65"/>
    <w:rsid w:val="007D3B4A"/>
    <w:rsid w:val="007D42B6"/>
    <w:rsid w:val="007D5440"/>
    <w:rsid w:val="007D5B55"/>
    <w:rsid w:val="007D69EB"/>
    <w:rsid w:val="007D6E38"/>
    <w:rsid w:val="007E07C5"/>
    <w:rsid w:val="007E088E"/>
    <w:rsid w:val="007E0C10"/>
    <w:rsid w:val="007E128F"/>
    <w:rsid w:val="007E14D3"/>
    <w:rsid w:val="007E1B14"/>
    <w:rsid w:val="007E21F0"/>
    <w:rsid w:val="007E2D6B"/>
    <w:rsid w:val="007E4D96"/>
    <w:rsid w:val="007E4DED"/>
    <w:rsid w:val="007E4F2B"/>
    <w:rsid w:val="007E5299"/>
    <w:rsid w:val="007E5B1F"/>
    <w:rsid w:val="007E5EEE"/>
    <w:rsid w:val="007E70DE"/>
    <w:rsid w:val="007E77C1"/>
    <w:rsid w:val="007F1017"/>
    <w:rsid w:val="007F1EB3"/>
    <w:rsid w:val="007F2B9D"/>
    <w:rsid w:val="007F3220"/>
    <w:rsid w:val="007F3323"/>
    <w:rsid w:val="007F484B"/>
    <w:rsid w:val="007F4A29"/>
    <w:rsid w:val="007F4A3F"/>
    <w:rsid w:val="007F4A61"/>
    <w:rsid w:val="007F4E38"/>
    <w:rsid w:val="007F5255"/>
    <w:rsid w:val="007F5383"/>
    <w:rsid w:val="007F56CC"/>
    <w:rsid w:val="007F5730"/>
    <w:rsid w:val="007F57DC"/>
    <w:rsid w:val="007F5E8C"/>
    <w:rsid w:val="007F61C2"/>
    <w:rsid w:val="007F6998"/>
    <w:rsid w:val="00800EB0"/>
    <w:rsid w:val="008011FE"/>
    <w:rsid w:val="00805142"/>
    <w:rsid w:val="00805FCE"/>
    <w:rsid w:val="00806038"/>
    <w:rsid w:val="008065F5"/>
    <w:rsid w:val="00807A8B"/>
    <w:rsid w:val="00810542"/>
    <w:rsid w:val="00811383"/>
    <w:rsid w:val="00812149"/>
    <w:rsid w:val="008129AA"/>
    <w:rsid w:val="00812CAC"/>
    <w:rsid w:val="00812EE2"/>
    <w:rsid w:val="0081502D"/>
    <w:rsid w:val="00816361"/>
    <w:rsid w:val="0081668A"/>
    <w:rsid w:val="008166EF"/>
    <w:rsid w:val="00816FEF"/>
    <w:rsid w:val="00820A8C"/>
    <w:rsid w:val="00820E02"/>
    <w:rsid w:val="008215FB"/>
    <w:rsid w:val="00823174"/>
    <w:rsid w:val="00824421"/>
    <w:rsid w:val="0082468B"/>
    <w:rsid w:val="008250FE"/>
    <w:rsid w:val="00825751"/>
    <w:rsid w:val="00825AAC"/>
    <w:rsid w:val="00825E3A"/>
    <w:rsid w:val="008264EB"/>
    <w:rsid w:val="00826803"/>
    <w:rsid w:val="008312D0"/>
    <w:rsid w:val="00831C23"/>
    <w:rsid w:val="00831FE8"/>
    <w:rsid w:val="00832FE4"/>
    <w:rsid w:val="00833124"/>
    <w:rsid w:val="008331D5"/>
    <w:rsid w:val="008332E0"/>
    <w:rsid w:val="00833773"/>
    <w:rsid w:val="00833B05"/>
    <w:rsid w:val="00835205"/>
    <w:rsid w:val="00835448"/>
    <w:rsid w:val="008358F3"/>
    <w:rsid w:val="008362B4"/>
    <w:rsid w:val="0083667A"/>
    <w:rsid w:val="0083709A"/>
    <w:rsid w:val="0084007F"/>
    <w:rsid w:val="0084043B"/>
    <w:rsid w:val="00840863"/>
    <w:rsid w:val="00840CA2"/>
    <w:rsid w:val="00841B5F"/>
    <w:rsid w:val="0084374F"/>
    <w:rsid w:val="008438EE"/>
    <w:rsid w:val="0084418A"/>
    <w:rsid w:val="00844A22"/>
    <w:rsid w:val="00845D63"/>
    <w:rsid w:val="00845F97"/>
    <w:rsid w:val="00847703"/>
    <w:rsid w:val="00847874"/>
    <w:rsid w:val="00847DF5"/>
    <w:rsid w:val="00850287"/>
    <w:rsid w:val="00852E4C"/>
    <w:rsid w:val="0085309D"/>
    <w:rsid w:val="00853584"/>
    <w:rsid w:val="00853AA9"/>
    <w:rsid w:val="00853FCD"/>
    <w:rsid w:val="00854AFA"/>
    <w:rsid w:val="008553D3"/>
    <w:rsid w:val="0085681C"/>
    <w:rsid w:val="00856897"/>
    <w:rsid w:val="00856E9A"/>
    <w:rsid w:val="008572B1"/>
    <w:rsid w:val="0086007E"/>
    <w:rsid w:val="0086075D"/>
    <w:rsid w:val="00861932"/>
    <w:rsid w:val="00861FEC"/>
    <w:rsid w:val="00862502"/>
    <w:rsid w:val="008626F9"/>
    <w:rsid w:val="0086278D"/>
    <w:rsid w:val="00862792"/>
    <w:rsid w:val="00862CC1"/>
    <w:rsid w:val="008638E4"/>
    <w:rsid w:val="008660D4"/>
    <w:rsid w:val="00866408"/>
    <w:rsid w:val="00871FA9"/>
    <w:rsid w:val="008728E9"/>
    <w:rsid w:val="00872BF3"/>
    <w:rsid w:val="00874C66"/>
    <w:rsid w:val="00875160"/>
    <w:rsid w:val="00875649"/>
    <w:rsid w:val="008800C5"/>
    <w:rsid w:val="0088235B"/>
    <w:rsid w:val="008823D8"/>
    <w:rsid w:val="00882874"/>
    <w:rsid w:val="0088289C"/>
    <w:rsid w:val="00882E3C"/>
    <w:rsid w:val="00882E4B"/>
    <w:rsid w:val="00883787"/>
    <w:rsid w:val="008845C4"/>
    <w:rsid w:val="008855E4"/>
    <w:rsid w:val="008857EC"/>
    <w:rsid w:val="00886CD2"/>
    <w:rsid w:val="00886D89"/>
    <w:rsid w:val="00887358"/>
    <w:rsid w:val="00887D9C"/>
    <w:rsid w:val="00890F75"/>
    <w:rsid w:val="00891E6F"/>
    <w:rsid w:val="0089275D"/>
    <w:rsid w:val="00892A36"/>
    <w:rsid w:val="00892A58"/>
    <w:rsid w:val="00892E98"/>
    <w:rsid w:val="00893175"/>
    <w:rsid w:val="00893239"/>
    <w:rsid w:val="00894489"/>
    <w:rsid w:val="008944BF"/>
    <w:rsid w:val="0089490D"/>
    <w:rsid w:val="008963A5"/>
    <w:rsid w:val="00896A06"/>
    <w:rsid w:val="00896D5D"/>
    <w:rsid w:val="00896FA6"/>
    <w:rsid w:val="00897446"/>
    <w:rsid w:val="008A0AF2"/>
    <w:rsid w:val="008A0D77"/>
    <w:rsid w:val="008A16FF"/>
    <w:rsid w:val="008A3363"/>
    <w:rsid w:val="008A3371"/>
    <w:rsid w:val="008A35C8"/>
    <w:rsid w:val="008A3C3E"/>
    <w:rsid w:val="008A42C2"/>
    <w:rsid w:val="008A529C"/>
    <w:rsid w:val="008A538B"/>
    <w:rsid w:val="008A61F0"/>
    <w:rsid w:val="008A7812"/>
    <w:rsid w:val="008A79DE"/>
    <w:rsid w:val="008A7EEB"/>
    <w:rsid w:val="008B0825"/>
    <w:rsid w:val="008B0927"/>
    <w:rsid w:val="008B1757"/>
    <w:rsid w:val="008B1981"/>
    <w:rsid w:val="008B2E2D"/>
    <w:rsid w:val="008B3550"/>
    <w:rsid w:val="008B38C1"/>
    <w:rsid w:val="008B7992"/>
    <w:rsid w:val="008B7D7E"/>
    <w:rsid w:val="008C2E7E"/>
    <w:rsid w:val="008C4474"/>
    <w:rsid w:val="008C5610"/>
    <w:rsid w:val="008C5739"/>
    <w:rsid w:val="008C7325"/>
    <w:rsid w:val="008C7B33"/>
    <w:rsid w:val="008C7ECB"/>
    <w:rsid w:val="008D0D46"/>
    <w:rsid w:val="008D0F56"/>
    <w:rsid w:val="008D0F65"/>
    <w:rsid w:val="008D149E"/>
    <w:rsid w:val="008D2AAD"/>
    <w:rsid w:val="008D2DEE"/>
    <w:rsid w:val="008D3B86"/>
    <w:rsid w:val="008D4755"/>
    <w:rsid w:val="008D4843"/>
    <w:rsid w:val="008D4C3D"/>
    <w:rsid w:val="008D4D10"/>
    <w:rsid w:val="008D6E5C"/>
    <w:rsid w:val="008D7010"/>
    <w:rsid w:val="008D71BA"/>
    <w:rsid w:val="008D743C"/>
    <w:rsid w:val="008D7A27"/>
    <w:rsid w:val="008D7E5E"/>
    <w:rsid w:val="008E024D"/>
    <w:rsid w:val="008E0D3C"/>
    <w:rsid w:val="008E0DA4"/>
    <w:rsid w:val="008E1B9E"/>
    <w:rsid w:val="008E2691"/>
    <w:rsid w:val="008E351A"/>
    <w:rsid w:val="008E4184"/>
    <w:rsid w:val="008E496A"/>
    <w:rsid w:val="008E4BD3"/>
    <w:rsid w:val="008E55AB"/>
    <w:rsid w:val="008E5B97"/>
    <w:rsid w:val="008E60FE"/>
    <w:rsid w:val="008F0DF2"/>
    <w:rsid w:val="008F120A"/>
    <w:rsid w:val="008F27E0"/>
    <w:rsid w:val="008F2AF4"/>
    <w:rsid w:val="008F3581"/>
    <w:rsid w:val="008F419A"/>
    <w:rsid w:val="008F44AE"/>
    <w:rsid w:val="008F48EB"/>
    <w:rsid w:val="008F4F0B"/>
    <w:rsid w:val="008F5836"/>
    <w:rsid w:val="008F615C"/>
    <w:rsid w:val="009018F2"/>
    <w:rsid w:val="00901D6B"/>
    <w:rsid w:val="009038C8"/>
    <w:rsid w:val="009046C4"/>
    <w:rsid w:val="009062A5"/>
    <w:rsid w:val="00906BE0"/>
    <w:rsid w:val="0090798C"/>
    <w:rsid w:val="009103D6"/>
    <w:rsid w:val="0091070E"/>
    <w:rsid w:val="00910B68"/>
    <w:rsid w:val="00910FA7"/>
    <w:rsid w:val="00911272"/>
    <w:rsid w:val="00912660"/>
    <w:rsid w:val="009128A7"/>
    <w:rsid w:val="009135D6"/>
    <w:rsid w:val="009149EA"/>
    <w:rsid w:val="00914C77"/>
    <w:rsid w:val="00915A99"/>
    <w:rsid w:val="00917DA4"/>
    <w:rsid w:val="00921058"/>
    <w:rsid w:val="00921ACB"/>
    <w:rsid w:val="00923204"/>
    <w:rsid w:val="0092369B"/>
    <w:rsid w:val="00923E62"/>
    <w:rsid w:val="0092446A"/>
    <w:rsid w:val="00924737"/>
    <w:rsid w:val="009255B9"/>
    <w:rsid w:val="00925A6C"/>
    <w:rsid w:val="00926236"/>
    <w:rsid w:val="009264CB"/>
    <w:rsid w:val="009272EE"/>
    <w:rsid w:val="00927F72"/>
    <w:rsid w:val="00930650"/>
    <w:rsid w:val="00932B45"/>
    <w:rsid w:val="009339A5"/>
    <w:rsid w:val="00934988"/>
    <w:rsid w:val="00937089"/>
    <w:rsid w:val="00941D4A"/>
    <w:rsid w:val="009429A6"/>
    <w:rsid w:val="009435BD"/>
    <w:rsid w:val="00944F8A"/>
    <w:rsid w:val="009466FD"/>
    <w:rsid w:val="00950CDB"/>
    <w:rsid w:val="009510A2"/>
    <w:rsid w:val="009516E7"/>
    <w:rsid w:val="00951A36"/>
    <w:rsid w:val="00951FCE"/>
    <w:rsid w:val="00952719"/>
    <w:rsid w:val="00953257"/>
    <w:rsid w:val="00953674"/>
    <w:rsid w:val="0095406F"/>
    <w:rsid w:val="0095474C"/>
    <w:rsid w:val="00954AF7"/>
    <w:rsid w:val="00954B42"/>
    <w:rsid w:val="00956A44"/>
    <w:rsid w:val="00957A68"/>
    <w:rsid w:val="009615EA"/>
    <w:rsid w:val="0096258A"/>
    <w:rsid w:val="00962CB9"/>
    <w:rsid w:val="00963625"/>
    <w:rsid w:val="00963707"/>
    <w:rsid w:val="009640D0"/>
    <w:rsid w:val="00964312"/>
    <w:rsid w:val="00965B8A"/>
    <w:rsid w:val="00965D21"/>
    <w:rsid w:val="0096613F"/>
    <w:rsid w:val="009668D2"/>
    <w:rsid w:val="00967DAA"/>
    <w:rsid w:val="0097071F"/>
    <w:rsid w:val="00970723"/>
    <w:rsid w:val="009712FC"/>
    <w:rsid w:val="009717AC"/>
    <w:rsid w:val="00971F85"/>
    <w:rsid w:val="009737D9"/>
    <w:rsid w:val="00974236"/>
    <w:rsid w:val="009751C1"/>
    <w:rsid w:val="009801A1"/>
    <w:rsid w:val="009811F1"/>
    <w:rsid w:val="00981380"/>
    <w:rsid w:val="00981FF0"/>
    <w:rsid w:val="00982AEC"/>
    <w:rsid w:val="00983E57"/>
    <w:rsid w:val="0098474E"/>
    <w:rsid w:val="00985DE2"/>
    <w:rsid w:val="0098675D"/>
    <w:rsid w:val="0098681A"/>
    <w:rsid w:val="00987003"/>
    <w:rsid w:val="00987836"/>
    <w:rsid w:val="00987EE7"/>
    <w:rsid w:val="00990124"/>
    <w:rsid w:val="009926E0"/>
    <w:rsid w:val="00992D2E"/>
    <w:rsid w:val="009934FE"/>
    <w:rsid w:val="00993585"/>
    <w:rsid w:val="009940B1"/>
    <w:rsid w:val="009942B4"/>
    <w:rsid w:val="0099451E"/>
    <w:rsid w:val="009958B7"/>
    <w:rsid w:val="00995AC7"/>
    <w:rsid w:val="00995EC2"/>
    <w:rsid w:val="00996AEC"/>
    <w:rsid w:val="00996B1A"/>
    <w:rsid w:val="009979CC"/>
    <w:rsid w:val="009A0663"/>
    <w:rsid w:val="009A22BD"/>
    <w:rsid w:val="009A2DCC"/>
    <w:rsid w:val="009A351D"/>
    <w:rsid w:val="009A3AA6"/>
    <w:rsid w:val="009A5ABC"/>
    <w:rsid w:val="009A60B2"/>
    <w:rsid w:val="009A7296"/>
    <w:rsid w:val="009A75AF"/>
    <w:rsid w:val="009A7F10"/>
    <w:rsid w:val="009B0BF2"/>
    <w:rsid w:val="009B0CE0"/>
    <w:rsid w:val="009B1B70"/>
    <w:rsid w:val="009B1EF6"/>
    <w:rsid w:val="009B34BE"/>
    <w:rsid w:val="009B3970"/>
    <w:rsid w:val="009B3E26"/>
    <w:rsid w:val="009B3F1B"/>
    <w:rsid w:val="009B5DEB"/>
    <w:rsid w:val="009C08B3"/>
    <w:rsid w:val="009C0BF3"/>
    <w:rsid w:val="009C290E"/>
    <w:rsid w:val="009C3706"/>
    <w:rsid w:val="009C3A3A"/>
    <w:rsid w:val="009C5458"/>
    <w:rsid w:val="009C6CEA"/>
    <w:rsid w:val="009C7B85"/>
    <w:rsid w:val="009D0254"/>
    <w:rsid w:val="009D14C8"/>
    <w:rsid w:val="009D17CC"/>
    <w:rsid w:val="009D1A64"/>
    <w:rsid w:val="009D5325"/>
    <w:rsid w:val="009D59A7"/>
    <w:rsid w:val="009D5B91"/>
    <w:rsid w:val="009D6524"/>
    <w:rsid w:val="009D77B8"/>
    <w:rsid w:val="009D792E"/>
    <w:rsid w:val="009E0DFE"/>
    <w:rsid w:val="009E20AA"/>
    <w:rsid w:val="009E2156"/>
    <w:rsid w:val="009E2D7E"/>
    <w:rsid w:val="009E31F6"/>
    <w:rsid w:val="009E32F9"/>
    <w:rsid w:val="009E3E53"/>
    <w:rsid w:val="009E4C07"/>
    <w:rsid w:val="009E54BD"/>
    <w:rsid w:val="009E5838"/>
    <w:rsid w:val="009E7E00"/>
    <w:rsid w:val="009F00B1"/>
    <w:rsid w:val="009F0BB0"/>
    <w:rsid w:val="009F4023"/>
    <w:rsid w:val="009F508C"/>
    <w:rsid w:val="00A01184"/>
    <w:rsid w:val="00A011B4"/>
    <w:rsid w:val="00A0146E"/>
    <w:rsid w:val="00A037C2"/>
    <w:rsid w:val="00A037FB"/>
    <w:rsid w:val="00A03D43"/>
    <w:rsid w:val="00A03FCD"/>
    <w:rsid w:val="00A04380"/>
    <w:rsid w:val="00A0461A"/>
    <w:rsid w:val="00A05472"/>
    <w:rsid w:val="00A055CC"/>
    <w:rsid w:val="00A0593A"/>
    <w:rsid w:val="00A05C32"/>
    <w:rsid w:val="00A0653F"/>
    <w:rsid w:val="00A10DF7"/>
    <w:rsid w:val="00A11016"/>
    <w:rsid w:val="00A11BCA"/>
    <w:rsid w:val="00A11CD0"/>
    <w:rsid w:val="00A13948"/>
    <w:rsid w:val="00A14215"/>
    <w:rsid w:val="00A1555B"/>
    <w:rsid w:val="00A155C5"/>
    <w:rsid w:val="00A15A9C"/>
    <w:rsid w:val="00A15BFF"/>
    <w:rsid w:val="00A16AD8"/>
    <w:rsid w:val="00A17E0B"/>
    <w:rsid w:val="00A20FB4"/>
    <w:rsid w:val="00A20FD0"/>
    <w:rsid w:val="00A21C95"/>
    <w:rsid w:val="00A21CF3"/>
    <w:rsid w:val="00A229D4"/>
    <w:rsid w:val="00A23781"/>
    <w:rsid w:val="00A24813"/>
    <w:rsid w:val="00A24F2C"/>
    <w:rsid w:val="00A25ACC"/>
    <w:rsid w:val="00A25B48"/>
    <w:rsid w:val="00A25F77"/>
    <w:rsid w:val="00A27711"/>
    <w:rsid w:val="00A27AE7"/>
    <w:rsid w:val="00A27AEC"/>
    <w:rsid w:val="00A303B0"/>
    <w:rsid w:val="00A303F0"/>
    <w:rsid w:val="00A30D1F"/>
    <w:rsid w:val="00A31F00"/>
    <w:rsid w:val="00A320DB"/>
    <w:rsid w:val="00A32BD8"/>
    <w:rsid w:val="00A34060"/>
    <w:rsid w:val="00A34FD1"/>
    <w:rsid w:val="00A35D16"/>
    <w:rsid w:val="00A37BCD"/>
    <w:rsid w:val="00A4012A"/>
    <w:rsid w:val="00A415E9"/>
    <w:rsid w:val="00A41689"/>
    <w:rsid w:val="00A42592"/>
    <w:rsid w:val="00A43636"/>
    <w:rsid w:val="00A43C59"/>
    <w:rsid w:val="00A4492A"/>
    <w:rsid w:val="00A4594D"/>
    <w:rsid w:val="00A45FB7"/>
    <w:rsid w:val="00A46DAF"/>
    <w:rsid w:val="00A50308"/>
    <w:rsid w:val="00A50ECD"/>
    <w:rsid w:val="00A518F3"/>
    <w:rsid w:val="00A5218F"/>
    <w:rsid w:val="00A52729"/>
    <w:rsid w:val="00A529E3"/>
    <w:rsid w:val="00A53546"/>
    <w:rsid w:val="00A53675"/>
    <w:rsid w:val="00A55972"/>
    <w:rsid w:val="00A564D7"/>
    <w:rsid w:val="00A56B6A"/>
    <w:rsid w:val="00A578DC"/>
    <w:rsid w:val="00A57BD4"/>
    <w:rsid w:val="00A6000E"/>
    <w:rsid w:val="00A6180E"/>
    <w:rsid w:val="00A61DC7"/>
    <w:rsid w:val="00A640E2"/>
    <w:rsid w:val="00A64D65"/>
    <w:rsid w:val="00A65434"/>
    <w:rsid w:val="00A65C32"/>
    <w:rsid w:val="00A6725B"/>
    <w:rsid w:val="00A704A0"/>
    <w:rsid w:val="00A70605"/>
    <w:rsid w:val="00A7108F"/>
    <w:rsid w:val="00A714C1"/>
    <w:rsid w:val="00A724E2"/>
    <w:rsid w:val="00A72AC5"/>
    <w:rsid w:val="00A73134"/>
    <w:rsid w:val="00A739ED"/>
    <w:rsid w:val="00A74DF4"/>
    <w:rsid w:val="00A75208"/>
    <w:rsid w:val="00A75EB1"/>
    <w:rsid w:val="00A76001"/>
    <w:rsid w:val="00A7607F"/>
    <w:rsid w:val="00A777B2"/>
    <w:rsid w:val="00A77E3E"/>
    <w:rsid w:val="00A807B1"/>
    <w:rsid w:val="00A80D53"/>
    <w:rsid w:val="00A80E7D"/>
    <w:rsid w:val="00A825D4"/>
    <w:rsid w:val="00A828F6"/>
    <w:rsid w:val="00A82B73"/>
    <w:rsid w:val="00A82F3E"/>
    <w:rsid w:val="00A84450"/>
    <w:rsid w:val="00A85055"/>
    <w:rsid w:val="00A86E8B"/>
    <w:rsid w:val="00A87164"/>
    <w:rsid w:val="00A874A1"/>
    <w:rsid w:val="00A87AC8"/>
    <w:rsid w:val="00A87BEE"/>
    <w:rsid w:val="00A90E07"/>
    <w:rsid w:val="00A91466"/>
    <w:rsid w:val="00A91952"/>
    <w:rsid w:val="00A92A9F"/>
    <w:rsid w:val="00A92B37"/>
    <w:rsid w:val="00A93072"/>
    <w:rsid w:val="00A9383B"/>
    <w:rsid w:val="00A938BD"/>
    <w:rsid w:val="00A93953"/>
    <w:rsid w:val="00A93999"/>
    <w:rsid w:val="00A93D0C"/>
    <w:rsid w:val="00A94C08"/>
    <w:rsid w:val="00A94E53"/>
    <w:rsid w:val="00A959D8"/>
    <w:rsid w:val="00A95A28"/>
    <w:rsid w:val="00A95C16"/>
    <w:rsid w:val="00A96B5B"/>
    <w:rsid w:val="00A97174"/>
    <w:rsid w:val="00A97333"/>
    <w:rsid w:val="00AA07BA"/>
    <w:rsid w:val="00AA10BE"/>
    <w:rsid w:val="00AA113D"/>
    <w:rsid w:val="00AA1886"/>
    <w:rsid w:val="00AA2641"/>
    <w:rsid w:val="00AA6BD5"/>
    <w:rsid w:val="00AA6BD8"/>
    <w:rsid w:val="00AA6C7D"/>
    <w:rsid w:val="00AA73BF"/>
    <w:rsid w:val="00AA7FD6"/>
    <w:rsid w:val="00AB042A"/>
    <w:rsid w:val="00AB17A9"/>
    <w:rsid w:val="00AB18A0"/>
    <w:rsid w:val="00AB19EF"/>
    <w:rsid w:val="00AB251C"/>
    <w:rsid w:val="00AB2541"/>
    <w:rsid w:val="00AB278B"/>
    <w:rsid w:val="00AB2D34"/>
    <w:rsid w:val="00AB3430"/>
    <w:rsid w:val="00AB371B"/>
    <w:rsid w:val="00AB37B9"/>
    <w:rsid w:val="00AB39D2"/>
    <w:rsid w:val="00AB4852"/>
    <w:rsid w:val="00AB4AD1"/>
    <w:rsid w:val="00AB5E07"/>
    <w:rsid w:val="00AB7101"/>
    <w:rsid w:val="00AB7922"/>
    <w:rsid w:val="00AB7AC7"/>
    <w:rsid w:val="00AB7CFA"/>
    <w:rsid w:val="00AC17A7"/>
    <w:rsid w:val="00AC1E59"/>
    <w:rsid w:val="00AC24C4"/>
    <w:rsid w:val="00AC37AC"/>
    <w:rsid w:val="00AC3E2A"/>
    <w:rsid w:val="00AC4A30"/>
    <w:rsid w:val="00AC5AA4"/>
    <w:rsid w:val="00AC5B48"/>
    <w:rsid w:val="00AC6EE1"/>
    <w:rsid w:val="00AD1450"/>
    <w:rsid w:val="00AD18F2"/>
    <w:rsid w:val="00AD2792"/>
    <w:rsid w:val="00AD3370"/>
    <w:rsid w:val="00AD489C"/>
    <w:rsid w:val="00AD510F"/>
    <w:rsid w:val="00AD527E"/>
    <w:rsid w:val="00AD6502"/>
    <w:rsid w:val="00AD7DF7"/>
    <w:rsid w:val="00AE0695"/>
    <w:rsid w:val="00AE214F"/>
    <w:rsid w:val="00AE2602"/>
    <w:rsid w:val="00AE3E7E"/>
    <w:rsid w:val="00AE57BE"/>
    <w:rsid w:val="00AE670F"/>
    <w:rsid w:val="00AF1315"/>
    <w:rsid w:val="00AF19BF"/>
    <w:rsid w:val="00AF1CD9"/>
    <w:rsid w:val="00AF2DC3"/>
    <w:rsid w:val="00AF41CF"/>
    <w:rsid w:val="00AF4F8E"/>
    <w:rsid w:val="00AF5C40"/>
    <w:rsid w:val="00AF63DA"/>
    <w:rsid w:val="00AF676A"/>
    <w:rsid w:val="00AF698B"/>
    <w:rsid w:val="00AF720A"/>
    <w:rsid w:val="00AF73E9"/>
    <w:rsid w:val="00B007D3"/>
    <w:rsid w:val="00B029AC"/>
    <w:rsid w:val="00B02C8F"/>
    <w:rsid w:val="00B033E5"/>
    <w:rsid w:val="00B03888"/>
    <w:rsid w:val="00B03A63"/>
    <w:rsid w:val="00B04847"/>
    <w:rsid w:val="00B06BD8"/>
    <w:rsid w:val="00B079F5"/>
    <w:rsid w:val="00B128CF"/>
    <w:rsid w:val="00B13CEA"/>
    <w:rsid w:val="00B140B0"/>
    <w:rsid w:val="00B14BDF"/>
    <w:rsid w:val="00B15068"/>
    <w:rsid w:val="00B1575B"/>
    <w:rsid w:val="00B16B1F"/>
    <w:rsid w:val="00B201A4"/>
    <w:rsid w:val="00B201D1"/>
    <w:rsid w:val="00B213A6"/>
    <w:rsid w:val="00B218FF"/>
    <w:rsid w:val="00B21CBF"/>
    <w:rsid w:val="00B22197"/>
    <w:rsid w:val="00B226F7"/>
    <w:rsid w:val="00B22FE3"/>
    <w:rsid w:val="00B235B0"/>
    <w:rsid w:val="00B2396B"/>
    <w:rsid w:val="00B24C99"/>
    <w:rsid w:val="00B24DF6"/>
    <w:rsid w:val="00B25111"/>
    <w:rsid w:val="00B262C9"/>
    <w:rsid w:val="00B26814"/>
    <w:rsid w:val="00B273E3"/>
    <w:rsid w:val="00B27A5A"/>
    <w:rsid w:val="00B30A28"/>
    <w:rsid w:val="00B30E69"/>
    <w:rsid w:val="00B31FDE"/>
    <w:rsid w:val="00B32A6D"/>
    <w:rsid w:val="00B33F45"/>
    <w:rsid w:val="00B34598"/>
    <w:rsid w:val="00B34CC0"/>
    <w:rsid w:val="00B34FE2"/>
    <w:rsid w:val="00B35166"/>
    <w:rsid w:val="00B3549B"/>
    <w:rsid w:val="00B357D8"/>
    <w:rsid w:val="00B360F4"/>
    <w:rsid w:val="00B368F6"/>
    <w:rsid w:val="00B36A00"/>
    <w:rsid w:val="00B379E4"/>
    <w:rsid w:val="00B37BFC"/>
    <w:rsid w:val="00B40358"/>
    <w:rsid w:val="00B40C70"/>
    <w:rsid w:val="00B41614"/>
    <w:rsid w:val="00B421DC"/>
    <w:rsid w:val="00B42484"/>
    <w:rsid w:val="00B42851"/>
    <w:rsid w:val="00B42F80"/>
    <w:rsid w:val="00B431AE"/>
    <w:rsid w:val="00B435CB"/>
    <w:rsid w:val="00B43901"/>
    <w:rsid w:val="00B4522E"/>
    <w:rsid w:val="00B456D3"/>
    <w:rsid w:val="00B4765C"/>
    <w:rsid w:val="00B50046"/>
    <w:rsid w:val="00B503D3"/>
    <w:rsid w:val="00B505C8"/>
    <w:rsid w:val="00B50DB8"/>
    <w:rsid w:val="00B519B8"/>
    <w:rsid w:val="00B52FE4"/>
    <w:rsid w:val="00B53654"/>
    <w:rsid w:val="00B53905"/>
    <w:rsid w:val="00B539DD"/>
    <w:rsid w:val="00B54070"/>
    <w:rsid w:val="00B543CE"/>
    <w:rsid w:val="00B54B5B"/>
    <w:rsid w:val="00B54F03"/>
    <w:rsid w:val="00B5562E"/>
    <w:rsid w:val="00B55D65"/>
    <w:rsid w:val="00B5617B"/>
    <w:rsid w:val="00B57000"/>
    <w:rsid w:val="00B5735C"/>
    <w:rsid w:val="00B60939"/>
    <w:rsid w:val="00B60AFD"/>
    <w:rsid w:val="00B611EE"/>
    <w:rsid w:val="00B613DA"/>
    <w:rsid w:val="00B61C4D"/>
    <w:rsid w:val="00B61D43"/>
    <w:rsid w:val="00B62715"/>
    <w:rsid w:val="00B6308C"/>
    <w:rsid w:val="00B63409"/>
    <w:rsid w:val="00B6364A"/>
    <w:rsid w:val="00B63F33"/>
    <w:rsid w:val="00B642FC"/>
    <w:rsid w:val="00B64C65"/>
    <w:rsid w:val="00B64E00"/>
    <w:rsid w:val="00B65371"/>
    <w:rsid w:val="00B65611"/>
    <w:rsid w:val="00B66162"/>
    <w:rsid w:val="00B679A3"/>
    <w:rsid w:val="00B7037F"/>
    <w:rsid w:val="00B70E8E"/>
    <w:rsid w:val="00B72B2F"/>
    <w:rsid w:val="00B73215"/>
    <w:rsid w:val="00B73701"/>
    <w:rsid w:val="00B73C63"/>
    <w:rsid w:val="00B74766"/>
    <w:rsid w:val="00B76C92"/>
    <w:rsid w:val="00B8026E"/>
    <w:rsid w:val="00B80743"/>
    <w:rsid w:val="00B80806"/>
    <w:rsid w:val="00B808C3"/>
    <w:rsid w:val="00B818A4"/>
    <w:rsid w:val="00B81C9D"/>
    <w:rsid w:val="00B82821"/>
    <w:rsid w:val="00B83666"/>
    <w:rsid w:val="00B83FCE"/>
    <w:rsid w:val="00B84117"/>
    <w:rsid w:val="00B84A11"/>
    <w:rsid w:val="00B858F0"/>
    <w:rsid w:val="00B85AA2"/>
    <w:rsid w:val="00B85E09"/>
    <w:rsid w:val="00B863EF"/>
    <w:rsid w:val="00B8649C"/>
    <w:rsid w:val="00B8695D"/>
    <w:rsid w:val="00B87356"/>
    <w:rsid w:val="00B87974"/>
    <w:rsid w:val="00B87F0A"/>
    <w:rsid w:val="00B87F6B"/>
    <w:rsid w:val="00B912F5"/>
    <w:rsid w:val="00B9255C"/>
    <w:rsid w:val="00B92D0B"/>
    <w:rsid w:val="00B93120"/>
    <w:rsid w:val="00B93E79"/>
    <w:rsid w:val="00B942C3"/>
    <w:rsid w:val="00B94917"/>
    <w:rsid w:val="00B94945"/>
    <w:rsid w:val="00B94DD6"/>
    <w:rsid w:val="00B96D34"/>
    <w:rsid w:val="00B96F46"/>
    <w:rsid w:val="00BA13CA"/>
    <w:rsid w:val="00BA2A44"/>
    <w:rsid w:val="00BA322D"/>
    <w:rsid w:val="00BA3AAD"/>
    <w:rsid w:val="00BA3C25"/>
    <w:rsid w:val="00BA47D8"/>
    <w:rsid w:val="00BA5034"/>
    <w:rsid w:val="00BA50CF"/>
    <w:rsid w:val="00BA63FA"/>
    <w:rsid w:val="00BA6649"/>
    <w:rsid w:val="00BB00B3"/>
    <w:rsid w:val="00BB041B"/>
    <w:rsid w:val="00BB0BDD"/>
    <w:rsid w:val="00BB176C"/>
    <w:rsid w:val="00BB1BCC"/>
    <w:rsid w:val="00BB2A73"/>
    <w:rsid w:val="00BB3A45"/>
    <w:rsid w:val="00BB4ACC"/>
    <w:rsid w:val="00BB614D"/>
    <w:rsid w:val="00BB703E"/>
    <w:rsid w:val="00BB732D"/>
    <w:rsid w:val="00BB7405"/>
    <w:rsid w:val="00BB77DE"/>
    <w:rsid w:val="00BC02FF"/>
    <w:rsid w:val="00BC343A"/>
    <w:rsid w:val="00BC3631"/>
    <w:rsid w:val="00BC3EF1"/>
    <w:rsid w:val="00BC4BFA"/>
    <w:rsid w:val="00BC4D70"/>
    <w:rsid w:val="00BC5423"/>
    <w:rsid w:val="00BC591F"/>
    <w:rsid w:val="00BC672F"/>
    <w:rsid w:val="00BC782B"/>
    <w:rsid w:val="00BC7D6D"/>
    <w:rsid w:val="00BD2108"/>
    <w:rsid w:val="00BD36D7"/>
    <w:rsid w:val="00BD46C1"/>
    <w:rsid w:val="00BD68A3"/>
    <w:rsid w:val="00BD6938"/>
    <w:rsid w:val="00BD6A66"/>
    <w:rsid w:val="00BD6CF3"/>
    <w:rsid w:val="00BD7AD7"/>
    <w:rsid w:val="00BE01B0"/>
    <w:rsid w:val="00BE0EB9"/>
    <w:rsid w:val="00BE0ECA"/>
    <w:rsid w:val="00BE16B3"/>
    <w:rsid w:val="00BE2180"/>
    <w:rsid w:val="00BE21F2"/>
    <w:rsid w:val="00BE2ECF"/>
    <w:rsid w:val="00BE4275"/>
    <w:rsid w:val="00BE5C4B"/>
    <w:rsid w:val="00BE68DA"/>
    <w:rsid w:val="00BE699A"/>
    <w:rsid w:val="00BE746D"/>
    <w:rsid w:val="00BF06AE"/>
    <w:rsid w:val="00BF0F95"/>
    <w:rsid w:val="00BF135A"/>
    <w:rsid w:val="00BF2433"/>
    <w:rsid w:val="00BF3005"/>
    <w:rsid w:val="00BF32A6"/>
    <w:rsid w:val="00BF394A"/>
    <w:rsid w:val="00BF476D"/>
    <w:rsid w:val="00BF61C9"/>
    <w:rsid w:val="00BF6C94"/>
    <w:rsid w:val="00BF78DE"/>
    <w:rsid w:val="00C00424"/>
    <w:rsid w:val="00C0080D"/>
    <w:rsid w:val="00C0239F"/>
    <w:rsid w:val="00C02A72"/>
    <w:rsid w:val="00C03B3B"/>
    <w:rsid w:val="00C03F97"/>
    <w:rsid w:val="00C04052"/>
    <w:rsid w:val="00C06F33"/>
    <w:rsid w:val="00C0725B"/>
    <w:rsid w:val="00C07A74"/>
    <w:rsid w:val="00C10001"/>
    <w:rsid w:val="00C10250"/>
    <w:rsid w:val="00C1179F"/>
    <w:rsid w:val="00C11B91"/>
    <w:rsid w:val="00C12A97"/>
    <w:rsid w:val="00C12C14"/>
    <w:rsid w:val="00C1321F"/>
    <w:rsid w:val="00C13D4B"/>
    <w:rsid w:val="00C15F04"/>
    <w:rsid w:val="00C179B3"/>
    <w:rsid w:val="00C17E3F"/>
    <w:rsid w:val="00C200AA"/>
    <w:rsid w:val="00C21DDB"/>
    <w:rsid w:val="00C237ED"/>
    <w:rsid w:val="00C24632"/>
    <w:rsid w:val="00C2534C"/>
    <w:rsid w:val="00C25418"/>
    <w:rsid w:val="00C25D9C"/>
    <w:rsid w:val="00C2734F"/>
    <w:rsid w:val="00C2778B"/>
    <w:rsid w:val="00C30D31"/>
    <w:rsid w:val="00C31649"/>
    <w:rsid w:val="00C329E7"/>
    <w:rsid w:val="00C3434C"/>
    <w:rsid w:val="00C34E89"/>
    <w:rsid w:val="00C356F3"/>
    <w:rsid w:val="00C35F04"/>
    <w:rsid w:val="00C40385"/>
    <w:rsid w:val="00C412F0"/>
    <w:rsid w:val="00C4155C"/>
    <w:rsid w:val="00C41768"/>
    <w:rsid w:val="00C41B37"/>
    <w:rsid w:val="00C429F1"/>
    <w:rsid w:val="00C47489"/>
    <w:rsid w:val="00C475AA"/>
    <w:rsid w:val="00C5033E"/>
    <w:rsid w:val="00C50736"/>
    <w:rsid w:val="00C515BB"/>
    <w:rsid w:val="00C517D5"/>
    <w:rsid w:val="00C52DB0"/>
    <w:rsid w:val="00C5320E"/>
    <w:rsid w:val="00C53817"/>
    <w:rsid w:val="00C53C98"/>
    <w:rsid w:val="00C54A65"/>
    <w:rsid w:val="00C56FCF"/>
    <w:rsid w:val="00C57407"/>
    <w:rsid w:val="00C57B6C"/>
    <w:rsid w:val="00C628A6"/>
    <w:rsid w:val="00C64344"/>
    <w:rsid w:val="00C64B2B"/>
    <w:rsid w:val="00C64E90"/>
    <w:rsid w:val="00C64EB0"/>
    <w:rsid w:val="00C65108"/>
    <w:rsid w:val="00C65576"/>
    <w:rsid w:val="00C66165"/>
    <w:rsid w:val="00C66840"/>
    <w:rsid w:val="00C7060A"/>
    <w:rsid w:val="00C7151A"/>
    <w:rsid w:val="00C717E3"/>
    <w:rsid w:val="00C71F60"/>
    <w:rsid w:val="00C72241"/>
    <w:rsid w:val="00C72EC7"/>
    <w:rsid w:val="00C73137"/>
    <w:rsid w:val="00C74101"/>
    <w:rsid w:val="00C74D71"/>
    <w:rsid w:val="00C750C8"/>
    <w:rsid w:val="00C7560F"/>
    <w:rsid w:val="00C75A3D"/>
    <w:rsid w:val="00C75CBC"/>
    <w:rsid w:val="00C7603E"/>
    <w:rsid w:val="00C76519"/>
    <w:rsid w:val="00C76840"/>
    <w:rsid w:val="00C77B04"/>
    <w:rsid w:val="00C8039F"/>
    <w:rsid w:val="00C80A0E"/>
    <w:rsid w:val="00C811EF"/>
    <w:rsid w:val="00C8213F"/>
    <w:rsid w:val="00C83387"/>
    <w:rsid w:val="00C83F3F"/>
    <w:rsid w:val="00C84AA6"/>
    <w:rsid w:val="00C85154"/>
    <w:rsid w:val="00C85E0B"/>
    <w:rsid w:val="00C8797A"/>
    <w:rsid w:val="00C900B8"/>
    <w:rsid w:val="00C90B0C"/>
    <w:rsid w:val="00C90C71"/>
    <w:rsid w:val="00C91FD1"/>
    <w:rsid w:val="00C92059"/>
    <w:rsid w:val="00C931CF"/>
    <w:rsid w:val="00C938CF"/>
    <w:rsid w:val="00C939BB"/>
    <w:rsid w:val="00C939ED"/>
    <w:rsid w:val="00C94053"/>
    <w:rsid w:val="00C941CC"/>
    <w:rsid w:val="00C94444"/>
    <w:rsid w:val="00C9624D"/>
    <w:rsid w:val="00C96747"/>
    <w:rsid w:val="00C96825"/>
    <w:rsid w:val="00C969DA"/>
    <w:rsid w:val="00C96ADE"/>
    <w:rsid w:val="00C97C8A"/>
    <w:rsid w:val="00C97D02"/>
    <w:rsid w:val="00C97D12"/>
    <w:rsid w:val="00C97E71"/>
    <w:rsid w:val="00CA097E"/>
    <w:rsid w:val="00CA2C77"/>
    <w:rsid w:val="00CA3752"/>
    <w:rsid w:val="00CA3BCD"/>
    <w:rsid w:val="00CA3E60"/>
    <w:rsid w:val="00CA444F"/>
    <w:rsid w:val="00CA4B69"/>
    <w:rsid w:val="00CA5245"/>
    <w:rsid w:val="00CA61BA"/>
    <w:rsid w:val="00CA6C12"/>
    <w:rsid w:val="00CA70E7"/>
    <w:rsid w:val="00CA7164"/>
    <w:rsid w:val="00CA71F4"/>
    <w:rsid w:val="00CA765B"/>
    <w:rsid w:val="00CA7B09"/>
    <w:rsid w:val="00CB12A5"/>
    <w:rsid w:val="00CB1CAC"/>
    <w:rsid w:val="00CB223B"/>
    <w:rsid w:val="00CB2743"/>
    <w:rsid w:val="00CB2F2A"/>
    <w:rsid w:val="00CB5B1A"/>
    <w:rsid w:val="00CB5D5E"/>
    <w:rsid w:val="00CB6914"/>
    <w:rsid w:val="00CB6B22"/>
    <w:rsid w:val="00CB73D0"/>
    <w:rsid w:val="00CB740D"/>
    <w:rsid w:val="00CB7F5F"/>
    <w:rsid w:val="00CC0B43"/>
    <w:rsid w:val="00CC1B39"/>
    <w:rsid w:val="00CC1C5F"/>
    <w:rsid w:val="00CC239D"/>
    <w:rsid w:val="00CC32E8"/>
    <w:rsid w:val="00CC35EA"/>
    <w:rsid w:val="00CC3848"/>
    <w:rsid w:val="00CC3B14"/>
    <w:rsid w:val="00CC3C89"/>
    <w:rsid w:val="00CC4812"/>
    <w:rsid w:val="00CC5103"/>
    <w:rsid w:val="00CC5AE9"/>
    <w:rsid w:val="00CC65AD"/>
    <w:rsid w:val="00CC65C7"/>
    <w:rsid w:val="00CC705D"/>
    <w:rsid w:val="00CC729A"/>
    <w:rsid w:val="00CC7880"/>
    <w:rsid w:val="00CC7917"/>
    <w:rsid w:val="00CD0317"/>
    <w:rsid w:val="00CD0B24"/>
    <w:rsid w:val="00CD0E93"/>
    <w:rsid w:val="00CD276A"/>
    <w:rsid w:val="00CD2BE5"/>
    <w:rsid w:val="00CD3353"/>
    <w:rsid w:val="00CD3F77"/>
    <w:rsid w:val="00CD4B21"/>
    <w:rsid w:val="00CD4BF2"/>
    <w:rsid w:val="00CD6421"/>
    <w:rsid w:val="00CD6ADC"/>
    <w:rsid w:val="00CD7193"/>
    <w:rsid w:val="00CE1349"/>
    <w:rsid w:val="00CE1995"/>
    <w:rsid w:val="00CE1AB8"/>
    <w:rsid w:val="00CE38C8"/>
    <w:rsid w:val="00CE3DDE"/>
    <w:rsid w:val="00CE42E0"/>
    <w:rsid w:val="00CE53D6"/>
    <w:rsid w:val="00CE6274"/>
    <w:rsid w:val="00CE68B3"/>
    <w:rsid w:val="00CE73B2"/>
    <w:rsid w:val="00CE77B6"/>
    <w:rsid w:val="00CE7E5C"/>
    <w:rsid w:val="00CF004D"/>
    <w:rsid w:val="00CF0D5F"/>
    <w:rsid w:val="00CF2B8D"/>
    <w:rsid w:val="00CF306C"/>
    <w:rsid w:val="00CF3F18"/>
    <w:rsid w:val="00CF456B"/>
    <w:rsid w:val="00CF4886"/>
    <w:rsid w:val="00CF555C"/>
    <w:rsid w:val="00CF579D"/>
    <w:rsid w:val="00CF5A22"/>
    <w:rsid w:val="00CF5E3D"/>
    <w:rsid w:val="00CF6666"/>
    <w:rsid w:val="00D00070"/>
    <w:rsid w:val="00D00F3C"/>
    <w:rsid w:val="00D01441"/>
    <w:rsid w:val="00D0240D"/>
    <w:rsid w:val="00D0262E"/>
    <w:rsid w:val="00D02FFF"/>
    <w:rsid w:val="00D03482"/>
    <w:rsid w:val="00D03CF4"/>
    <w:rsid w:val="00D048D5"/>
    <w:rsid w:val="00D04C1E"/>
    <w:rsid w:val="00D05E3D"/>
    <w:rsid w:val="00D06139"/>
    <w:rsid w:val="00D0671B"/>
    <w:rsid w:val="00D07F2A"/>
    <w:rsid w:val="00D101CC"/>
    <w:rsid w:val="00D10540"/>
    <w:rsid w:val="00D10BA6"/>
    <w:rsid w:val="00D10D0F"/>
    <w:rsid w:val="00D110BD"/>
    <w:rsid w:val="00D1151E"/>
    <w:rsid w:val="00D13675"/>
    <w:rsid w:val="00D141E1"/>
    <w:rsid w:val="00D142B6"/>
    <w:rsid w:val="00D15314"/>
    <w:rsid w:val="00D172D1"/>
    <w:rsid w:val="00D17D6C"/>
    <w:rsid w:val="00D20CD2"/>
    <w:rsid w:val="00D2155B"/>
    <w:rsid w:val="00D218E6"/>
    <w:rsid w:val="00D21B7A"/>
    <w:rsid w:val="00D21CFA"/>
    <w:rsid w:val="00D231FE"/>
    <w:rsid w:val="00D232C0"/>
    <w:rsid w:val="00D23666"/>
    <w:rsid w:val="00D23D11"/>
    <w:rsid w:val="00D23FF8"/>
    <w:rsid w:val="00D244B6"/>
    <w:rsid w:val="00D26C5E"/>
    <w:rsid w:val="00D27069"/>
    <w:rsid w:val="00D2754D"/>
    <w:rsid w:val="00D27B27"/>
    <w:rsid w:val="00D27BE8"/>
    <w:rsid w:val="00D30B70"/>
    <w:rsid w:val="00D316E4"/>
    <w:rsid w:val="00D3273A"/>
    <w:rsid w:val="00D329FF"/>
    <w:rsid w:val="00D32AA2"/>
    <w:rsid w:val="00D33BE9"/>
    <w:rsid w:val="00D33F93"/>
    <w:rsid w:val="00D34724"/>
    <w:rsid w:val="00D357FF"/>
    <w:rsid w:val="00D36770"/>
    <w:rsid w:val="00D36A71"/>
    <w:rsid w:val="00D3759E"/>
    <w:rsid w:val="00D37CED"/>
    <w:rsid w:val="00D413F8"/>
    <w:rsid w:val="00D42443"/>
    <w:rsid w:val="00D424C7"/>
    <w:rsid w:val="00D439B3"/>
    <w:rsid w:val="00D43B2A"/>
    <w:rsid w:val="00D43CB5"/>
    <w:rsid w:val="00D43D83"/>
    <w:rsid w:val="00D446AA"/>
    <w:rsid w:val="00D44CC1"/>
    <w:rsid w:val="00D47408"/>
    <w:rsid w:val="00D47575"/>
    <w:rsid w:val="00D505D8"/>
    <w:rsid w:val="00D5243B"/>
    <w:rsid w:val="00D52B94"/>
    <w:rsid w:val="00D53368"/>
    <w:rsid w:val="00D533EC"/>
    <w:rsid w:val="00D53A93"/>
    <w:rsid w:val="00D543F2"/>
    <w:rsid w:val="00D54718"/>
    <w:rsid w:val="00D554A4"/>
    <w:rsid w:val="00D55974"/>
    <w:rsid w:val="00D566DC"/>
    <w:rsid w:val="00D56A95"/>
    <w:rsid w:val="00D6203B"/>
    <w:rsid w:val="00D6279F"/>
    <w:rsid w:val="00D635FB"/>
    <w:rsid w:val="00D64244"/>
    <w:rsid w:val="00D660E8"/>
    <w:rsid w:val="00D70231"/>
    <w:rsid w:val="00D7036E"/>
    <w:rsid w:val="00D70D9A"/>
    <w:rsid w:val="00D70F16"/>
    <w:rsid w:val="00D72367"/>
    <w:rsid w:val="00D725B4"/>
    <w:rsid w:val="00D72653"/>
    <w:rsid w:val="00D72F57"/>
    <w:rsid w:val="00D737AE"/>
    <w:rsid w:val="00D73FFB"/>
    <w:rsid w:val="00D74311"/>
    <w:rsid w:val="00D74BAE"/>
    <w:rsid w:val="00D76A44"/>
    <w:rsid w:val="00D76FCF"/>
    <w:rsid w:val="00D77210"/>
    <w:rsid w:val="00D7765E"/>
    <w:rsid w:val="00D80A1D"/>
    <w:rsid w:val="00D815EF"/>
    <w:rsid w:val="00D81F26"/>
    <w:rsid w:val="00D82069"/>
    <w:rsid w:val="00D82E64"/>
    <w:rsid w:val="00D857FD"/>
    <w:rsid w:val="00D85C24"/>
    <w:rsid w:val="00D86231"/>
    <w:rsid w:val="00D87B9D"/>
    <w:rsid w:val="00D905DE"/>
    <w:rsid w:val="00D91923"/>
    <w:rsid w:val="00D92CD5"/>
    <w:rsid w:val="00D93753"/>
    <w:rsid w:val="00D93A40"/>
    <w:rsid w:val="00D95203"/>
    <w:rsid w:val="00D95C4B"/>
    <w:rsid w:val="00D96BF7"/>
    <w:rsid w:val="00DA24D5"/>
    <w:rsid w:val="00DA2A12"/>
    <w:rsid w:val="00DA3167"/>
    <w:rsid w:val="00DA447B"/>
    <w:rsid w:val="00DA4D58"/>
    <w:rsid w:val="00DA4DC3"/>
    <w:rsid w:val="00DA697E"/>
    <w:rsid w:val="00DA7695"/>
    <w:rsid w:val="00DA77A5"/>
    <w:rsid w:val="00DB040E"/>
    <w:rsid w:val="00DB1732"/>
    <w:rsid w:val="00DB1C93"/>
    <w:rsid w:val="00DB1EF2"/>
    <w:rsid w:val="00DB35F9"/>
    <w:rsid w:val="00DB3DBF"/>
    <w:rsid w:val="00DB4575"/>
    <w:rsid w:val="00DB481C"/>
    <w:rsid w:val="00DB484F"/>
    <w:rsid w:val="00DB5935"/>
    <w:rsid w:val="00DB5A53"/>
    <w:rsid w:val="00DB799E"/>
    <w:rsid w:val="00DB7F32"/>
    <w:rsid w:val="00DC04F6"/>
    <w:rsid w:val="00DC0690"/>
    <w:rsid w:val="00DC0A22"/>
    <w:rsid w:val="00DC13C9"/>
    <w:rsid w:val="00DC1716"/>
    <w:rsid w:val="00DC1D65"/>
    <w:rsid w:val="00DC3C57"/>
    <w:rsid w:val="00DC410F"/>
    <w:rsid w:val="00DC42B1"/>
    <w:rsid w:val="00DC4FC8"/>
    <w:rsid w:val="00DC53DD"/>
    <w:rsid w:val="00DC5501"/>
    <w:rsid w:val="00DC6640"/>
    <w:rsid w:val="00DC69CA"/>
    <w:rsid w:val="00DC7154"/>
    <w:rsid w:val="00DC7166"/>
    <w:rsid w:val="00DC72EF"/>
    <w:rsid w:val="00DC752B"/>
    <w:rsid w:val="00DC7644"/>
    <w:rsid w:val="00DC7E1B"/>
    <w:rsid w:val="00DC7E8A"/>
    <w:rsid w:val="00DD0F78"/>
    <w:rsid w:val="00DD1F68"/>
    <w:rsid w:val="00DD273C"/>
    <w:rsid w:val="00DD2AE0"/>
    <w:rsid w:val="00DD2D00"/>
    <w:rsid w:val="00DD31CA"/>
    <w:rsid w:val="00DD380E"/>
    <w:rsid w:val="00DD3F28"/>
    <w:rsid w:val="00DD4537"/>
    <w:rsid w:val="00DD4E15"/>
    <w:rsid w:val="00DD50A5"/>
    <w:rsid w:val="00DD58C5"/>
    <w:rsid w:val="00DD623A"/>
    <w:rsid w:val="00DD6317"/>
    <w:rsid w:val="00DD72F0"/>
    <w:rsid w:val="00DE0AC8"/>
    <w:rsid w:val="00DE2304"/>
    <w:rsid w:val="00DE2391"/>
    <w:rsid w:val="00DE3138"/>
    <w:rsid w:val="00DE37F8"/>
    <w:rsid w:val="00DE4E75"/>
    <w:rsid w:val="00DE4FCB"/>
    <w:rsid w:val="00DE5D07"/>
    <w:rsid w:val="00DE6EF0"/>
    <w:rsid w:val="00DE72A7"/>
    <w:rsid w:val="00DE7832"/>
    <w:rsid w:val="00DF07C1"/>
    <w:rsid w:val="00DF0AAE"/>
    <w:rsid w:val="00DF0EE0"/>
    <w:rsid w:val="00DF18FC"/>
    <w:rsid w:val="00DF2AD0"/>
    <w:rsid w:val="00DF2E85"/>
    <w:rsid w:val="00DF2F3C"/>
    <w:rsid w:val="00DF5095"/>
    <w:rsid w:val="00DF5D2B"/>
    <w:rsid w:val="00DF6AEE"/>
    <w:rsid w:val="00E00E8E"/>
    <w:rsid w:val="00E02DEE"/>
    <w:rsid w:val="00E02F78"/>
    <w:rsid w:val="00E032D1"/>
    <w:rsid w:val="00E036E5"/>
    <w:rsid w:val="00E03D48"/>
    <w:rsid w:val="00E04215"/>
    <w:rsid w:val="00E05630"/>
    <w:rsid w:val="00E05A07"/>
    <w:rsid w:val="00E062B9"/>
    <w:rsid w:val="00E06DBB"/>
    <w:rsid w:val="00E10149"/>
    <w:rsid w:val="00E105A9"/>
    <w:rsid w:val="00E10D34"/>
    <w:rsid w:val="00E11340"/>
    <w:rsid w:val="00E122A1"/>
    <w:rsid w:val="00E12B3C"/>
    <w:rsid w:val="00E13435"/>
    <w:rsid w:val="00E135D8"/>
    <w:rsid w:val="00E14EF1"/>
    <w:rsid w:val="00E15FFA"/>
    <w:rsid w:val="00E16372"/>
    <w:rsid w:val="00E16E39"/>
    <w:rsid w:val="00E20199"/>
    <w:rsid w:val="00E20E4D"/>
    <w:rsid w:val="00E20ED6"/>
    <w:rsid w:val="00E2110B"/>
    <w:rsid w:val="00E21358"/>
    <w:rsid w:val="00E21464"/>
    <w:rsid w:val="00E22101"/>
    <w:rsid w:val="00E2249B"/>
    <w:rsid w:val="00E22A0D"/>
    <w:rsid w:val="00E244A3"/>
    <w:rsid w:val="00E244F6"/>
    <w:rsid w:val="00E24691"/>
    <w:rsid w:val="00E24EAD"/>
    <w:rsid w:val="00E25EB6"/>
    <w:rsid w:val="00E26AD2"/>
    <w:rsid w:val="00E2744A"/>
    <w:rsid w:val="00E2771E"/>
    <w:rsid w:val="00E27C6F"/>
    <w:rsid w:val="00E3033C"/>
    <w:rsid w:val="00E3044F"/>
    <w:rsid w:val="00E311EF"/>
    <w:rsid w:val="00E3149F"/>
    <w:rsid w:val="00E32180"/>
    <w:rsid w:val="00E32F4B"/>
    <w:rsid w:val="00E331BE"/>
    <w:rsid w:val="00E33C54"/>
    <w:rsid w:val="00E34697"/>
    <w:rsid w:val="00E34948"/>
    <w:rsid w:val="00E36B12"/>
    <w:rsid w:val="00E37569"/>
    <w:rsid w:val="00E375D9"/>
    <w:rsid w:val="00E40013"/>
    <w:rsid w:val="00E401B2"/>
    <w:rsid w:val="00E41B1A"/>
    <w:rsid w:val="00E41E30"/>
    <w:rsid w:val="00E422B2"/>
    <w:rsid w:val="00E42F73"/>
    <w:rsid w:val="00E43544"/>
    <w:rsid w:val="00E43940"/>
    <w:rsid w:val="00E43D70"/>
    <w:rsid w:val="00E44546"/>
    <w:rsid w:val="00E4472B"/>
    <w:rsid w:val="00E458E7"/>
    <w:rsid w:val="00E462AC"/>
    <w:rsid w:val="00E466F3"/>
    <w:rsid w:val="00E47530"/>
    <w:rsid w:val="00E47755"/>
    <w:rsid w:val="00E47B2C"/>
    <w:rsid w:val="00E50262"/>
    <w:rsid w:val="00E50288"/>
    <w:rsid w:val="00E50A04"/>
    <w:rsid w:val="00E51560"/>
    <w:rsid w:val="00E533C3"/>
    <w:rsid w:val="00E53FC8"/>
    <w:rsid w:val="00E54347"/>
    <w:rsid w:val="00E54DAE"/>
    <w:rsid w:val="00E55421"/>
    <w:rsid w:val="00E55424"/>
    <w:rsid w:val="00E55915"/>
    <w:rsid w:val="00E55BB5"/>
    <w:rsid w:val="00E56D1F"/>
    <w:rsid w:val="00E5773F"/>
    <w:rsid w:val="00E606F0"/>
    <w:rsid w:val="00E61786"/>
    <w:rsid w:val="00E6247C"/>
    <w:rsid w:val="00E62A1C"/>
    <w:rsid w:val="00E63C35"/>
    <w:rsid w:val="00E641B3"/>
    <w:rsid w:val="00E64A11"/>
    <w:rsid w:val="00E65E79"/>
    <w:rsid w:val="00E66BA2"/>
    <w:rsid w:val="00E66D70"/>
    <w:rsid w:val="00E67416"/>
    <w:rsid w:val="00E718B6"/>
    <w:rsid w:val="00E723BA"/>
    <w:rsid w:val="00E728BF"/>
    <w:rsid w:val="00E72E12"/>
    <w:rsid w:val="00E73581"/>
    <w:rsid w:val="00E73DAE"/>
    <w:rsid w:val="00E74FED"/>
    <w:rsid w:val="00E753FC"/>
    <w:rsid w:val="00E761C6"/>
    <w:rsid w:val="00E7686F"/>
    <w:rsid w:val="00E76D08"/>
    <w:rsid w:val="00E76F99"/>
    <w:rsid w:val="00E772C1"/>
    <w:rsid w:val="00E77972"/>
    <w:rsid w:val="00E82662"/>
    <w:rsid w:val="00E82B8F"/>
    <w:rsid w:val="00E833F7"/>
    <w:rsid w:val="00E83BDF"/>
    <w:rsid w:val="00E84F4E"/>
    <w:rsid w:val="00E853CB"/>
    <w:rsid w:val="00E85F25"/>
    <w:rsid w:val="00E86096"/>
    <w:rsid w:val="00E86F68"/>
    <w:rsid w:val="00E87172"/>
    <w:rsid w:val="00E87A1D"/>
    <w:rsid w:val="00E87A7A"/>
    <w:rsid w:val="00E901B3"/>
    <w:rsid w:val="00E9094A"/>
    <w:rsid w:val="00E91305"/>
    <w:rsid w:val="00E91333"/>
    <w:rsid w:val="00E91D35"/>
    <w:rsid w:val="00E926A5"/>
    <w:rsid w:val="00E92B11"/>
    <w:rsid w:val="00E935D0"/>
    <w:rsid w:val="00E94CCA"/>
    <w:rsid w:val="00E94D7E"/>
    <w:rsid w:val="00E94EB0"/>
    <w:rsid w:val="00E954EB"/>
    <w:rsid w:val="00E975BD"/>
    <w:rsid w:val="00EA0BD5"/>
    <w:rsid w:val="00EA17C3"/>
    <w:rsid w:val="00EA2CAA"/>
    <w:rsid w:val="00EA3864"/>
    <w:rsid w:val="00EA3E1E"/>
    <w:rsid w:val="00EA4771"/>
    <w:rsid w:val="00EA6887"/>
    <w:rsid w:val="00EA6B11"/>
    <w:rsid w:val="00EA78EE"/>
    <w:rsid w:val="00EA7F1C"/>
    <w:rsid w:val="00EB15B6"/>
    <w:rsid w:val="00EB2F36"/>
    <w:rsid w:val="00EB3A79"/>
    <w:rsid w:val="00EB3D06"/>
    <w:rsid w:val="00EB4745"/>
    <w:rsid w:val="00EB4916"/>
    <w:rsid w:val="00EB50E5"/>
    <w:rsid w:val="00EB54B0"/>
    <w:rsid w:val="00EB78A6"/>
    <w:rsid w:val="00EC00C9"/>
    <w:rsid w:val="00EC0DD9"/>
    <w:rsid w:val="00EC2649"/>
    <w:rsid w:val="00EC30CD"/>
    <w:rsid w:val="00EC31ED"/>
    <w:rsid w:val="00EC3952"/>
    <w:rsid w:val="00EC3AFE"/>
    <w:rsid w:val="00EC4D43"/>
    <w:rsid w:val="00EC5836"/>
    <w:rsid w:val="00EC5BBA"/>
    <w:rsid w:val="00EC645A"/>
    <w:rsid w:val="00EC688C"/>
    <w:rsid w:val="00ED31AA"/>
    <w:rsid w:val="00ED57EA"/>
    <w:rsid w:val="00ED5BD4"/>
    <w:rsid w:val="00ED7158"/>
    <w:rsid w:val="00ED72F2"/>
    <w:rsid w:val="00ED79BD"/>
    <w:rsid w:val="00ED7D96"/>
    <w:rsid w:val="00EE07D3"/>
    <w:rsid w:val="00EE0DFE"/>
    <w:rsid w:val="00EE1996"/>
    <w:rsid w:val="00EE1C01"/>
    <w:rsid w:val="00EE1C5B"/>
    <w:rsid w:val="00EE2284"/>
    <w:rsid w:val="00EE22AF"/>
    <w:rsid w:val="00EE3869"/>
    <w:rsid w:val="00EE6444"/>
    <w:rsid w:val="00EE64F2"/>
    <w:rsid w:val="00EE730F"/>
    <w:rsid w:val="00EE75E4"/>
    <w:rsid w:val="00EE7B36"/>
    <w:rsid w:val="00EF00D8"/>
    <w:rsid w:val="00EF0171"/>
    <w:rsid w:val="00EF030F"/>
    <w:rsid w:val="00EF0D4D"/>
    <w:rsid w:val="00EF144B"/>
    <w:rsid w:val="00EF1B25"/>
    <w:rsid w:val="00EF1DA0"/>
    <w:rsid w:val="00EF2490"/>
    <w:rsid w:val="00EF24D8"/>
    <w:rsid w:val="00EF26C2"/>
    <w:rsid w:val="00EF4024"/>
    <w:rsid w:val="00EF4747"/>
    <w:rsid w:val="00EF498C"/>
    <w:rsid w:val="00EF4BF8"/>
    <w:rsid w:val="00EF5A47"/>
    <w:rsid w:val="00EF5F5D"/>
    <w:rsid w:val="00EF5FE9"/>
    <w:rsid w:val="00EF74ED"/>
    <w:rsid w:val="00EF7F42"/>
    <w:rsid w:val="00F0128E"/>
    <w:rsid w:val="00F01C12"/>
    <w:rsid w:val="00F02253"/>
    <w:rsid w:val="00F022BF"/>
    <w:rsid w:val="00F02B1C"/>
    <w:rsid w:val="00F03C2E"/>
    <w:rsid w:val="00F04A66"/>
    <w:rsid w:val="00F04B4B"/>
    <w:rsid w:val="00F0516C"/>
    <w:rsid w:val="00F052CC"/>
    <w:rsid w:val="00F059E2"/>
    <w:rsid w:val="00F067A2"/>
    <w:rsid w:val="00F06857"/>
    <w:rsid w:val="00F07B9E"/>
    <w:rsid w:val="00F10C20"/>
    <w:rsid w:val="00F1116F"/>
    <w:rsid w:val="00F121DC"/>
    <w:rsid w:val="00F1263A"/>
    <w:rsid w:val="00F13D42"/>
    <w:rsid w:val="00F15B77"/>
    <w:rsid w:val="00F20526"/>
    <w:rsid w:val="00F22270"/>
    <w:rsid w:val="00F22B2E"/>
    <w:rsid w:val="00F24837"/>
    <w:rsid w:val="00F25414"/>
    <w:rsid w:val="00F2575F"/>
    <w:rsid w:val="00F257C1"/>
    <w:rsid w:val="00F26C09"/>
    <w:rsid w:val="00F26FCD"/>
    <w:rsid w:val="00F27565"/>
    <w:rsid w:val="00F30985"/>
    <w:rsid w:val="00F30C7E"/>
    <w:rsid w:val="00F310D4"/>
    <w:rsid w:val="00F31D5A"/>
    <w:rsid w:val="00F31D5E"/>
    <w:rsid w:val="00F328E4"/>
    <w:rsid w:val="00F333FE"/>
    <w:rsid w:val="00F33975"/>
    <w:rsid w:val="00F33DE9"/>
    <w:rsid w:val="00F35AAD"/>
    <w:rsid w:val="00F35E6D"/>
    <w:rsid w:val="00F3619A"/>
    <w:rsid w:val="00F362B3"/>
    <w:rsid w:val="00F366DC"/>
    <w:rsid w:val="00F36DF5"/>
    <w:rsid w:val="00F37747"/>
    <w:rsid w:val="00F40AAA"/>
    <w:rsid w:val="00F40BA7"/>
    <w:rsid w:val="00F40E9E"/>
    <w:rsid w:val="00F40F9D"/>
    <w:rsid w:val="00F41ACD"/>
    <w:rsid w:val="00F42B66"/>
    <w:rsid w:val="00F4310E"/>
    <w:rsid w:val="00F43123"/>
    <w:rsid w:val="00F43704"/>
    <w:rsid w:val="00F43B2D"/>
    <w:rsid w:val="00F46CB6"/>
    <w:rsid w:val="00F4756D"/>
    <w:rsid w:val="00F47DE8"/>
    <w:rsid w:val="00F512BE"/>
    <w:rsid w:val="00F542C1"/>
    <w:rsid w:val="00F55A71"/>
    <w:rsid w:val="00F55E73"/>
    <w:rsid w:val="00F55EDA"/>
    <w:rsid w:val="00F56058"/>
    <w:rsid w:val="00F569EC"/>
    <w:rsid w:val="00F56B33"/>
    <w:rsid w:val="00F56C80"/>
    <w:rsid w:val="00F56FF5"/>
    <w:rsid w:val="00F60092"/>
    <w:rsid w:val="00F60611"/>
    <w:rsid w:val="00F60EFF"/>
    <w:rsid w:val="00F61B87"/>
    <w:rsid w:val="00F61C18"/>
    <w:rsid w:val="00F6354B"/>
    <w:rsid w:val="00F6488E"/>
    <w:rsid w:val="00F65846"/>
    <w:rsid w:val="00F65F4B"/>
    <w:rsid w:val="00F6638A"/>
    <w:rsid w:val="00F67A69"/>
    <w:rsid w:val="00F67B61"/>
    <w:rsid w:val="00F70BFF"/>
    <w:rsid w:val="00F70C9D"/>
    <w:rsid w:val="00F70F33"/>
    <w:rsid w:val="00F72387"/>
    <w:rsid w:val="00F74506"/>
    <w:rsid w:val="00F74CD9"/>
    <w:rsid w:val="00F74F24"/>
    <w:rsid w:val="00F76C1D"/>
    <w:rsid w:val="00F76E4B"/>
    <w:rsid w:val="00F800B1"/>
    <w:rsid w:val="00F80A7B"/>
    <w:rsid w:val="00F80E5D"/>
    <w:rsid w:val="00F819C4"/>
    <w:rsid w:val="00F81E78"/>
    <w:rsid w:val="00F8327C"/>
    <w:rsid w:val="00F851CE"/>
    <w:rsid w:val="00F85810"/>
    <w:rsid w:val="00F875F8"/>
    <w:rsid w:val="00F90536"/>
    <w:rsid w:val="00F91219"/>
    <w:rsid w:val="00F917D1"/>
    <w:rsid w:val="00F91AF3"/>
    <w:rsid w:val="00F92444"/>
    <w:rsid w:val="00F9393E"/>
    <w:rsid w:val="00F95CDC"/>
    <w:rsid w:val="00F96C0C"/>
    <w:rsid w:val="00F96DE0"/>
    <w:rsid w:val="00F96FD0"/>
    <w:rsid w:val="00F9789D"/>
    <w:rsid w:val="00F97A78"/>
    <w:rsid w:val="00FA0B20"/>
    <w:rsid w:val="00FA0EF9"/>
    <w:rsid w:val="00FA1525"/>
    <w:rsid w:val="00FA1C12"/>
    <w:rsid w:val="00FA22FF"/>
    <w:rsid w:val="00FA2396"/>
    <w:rsid w:val="00FA24E7"/>
    <w:rsid w:val="00FA2810"/>
    <w:rsid w:val="00FA33F5"/>
    <w:rsid w:val="00FA5AEF"/>
    <w:rsid w:val="00FA5EE6"/>
    <w:rsid w:val="00FA7863"/>
    <w:rsid w:val="00FA7956"/>
    <w:rsid w:val="00FB1694"/>
    <w:rsid w:val="00FB2FCB"/>
    <w:rsid w:val="00FB3CF3"/>
    <w:rsid w:val="00FB6836"/>
    <w:rsid w:val="00FB7C55"/>
    <w:rsid w:val="00FB7D6E"/>
    <w:rsid w:val="00FC1074"/>
    <w:rsid w:val="00FC1884"/>
    <w:rsid w:val="00FC237F"/>
    <w:rsid w:val="00FC2BC6"/>
    <w:rsid w:val="00FC3456"/>
    <w:rsid w:val="00FC371D"/>
    <w:rsid w:val="00FC5F0B"/>
    <w:rsid w:val="00FD19C9"/>
    <w:rsid w:val="00FD2100"/>
    <w:rsid w:val="00FD36CC"/>
    <w:rsid w:val="00FD3AD4"/>
    <w:rsid w:val="00FD436C"/>
    <w:rsid w:val="00FD446D"/>
    <w:rsid w:val="00FD4F2C"/>
    <w:rsid w:val="00FD576B"/>
    <w:rsid w:val="00FD6238"/>
    <w:rsid w:val="00FD6394"/>
    <w:rsid w:val="00FD6FC3"/>
    <w:rsid w:val="00FD75E6"/>
    <w:rsid w:val="00FD7753"/>
    <w:rsid w:val="00FE0272"/>
    <w:rsid w:val="00FE0E6C"/>
    <w:rsid w:val="00FE1CDC"/>
    <w:rsid w:val="00FE240C"/>
    <w:rsid w:val="00FE2950"/>
    <w:rsid w:val="00FE295F"/>
    <w:rsid w:val="00FE3973"/>
    <w:rsid w:val="00FE4E83"/>
    <w:rsid w:val="00FE638B"/>
    <w:rsid w:val="00FE677E"/>
    <w:rsid w:val="00FE70C3"/>
    <w:rsid w:val="00FE72AF"/>
    <w:rsid w:val="00FF040B"/>
    <w:rsid w:val="00FF1722"/>
    <w:rsid w:val="00FF203C"/>
    <w:rsid w:val="00FF2AD9"/>
    <w:rsid w:val="00FF359F"/>
    <w:rsid w:val="00FF3DCF"/>
    <w:rsid w:val="00FF462A"/>
    <w:rsid w:val="00FF492C"/>
    <w:rsid w:val="00FF4A21"/>
    <w:rsid w:val="00FF5954"/>
    <w:rsid w:val="00FF5AA3"/>
    <w:rsid w:val="00FF5AD8"/>
    <w:rsid w:val="00FF61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569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1F0"/>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s Points,Styl moj,Akapit z listą1,Akapit z listą11,ES Paragraph,PBAC ES Paragraph,Bullet Lis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s Points Char,Styl moj Char,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MSD Table Grid,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29288D"/>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1 Char,Comment Text Char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1 Char Char,Comment Text Char Char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aliases w:val="Footnote Text Char1,Footnote Text Char Char,Footnote Text Char2,Footnote Text Char Char1"/>
    <w:basedOn w:val="Normal"/>
    <w:link w:val="FootnoteTextChar"/>
    <w:unhideWhenUsed/>
    <w:rsid w:val="004313EF"/>
    <w:rPr>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4313EF"/>
    <w:rPr>
      <w:rFonts w:ascii="Calibri" w:hAnsi="Calibri" w:cs="Arial"/>
    </w:rPr>
  </w:style>
  <w:style w:type="character" w:styleId="FootnoteReference">
    <w:name w:val="footnote reference"/>
    <w:basedOn w:val="DefaultParagraphFont"/>
    <w:unhideWhenUsed/>
    <w:rsid w:val="004313EF"/>
    <w:rPr>
      <w:vertAlign w:val="superscript"/>
    </w:rPr>
  </w:style>
  <w:style w:type="table" w:customStyle="1" w:styleId="ASDTable2">
    <w:name w:val="ASD Table2"/>
    <w:basedOn w:val="TableNormal"/>
    <w:next w:val="TableGrid"/>
    <w:uiPriority w:val="39"/>
    <w:rsid w:val="00373DB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TableofFigures"/>
    <w:qFormat/>
    <w:rsid w:val="00373DBC"/>
    <w:pPr>
      <w:spacing w:line="259" w:lineRule="auto"/>
      <w:jc w:val="left"/>
    </w:pPr>
    <w:rPr>
      <w:rFonts w:ascii="Arial Narrow" w:eastAsiaTheme="minorEastAsia" w:hAnsi="Arial Narrow" w:cstheme="minorBidi"/>
      <w:b/>
      <w:sz w:val="20"/>
      <w:szCs w:val="22"/>
      <w:lang w:eastAsia="zh-CN"/>
    </w:rPr>
  </w:style>
  <w:style w:type="paragraph" w:styleId="TableofFigures">
    <w:name w:val="table of figures"/>
    <w:basedOn w:val="Normal"/>
    <w:next w:val="Normal"/>
    <w:semiHidden/>
    <w:unhideWhenUsed/>
    <w:rsid w:val="00373DBC"/>
  </w:style>
  <w:style w:type="character" w:customStyle="1" w:styleId="UnresolvedMention1">
    <w:name w:val="Unresolved Mention1"/>
    <w:basedOn w:val="DefaultParagraphFont"/>
    <w:uiPriority w:val="99"/>
    <w:semiHidden/>
    <w:unhideWhenUsed/>
    <w:rsid w:val="003B7457"/>
    <w:rPr>
      <w:color w:val="605E5C"/>
      <w:shd w:val="clear" w:color="auto" w:fill="E1DFDD"/>
    </w:rPr>
  </w:style>
  <w:style w:type="character" w:customStyle="1" w:styleId="UnresolvedMention2">
    <w:name w:val="Unresolved Mention2"/>
    <w:basedOn w:val="DefaultParagraphFont"/>
    <w:uiPriority w:val="99"/>
    <w:semiHidden/>
    <w:unhideWhenUsed/>
    <w:rsid w:val="003B7457"/>
    <w:rPr>
      <w:color w:val="605E5C"/>
      <w:shd w:val="clear" w:color="auto" w:fill="E1DFDD"/>
    </w:rPr>
  </w:style>
  <w:style w:type="table" w:customStyle="1" w:styleId="newstyle1">
    <w:name w:val="new style1"/>
    <w:basedOn w:val="TableNormal"/>
    <w:next w:val="TableGrid"/>
    <w:uiPriority w:val="39"/>
    <w:rsid w:val="00346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46D84"/>
    <w:pPr>
      <w:spacing w:before="100" w:beforeAutospacing="1" w:after="100" w:afterAutospacing="1"/>
      <w:jc w:val="left"/>
    </w:pPr>
    <w:rPr>
      <w:rFonts w:ascii="Times New Roman" w:hAnsi="Times New Roman" w:cs="Times New Roman"/>
    </w:rPr>
  </w:style>
  <w:style w:type="character" w:styleId="IntenseReference">
    <w:name w:val="Intense Reference"/>
    <w:basedOn w:val="DefaultParagraphFont"/>
    <w:uiPriority w:val="32"/>
    <w:qFormat/>
    <w:rsid w:val="00B80806"/>
    <w:rPr>
      <w:b/>
      <w:bCs/>
      <w:i/>
      <w:smallCaps/>
      <w:color w:val="C0504D" w:themeColor="accent2"/>
      <w:spacing w:val="5"/>
      <w:u w:val="none"/>
    </w:rPr>
  </w:style>
  <w:style w:type="character" w:customStyle="1" w:styleId="period">
    <w:name w:val="period"/>
    <w:basedOn w:val="DefaultParagraphFont"/>
    <w:rsid w:val="00B25111"/>
  </w:style>
  <w:style w:type="character" w:customStyle="1" w:styleId="cit">
    <w:name w:val="cit"/>
    <w:basedOn w:val="DefaultParagraphFont"/>
    <w:rsid w:val="00B25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68511111">
      <w:bodyDiv w:val="1"/>
      <w:marLeft w:val="0"/>
      <w:marRight w:val="0"/>
      <w:marTop w:val="0"/>
      <w:marBottom w:val="0"/>
      <w:divBdr>
        <w:top w:val="none" w:sz="0" w:space="0" w:color="auto"/>
        <w:left w:val="none" w:sz="0" w:space="0" w:color="auto"/>
        <w:bottom w:val="none" w:sz="0" w:space="0" w:color="auto"/>
        <w:right w:val="none" w:sz="0" w:space="0" w:color="auto"/>
      </w:divBdr>
      <w:divsChild>
        <w:div w:id="372312428">
          <w:marLeft w:val="547"/>
          <w:marRight w:val="0"/>
          <w:marTop w:val="96"/>
          <w:marBottom w:val="0"/>
          <w:divBdr>
            <w:top w:val="none" w:sz="0" w:space="0" w:color="auto"/>
            <w:left w:val="none" w:sz="0" w:space="0" w:color="auto"/>
            <w:bottom w:val="none" w:sz="0" w:space="0" w:color="auto"/>
            <w:right w:val="none" w:sz="0" w:space="0" w:color="auto"/>
          </w:divBdr>
        </w:div>
        <w:div w:id="32922216">
          <w:marLeft w:val="1166"/>
          <w:marRight w:val="0"/>
          <w:marTop w:val="86"/>
          <w:marBottom w:val="0"/>
          <w:divBdr>
            <w:top w:val="none" w:sz="0" w:space="0" w:color="auto"/>
            <w:left w:val="none" w:sz="0" w:space="0" w:color="auto"/>
            <w:bottom w:val="none" w:sz="0" w:space="0" w:color="auto"/>
            <w:right w:val="none" w:sz="0" w:space="0" w:color="auto"/>
          </w:divBdr>
        </w:div>
        <w:div w:id="2129621373">
          <w:marLeft w:val="1800"/>
          <w:marRight w:val="0"/>
          <w:marTop w:val="72"/>
          <w:marBottom w:val="0"/>
          <w:divBdr>
            <w:top w:val="none" w:sz="0" w:space="0" w:color="auto"/>
            <w:left w:val="none" w:sz="0" w:space="0" w:color="auto"/>
            <w:bottom w:val="none" w:sz="0" w:space="0" w:color="auto"/>
            <w:right w:val="none" w:sz="0" w:space="0" w:color="auto"/>
          </w:divBdr>
        </w:div>
        <w:div w:id="455487133">
          <w:marLeft w:val="1166"/>
          <w:marRight w:val="0"/>
          <w:marTop w:val="86"/>
          <w:marBottom w:val="0"/>
          <w:divBdr>
            <w:top w:val="none" w:sz="0" w:space="0" w:color="auto"/>
            <w:left w:val="none" w:sz="0" w:space="0" w:color="auto"/>
            <w:bottom w:val="none" w:sz="0" w:space="0" w:color="auto"/>
            <w:right w:val="none" w:sz="0" w:space="0" w:color="auto"/>
          </w:divBdr>
        </w:div>
        <w:div w:id="1333681692">
          <w:marLeft w:val="1166"/>
          <w:marRight w:val="0"/>
          <w:marTop w:val="86"/>
          <w:marBottom w:val="0"/>
          <w:divBdr>
            <w:top w:val="none" w:sz="0" w:space="0" w:color="auto"/>
            <w:left w:val="none" w:sz="0" w:space="0" w:color="auto"/>
            <w:bottom w:val="none" w:sz="0" w:space="0" w:color="auto"/>
            <w:right w:val="none" w:sz="0" w:space="0" w:color="auto"/>
          </w:divBdr>
        </w:div>
        <w:div w:id="530846666">
          <w:marLeft w:val="1166"/>
          <w:marRight w:val="0"/>
          <w:marTop w:val="86"/>
          <w:marBottom w:val="0"/>
          <w:divBdr>
            <w:top w:val="none" w:sz="0" w:space="0" w:color="auto"/>
            <w:left w:val="none" w:sz="0" w:space="0" w:color="auto"/>
            <w:bottom w:val="none" w:sz="0" w:space="0" w:color="auto"/>
            <w:right w:val="none" w:sz="0" w:space="0" w:color="auto"/>
          </w:divBdr>
        </w:div>
        <w:div w:id="1892963092">
          <w:marLeft w:val="547"/>
          <w:marRight w:val="0"/>
          <w:marTop w:val="96"/>
          <w:marBottom w:val="0"/>
          <w:divBdr>
            <w:top w:val="none" w:sz="0" w:space="0" w:color="auto"/>
            <w:left w:val="none" w:sz="0" w:space="0" w:color="auto"/>
            <w:bottom w:val="none" w:sz="0" w:space="0" w:color="auto"/>
            <w:right w:val="none" w:sz="0" w:space="0" w:color="auto"/>
          </w:divBdr>
        </w:div>
        <w:div w:id="1962101893">
          <w:marLeft w:val="1166"/>
          <w:marRight w:val="0"/>
          <w:marTop w:val="86"/>
          <w:marBottom w:val="0"/>
          <w:divBdr>
            <w:top w:val="none" w:sz="0" w:space="0" w:color="auto"/>
            <w:left w:val="none" w:sz="0" w:space="0" w:color="auto"/>
            <w:bottom w:val="none" w:sz="0" w:space="0" w:color="auto"/>
            <w:right w:val="none" w:sz="0" w:space="0" w:color="auto"/>
          </w:divBdr>
        </w:div>
        <w:div w:id="788940179">
          <w:marLeft w:val="1800"/>
          <w:marRight w:val="0"/>
          <w:marTop w:val="72"/>
          <w:marBottom w:val="0"/>
          <w:divBdr>
            <w:top w:val="none" w:sz="0" w:space="0" w:color="auto"/>
            <w:left w:val="none" w:sz="0" w:space="0" w:color="auto"/>
            <w:bottom w:val="none" w:sz="0" w:space="0" w:color="auto"/>
            <w:right w:val="none" w:sz="0" w:space="0" w:color="auto"/>
          </w:divBdr>
        </w:div>
        <w:div w:id="751976379">
          <w:marLeft w:val="1166"/>
          <w:marRight w:val="0"/>
          <w:marTop w:val="86"/>
          <w:marBottom w:val="0"/>
          <w:divBdr>
            <w:top w:val="none" w:sz="0" w:space="0" w:color="auto"/>
            <w:left w:val="none" w:sz="0" w:space="0" w:color="auto"/>
            <w:bottom w:val="none" w:sz="0" w:space="0" w:color="auto"/>
            <w:right w:val="none" w:sz="0" w:space="0" w:color="auto"/>
          </w:divBdr>
        </w:div>
        <w:div w:id="2048113">
          <w:marLeft w:val="1800"/>
          <w:marRight w:val="0"/>
          <w:marTop w:val="72"/>
          <w:marBottom w:val="0"/>
          <w:divBdr>
            <w:top w:val="none" w:sz="0" w:space="0" w:color="auto"/>
            <w:left w:val="none" w:sz="0" w:space="0" w:color="auto"/>
            <w:bottom w:val="none" w:sz="0" w:space="0" w:color="auto"/>
            <w:right w:val="none" w:sz="0" w:space="0" w:color="auto"/>
          </w:divBdr>
        </w:div>
        <w:div w:id="278923926">
          <w:marLeft w:val="1800"/>
          <w:marRight w:val="0"/>
          <w:marTop w:val="72"/>
          <w:marBottom w:val="0"/>
          <w:divBdr>
            <w:top w:val="none" w:sz="0" w:space="0" w:color="auto"/>
            <w:left w:val="none" w:sz="0" w:space="0" w:color="auto"/>
            <w:bottom w:val="none" w:sz="0" w:space="0" w:color="auto"/>
            <w:right w:val="none" w:sz="0" w:space="0" w:color="auto"/>
          </w:divBdr>
        </w:div>
        <w:div w:id="660694707">
          <w:marLeft w:val="1800"/>
          <w:marRight w:val="0"/>
          <w:marTop w:val="72"/>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29081977">
      <w:bodyDiv w:val="1"/>
      <w:marLeft w:val="0"/>
      <w:marRight w:val="0"/>
      <w:marTop w:val="0"/>
      <w:marBottom w:val="0"/>
      <w:divBdr>
        <w:top w:val="none" w:sz="0" w:space="0" w:color="auto"/>
        <w:left w:val="none" w:sz="0" w:space="0" w:color="auto"/>
        <w:bottom w:val="none" w:sz="0" w:space="0" w:color="auto"/>
        <w:right w:val="none" w:sz="0" w:space="0" w:color="auto"/>
      </w:divBdr>
      <w:divsChild>
        <w:div w:id="263803827">
          <w:marLeft w:val="1166"/>
          <w:marRight w:val="0"/>
          <w:marTop w:val="72"/>
          <w:marBottom w:val="0"/>
          <w:divBdr>
            <w:top w:val="none" w:sz="0" w:space="0" w:color="auto"/>
            <w:left w:val="none" w:sz="0" w:space="0" w:color="auto"/>
            <w:bottom w:val="none" w:sz="0" w:space="0" w:color="auto"/>
            <w:right w:val="none" w:sz="0" w:space="0" w:color="auto"/>
          </w:divBdr>
        </w:div>
      </w:divsChild>
    </w:div>
    <w:div w:id="69226404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69489">
      <w:bodyDiv w:val="1"/>
      <w:marLeft w:val="0"/>
      <w:marRight w:val="0"/>
      <w:marTop w:val="0"/>
      <w:marBottom w:val="0"/>
      <w:divBdr>
        <w:top w:val="none" w:sz="0" w:space="0" w:color="auto"/>
        <w:left w:val="none" w:sz="0" w:space="0" w:color="auto"/>
        <w:bottom w:val="none" w:sz="0" w:space="0" w:color="auto"/>
        <w:right w:val="none" w:sz="0" w:space="0" w:color="auto"/>
      </w:divBdr>
    </w:div>
    <w:div w:id="1778134526">
      <w:bodyDiv w:val="1"/>
      <w:marLeft w:val="0"/>
      <w:marRight w:val="0"/>
      <w:marTop w:val="0"/>
      <w:marBottom w:val="0"/>
      <w:divBdr>
        <w:top w:val="none" w:sz="0" w:space="0" w:color="auto"/>
        <w:left w:val="none" w:sz="0" w:space="0" w:color="auto"/>
        <w:bottom w:val="none" w:sz="0" w:space="0" w:color="auto"/>
        <w:right w:val="none" w:sz="0" w:space="0" w:color="auto"/>
      </w:divBdr>
      <w:divsChild>
        <w:div w:id="1625042573">
          <w:marLeft w:val="0"/>
          <w:marRight w:val="0"/>
          <w:marTop w:val="0"/>
          <w:marBottom w:val="0"/>
          <w:divBdr>
            <w:top w:val="none" w:sz="0" w:space="0" w:color="auto"/>
            <w:left w:val="none" w:sz="0" w:space="0" w:color="auto"/>
            <w:bottom w:val="none" w:sz="0" w:space="0" w:color="auto"/>
            <w:right w:val="none" w:sz="0" w:space="0" w:color="auto"/>
          </w:divBdr>
          <w:divsChild>
            <w:div w:id="148068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66DF-EC6C-47D7-9901-10A4B8E3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14863</Words>
  <Characters>84725</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2021-06-29T05:20:00Z</dcterms:created>
  <dcterms:modified xsi:type="dcterms:W3CDTF">2021-06-30T03:11:00Z</dcterms:modified>
</cp:coreProperties>
</file>