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EBA" w:rsidRPr="00060B29" w:rsidRDefault="0098545A" w:rsidP="00B15687">
      <w:pPr>
        <w:spacing w:before="120"/>
        <w:ind w:left="720" w:hanging="720"/>
        <w:jc w:val="left"/>
        <w:outlineLvl w:val="0"/>
        <w:rPr>
          <w:rFonts w:asciiTheme="minorHAnsi" w:eastAsiaTheme="majorEastAsia" w:hAnsiTheme="minorHAnsi" w:cstheme="majorBidi"/>
          <w:b/>
          <w:spacing w:val="5"/>
          <w:kern w:val="28"/>
          <w:sz w:val="36"/>
          <w:szCs w:val="36"/>
        </w:rPr>
      </w:pPr>
      <w:r w:rsidRPr="00060B29">
        <w:rPr>
          <w:rFonts w:asciiTheme="minorHAnsi" w:eastAsiaTheme="majorEastAsia" w:hAnsiTheme="minorHAnsi" w:cstheme="majorBidi"/>
          <w:b/>
          <w:spacing w:val="5"/>
          <w:kern w:val="28"/>
          <w:sz w:val="36"/>
          <w:szCs w:val="36"/>
        </w:rPr>
        <w:t>6.06</w:t>
      </w:r>
      <w:r w:rsidR="00D31EBA" w:rsidRPr="00060B29">
        <w:rPr>
          <w:rFonts w:asciiTheme="minorHAnsi" w:eastAsiaTheme="majorEastAsia" w:hAnsiTheme="minorHAnsi" w:cstheme="majorBidi"/>
          <w:b/>
          <w:spacing w:val="5"/>
          <w:kern w:val="28"/>
          <w:sz w:val="36"/>
          <w:szCs w:val="36"/>
        </w:rPr>
        <w:tab/>
        <w:t>NINTEDANIB,</w:t>
      </w:r>
      <w:r w:rsidR="00D31EBA" w:rsidRPr="00060B29">
        <w:rPr>
          <w:rFonts w:asciiTheme="minorHAnsi" w:eastAsiaTheme="majorEastAsia" w:hAnsiTheme="minorHAnsi" w:cstheme="majorBidi"/>
          <w:b/>
          <w:spacing w:val="5"/>
          <w:kern w:val="28"/>
          <w:sz w:val="36"/>
          <w:szCs w:val="36"/>
        </w:rPr>
        <w:br/>
      </w:r>
      <w:r w:rsidRPr="00060B29">
        <w:rPr>
          <w:rFonts w:asciiTheme="minorHAnsi" w:eastAsiaTheme="majorEastAsia" w:hAnsiTheme="minorHAnsi" w:cstheme="majorBidi"/>
          <w:b/>
          <w:spacing w:val="5"/>
          <w:kern w:val="28"/>
          <w:sz w:val="36"/>
          <w:szCs w:val="36"/>
        </w:rPr>
        <w:t>C</w:t>
      </w:r>
      <w:r w:rsidR="00D31EBA" w:rsidRPr="00060B29">
        <w:rPr>
          <w:rFonts w:asciiTheme="minorHAnsi" w:eastAsiaTheme="majorEastAsia" w:hAnsiTheme="minorHAnsi" w:cstheme="majorBidi"/>
          <w:b/>
          <w:spacing w:val="5"/>
          <w:kern w:val="28"/>
          <w:sz w:val="36"/>
          <w:szCs w:val="36"/>
        </w:rPr>
        <w:t>apsule</w:t>
      </w:r>
      <w:r w:rsidRPr="00060B29">
        <w:rPr>
          <w:rFonts w:asciiTheme="minorHAnsi" w:eastAsiaTheme="majorEastAsia" w:hAnsiTheme="minorHAnsi" w:cstheme="majorBidi"/>
          <w:b/>
          <w:spacing w:val="5"/>
          <w:kern w:val="28"/>
          <w:sz w:val="36"/>
          <w:szCs w:val="36"/>
        </w:rPr>
        <w:t xml:space="preserve"> 100 mg</w:t>
      </w:r>
      <w:r w:rsidR="00D31EBA" w:rsidRPr="00060B29">
        <w:rPr>
          <w:rFonts w:asciiTheme="minorHAnsi" w:eastAsiaTheme="majorEastAsia" w:hAnsiTheme="minorHAnsi" w:cstheme="majorBidi"/>
          <w:b/>
          <w:spacing w:val="5"/>
          <w:kern w:val="28"/>
          <w:sz w:val="36"/>
          <w:szCs w:val="36"/>
        </w:rPr>
        <w:t>,</w:t>
      </w:r>
      <w:r w:rsidR="00D31EBA" w:rsidRPr="00060B29">
        <w:rPr>
          <w:rFonts w:asciiTheme="minorHAnsi" w:eastAsiaTheme="majorEastAsia" w:hAnsiTheme="minorHAnsi" w:cstheme="majorBidi"/>
          <w:b/>
          <w:spacing w:val="5"/>
          <w:kern w:val="28"/>
          <w:sz w:val="36"/>
          <w:szCs w:val="36"/>
        </w:rPr>
        <w:br/>
      </w:r>
      <w:r w:rsidRPr="00060B29">
        <w:rPr>
          <w:rFonts w:asciiTheme="minorHAnsi" w:eastAsiaTheme="majorEastAsia" w:hAnsiTheme="minorHAnsi" w:cstheme="majorBidi"/>
          <w:b/>
          <w:spacing w:val="5"/>
          <w:kern w:val="28"/>
          <w:sz w:val="36"/>
          <w:szCs w:val="36"/>
        </w:rPr>
        <w:t>Capsule</w:t>
      </w:r>
      <w:r w:rsidR="00D31EBA" w:rsidRPr="00060B29">
        <w:rPr>
          <w:rFonts w:asciiTheme="minorHAnsi" w:eastAsiaTheme="majorEastAsia" w:hAnsiTheme="minorHAnsi" w:cstheme="majorBidi"/>
          <w:b/>
          <w:spacing w:val="5"/>
          <w:kern w:val="28"/>
          <w:sz w:val="36"/>
          <w:szCs w:val="36"/>
        </w:rPr>
        <w:t xml:space="preserve"> 150 mg,</w:t>
      </w:r>
      <w:r w:rsidR="00D31EBA" w:rsidRPr="00060B29">
        <w:rPr>
          <w:rFonts w:asciiTheme="minorHAnsi" w:eastAsiaTheme="majorEastAsia" w:hAnsiTheme="minorHAnsi" w:cstheme="majorBidi"/>
          <w:b/>
          <w:spacing w:val="5"/>
          <w:kern w:val="28"/>
          <w:sz w:val="36"/>
          <w:szCs w:val="36"/>
        </w:rPr>
        <w:br/>
        <w:t>Ofev</w:t>
      </w:r>
      <w:r w:rsidR="00D31EBA" w:rsidRPr="00060B29">
        <w:rPr>
          <w:rFonts w:asciiTheme="minorHAnsi" w:eastAsiaTheme="majorEastAsia" w:hAnsiTheme="minorHAnsi" w:cstheme="majorBidi"/>
          <w:b/>
          <w:spacing w:val="5"/>
          <w:kern w:val="28"/>
          <w:sz w:val="36"/>
          <w:szCs w:val="36"/>
          <w:vertAlign w:val="superscript"/>
        </w:rPr>
        <w:t>®</w:t>
      </w:r>
      <w:r w:rsidR="00D31EBA" w:rsidRPr="00060B29">
        <w:rPr>
          <w:rFonts w:asciiTheme="minorHAnsi" w:eastAsiaTheme="majorEastAsia" w:hAnsiTheme="minorHAnsi" w:cstheme="majorBidi"/>
          <w:b/>
          <w:spacing w:val="5"/>
          <w:kern w:val="28"/>
          <w:sz w:val="36"/>
          <w:szCs w:val="36"/>
        </w:rPr>
        <w:t>,</w:t>
      </w:r>
      <w:r w:rsidR="00D31EBA" w:rsidRPr="00060B29">
        <w:rPr>
          <w:rFonts w:asciiTheme="minorHAnsi" w:eastAsiaTheme="majorEastAsia" w:hAnsiTheme="minorHAnsi" w:cstheme="majorBidi"/>
          <w:b/>
          <w:spacing w:val="5"/>
          <w:kern w:val="28"/>
          <w:sz w:val="36"/>
          <w:szCs w:val="36"/>
        </w:rPr>
        <w:br/>
        <w:t>Boehringer Ingelheim Pty Ltd</w:t>
      </w:r>
    </w:p>
    <w:p w:rsidR="00D31EBA" w:rsidRPr="00060B29" w:rsidRDefault="00D31EBA" w:rsidP="00B15687">
      <w:pPr>
        <w:pStyle w:val="2-SectionHeading"/>
      </w:pPr>
      <w:bookmarkStart w:id="0" w:name="_Toc58872430"/>
      <w:r w:rsidRPr="00060B29">
        <w:t>Purpose of submission</w:t>
      </w:r>
      <w:bookmarkEnd w:id="0"/>
    </w:p>
    <w:p w:rsidR="00D31EBA" w:rsidRPr="00060B29" w:rsidRDefault="00D31EBA" w:rsidP="00B15687">
      <w:pPr>
        <w:pStyle w:val="3-BodyText"/>
      </w:pPr>
      <w:r w:rsidRPr="00060B29">
        <w:t xml:space="preserve">The submission requested Authority Required (in writing) listing for nintedanib for the treatment of adult patients with progressive fibrosing interstitial lung disease (PF-ILD). </w:t>
      </w:r>
    </w:p>
    <w:p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snapToGrid w:val="0"/>
        </w:rPr>
        <w:t>Listing was requested on the basis of a cost-effectiveness analysis versus placebo</w:t>
      </w:r>
      <w:r w:rsidR="0020683E" w:rsidRPr="00060B29">
        <w:rPr>
          <w:rFonts w:asciiTheme="minorHAnsi" w:hAnsiTheme="minorHAnsi"/>
          <w:snapToGrid w:val="0"/>
        </w:rPr>
        <w:t xml:space="preserve"> </w:t>
      </w:r>
      <w:r w:rsidR="00917A3F" w:rsidRPr="00060B29">
        <w:rPr>
          <w:rFonts w:asciiTheme="minorHAnsi" w:hAnsiTheme="minorHAnsi"/>
          <w:snapToGrid w:val="0"/>
        </w:rPr>
        <w:t>+</w:t>
      </w:r>
      <w:r w:rsidR="0020683E" w:rsidRPr="00060B29">
        <w:rPr>
          <w:rFonts w:asciiTheme="minorHAnsi" w:hAnsiTheme="minorHAnsi"/>
          <w:snapToGrid w:val="0"/>
        </w:rPr>
        <w:t xml:space="preserve"> </w:t>
      </w:r>
      <w:r w:rsidR="00917A3F" w:rsidRPr="00060B29">
        <w:rPr>
          <w:rFonts w:asciiTheme="minorHAnsi" w:hAnsiTheme="minorHAnsi"/>
          <w:snapToGrid w:val="0"/>
        </w:rPr>
        <w:t>BSC</w:t>
      </w:r>
      <w:r w:rsidRPr="00060B29">
        <w:rPr>
          <w:rFonts w:asciiTheme="minorHAnsi" w:hAnsiTheme="minorHAnsi"/>
          <w:snapToGrid w:val="0"/>
        </w:rPr>
        <w:t xml:space="preserve">. </w:t>
      </w:r>
    </w:p>
    <w:p w:rsidR="00D31EBA" w:rsidRPr="00060B29" w:rsidRDefault="00D31EBA"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1: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5"/>
      </w:tblGrid>
      <w:tr w:rsidR="00D31EBA" w:rsidRPr="00060B29" w:rsidTr="0051345F">
        <w:trPr>
          <w:cantSplit/>
          <w:tblHeader/>
        </w:trPr>
        <w:tc>
          <w:tcPr>
            <w:tcW w:w="705" w:type="pct"/>
            <w:shd w:val="clear" w:color="auto" w:fill="auto"/>
          </w:tcPr>
          <w:p w:rsidR="00D31EBA" w:rsidRPr="00060B29" w:rsidRDefault="00D31EBA" w:rsidP="00B15687">
            <w:pPr>
              <w:jc w:val="left"/>
              <w:rPr>
                <w:rFonts w:ascii="Arial Narrow" w:eastAsiaTheme="majorEastAsia" w:hAnsi="Arial Narrow" w:cs="Times New Roman"/>
                <w:b/>
                <w:sz w:val="20"/>
                <w:szCs w:val="20"/>
              </w:rPr>
            </w:pPr>
            <w:r w:rsidRPr="00060B29">
              <w:rPr>
                <w:rFonts w:ascii="Arial Narrow" w:eastAsiaTheme="majorEastAsia" w:hAnsi="Arial Narrow" w:cs="Times New Roman"/>
                <w:b/>
                <w:sz w:val="20"/>
              </w:rPr>
              <w:t>Component</w:t>
            </w:r>
          </w:p>
        </w:tc>
        <w:tc>
          <w:tcPr>
            <w:tcW w:w="4295" w:type="pct"/>
            <w:shd w:val="clear" w:color="auto" w:fill="auto"/>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Description</w:t>
            </w:r>
          </w:p>
        </w:tc>
      </w:tr>
      <w:tr w:rsidR="00D31EBA" w:rsidRPr="00060B29" w:rsidTr="0051345F">
        <w:trPr>
          <w:cantSplit/>
        </w:trPr>
        <w:tc>
          <w:tcPr>
            <w:tcW w:w="705" w:type="pct"/>
            <w:shd w:val="clear" w:color="auto" w:fill="auto"/>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Population</w:t>
            </w:r>
          </w:p>
        </w:tc>
        <w:tc>
          <w:tcPr>
            <w:tcW w:w="4295" w:type="pct"/>
            <w:shd w:val="clear" w:color="auto" w:fill="auto"/>
          </w:tcPr>
          <w:p w:rsidR="00D31EBA" w:rsidRPr="00060B29" w:rsidRDefault="00D31EBA" w:rsidP="00B15687">
            <w:pPr>
              <w:jc w:val="left"/>
              <w:rPr>
                <w:rFonts w:ascii="Arial Narrow" w:eastAsiaTheme="majorEastAsia" w:hAnsi="Arial Narrow" w:cstheme="majorBidi"/>
                <w:bCs/>
                <w:sz w:val="20"/>
                <w:szCs w:val="20"/>
              </w:rPr>
            </w:pPr>
            <w:r w:rsidRPr="00060B29">
              <w:rPr>
                <w:rFonts w:ascii="Arial Narrow" w:eastAsiaTheme="majorEastAsia" w:hAnsi="Arial Narrow" w:cstheme="majorBidi"/>
                <w:bCs/>
                <w:sz w:val="20"/>
              </w:rPr>
              <w:t>Adult patients with non-IPF chronic progressive fibrosing interstitial lung disease (PF-ILD)</w:t>
            </w:r>
          </w:p>
        </w:tc>
      </w:tr>
      <w:tr w:rsidR="00D31EBA" w:rsidRPr="00060B29" w:rsidTr="0051345F">
        <w:trPr>
          <w:cantSplit/>
        </w:trPr>
        <w:tc>
          <w:tcPr>
            <w:tcW w:w="705" w:type="pct"/>
            <w:shd w:val="clear" w:color="auto" w:fill="auto"/>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Intervention</w:t>
            </w:r>
          </w:p>
        </w:tc>
        <w:tc>
          <w:tcPr>
            <w:tcW w:w="4295" w:type="pct"/>
            <w:shd w:val="clear" w:color="auto" w:fill="auto"/>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Oral nintedanib 150 mg twice daily. Dose can be reduced to 100 mg twice daily if required. </w:t>
            </w:r>
          </w:p>
        </w:tc>
      </w:tr>
      <w:tr w:rsidR="00D31EBA" w:rsidRPr="00060B29" w:rsidTr="0051345F">
        <w:trPr>
          <w:cantSplit/>
        </w:trPr>
        <w:tc>
          <w:tcPr>
            <w:tcW w:w="705" w:type="pct"/>
            <w:shd w:val="clear" w:color="auto" w:fill="auto"/>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Comparator</w:t>
            </w:r>
          </w:p>
        </w:tc>
        <w:tc>
          <w:tcPr>
            <w:tcW w:w="4295" w:type="pct"/>
            <w:shd w:val="clear" w:color="auto" w:fill="auto"/>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Placebo</w:t>
            </w:r>
            <w:r w:rsidR="0020683E" w:rsidRPr="00060B29">
              <w:rPr>
                <w:rFonts w:ascii="Arial Narrow" w:eastAsiaTheme="majorEastAsia" w:hAnsi="Arial Narrow" w:cstheme="majorBidi"/>
                <w:bCs/>
                <w:sz w:val="20"/>
              </w:rPr>
              <w:t xml:space="preserve"> </w:t>
            </w:r>
            <w:r w:rsidR="00917A3F" w:rsidRPr="00060B29">
              <w:rPr>
                <w:rFonts w:ascii="Arial Narrow" w:eastAsiaTheme="majorEastAsia" w:hAnsi="Arial Narrow" w:cstheme="majorBidi"/>
                <w:bCs/>
                <w:sz w:val="20"/>
              </w:rPr>
              <w:t>+</w:t>
            </w:r>
            <w:r w:rsidR="0020683E" w:rsidRPr="00060B29">
              <w:rPr>
                <w:rFonts w:ascii="Arial Narrow" w:eastAsiaTheme="majorEastAsia" w:hAnsi="Arial Narrow" w:cstheme="majorBidi"/>
                <w:bCs/>
                <w:sz w:val="20"/>
              </w:rPr>
              <w:t xml:space="preserve"> </w:t>
            </w:r>
            <w:r w:rsidR="00917A3F" w:rsidRPr="00060B29">
              <w:rPr>
                <w:rFonts w:ascii="Arial Narrow" w:eastAsiaTheme="majorEastAsia" w:hAnsi="Arial Narrow" w:cstheme="majorBidi"/>
                <w:bCs/>
                <w:sz w:val="20"/>
              </w:rPr>
              <w:t>BSC</w:t>
            </w:r>
          </w:p>
        </w:tc>
      </w:tr>
      <w:tr w:rsidR="00D31EBA" w:rsidRPr="00060B29" w:rsidTr="0051345F">
        <w:trPr>
          <w:cantSplit/>
        </w:trPr>
        <w:tc>
          <w:tcPr>
            <w:tcW w:w="705" w:type="pct"/>
            <w:shd w:val="clear" w:color="auto" w:fill="auto"/>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Outcomes</w:t>
            </w:r>
          </w:p>
        </w:tc>
        <w:tc>
          <w:tcPr>
            <w:tcW w:w="4295" w:type="pct"/>
            <w:shd w:val="clear" w:color="auto" w:fill="auto"/>
          </w:tcPr>
          <w:p w:rsidR="00D31EBA" w:rsidRPr="00060B29" w:rsidRDefault="00D31EBA" w:rsidP="00B15687">
            <w:pPr>
              <w:jc w:val="left"/>
              <w:rPr>
                <w:rFonts w:ascii="Arial Narrow" w:hAnsi="Arial Narrow"/>
                <w:snapToGrid w:val="0"/>
                <w:color w:val="0066FF"/>
                <w:sz w:val="20"/>
                <w:szCs w:val="20"/>
              </w:rPr>
            </w:pPr>
            <w:r w:rsidRPr="00060B29">
              <w:rPr>
                <w:rFonts w:ascii="Arial Narrow" w:eastAsiaTheme="majorEastAsia" w:hAnsi="Arial Narrow" w:cstheme="majorBidi"/>
                <w:bCs/>
                <w:sz w:val="20"/>
              </w:rPr>
              <w:t>Lung function (FVC decline), acute exacerbation, progression, death, quality of life and adverse events</w:t>
            </w:r>
          </w:p>
        </w:tc>
      </w:tr>
      <w:tr w:rsidR="00D31EBA" w:rsidRPr="00060B29" w:rsidTr="0051345F">
        <w:trPr>
          <w:cantSplit/>
        </w:trPr>
        <w:tc>
          <w:tcPr>
            <w:tcW w:w="705" w:type="pct"/>
            <w:shd w:val="clear" w:color="auto" w:fill="auto"/>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Clinical claim</w:t>
            </w:r>
          </w:p>
        </w:tc>
        <w:tc>
          <w:tcPr>
            <w:tcW w:w="4295" w:type="pct"/>
            <w:shd w:val="clear" w:color="auto" w:fill="auto"/>
          </w:tcPr>
          <w:p w:rsidR="00D31EBA" w:rsidRPr="00060B29" w:rsidRDefault="00D31EBA" w:rsidP="00B15687">
            <w:pPr>
              <w:jc w:val="left"/>
              <w:rPr>
                <w:rFonts w:ascii="Arial Narrow" w:hAnsi="Arial Narrow"/>
                <w:snapToGrid w:val="0"/>
                <w:sz w:val="20"/>
                <w:szCs w:val="20"/>
              </w:rPr>
            </w:pPr>
            <w:r w:rsidRPr="00060B29">
              <w:rPr>
                <w:rFonts w:ascii="Arial Narrow" w:eastAsiaTheme="majorEastAsia" w:hAnsi="Arial Narrow" w:cstheme="majorBidi"/>
                <w:bCs/>
                <w:sz w:val="20"/>
              </w:rPr>
              <w:t>In adult patients with PF-ILD, nintedanib is superior in terms of efficacy and non-inferior in terms of safety compared to placebo</w:t>
            </w:r>
            <w:r w:rsidR="00E41E1D" w:rsidRPr="00060B29">
              <w:rPr>
                <w:rFonts w:ascii="Arial Narrow" w:eastAsiaTheme="majorEastAsia" w:hAnsi="Arial Narrow" w:cstheme="majorBidi"/>
                <w:bCs/>
                <w:sz w:val="20"/>
              </w:rPr>
              <w:t xml:space="preserve"> </w:t>
            </w:r>
            <w:r w:rsidR="00917A3F" w:rsidRPr="00060B29">
              <w:rPr>
                <w:rFonts w:ascii="Arial Narrow" w:eastAsiaTheme="majorEastAsia" w:hAnsi="Arial Narrow" w:cstheme="majorBidi"/>
                <w:bCs/>
                <w:sz w:val="20"/>
              </w:rPr>
              <w:t>+</w:t>
            </w:r>
            <w:r w:rsidR="00E41E1D" w:rsidRPr="00060B29">
              <w:rPr>
                <w:rFonts w:ascii="Arial Narrow" w:eastAsiaTheme="majorEastAsia" w:hAnsi="Arial Narrow" w:cstheme="majorBidi"/>
                <w:bCs/>
                <w:sz w:val="20"/>
              </w:rPr>
              <w:t xml:space="preserve"> </w:t>
            </w:r>
            <w:r w:rsidR="00917A3F" w:rsidRPr="00060B29">
              <w:rPr>
                <w:rFonts w:ascii="Arial Narrow" w:eastAsiaTheme="majorEastAsia" w:hAnsi="Arial Narrow" w:cstheme="majorBidi"/>
                <w:bCs/>
                <w:sz w:val="20"/>
              </w:rPr>
              <w:t>BSC</w:t>
            </w:r>
            <w:r w:rsidRPr="00060B29">
              <w:rPr>
                <w:rFonts w:ascii="Arial Narrow" w:eastAsiaTheme="majorEastAsia" w:hAnsi="Arial Narrow" w:cstheme="majorBidi"/>
                <w:bCs/>
                <w:sz w:val="20"/>
              </w:rPr>
              <w:t>.</w:t>
            </w:r>
          </w:p>
        </w:tc>
      </w:tr>
    </w:tbl>
    <w:p w:rsidR="00D31EBA" w:rsidRPr="00060B29" w:rsidRDefault="00D31EBA" w:rsidP="00B15687">
      <w:pPr>
        <w:pStyle w:val="TableFigureFooter"/>
      </w:pPr>
      <w:r w:rsidRPr="00060B29">
        <w:t>Source: Table 1.1, p2 of the submission.</w:t>
      </w:r>
    </w:p>
    <w:p w:rsidR="008A25C7" w:rsidRPr="00060B29" w:rsidRDefault="008A25C7" w:rsidP="00B15687">
      <w:pPr>
        <w:pStyle w:val="TableFigureFooter"/>
      </w:pPr>
      <w:r w:rsidRPr="00060B29">
        <w:t>BSC = best supportive care, IPF = idiopathic pulmonary fibrosis, FVC = forced vital capacity, PF-ILD = progressive fibrosing interstitial lung disease</w:t>
      </w:r>
    </w:p>
    <w:p w:rsidR="00D31EBA" w:rsidRPr="00B15687" w:rsidRDefault="00D31EBA" w:rsidP="00B15687">
      <w:pPr>
        <w:pStyle w:val="2-SectionHeading"/>
      </w:pPr>
      <w:bookmarkStart w:id="1" w:name="_Toc58872431"/>
      <w:r w:rsidRPr="00B15687">
        <w:t>Background</w:t>
      </w:r>
      <w:bookmarkEnd w:id="1"/>
    </w:p>
    <w:p w:rsidR="00D31EBA" w:rsidRPr="00060B29" w:rsidRDefault="00D31EBA" w:rsidP="00B15687">
      <w:pPr>
        <w:pStyle w:val="4-SubsectionHeading"/>
        <w:keepNext w:val="0"/>
      </w:pPr>
      <w:bookmarkStart w:id="2" w:name="_Toc22897638"/>
      <w:bookmarkStart w:id="3" w:name="_Toc58872432"/>
      <w:r w:rsidRPr="00060B29">
        <w:t>Registration status</w:t>
      </w:r>
      <w:bookmarkEnd w:id="2"/>
      <w:bookmarkEnd w:id="3"/>
    </w:p>
    <w:p w:rsidR="00A611AF" w:rsidRPr="00060B29" w:rsidRDefault="00D31EBA" w:rsidP="00B15687">
      <w:pPr>
        <w:pStyle w:val="3-BodyText"/>
      </w:pPr>
      <w:r w:rsidRPr="00060B29">
        <w:t xml:space="preserve">Nintedanib </w:t>
      </w:r>
      <w:r w:rsidR="00B976BE" w:rsidRPr="00060B29">
        <w:t xml:space="preserve">was </w:t>
      </w:r>
      <w:r w:rsidR="0097613A" w:rsidRPr="00060B29">
        <w:t xml:space="preserve">registered by the </w:t>
      </w:r>
      <w:r w:rsidR="008A25C7" w:rsidRPr="00060B29">
        <w:t>Therapeutic Goods Administration (</w:t>
      </w:r>
      <w:r w:rsidRPr="00060B29">
        <w:t>TGA</w:t>
      </w:r>
      <w:r w:rsidR="008A25C7" w:rsidRPr="00060B29">
        <w:t>)</w:t>
      </w:r>
      <w:r w:rsidRPr="00060B29">
        <w:t xml:space="preserve"> for the treatment of other chronic fibrosing </w:t>
      </w:r>
      <w:r w:rsidR="008A25C7" w:rsidRPr="00060B29">
        <w:t>i</w:t>
      </w:r>
      <w:r w:rsidRPr="00060B29">
        <w:t xml:space="preserve">nterstitial </w:t>
      </w:r>
      <w:r w:rsidR="008A25C7" w:rsidRPr="00060B29">
        <w:t>l</w:t>
      </w:r>
      <w:r w:rsidRPr="00060B29">
        <w:t xml:space="preserve">ung </w:t>
      </w:r>
      <w:r w:rsidR="008A25C7" w:rsidRPr="00060B29">
        <w:t>d</w:t>
      </w:r>
      <w:r w:rsidRPr="00060B29">
        <w:t>iseases (ILDs) with a progressive phenotype</w:t>
      </w:r>
      <w:r w:rsidR="00B976BE" w:rsidRPr="00060B29">
        <w:t xml:space="preserve"> on 5 January 2021</w:t>
      </w:r>
      <w:r w:rsidRPr="00060B29">
        <w:t xml:space="preserve">. </w:t>
      </w:r>
    </w:p>
    <w:p w:rsidR="000631A1" w:rsidRPr="00060B29" w:rsidRDefault="00D31EBA" w:rsidP="00B15687">
      <w:pPr>
        <w:pStyle w:val="3-BodyText"/>
      </w:pPr>
      <w:r w:rsidRPr="00060B29">
        <w:t xml:space="preserve">The TGA Delegate </w:t>
      </w:r>
      <w:r w:rsidR="00614FAE" w:rsidRPr="00060B29">
        <w:t>sought</w:t>
      </w:r>
      <w:r w:rsidRPr="00060B29">
        <w:t xml:space="preserve"> advice from the Advisory Committee on Medicines (ACM) on the following issues: (a) the recognition of ‘chronic fibrosing ILD with a progressive phenotype’ as a clinical entity; (b) the appropriateness of FVC as a surrogate endpoint and extent of correlation with exacerbations, morbidity and death in the disease; and (c) the benefit-risk profile of nintedanib for the proposed indication. </w:t>
      </w:r>
      <w:bookmarkStart w:id="4" w:name="_Hlk61438118"/>
      <w:r w:rsidR="006529E1" w:rsidRPr="00060B29">
        <w:t>The ACM considered nintedanib to have an overall positive benefit-risk profile for “treatment of other chronic fibrosing Interstitial Lung Diseases (ILDs) with a progressive</w:t>
      </w:r>
      <w:r w:rsidR="00F0246C" w:rsidRPr="00060B29">
        <w:t xml:space="preserve"> phenotype</w:t>
      </w:r>
      <w:r w:rsidR="006529E1" w:rsidRPr="00060B29">
        <w:t xml:space="preserve">." </w:t>
      </w:r>
      <w:bookmarkStart w:id="5" w:name="_Hlk61435712"/>
      <w:r w:rsidR="00614FAE" w:rsidRPr="00060B29">
        <w:t xml:space="preserve">The ACM </w:t>
      </w:r>
      <w:r w:rsidR="0075237D" w:rsidRPr="00060B29">
        <w:t>agreed that chronic fibrosing ILD with a progressive phenotype is a recognised clinical entity and that a decrease in FVC correlates to an increase in mortality rates and that this is an appropriate marker for surrogate endpoints</w:t>
      </w:r>
      <w:bookmarkEnd w:id="4"/>
      <w:bookmarkEnd w:id="5"/>
      <w:r w:rsidR="0042134E" w:rsidRPr="00060B29">
        <w:t>.</w:t>
      </w:r>
    </w:p>
    <w:p w:rsidR="00D31EBA" w:rsidRPr="00060B29" w:rsidRDefault="00D31EBA" w:rsidP="00B15687">
      <w:pPr>
        <w:pStyle w:val="3-BodyText"/>
      </w:pPr>
      <w:r w:rsidRPr="00060B29">
        <w:lastRenderedPageBreak/>
        <w:t>Nintedanib is</w:t>
      </w:r>
      <w:r w:rsidR="00F91A9D" w:rsidRPr="00060B29">
        <w:t xml:space="preserve"> also</w:t>
      </w:r>
      <w:r w:rsidRPr="00060B29">
        <w:t xml:space="preserve"> TGA registered for the following therapeutic indications:</w:t>
      </w:r>
    </w:p>
    <w:p w:rsidR="00D31EBA" w:rsidRPr="00060B29" w:rsidRDefault="00D31EBA" w:rsidP="00B15687">
      <w:pPr>
        <w:numPr>
          <w:ilvl w:val="0"/>
          <w:numId w:val="7"/>
        </w:numPr>
        <w:spacing w:after="120"/>
        <w:rPr>
          <w:rFonts w:asciiTheme="minorHAnsi" w:hAnsiTheme="minorHAnsi"/>
          <w:snapToGrid w:val="0"/>
        </w:rPr>
      </w:pPr>
      <w:r w:rsidRPr="00060B29">
        <w:rPr>
          <w:rFonts w:asciiTheme="minorHAnsi" w:hAnsiTheme="minorHAnsi"/>
          <w:snapToGrid w:val="0"/>
        </w:rPr>
        <w:t>In combination with docetaxel for the treatment of patients with locally advanced, metastatic or recurrent non-small cell lung cancer of adenocarcinoma tumour histology after failure of first line chemotherapy (from 1 September 2015)</w:t>
      </w:r>
    </w:p>
    <w:p w:rsidR="00D31EBA" w:rsidRPr="00060B29" w:rsidRDefault="00D31EBA" w:rsidP="00B15687">
      <w:pPr>
        <w:numPr>
          <w:ilvl w:val="0"/>
          <w:numId w:val="7"/>
        </w:numPr>
        <w:spacing w:after="120"/>
        <w:rPr>
          <w:rFonts w:asciiTheme="minorHAnsi" w:hAnsiTheme="minorHAnsi"/>
          <w:snapToGrid w:val="0"/>
        </w:rPr>
      </w:pPr>
      <w:r w:rsidRPr="00060B29">
        <w:rPr>
          <w:rFonts w:asciiTheme="minorHAnsi" w:hAnsiTheme="minorHAnsi"/>
          <w:snapToGrid w:val="0"/>
        </w:rPr>
        <w:t xml:space="preserve">For the treatment of </w:t>
      </w:r>
      <w:r w:rsidR="008A25C7" w:rsidRPr="00060B29">
        <w:rPr>
          <w:rFonts w:asciiTheme="minorHAnsi" w:hAnsiTheme="minorHAnsi"/>
          <w:snapToGrid w:val="0"/>
        </w:rPr>
        <w:t>i</w:t>
      </w:r>
      <w:r w:rsidRPr="00060B29">
        <w:rPr>
          <w:rFonts w:asciiTheme="minorHAnsi" w:hAnsiTheme="minorHAnsi"/>
          <w:snapToGrid w:val="0"/>
        </w:rPr>
        <w:t xml:space="preserve">diopathic </w:t>
      </w:r>
      <w:r w:rsidR="008A25C7" w:rsidRPr="00060B29">
        <w:rPr>
          <w:rFonts w:asciiTheme="minorHAnsi" w:hAnsiTheme="minorHAnsi"/>
          <w:snapToGrid w:val="0"/>
        </w:rPr>
        <w:t>p</w:t>
      </w:r>
      <w:r w:rsidRPr="00060B29">
        <w:rPr>
          <w:rFonts w:asciiTheme="minorHAnsi" w:hAnsiTheme="minorHAnsi"/>
          <w:snapToGrid w:val="0"/>
        </w:rPr>
        <w:t xml:space="preserve">ulmonary </w:t>
      </w:r>
      <w:r w:rsidR="008A25C7" w:rsidRPr="00060B29">
        <w:rPr>
          <w:rFonts w:asciiTheme="minorHAnsi" w:hAnsiTheme="minorHAnsi"/>
          <w:snapToGrid w:val="0"/>
        </w:rPr>
        <w:t>f</w:t>
      </w:r>
      <w:r w:rsidRPr="00060B29">
        <w:rPr>
          <w:rFonts w:asciiTheme="minorHAnsi" w:hAnsiTheme="minorHAnsi"/>
          <w:snapToGrid w:val="0"/>
        </w:rPr>
        <w:t>ibrosis (IPF) (from 1 September 2015)</w:t>
      </w:r>
    </w:p>
    <w:p w:rsidR="00D31EBA" w:rsidRPr="00060B29" w:rsidRDefault="00D31EBA" w:rsidP="00B15687">
      <w:pPr>
        <w:numPr>
          <w:ilvl w:val="0"/>
          <w:numId w:val="7"/>
        </w:numPr>
        <w:spacing w:after="120"/>
        <w:rPr>
          <w:rFonts w:asciiTheme="minorHAnsi" w:hAnsiTheme="minorHAnsi"/>
          <w:snapToGrid w:val="0"/>
        </w:rPr>
      </w:pPr>
      <w:r w:rsidRPr="00060B29">
        <w:rPr>
          <w:rFonts w:asciiTheme="minorHAnsi" w:hAnsiTheme="minorHAnsi"/>
          <w:snapToGrid w:val="0"/>
        </w:rPr>
        <w:t>For slowing the rate of decline in pulmonary function in patients with systemic sclerosis-associated interstitial lung disease (SSc-ILD) (from 3 Apr 2020).</w:t>
      </w:r>
    </w:p>
    <w:p w:rsidR="00D31EBA" w:rsidRPr="00060B29" w:rsidRDefault="00D31EBA" w:rsidP="00B15687">
      <w:pPr>
        <w:pStyle w:val="3-BodyText"/>
      </w:pPr>
      <w:r w:rsidRPr="00060B29">
        <w:t xml:space="preserve">On 9 March 2020, the </w:t>
      </w:r>
      <w:bookmarkStart w:id="6" w:name="_Hlk57645975"/>
      <w:r w:rsidRPr="00060B29">
        <w:t>U.S. Food &amp; Drug Administration</w:t>
      </w:r>
      <w:bookmarkEnd w:id="6"/>
      <w:r w:rsidRPr="00060B29">
        <w:t xml:space="preserve"> (FDA) approved the addition of a new indication: treatment for chronic fibrosing interstitial lung diseases with a progressive phenotype.”</w:t>
      </w:r>
      <w:bookmarkStart w:id="7" w:name="_Hlk58439861"/>
      <w:r w:rsidR="00075F2E">
        <w:t xml:space="preserve"> </w:t>
      </w:r>
      <w:r w:rsidRPr="00060B29">
        <w:t xml:space="preserve">On 28 May 2020, </w:t>
      </w:r>
      <w:bookmarkStart w:id="8" w:name="_Hlk57645900"/>
      <w:r w:rsidRPr="00060B29">
        <w:t xml:space="preserve">the Committee for Medicinal Products for Human Use (CHMP), the European Medicines Agency's (EMA) committee responsible for human medicines, </w:t>
      </w:r>
      <w:bookmarkEnd w:id="8"/>
      <w:r w:rsidRPr="00060B29">
        <w:t>adopted a new indication for nintedanib: in adults for the treatment of other chronic fibrosing interstitial lung diseases with a progressive phenotype.</w:t>
      </w:r>
    </w:p>
    <w:p w:rsidR="00D31EBA" w:rsidRPr="00060B29" w:rsidRDefault="00D31EBA" w:rsidP="00B15687">
      <w:pPr>
        <w:pStyle w:val="4-SubsectionHeading"/>
        <w:keepNext w:val="0"/>
      </w:pPr>
      <w:bookmarkStart w:id="9" w:name="_Toc22897639"/>
      <w:bookmarkStart w:id="10" w:name="_Toc58872433"/>
      <w:bookmarkStart w:id="11" w:name="_Hlk24117209"/>
      <w:bookmarkEnd w:id="7"/>
      <w:r w:rsidRPr="00060B29">
        <w:t>Previous PBAC consideration</w:t>
      </w:r>
      <w:bookmarkEnd w:id="9"/>
      <w:bookmarkEnd w:id="10"/>
    </w:p>
    <w:bookmarkEnd w:id="11"/>
    <w:p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rPr>
        <w:t xml:space="preserve">There is no previous PBAC consideration of nintedanib for the proposed indication. There are however, previous PBAC considerations of nintedanib for other </w:t>
      </w:r>
      <w:r w:rsidR="00B3443B" w:rsidRPr="00060B29">
        <w:rPr>
          <w:rFonts w:asciiTheme="minorHAnsi" w:hAnsiTheme="minorHAnsi"/>
        </w:rPr>
        <w:t xml:space="preserve">related </w:t>
      </w:r>
      <w:r w:rsidRPr="00060B29">
        <w:rPr>
          <w:rFonts w:asciiTheme="minorHAnsi" w:hAnsiTheme="minorHAnsi"/>
        </w:rPr>
        <w:t>therapeutic indications.</w:t>
      </w:r>
    </w:p>
    <w:p w:rsidR="00D31EBA" w:rsidRPr="00060B29" w:rsidRDefault="00D31EBA" w:rsidP="00B15687">
      <w:pPr>
        <w:pStyle w:val="3-BodyText"/>
      </w:pPr>
      <w:r w:rsidRPr="00060B29">
        <w:t>The PBAC considered nintedanib (150 mg</w:t>
      </w:r>
      <w:r w:rsidR="00730BBE" w:rsidRPr="00060B29">
        <w:t xml:space="preserve"> and</w:t>
      </w:r>
      <w:r w:rsidRPr="00060B29">
        <w:t xml:space="preserve"> 100 mg capsules) for the treatment of patients with IPF in March 2015, November 2015</w:t>
      </w:r>
      <w:r w:rsidR="00F77D66" w:rsidRPr="00060B29">
        <w:t>,</w:t>
      </w:r>
      <w:r w:rsidRPr="00060B29">
        <w:t xml:space="preserve"> and November 2016. The PBAC, at </w:t>
      </w:r>
      <w:r w:rsidR="00730BBE" w:rsidRPr="00060B29">
        <w:t xml:space="preserve">its </w:t>
      </w:r>
      <w:r w:rsidRPr="00060B29">
        <w:t xml:space="preserve">November 2016 </w:t>
      </w:r>
      <w:r w:rsidR="00E11D31" w:rsidRPr="00060B29">
        <w:t>m</w:t>
      </w:r>
      <w:r w:rsidRPr="00060B29">
        <w:t>eeting, was satisfied that nintedanib “provides, for some patients, a significant improvement in effectiveness compared with best supportive care (BSC)” and recommended the listing of nintedanib for the treatment of IPF under certain conditions (para. 7.1, Public Summary Document</w:t>
      </w:r>
      <w:r w:rsidR="00762CF6" w:rsidRPr="00060B29">
        <w:t xml:space="preserve"> (PSD)</w:t>
      </w:r>
      <w:r w:rsidRPr="00060B29">
        <w:t xml:space="preserve">, </w:t>
      </w:r>
      <w:r w:rsidR="00FB784F" w:rsidRPr="00060B29">
        <w:t>n</w:t>
      </w:r>
      <w:r w:rsidRPr="00060B29">
        <w:t xml:space="preserve">intedanib, November 2016 </w:t>
      </w:r>
      <w:r w:rsidR="00E11D31" w:rsidRPr="00060B29">
        <w:t>m</w:t>
      </w:r>
      <w:r w:rsidRPr="00060B29">
        <w:t xml:space="preserve">eeting). </w:t>
      </w:r>
      <w:r w:rsidR="0000159D" w:rsidRPr="00060B29">
        <w:t>The PBAC also recommended a Risk</w:t>
      </w:r>
      <w:r w:rsidRPr="00060B29">
        <w:t xml:space="preserve"> Sharing Arrangement (RSA), which included a financial cap on the Government expenditure based on estimates of uptake rates in the submission and a </w:t>
      </w:r>
      <w:r w:rsidR="006C3A17">
        <w:rPr>
          <w:noProof/>
          <w:color w:val="000000"/>
          <w:highlight w:val="black"/>
        </w:rPr>
        <w:t>''''''''</w:t>
      </w:r>
      <w:r w:rsidRPr="00060B29">
        <w:t xml:space="preserve">% rebate </w:t>
      </w:r>
      <w:r w:rsidR="00730BBE" w:rsidRPr="00060B29">
        <w:t>on</w:t>
      </w:r>
      <w:r w:rsidRPr="00060B29">
        <w:t xml:space="preserve"> any Government expenditure beyond the financial cap (para. 6.49, </w:t>
      </w:r>
      <w:r w:rsidR="00762CF6" w:rsidRPr="00060B29">
        <w:t>PSD</w:t>
      </w:r>
      <w:r w:rsidRPr="00060B29">
        <w:t xml:space="preserve">, Nintedanib, November 2016 </w:t>
      </w:r>
      <w:r w:rsidR="00E11D31" w:rsidRPr="00060B29">
        <w:t>m</w:t>
      </w:r>
      <w:r w:rsidRPr="00060B29">
        <w:t xml:space="preserve">eeting). Nintedanib </w:t>
      </w:r>
      <w:r w:rsidR="00076480" w:rsidRPr="00060B29">
        <w:t>was</w:t>
      </w:r>
      <w:r w:rsidRPr="00060B29">
        <w:t xml:space="preserve"> listed on the Pharmaceutic Benefits Scheme (PBS) </w:t>
      </w:r>
      <w:r w:rsidR="00076480" w:rsidRPr="00060B29">
        <w:t>on</w:t>
      </w:r>
      <w:r w:rsidRPr="00060B29">
        <w:t xml:space="preserve"> 1 May 2017.</w:t>
      </w:r>
    </w:p>
    <w:p w:rsidR="00D31EBA" w:rsidRPr="00060B29" w:rsidRDefault="00D31EBA" w:rsidP="00B15687">
      <w:pPr>
        <w:pStyle w:val="3-BodyText"/>
      </w:pPr>
      <w:r w:rsidRPr="00060B29">
        <w:t>The PBAC also considered pirfenidone (267 mg capsule), an immunosuppressant, for the treatment of IPF in November 2015, March</w:t>
      </w:r>
      <w:r w:rsidR="00730BBE" w:rsidRPr="00060B29">
        <w:t xml:space="preserve"> 2016,</w:t>
      </w:r>
      <w:r w:rsidRPr="00060B29">
        <w:t xml:space="preserve"> November 2016</w:t>
      </w:r>
      <w:r w:rsidR="00F77D66" w:rsidRPr="00060B29">
        <w:t>,</w:t>
      </w:r>
      <w:r w:rsidRPr="00060B29">
        <w:t xml:space="preserve"> and March 2018</w:t>
      </w:r>
      <w:r w:rsidR="00152D39" w:rsidRPr="00060B29">
        <w:t>.</w:t>
      </w:r>
      <w:r w:rsidRPr="00060B29">
        <w:t xml:space="preserve"> </w:t>
      </w:r>
      <w:r w:rsidR="009D1408">
        <w:t>I</w:t>
      </w:r>
      <w:r w:rsidRPr="00060B29">
        <w:t>n December 2016</w:t>
      </w:r>
      <w:r w:rsidR="009D1408">
        <w:t xml:space="preserve"> the PBAC</w:t>
      </w:r>
      <w:r w:rsidRPr="00060B29">
        <w:t xml:space="preserve"> recommended the listing of pirfenidone for the treatment of IPF on a cost-minimisation basis to nintedanib. </w:t>
      </w:r>
      <w:bookmarkStart w:id="12" w:name="_Hlk57724086"/>
      <w:r w:rsidRPr="00060B29">
        <w:t>Pirfenidone was to be included withi</w:t>
      </w:r>
      <w:r w:rsidR="0000159D" w:rsidRPr="00060B29">
        <w:t>n a common financial cap with nin</w:t>
      </w:r>
      <w:r w:rsidRPr="00060B29">
        <w:t xml:space="preserve">tedanib (Addendum, </w:t>
      </w:r>
      <w:r w:rsidR="004C170A" w:rsidRPr="00060B29">
        <w:t>PSD</w:t>
      </w:r>
      <w:r w:rsidRPr="00060B29">
        <w:t xml:space="preserve">, Pirfenidone, November 2016 </w:t>
      </w:r>
      <w:r w:rsidR="00E11D31" w:rsidRPr="00060B29">
        <w:t>m</w:t>
      </w:r>
      <w:r w:rsidRPr="00060B29">
        <w:t xml:space="preserve">eeting). </w:t>
      </w:r>
      <w:bookmarkEnd w:id="12"/>
      <w:r w:rsidRPr="00060B29">
        <w:t>Pirfenidone 267</w:t>
      </w:r>
      <w:r w:rsidR="009D1408">
        <w:t> </w:t>
      </w:r>
      <w:r w:rsidRPr="00060B29">
        <w:t>mg capsule</w:t>
      </w:r>
      <w:r w:rsidR="005F7D80" w:rsidRPr="00060B29">
        <w:t>s</w:t>
      </w:r>
      <w:r w:rsidRPr="00060B29">
        <w:t xml:space="preserve"> </w:t>
      </w:r>
      <w:r w:rsidR="00076480" w:rsidRPr="00060B29">
        <w:t>w</w:t>
      </w:r>
      <w:r w:rsidR="005F7D80" w:rsidRPr="00060B29">
        <w:t>ere</w:t>
      </w:r>
      <w:r w:rsidRPr="00060B29">
        <w:t xml:space="preserve"> listed on the PBS </w:t>
      </w:r>
      <w:r w:rsidR="00076480" w:rsidRPr="00060B29">
        <w:t>on</w:t>
      </w:r>
      <w:r w:rsidRPr="00060B29">
        <w:t xml:space="preserve"> 1 July 2017</w:t>
      </w:r>
      <w:r w:rsidR="00F77D66" w:rsidRPr="00060B29">
        <w:t>,</w:t>
      </w:r>
      <w:r w:rsidR="004C77D5" w:rsidRPr="00060B29">
        <w:t xml:space="preserve"> and </w:t>
      </w:r>
      <w:r w:rsidRPr="00060B29">
        <w:t>pirfenidone</w:t>
      </w:r>
      <w:r w:rsidR="004C77D5" w:rsidRPr="00060B29">
        <w:t xml:space="preserve"> 267 mg </w:t>
      </w:r>
      <w:r w:rsidR="005F7D80" w:rsidRPr="00060B29">
        <w:t xml:space="preserve">and </w:t>
      </w:r>
      <w:r w:rsidRPr="00060B29">
        <w:t>801 mg tablet</w:t>
      </w:r>
      <w:r w:rsidR="005F7D80" w:rsidRPr="00060B29">
        <w:t>s</w:t>
      </w:r>
      <w:r w:rsidR="004C77D5" w:rsidRPr="00060B29">
        <w:t xml:space="preserve"> </w:t>
      </w:r>
      <w:r w:rsidR="00BB515E" w:rsidRPr="00060B29">
        <w:t>w</w:t>
      </w:r>
      <w:r w:rsidR="005F7D80" w:rsidRPr="00060B29">
        <w:t>ere</w:t>
      </w:r>
      <w:r w:rsidR="00BB515E" w:rsidRPr="00060B29">
        <w:t xml:space="preserve"> listed </w:t>
      </w:r>
      <w:r w:rsidR="005F7D80" w:rsidRPr="00060B29">
        <w:t xml:space="preserve">on 1 </w:t>
      </w:r>
      <w:r w:rsidR="00BB515E" w:rsidRPr="00060B29">
        <w:t>August 2018.</w:t>
      </w:r>
      <w:bookmarkStart w:id="13" w:name="_Hlk57747855"/>
    </w:p>
    <w:p w:rsidR="00D31EBA" w:rsidRPr="00060B29" w:rsidRDefault="00D31EBA" w:rsidP="00B15687">
      <w:pPr>
        <w:pStyle w:val="2-SectionHeading"/>
        <w:spacing w:after="240"/>
      </w:pPr>
      <w:bookmarkStart w:id="14" w:name="_Toc58872434"/>
      <w:bookmarkEnd w:id="13"/>
      <w:r w:rsidRPr="00060B29">
        <w:t>Requested listing</w:t>
      </w:r>
      <w:bookmarkEnd w:id="14"/>
    </w:p>
    <w:tbl>
      <w:tblPr>
        <w:tblW w:w="5000" w:type="pct"/>
        <w:tblInd w:w="28" w:type="dxa"/>
        <w:tblCellMar>
          <w:left w:w="28" w:type="dxa"/>
          <w:right w:w="28" w:type="dxa"/>
        </w:tblCellMar>
        <w:tblLook w:val="0000" w:firstRow="0" w:lastRow="0" w:firstColumn="0" w:lastColumn="0" w:noHBand="0" w:noVBand="0"/>
      </w:tblPr>
      <w:tblGrid>
        <w:gridCol w:w="3374"/>
        <w:gridCol w:w="1134"/>
        <w:gridCol w:w="709"/>
        <w:gridCol w:w="2164"/>
        <w:gridCol w:w="103"/>
        <w:gridCol w:w="1542"/>
      </w:tblGrid>
      <w:tr w:rsidR="00D31EBA" w:rsidRPr="00BA3EF2" w:rsidTr="001851D5">
        <w:trPr>
          <w:cantSplit/>
          <w:trHeight w:val="463"/>
        </w:trPr>
        <w:tc>
          <w:tcPr>
            <w:tcW w:w="1869" w:type="pct"/>
            <w:tcBorders>
              <w:top w:val="single" w:sz="4" w:space="0" w:color="auto"/>
              <w:bottom w:val="single" w:sz="4" w:space="0" w:color="auto"/>
            </w:tcBorders>
            <w:vAlign w:val="center"/>
          </w:tcPr>
          <w:p w:rsidR="00D31EBA" w:rsidRPr="00BA3EF2" w:rsidRDefault="001851D5" w:rsidP="00B15687">
            <w:pPr>
              <w:jc w:val="left"/>
              <w:rPr>
                <w:rFonts w:ascii="Arial Narrow" w:hAnsi="Arial Narrow"/>
                <w:b/>
                <w:sz w:val="20"/>
                <w:szCs w:val="18"/>
              </w:rPr>
            </w:pPr>
            <w:r w:rsidRPr="00BA3EF2">
              <w:rPr>
                <w:rFonts w:ascii="Arial Narrow" w:hAnsi="Arial Narrow"/>
                <w:b/>
                <w:sz w:val="20"/>
                <w:szCs w:val="18"/>
              </w:rPr>
              <w:t>MEDICINAL PRODUCT</w:t>
            </w:r>
          </w:p>
          <w:p w:rsidR="001851D5" w:rsidRPr="00BA3EF2" w:rsidRDefault="001851D5" w:rsidP="00B15687">
            <w:pPr>
              <w:jc w:val="left"/>
              <w:rPr>
                <w:rFonts w:ascii="Arial Narrow" w:hAnsi="Arial Narrow"/>
                <w:b/>
                <w:sz w:val="20"/>
                <w:szCs w:val="18"/>
              </w:rPr>
            </w:pPr>
            <w:r w:rsidRPr="00BA3EF2">
              <w:rPr>
                <w:rFonts w:ascii="Arial Narrow" w:hAnsi="Arial Narrow"/>
                <w:b/>
                <w:sz w:val="20"/>
                <w:szCs w:val="18"/>
              </w:rPr>
              <w:t>medicinal product pack</w:t>
            </w:r>
          </w:p>
        </w:tc>
        <w:tc>
          <w:tcPr>
            <w:tcW w:w="628" w:type="pct"/>
            <w:tcBorders>
              <w:top w:val="single" w:sz="4" w:space="0" w:color="auto"/>
              <w:bottom w:val="single" w:sz="4" w:space="0" w:color="auto"/>
            </w:tcBorders>
            <w:vAlign w:val="center"/>
          </w:tcPr>
          <w:p w:rsidR="00D31EBA" w:rsidRPr="00BA3EF2" w:rsidRDefault="00D31EBA" w:rsidP="00B15687">
            <w:pPr>
              <w:jc w:val="center"/>
              <w:rPr>
                <w:rFonts w:ascii="Arial Narrow" w:hAnsi="Arial Narrow"/>
                <w:b/>
                <w:sz w:val="20"/>
                <w:szCs w:val="18"/>
              </w:rPr>
            </w:pPr>
            <w:r w:rsidRPr="00BA3EF2">
              <w:rPr>
                <w:rFonts w:ascii="Arial Narrow" w:hAnsi="Arial Narrow"/>
                <w:b/>
                <w:sz w:val="20"/>
                <w:szCs w:val="18"/>
              </w:rPr>
              <w:t>Max.</w:t>
            </w:r>
          </w:p>
          <w:p w:rsidR="00D31EBA" w:rsidRPr="00BA3EF2" w:rsidRDefault="00D31EBA" w:rsidP="00B15687">
            <w:pPr>
              <w:jc w:val="center"/>
              <w:rPr>
                <w:rFonts w:ascii="Arial Narrow" w:hAnsi="Arial Narrow"/>
                <w:b/>
                <w:sz w:val="20"/>
                <w:szCs w:val="18"/>
              </w:rPr>
            </w:pPr>
            <w:r w:rsidRPr="00BA3EF2">
              <w:rPr>
                <w:rFonts w:ascii="Arial Narrow" w:hAnsi="Arial Narrow"/>
                <w:b/>
                <w:sz w:val="20"/>
                <w:szCs w:val="18"/>
              </w:rPr>
              <w:t>Qty</w:t>
            </w:r>
            <w:r w:rsidR="001851D5" w:rsidRPr="00BA3EF2">
              <w:rPr>
                <w:rFonts w:ascii="Arial Narrow" w:hAnsi="Arial Narrow"/>
                <w:b/>
                <w:sz w:val="20"/>
                <w:szCs w:val="18"/>
              </w:rPr>
              <w:t xml:space="preserve"> (packs)</w:t>
            </w:r>
          </w:p>
        </w:tc>
        <w:tc>
          <w:tcPr>
            <w:tcW w:w="393" w:type="pct"/>
            <w:tcBorders>
              <w:top w:val="single" w:sz="4" w:space="0" w:color="auto"/>
              <w:bottom w:val="single" w:sz="4" w:space="0" w:color="auto"/>
            </w:tcBorders>
            <w:vAlign w:val="center"/>
          </w:tcPr>
          <w:p w:rsidR="00D31EBA" w:rsidRPr="00BA3EF2" w:rsidRDefault="00D31EBA" w:rsidP="00B15687">
            <w:pPr>
              <w:jc w:val="center"/>
              <w:rPr>
                <w:rFonts w:ascii="Arial Narrow" w:hAnsi="Arial Narrow"/>
                <w:b/>
                <w:sz w:val="20"/>
                <w:szCs w:val="18"/>
              </w:rPr>
            </w:pPr>
            <w:r w:rsidRPr="00BA3EF2">
              <w:rPr>
                <w:rFonts w:ascii="Arial Narrow" w:hAnsi="Arial Narrow" w:cs="Times New Roman"/>
                <w:b/>
                <w:sz w:val="20"/>
                <w:szCs w:val="18"/>
              </w:rPr>
              <w:t>№</w:t>
            </w:r>
            <w:r w:rsidRPr="00BA3EF2">
              <w:rPr>
                <w:rFonts w:ascii="Arial Narrow" w:hAnsi="Arial Narrow"/>
                <w:b/>
                <w:sz w:val="20"/>
                <w:szCs w:val="18"/>
              </w:rPr>
              <w:t>.of</w:t>
            </w:r>
          </w:p>
          <w:p w:rsidR="00D31EBA" w:rsidRPr="00BA3EF2" w:rsidRDefault="00D31EBA" w:rsidP="00B15687">
            <w:pPr>
              <w:jc w:val="center"/>
              <w:rPr>
                <w:rFonts w:ascii="Arial Narrow" w:hAnsi="Arial Narrow"/>
                <w:b/>
                <w:sz w:val="20"/>
                <w:szCs w:val="18"/>
              </w:rPr>
            </w:pPr>
            <w:r w:rsidRPr="00BA3EF2">
              <w:rPr>
                <w:rFonts w:ascii="Arial Narrow" w:hAnsi="Arial Narrow"/>
                <w:b/>
                <w:sz w:val="20"/>
                <w:szCs w:val="18"/>
              </w:rPr>
              <w:t>Rpts</w:t>
            </w:r>
          </w:p>
        </w:tc>
        <w:tc>
          <w:tcPr>
            <w:tcW w:w="1199" w:type="pct"/>
            <w:tcBorders>
              <w:top w:val="single" w:sz="4" w:space="0" w:color="auto"/>
              <w:bottom w:val="single" w:sz="4" w:space="0" w:color="auto"/>
            </w:tcBorders>
            <w:vAlign w:val="center"/>
          </w:tcPr>
          <w:p w:rsidR="00D31EBA" w:rsidRPr="00BA3EF2" w:rsidRDefault="00D31EBA" w:rsidP="00B15687">
            <w:pPr>
              <w:jc w:val="center"/>
              <w:rPr>
                <w:rFonts w:ascii="Arial Narrow" w:hAnsi="Arial Narrow"/>
                <w:b/>
                <w:sz w:val="20"/>
                <w:szCs w:val="18"/>
              </w:rPr>
            </w:pPr>
            <w:r w:rsidRPr="00BA3EF2">
              <w:rPr>
                <w:rFonts w:ascii="Arial Narrow" w:hAnsi="Arial Narrow"/>
                <w:b/>
                <w:sz w:val="20"/>
                <w:szCs w:val="18"/>
              </w:rPr>
              <w:t>Dispensed Price for Max. Qty</w:t>
            </w:r>
          </w:p>
        </w:tc>
        <w:tc>
          <w:tcPr>
            <w:tcW w:w="911" w:type="pct"/>
            <w:gridSpan w:val="2"/>
            <w:tcBorders>
              <w:top w:val="single" w:sz="4" w:space="0" w:color="auto"/>
              <w:bottom w:val="single" w:sz="4" w:space="0" w:color="auto"/>
            </w:tcBorders>
            <w:vAlign w:val="center"/>
          </w:tcPr>
          <w:p w:rsidR="00D31EBA" w:rsidRPr="00BA3EF2" w:rsidRDefault="001851D5" w:rsidP="00B15687">
            <w:pPr>
              <w:jc w:val="center"/>
              <w:rPr>
                <w:rFonts w:ascii="Arial Narrow" w:hAnsi="Arial Narrow"/>
                <w:b/>
                <w:sz w:val="20"/>
                <w:szCs w:val="18"/>
              </w:rPr>
            </w:pPr>
            <w:r w:rsidRPr="00BA3EF2">
              <w:rPr>
                <w:rFonts w:ascii="Arial Narrow" w:hAnsi="Arial Narrow"/>
                <w:b/>
                <w:sz w:val="20"/>
                <w:szCs w:val="18"/>
              </w:rPr>
              <w:t>Available brands</w:t>
            </w:r>
          </w:p>
        </w:tc>
      </w:tr>
      <w:tr w:rsidR="00D31EBA" w:rsidRPr="00BA3EF2" w:rsidTr="001851D5">
        <w:trPr>
          <w:cantSplit/>
          <w:trHeight w:val="227"/>
        </w:trPr>
        <w:tc>
          <w:tcPr>
            <w:tcW w:w="1869" w:type="pct"/>
            <w:tcBorders>
              <w:top w:val="single" w:sz="4" w:space="0" w:color="auto"/>
            </w:tcBorders>
            <w:vAlign w:val="center"/>
          </w:tcPr>
          <w:p w:rsidR="00D31EBA" w:rsidRPr="00BA3EF2" w:rsidRDefault="00D31EBA" w:rsidP="00B15687">
            <w:pPr>
              <w:jc w:val="left"/>
              <w:rPr>
                <w:rFonts w:ascii="Arial Narrow" w:hAnsi="Arial Narrow"/>
                <w:smallCaps/>
                <w:sz w:val="20"/>
                <w:szCs w:val="18"/>
              </w:rPr>
            </w:pPr>
            <w:r w:rsidRPr="00BA3EF2">
              <w:rPr>
                <w:rFonts w:ascii="Arial Narrow" w:hAnsi="Arial Narrow"/>
                <w:smallCaps/>
                <w:sz w:val="20"/>
                <w:szCs w:val="18"/>
              </w:rPr>
              <w:t>NINTEDANIB</w:t>
            </w:r>
          </w:p>
        </w:tc>
        <w:tc>
          <w:tcPr>
            <w:tcW w:w="628" w:type="pct"/>
            <w:tcBorders>
              <w:top w:val="single" w:sz="4" w:space="0" w:color="auto"/>
            </w:tcBorders>
            <w:vAlign w:val="center"/>
          </w:tcPr>
          <w:p w:rsidR="00D31EBA" w:rsidRPr="00BA3EF2" w:rsidRDefault="00D31EBA" w:rsidP="00B15687">
            <w:pPr>
              <w:jc w:val="center"/>
              <w:rPr>
                <w:rFonts w:ascii="Arial Narrow" w:hAnsi="Arial Narrow"/>
                <w:sz w:val="20"/>
                <w:szCs w:val="18"/>
              </w:rPr>
            </w:pPr>
          </w:p>
        </w:tc>
        <w:tc>
          <w:tcPr>
            <w:tcW w:w="393" w:type="pct"/>
            <w:tcBorders>
              <w:top w:val="single" w:sz="4" w:space="0" w:color="auto"/>
            </w:tcBorders>
            <w:vAlign w:val="center"/>
          </w:tcPr>
          <w:p w:rsidR="00D31EBA" w:rsidRPr="00BA3EF2" w:rsidRDefault="00D31EBA" w:rsidP="00B15687">
            <w:pPr>
              <w:jc w:val="center"/>
              <w:rPr>
                <w:rFonts w:ascii="Arial Narrow" w:hAnsi="Arial Narrow"/>
                <w:sz w:val="20"/>
                <w:szCs w:val="18"/>
              </w:rPr>
            </w:pPr>
          </w:p>
        </w:tc>
        <w:tc>
          <w:tcPr>
            <w:tcW w:w="1199" w:type="pct"/>
            <w:tcBorders>
              <w:top w:val="single" w:sz="4" w:space="0" w:color="auto"/>
            </w:tcBorders>
            <w:vAlign w:val="center"/>
          </w:tcPr>
          <w:p w:rsidR="00D31EBA" w:rsidRPr="00BA3EF2" w:rsidRDefault="00D31EBA" w:rsidP="00B15687">
            <w:pPr>
              <w:jc w:val="center"/>
              <w:rPr>
                <w:rFonts w:ascii="Arial Narrow" w:hAnsi="Arial Narrow"/>
                <w:sz w:val="20"/>
                <w:szCs w:val="18"/>
              </w:rPr>
            </w:pPr>
          </w:p>
        </w:tc>
        <w:tc>
          <w:tcPr>
            <w:tcW w:w="57" w:type="pct"/>
            <w:tcBorders>
              <w:top w:val="single" w:sz="4" w:space="0" w:color="auto"/>
            </w:tcBorders>
            <w:vAlign w:val="center"/>
          </w:tcPr>
          <w:p w:rsidR="00D31EBA" w:rsidRPr="00BA3EF2" w:rsidRDefault="00D31EBA" w:rsidP="00B15687">
            <w:pPr>
              <w:jc w:val="center"/>
              <w:rPr>
                <w:rFonts w:ascii="Arial Narrow" w:hAnsi="Arial Narrow"/>
                <w:sz w:val="20"/>
                <w:szCs w:val="18"/>
              </w:rPr>
            </w:pPr>
          </w:p>
        </w:tc>
        <w:tc>
          <w:tcPr>
            <w:tcW w:w="854" w:type="pct"/>
            <w:tcBorders>
              <w:top w:val="single" w:sz="4" w:space="0" w:color="auto"/>
            </w:tcBorders>
            <w:vAlign w:val="center"/>
          </w:tcPr>
          <w:p w:rsidR="00D31EBA" w:rsidRPr="00BA3EF2" w:rsidRDefault="00D31EBA" w:rsidP="00B15687">
            <w:pPr>
              <w:jc w:val="center"/>
              <w:rPr>
                <w:rFonts w:ascii="Arial Narrow" w:hAnsi="Arial Narrow"/>
                <w:sz w:val="20"/>
                <w:szCs w:val="18"/>
              </w:rPr>
            </w:pPr>
          </w:p>
        </w:tc>
      </w:tr>
      <w:tr w:rsidR="001851D5" w:rsidRPr="00BA3EF2" w:rsidTr="001851D5">
        <w:trPr>
          <w:cantSplit/>
          <w:trHeight w:val="20"/>
        </w:trPr>
        <w:tc>
          <w:tcPr>
            <w:tcW w:w="1869" w:type="pct"/>
            <w:tcBorders>
              <w:bottom w:val="single" w:sz="4" w:space="0" w:color="auto"/>
            </w:tcBorders>
            <w:vAlign w:val="center"/>
          </w:tcPr>
          <w:p w:rsidR="001851D5" w:rsidRPr="00BA3EF2" w:rsidRDefault="001851D5" w:rsidP="00B15687">
            <w:pPr>
              <w:jc w:val="left"/>
              <w:rPr>
                <w:rFonts w:ascii="Arial Narrow" w:hAnsi="Arial Narrow"/>
                <w:sz w:val="20"/>
                <w:szCs w:val="18"/>
              </w:rPr>
            </w:pPr>
            <w:r w:rsidRPr="00BA3EF2">
              <w:rPr>
                <w:rFonts w:ascii="Arial Narrow" w:hAnsi="Arial Narrow"/>
                <w:sz w:val="20"/>
                <w:szCs w:val="18"/>
              </w:rPr>
              <w:t>nintedanib 100 mg capsule, 60</w:t>
            </w:r>
          </w:p>
        </w:tc>
        <w:tc>
          <w:tcPr>
            <w:tcW w:w="628" w:type="pct"/>
            <w:tcBorders>
              <w:bottom w:val="single" w:sz="4" w:space="0" w:color="auto"/>
            </w:tcBorders>
            <w:vAlign w:val="center"/>
          </w:tcPr>
          <w:p w:rsidR="001851D5" w:rsidRPr="00BA3EF2" w:rsidRDefault="001851D5" w:rsidP="00B15687">
            <w:pPr>
              <w:jc w:val="center"/>
              <w:rPr>
                <w:rFonts w:ascii="Arial Narrow" w:hAnsi="Arial Narrow"/>
                <w:sz w:val="20"/>
                <w:szCs w:val="18"/>
              </w:rPr>
            </w:pPr>
            <w:r w:rsidRPr="00BA3EF2">
              <w:rPr>
                <w:rFonts w:ascii="Arial Narrow" w:hAnsi="Arial Narrow"/>
                <w:sz w:val="20"/>
                <w:szCs w:val="18"/>
              </w:rPr>
              <w:t>1</w:t>
            </w:r>
          </w:p>
        </w:tc>
        <w:tc>
          <w:tcPr>
            <w:tcW w:w="393" w:type="pct"/>
            <w:tcBorders>
              <w:bottom w:val="single" w:sz="4" w:space="0" w:color="auto"/>
            </w:tcBorders>
            <w:vAlign w:val="center"/>
          </w:tcPr>
          <w:p w:rsidR="001851D5" w:rsidRPr="00BA3EF2" w:rsidRDefault="001851D5" w:rsidP="00B15687">
            <w:pPr>
              <w:jc w:val="center"/>
              <w:rPr>
                <w:rFonts w:ascii="Arial Narrow" w:hAnsi="Arial Narrow"/>
                <w:sz w:val="20"/>
                <w:szCs w:val="18"/>
              </w:rPr>
            </w:pPr>
            <w:r w:rsidRPr="00BA3EF2">
              <w:rPr>
                <w:rFonts w:ascii="Arial Narrow" w:hAnsi="Arial Narrow"/>
                <w:sz w:val="20"/>
                <w:szCs w:val="18"/>
              </w:rPr>
              <w:t>5</w:t>
            </w:r>
          </w:p>
        </w:tc>
        <w:tc>
          <w:tcPr>
            <w:tcW w:w="1199" w:type="pct"/>
            <w:tcBorders>
              <w:bottom w:val="single" w:sz="4" w:space="0" w:color="auto"/>
            </w:tcBorders>
            <w:vAlign w:val="center"/>
          </w:tcPr>
          <w:p w:rsidR="001851D5" w:rsidRPr="00BA3EF2" w:rsidRDefault="001851D5" w:rsidP="00B15687">
            <w:pPr>
              <w:jc w:val="center"/>
              <w:rPr>
                <w:rFonts w:ascii="Arial Narrow" w:hAnsi="Arial Narrow"/>
                <w:i/>
                <w:iCs/>
                <w:sz w:val="20"/>
                <w:szCs w:val="18"/>
              </w:rPr>
            </w:pPr>
            <w:r w:rsidRPr="00BA3EF2">
              <w:rPr>
                <w:rFonts w:ascii="Arial Narrow" w:hAnsi="Arial Narrow"/>
                <w:sz w:val="20"/>
                <w:szCs w:val="18"/>
              </w:rPr>
              <w:t>$1,763.61 published price</w:t>
            </w:r>
          </w:p>
          <w:p w:rsidR="001851D5" w:rsidRPr="00BA3EF2" w:rsidRDefault="001851D5" w:rsidP="00B15687">
            <w:pPr>
              <w:jc w:val="center"/>
              <w:rPr>
                <w:rFonts w:ascii="Arial Narrow" w:hAnsi="Arial Narrow"/>
                <w:i/>
                <w:iCs/>
                <w:sz w:val="20"/>
                <w:szCs w:val="18"/>
              </w:rPr>
            </w:pPr>
            <w:r w:rsidRPr="00BA3EF2">
              <w:rPr>
                <w:rFonts w:ascii="Arial Narrow" w:hAnsi="Arial Narrow"/>
                <w:sz w:val="20"/>
                <w:szCs w:val="18"/>
              </w:rPr>
              <w:t>$</w:t>
            </w:r>
            <w:r w:rsidR="006C3A17">
              <w:rPr>
                <w:rFonts w:ascii="Arial Narrow" w:hAnsi="Arial Narrow"/>
                <w:noProof/>
                <w:color w:val="000000"/>
                <w:sz w:val="20"/>
                <w:szCs w:val="18"/>
                <w:highlight w:val="black"/>
              </w:rPr>
              <w:t>'''''''''''''''''''''</w:t>
            </w:r>
            <w:r w:rsidRPr="00BA3EF2">
              <w:rPr>
                <w:rFonts w:ascii="Arial Narrow" w:hAnsi="Arial Narrow"/>
                <w:sz w:val="20"/>
                <w:szCs w:val="18"/>
              </w:rPr>
              <w:t xml:space="preserve"> effective price</w:t>
            </w:r>
          </w:p>
        </w:tc>
        <w:tc>
          <w:tcPr>
            <w:tcW w:w="911" w:type="pct"/>
            <w:gridSpan w:val="2"/>
            <w:vMerge w:val="restart"/>
            <w:vAlign w:val="center"/>
          </w:tcPr>
          <w:p w:rsidR="001851D5" w:rsidRPr="00BA3EF2" w:rsidRDefault="001851D5" w:rsidP="00B15687">
            <w:pPr>
              <w:jc w:val="center"/>
              <w:rPr>
                <w:rFonts w:ascii="Arial Narrow" w:hAnsi="Arial Narrow"/>
                <w:sz w:val="20"/>
                <w:szCs w:val="18"/>
              </w:rPr>
            </w:pPr>
            <w:r w:rsidRPr="00BA3EF2">
              <w:rPr>
                <w:rFonts w:ascii="Arial Narrow" w:hAnsi="Arial Narrow"/>
                <w:sz w:val="20"/>
                <w:szCs w:val="18"/>
              </w:rPr>
              <w:t>Ofev</w:t>
            </w:r>
          </w:p>
          <w:p w:rsidR="001851D5" w:rsidRPr="00BA3EF2" w:rsidRDefault="001851D5" w:rsidP="00B15687">
            <w:pPr>
              <w:jc w:val="center"/>
              <w:rPr>
                <w:rFonts w:ascii="Arial Narrow" w:hAnsi="Arial Narrow"/>
                <w:sz w:val="20"/>
                <w:szCs w:val="18"/>
              </w:rPr>
            </w:pPr>
          </w:p>
        </w:tc>
      </w:tr>
      <w:tr w:rsidR="001851D5" w:rsidRPr="00BA3EF2" w:rsidTr="001851D5">
        <w:trPr>
          <w:cantSplit/>
          <w:trHeight w:val="20"/>
        </w:trPr>
        <w:tc>
          <w:tcPr>
            <w:tcW w:w="1869" w:type="pct"/>
            <w:tcBorders>
              <w:top w:val="single" w:sz="4" w:space="0" w:color="auto"/>
              <w:bottom w:val="single" w:sz="4" w:space="0" w:color="auto"/>
            </w:tcBorders>
            <w:vAlign w:val="center"/>
          </w:tcPr>
          <w:p w:rsidR="001851D5" w:rsidRPr="00BA3EF2" w:rsidRDefault="001851D5" w:rsidP="00B15687">
            <w:pPr>
              <w:jc w:val="left"/>
              <w:rPr>
                <w:rFonts w:ascii="Arial Narrow" w:hAnsi="Arial Narrow"/>
                <w:smallCaps/>
                <w:sz w:val="20"/>
                <w:szCs w:val="18"/>
              </w:rPr>
            </w:pPr>
            <w:r w:rsidRPr="00BA3EF2">
              <w:rPr>
                <w:rFonts w:ascii="Arial Narrow" w:hAnsi="Arial Narrow"/>
                <w:sz w:val="20"/>
                <w:szCs w:val="18"/>
              </w:rPr>
              <w:t>nintedanib 150 mg capsule, 60</w:t>
            </w:r>
          </w:p>
        </w:tc>
        <w:tc>
          <w:tcPr>
            <w:tcW w:w="628" w:type="pct"/>
            <w:tcBorders>
              <w:top w:val="single" w:sz="4" w:space="0" w:color="auto"/>
              <w:bottom w:val="single" w:sz="4" w:space="0" w:color="auto"/>
            </w:tcBorders>
            <w:vAlign w:val="center"/>
          </w:tcPr>
          <w:p w:rsidR="001851D5" w:rsidRPr="00BA3EF2" w:rsidRDefault="001851D5" w:rsidP="00B15687">
            <w:pPr>
              <w:jc w:val="center"/>
              <w:rPr>
                <w:rFonts w:ascii="Arial Narrow" w:hAnsi="Arial Narrow"/>
                <w:sz w:val="20"/>
                <w:szCs w:val="18"/>
              </w:rPr>
            </w:pPr>
            <w:r w:rsidRPr="00BA3EF2">
              <w:rPr>
                <w:rFonts w:ascii="Arial Narrow" w:hAnsi="Arial Narrow"/>
                <w:sz w:val="20"/>
                <w:szCs w:val="18"/>
              </w:rPr>
              <w:t>1</w:t>
            </w:r>
          </w:p>
        </w:tc>
        <w:tc>
          <w:tcPr>
            <w:tcW w:w="393" w:type="pct"/>
            <w:tcBorders>
              <w:top w:val="single" w:sz="4" w:space="0" w:color="auto"/>
              <w:bottom w:val="single" w:sz="4" w:space="0" w:color="auto"/>
            </w:tcBorders>
            <w:vAlign w:val="center"/>
          </w:tcPr>
          <w:p w:rsidR="001851D5" w:rsidRPr="00BA3EF2" w:rsidRDefault="001851D5" w:rsidP="00B15687">
            <w:pPr>
              <w:jc w:val="center"/>
              <w:rPr>
                <w:rFonts w:ascii="Arial Narrow" w:hAnsi="Arial Narrow"/>
                <w:sz w:val="20"/>
                <w:szCs w:val="18"/>
              </w:rPr>
            </w:pPr>
            <w:r w:rsidRPr="00BA3EF2">
              <w:rPr>
                <w:rFonts w:ascii="Arial Narrow" w:hAnsi="Arial Narrow"/>
                <w:sz w:val="20"/>
                <w:szCs w:val="18"/>
              </w:rPr>
              <w:t>5</w:t>
            </w:r>
          </w:p>
        </w:tc>
        <w:tc>
          <w:tcPr>
            <w:tcW w:w="1199" w:type="pct"/>
            <w:tcBorders>
              <w:top w:val="single" w:sz="4" w:space="0" w:color="auto"/>
              <w:bottom w:val="single" w:sz="4" w:space="0" w:color="auto"/>
            </w:tcBorders>
            <w:vAlign w:val="center"/>
          </w:tcPr>
          <w:p w:rsidR="001851D5" w:rsidRPr="00BA3EF2" w:rsidRDefault="001851D5" w:rsidP="00B15687">
            <w:pPr>
              <w:jc w:val="center"/>
              <w:rPr>
                <w:rFonts w:ascii="Arial Narrow" w:hAnsi="Arial Narrow"/>
                <w:i/>
                <w:iCs/>
                <w:sz w:val="20"/>
                <w:szCs w:val="18"/>
              </w:rPr>
            </w:pPr>
            <w:r w:rsidRPr="00BA3EF2">
              <w:rPr>
                <w:rFonts w:ascii="Arial Narrow" w:hAnsi="Arial Narrow"/>
                <w:sz w:val="20"/>
                <w:szCs w:val="18"/>
              </w:rPr>
              <w:t>$3,398.76 published price</w:t>
            </w:r>
          </w:p>
          <w:p w:rsidR="001851D5" w:rsidRPr="00BA3EF2" w:rsidRDefault="001851D5" w:rsidP="00B15687">
            <w:pPr>
              <w:jc w:val="center"/>
              <w:rPr>
                <w:rFonts w:ascii="Arial Narrow" w:hAnsi="Arial Narrow"/>
                <w:i/>
                <w:iCs/>
                <w:sz w:val="20"/>
                <w:szCs w:val="18"/>
              </w:rPr>
            </w:pPr>
            <w:r w:rsidRPr="00BA3EF2">
              <w:rPr>
                <w:rFonts w:ascii="Arial Narrow" w:hAnsi="Arial Narrow"/>
                <w:sz w:val="20"/>
                <w:szCs w:val="18"/>
              </w:rPr>
              <w:t>$</w:t>
            </w:r>
            <w:r w:rsidR="006C3A17">
              <w:rPr>
                <w:rFonts w:ascii="Arial Narrow" w:hAnsi="Arial Narrow"/>
                <w:noProof/>
                <w:color w:val="000000"/>
                <w:sz w:val="20"/>
                <w:szCs w:val="18"/>
                <w:highlight w:val="black"/>
              </w:rPr>
              <w:t>''''''''''''''''''''''</w:t>
            </w:r>
            <w:r w:rsidRPr="00BA3EF2">
              <w:rPr>
                <w:rFonts w:ascii="Arial Narrow" w:hAnsi="Arial Narrow"/>
                <w:sz w:val="20"/>
                <w:szCs w:val="18"/>
              </w:rPr>
              <w:t xml:space="preserve"> effective price</w:t>
            </w:r>
          </w:p>
        </w:tc>
        <w:tc>
          <w:tcPr>
            <w:tcW w:w="911" w:type="pct"/>
            <w:gridSpan w:val="2"/>
            <w:vMerge/>
            <w:tcBorders>
              <w:bottom w:val="single" w:sz="4" w:space="0" w:color="auto"/>
            </w:tcBorders>
            <w:vAlign w:val="center"/>
          </w:tcPr>
          <w:p w:rsidR="001851D5" w:rsidRPr="00BA3EF2" w:rsidRDefault="001851D5" w:rsidP="00B15687">
            <w:pPr>
              <w:jc w:val="center"/>
              <w:rPr>
                <w:rFonts w:ascii="Arial Narrow" w:hAnsi="Arial Narrow"/>
                <w:sz w:val="20"/>
                <w:szCs w:val="18"/>
              </w:rPr>
            </w:pPr>
          </w:p>
        </w:tc>
      </w:tr>
    </w:tbl>
    <w:p w:rsidR="008A30F8" w:rsidRPr="00BA3EF2" w:rsidRDefault="008A30F8" w:rsidP="00B15687">
      <w:pPr>
        <w:rPr>
          <w:rFonts w:ascii="Arial Narrow" w:hAnsi="Arial Narrow"/>
          <w:sz w:val="20"/>
        </w:rPr>
      </w:pPr>
      <w:r w:rsidRPr="00BA3EF2">
        <w:rPr>
          <w:rFonts w:ascii="Arial Narrow" w:hAnsi="Arial Narrow"/>
          <w:sz w:val="20"/>
        </w:rPr>
        <w:t>Source: Table 1.5, p16 of the submission.</w:t>
      </w:r>
    </w:p>
    <w:p w:rsidR="008A30F8" w:rsidRPr="00060B29" w:rsidRDefault="008A30F8" w:rsidP="00B15687">
      <w:pPr>
        <w:pStyle w:val="TableFigureFooter"/>
      </w:pPr>
    </w:p>
    <w:tbl>
      <w:tblPr>
        <w:tblW w:w="498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09"/>
        <w:gridCol w:w="7175"/>
      </w:tblGrid>
      <w:tr w:rsidR="00D31EBA" w:rsidRPr="00BA3EF2" w:rsidTr="008A30F8">
        <w:trPr>
          <w:trHeight w:val="20"/>
        </w:trPr>
        <w:tc>
          <w:tcPr>
            <w:tcW w:w="1007" w:type="pct"/>
            <w:tcBorders>
              <w:top w:val="single" w:sz="4" w:space="0" w:color="auto"/>
              <w:left w:val="single" w:sz="4" w:space="0" w:color="auto"/>
              <w:bottom w:val="single" w:sz="4" w:space="0" w:color="auto"/>
              <w:right w:val="single" w:sz="4" w:space="0" w:color="auto"/>
            </w:tcBorders>
            <w:hideMark/>
          </w:tcPr>
          <w:p w:rsidR="00D31EBA" w:rsidRPr="00BA3EF2" w:rsidRDefault="00D31EBA"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Category/Program:</w:t>
            </w:r>
          </w:p>
        </w:tc>
        <w:tc>
          <w:tcPr>
            <w:tcW w:w="3993" w:type="pct"/>
            <w:tcBorders>
              <w:top w:val="single" w:sz="4" w:space="0" w:color="auto"/>
              <w:left w:val="single" w:sz="4" w:space="0" w:color="auto"/>
              <w:bottom w:val="single" w:sz="4" w:space="0" w:color="auto"/>
              <w:right w:val="single" w:sz="4" w:space="0" w:color="auto"/>
            </w:tcBorders>
          </w:tcPr>
          <w:p w:rsidR="00D31EBA" w:rsidRPr="00BA3EF2" w:rsidRDefault="00D31EBA"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General Schedule (Code GE)</w:t>
            </w:r>
          </w:p>
        </w:tc>
      </w:tr>
      <w:tr w:rsidR="00D31EBA" w:rsidRPr="00BA3EF2" w:rsidTr="008A30F8">
        <w:trPr>
          <w:trHeight w:val="20"/>
        </w:trPr>
        <w:tc>
          <w:tcPr>
            <w:tcW w:w="1007" w:type="pct"/>
            <w:tcBorders>
              <w:top w:val="single" w:sz="4" w:space="0" w:color="auto"/>
              <w:left w:val="single" w:sz="4" w:space="0" w:color="auto"/>
              <w:bottom w:val="single" w:sz="4" w:space="0" w:color="auto"/>
              <w:right w:val="single" w:sz="4" w:space="0" w:color="auto"/>
            </w:tcBorders>
            <w:hideMark/>
          </w:tcPr>
          <w:p w:rsidR="00D31EBA" w:rsidRPr="00BA3EF2" w:rsidRDefault="00D31EBA"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PBS indication:</w:t>
            </w:r>
          </w:p>
        </w:tc>
        <w:tc>
          <w:tcPr>
            <w:tcW w:w="3993" w:type="pct"/>
            <w:tcBorders>
              <w:top w:val="single" w:sz="4" w:space="0" w:color="auto"/>
              <w:left w:val="single" w:sz="4" w:space="0" w:color="auto"/>
              <w:bottom w:val="single" w:sz="4" w:space="0" w:color="auto"/>
              <w:right w:val="single" w:sz="4" w:space="0" w:color="auto"/>
            </w:tcBorders>
          </w:tcPr>
          <w:p w:rsidR="00D31EBA" w:rsidRPr="00BA3EF2" w:rsidRDefault="00D31EBA"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Progressive fibrosing interstitial lung disease</w:t>
            </w:r>
          </w:p>
        </w:tc>
      </w:tr>
      <w:tr w:rsidR="00D31EBA" w:rsidRPr="00BA3EF2" w:rsidTr="008A30F8">
        <w:trPr>
          <w:trHeight w:val="20"/>
        </w:trPr>
        <w:tc>
          <w:tcPr>
            <w:tcW w:w="1007" w:type="pct"/>
            <w:tcBorders>
              <w:top w:val="single" w:sz="4" w:space="0" w:color="auto"/>
              <w:left w:val="single" w:sz="4" w:space="0" w:color="auto"/>
              <w:bottom w:val="single" w:sz="4" w:space="0" w:color="auto"/>
              <w:right w:val="single" w:sz="4" w:space="0" w:color="auto"/>
            </w:tcBorders>
            <w:hideMark/>
          </w:tcPr>
          <w:p w:rsidR="00D31EBA" w:rsidRPr="00BA3EF2" w:rsidRDefault="00D31EBA"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Treatment phase:</w:t>
            </w:r>
          </w:p>
        </w:tc>
        <w:tc>
          <w:tcPr>
            <w:tcW w:w="3993" w:type="pct"/>
            <w:tcBorders>
              <w:top w:val="single" w:sz="4" w:space="0" w:color="auto"/>
              <w:left w:val="single" w:sz="4" w:space="0" w:color="auto"/>
              <w:bottom w:val="single" w:sz="4" w:space="0" w:color="auto"/>
              <w:right w:val="single" w:sz="4" w:space="0" w:color="auto"/>
            </w:tcBorders>
          </w:tcPr>
          <w:p w:rsidR="00D31EBA" w:rsidRPr="00BA3EF2" w:rsidRDefault="00D31EBA"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Initial - new patient</w:t>
            </w:r>
          </w:p>
        </w:tc>
      </w:tr>
      <w:tr w:rsidR="00D31EBA" w:rsidRPr="00BA3EF2" w:rsidTr="008A30F8">
        <w:trPr>
          <w:trHeight w:val="20"/>
        </w:trPr>
        <w:tc>
          <w:tcPr>
            <w:tcW w:w="1007" w:type="pct"/>
            <w:tcBorders>
              <w:top w:val="single" w:sz="4" w:space="0" w:color="auto"/>
              <w:left w:val="single" w:sz="4" w:space="0" w:color="auto"/>
              <w:bottom w:val="single" w:sz="4" w:space="0" w:color="auto"/>
              <w:right w:val="single" w:sz="4" w:space="0" w:color="auto"/>
            </w:tcBorders>
            <w:hideMark/>
          </w:tcPr>
          <w:p w:rsidR="00D31EBA" w:rsidRPr="00BA3EF2" w:rsidRDefault="00D31EBA"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Restriction</w:t>
            </w:r>
            <w:r w:rsidR="001851D5" w:rsidRPr="00BA3EF2">
              <w:rPr>
                <w:rFonts w:ascii="Arial Narrow" w:hAnsi="Arial Narrow" w:cs="Times New Roman"/>
                <w:b/>
                <w:snapToGrid w:val="0"/>
                <w:sz w:val="20"/>
                <w:szCs w:val="18"/>
              </w:rPr>
              <w:t xml:space="preserve"> type</w:t>
            </w:r>
            <w:r w:rsidRPr="00BA3EF2">
              <w:rPr>
                <w:rFonts w:ascii="Arial Narrow" w:hAnsi="Arial Narrow" w:cs="Times New Roman"/>
                <w:b/>
                <w:snapToGrid w:val="0"/>
                <w:sz w:val="20"/>
                <w:szCs w:val="18"/>
              </w:rPr>
              <w:t>:</w:t>
            </w:r>
          </w:p>
        </w:tc>
        <w:tc>
          <w:tcPr>
            <w:tcW w:w="3993" w:type="pct"/>
            <w:tcBorders>
              <w:top w:val="single" w:sz="4" w:space="0" w:color="auto"/>
              <w:left w:val="single" w:sz="4" w:space="0" w:color="auto"/>
              <w:bottom w:val="single" w:sz="4" w:space="0" w:color="auto"/>
              <w:right w:val="single" w:sz="4" w:space="0" w:color="auto"/>
            </w:tcBorders>
          </w:tcPr>
          <w:p w:rsidR="00D31EBA" w:rsidRPr="00BA3EF2" w:rsidRDefault="00D31EBA"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Authority Required - In Writing</w:t>
            </w:r>
          </w:p>
        </w:tc>
      </w:tr>
      <w:tr w:rsidR="001851D5" w:rsidRPr="00BA3EF2" w:rsidTr="00E9718C">
        <w:trPr>
          <w:trHeight w:val="20"/>
        </w:trPr>
        <w:tc>
          <w:tcPr>
            <w:tcW w:w="1" w:type="pct"/>
            <w:gridSpan w:val="2"/>
            <w:tcBorders>
              <w:top w:val="single" w:sz="4" w:space="0" w:color="auto"/>
              <w:left w:val="single" w:sz="4" w:space="0" w:color="auto"/>
              <w:bottom w:val="single" w:sz="4" w:space="0" w:color="auto"/>
              <w:right w:val="single" w:sz="4" w:space="0" w:color="auto"/>
            </w:tcBorders>
            <w:hideMark/>
          </w:tcPr>
          <w:p w:rsidR="001851D5" w:rsidRPr="00BA3EF2" w:rsidRDefault="001851D5"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Treatment criteria:</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Must be treated by a specialist physician experienced in the diagnosis and treatment of interstitial lung disease, or in consultation with such as a specialist physician.</w:t>
            </w:r>
          </w:p>
        </w:tc>
      </w:tr>
      <w:tr w:rsidR="001851D5" w:rsidRPr="00BA3EF2" w:rsidTr="00E9718C">
        <w:trPr>
          <w:trHeight w:val="20"/>
        </w:trPr>
        <w:tc>
          <w:tcPr>
            <w:tcW w:w="1" w:type="pct"/>
            <w:gridSpan w:val="2"/>
            <w:tcBorders>
              <w:top w:val="single" w:sz="4" w:space="0" w:color="auto"/>
              <w:left w:val="single" w:sz="4" w:space="0" w:color="auto"/>
              <w:bottom w:val="single" w:sz="4" w:space="0" w:color="auto"/>
              <w:right w:val="single" w:sz="4" w:space="0" w:color="auto"/>
            </w:tcBorders>
            <w:hideMark/>
          </w:tcPr>
          <w:p w:rsidR="001851D5" w:rsidRPr="00BA3EF2" w:rsidRDefault="001851D5"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Clinical criteria:</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 xml:space="preserve">The condition must be diagnosed through a multidisciplinary team, </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Patient must have chest high resolution computed tomography (HRCT) consistent with diagnosis of progressive fibrosing interstitial lung disease within the previous 12 months including features of diffuse fibrosing lung disease of greater than 10% extent on HRCT,</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rsidR="001851D5" w:rsidRPr="00BA3EF2" w:rsidRDefault="001851D5" w:rsidP="00B15687">
            <w:pPr>
              <w:numPr>
                <w:ilvl w:val="0"/>
                <w:numId w:val="5"/>
              </w:numPr>
              <w:jc w:val="left"/>
              <w:rPr>
                <w:rFonts w:ascii="Arial Narrow" w:hAnsi="Arial Narrow" w:cs="Times New Roman"/>
                <w:snapToGrid w:val="0"/>
                <w:sz w:val="20"/>
                <w:szCs w:val="18"/>
              </w:rPr>
            </w:pPr>
            <w:r w:rsidRPr="00BA3EF2">
              <w:rPr>
                <w:rFonts w:ascii="Arial Narrow" w:hAnsi="Arial Narrow" w:cs="Times New Roman"/>
                <w:snapToGrid w:val="0"/>
                <w:sz w:val="20"/>
                <w:szCs w:val="18"/>
              </w:rPr>
              <w:t>Patient must have a forced vital capacity (FVC) equal to or greater than 45% predicted for age, gender and height and in the last 24 months one or more of the following that demonstrates progression:</w:t>
            </w:r>
          </w:p>
          <w:p w:rsidR="001851D5" w:rsidRPr="00BA3EF2" w:rsidRDefault="001851D5" w:rsidP="00B15687">
            <w:pPr>
              <w:numPr>
                <w:ilvl w:val="0"/>
                <w:numId w:val="5"/>
              </w:numPr>
              <w:jc w:val="left"/>
              <w:rPr>
                <w:rFonts w:ascii="Arial Narrow" w:hAnsi="Arial Narrow" w:cs="Times New Roman"/>
                <w:snapToGrid w:val="0"/>
                <w:sz w:val="20"/>
                <w:szCs w:val="18"/>
              </w:rPr>
            </w:pPr>
            <w:r w:rsidRPr="00BA3EF2">
              <w:rPr>
                <w:rFonts w:ascii="Arial Narrow" w:hAnsi="Arial Narrow" w:cs="Times New Roman"/>
                <w:snapToGrid w:val="0"/>
                <w:sz w:val="20"/>
                <w:szCs w:val="18"/>
              </w:rPr>
              <w:t xml:space="preserve">have had a relative decline in FVC % predicted of equal to or greater than 10% OR </w:t>
            </w:r>
          </w:p>
          <w:p w:rsidR="001851D5" w:rsidRPr="00BA3EF2" w:rsidRDefault="001851D5" w:rsidP="00B15687">
            <w:pPr>
              <w:numPr>
                <w:ilvl w:val="0"/>
                <w:numId w:val="5"/>
              </w:numPr>
              <w:jc w:val="left"/>
              <w:rPr>
                <w:rFonts w:ascii="Arial Narrow" w:hAnsi="Arial Narrow" w:cs="Times New Roman"/>
                <w:snapToGrid w:val="0"/>
                <w:sz w:val="20"/>
                <w:szCs w:val="18"/>
              </w:rPr>
            </w:pPr>
            <w:r w:rsidRPr="00BA3EF2">
              <w:rPr>
                <w:rFonts w:ascii="Arial Narrow" w:hAnsi="Arial Narrow" w:cs="Times New Roman"/>
                <w:snapToGrid w:val="0"/>
                <w:sz w:val="20"/>
                <w:szCs w:val="18"/>
              </w:rPr>
              <w:t xml:space="preserve">a relative decline in FVC % predicted equal to or greater than 5% and less than 10% combined with worsening of respiratory symptoms OR </w:t>
            </w:r>
          </w:p>
          <w:p w:rsidR="001851D5" w:rsidRPr="00BA3EF2" w:rsidRDefault="001851D5" w:rsidP="00B15687">
            <w:pPr>
              <w:numPr>
                <w:ilvl w:val="0"/>
                <w:numId w:val="5"/>
              </w:numPr>
              <w:jc w:val="left"/>
              <w:rPr>
                <w:rFonts w:ascii="Arial Narrow" w:hAnsi="Arial Narrow" w:cs="Times New Roman"/>
                <w:snapToGrid w:val="0"/>
                <w:sz w:val="20"/>
                <w:szCs w:val="18"/>
              </w:rPr>
            </w:pPr>
            <w:r w:rsidRPr="00BA3EF2">
              <w:rPr>
                <w:rFonts w:ascii="Arial Narrow" w:hAnsi="Arial Narrow" w:cs="Times New Roman"/>
                <w:snapToGrid w:val="0"/>
                <w:sz w:val="20"/>
                <w:szCs w:val="18"/>
              </w:rPr>
              <w:t>a relative decline in FVC % predicted equal to or greater than 5% and less than 10% combined with an increasing extent of fibrotic changes on HRCT,</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Patient must have a forced expiratory volume in 1 second to forced vital capacity ratio (FEV1/FVC) equal to or greater than 0.7,</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Patient must have diffusing capacity of the lungs for carbon monoxide (DLCO) corrected for haemoglobin equal to or greater than 30% and less than 80% predicted,</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Patient must not have interstitial lung disease due to idiopathic pulmonary fibrosis or due to drug toxicity,</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AND</w:t>
            </w:r>
          </w:p>
          <w:p w:rsidR="001851D5" w:rsidRPr="00BA3EF2" w:rsidRDefault="001851D5" w:rsidP="00B15687">
            <w:pPr>
              <w:jc w:val="left"/>
              <w:rPr>
                <w:rFonts w:ascii="Arial Narrow" w:hAnsi="Arial Narrow" w:cs="Times New Roman"/>
                <w:snapToGrid w:val="0"/>
                <w:sz w:val="20"/>
                <w:szCs w:val="18"/>
              </w:rPr>
            </w:pPr>
            <w:r w:rsidRPr="00BA3EF2">
              <w:rPr>
                <w:rFonts w:ascii="Arial Narrow" w:hAnsi="Arial Narrow" w:cs="Times New Roman"/>
                <w:snapToGrid w:val="0"/>
                <w:sz w:val="20"/>
                <w:szCs w:val="18"/>
              </w:rPr>
              <w:t>The treatment must be the sole PBS subsidised treatment</w:t>
            </w:r>
          </w:p>
        </w:tc>
      </w:tr>
      <w:tr w:rsidR="001851D5" w:rsidRPr="00BA3EF2" w:rsidTr="00E9718C">
        <w:trPr>
          <w:trHeight w:val="20"/>
        </w:trPr>
        <w:tc>
          <w:tcPr>
            <w:tcW w:w="1" w:type="pct"/>
            <w:gridSpan w:val="2"/>
            <w:tcBorders>
              <w:top w:val="single" w:sz="4" w:space="0" w:color="auto"/>
              <w:left w:val="single" w:sz="4" w:space="0" w:color="auto"/>
              <w:bottom w:val="single" w:sz="4" w:space="0" w:color="auto"/>
              <w:right w:val="single" w:sz="4" w:space="0" w:color="auto"/>
            </w:tcBorders>
          </w:tcPr>
          <w:p w:rsidR="001851D5" w:rsidRPr="00BA3EF2" w:rsidRDefault="001851D5"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Population criteria:</w:t>
            </w:r>
          </w:p>
          <w:p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Patient must be aged 18 years and over.</w:t>
            </w:r>
          </w:p>
        </w:tc>
      </w:tr>
      <w:tr w:rsidR="001851D5" w:rsidRPr="00BA3EF2" w:rsidTr="00E9718C">
        <w:trPr>
          <w:trHeight w:val="20"/>
        </w:trPr>
        <w:tc>
          <w:tcPr>
            <w:tcW w:w="1" w:type="pct"/>
            <w:gridSpan w:val="2"/>
            <w:tcBorders>
              <w:top w:val="single" w:sz="4" w:space="0" w:color="auto"/>
              <w:left w:val="single" w:sz="4" w:space="0" w:color="auto"/>
              <w:bottom w:val="single" w:sz="4" w:space="0" w:color="auto"/>
              <w:right w:val="single" w:sz="4" w:space="0" w:color="auto"/>
            </w:tcBorders>
            <w:hideMark/>
          </w:tcPr>
          <w:p w:rsidR="001851D5" w:rsidRPr="00BA3EF2" w:rsidRDefault="001851D5" w:rsidP="00B15687">
            <w:pPr>
              <w:jc w:val="left"/>
              <w:rPr>
                <w:rFonts w:ascii="Arial Narrow" w:hAnsi="Arial Narrow" w:cs="Times New Roman"/>
                <w:b/>
                <w:snapToGrid w:val="0"/>
                <w:sz w:val="20"/>
                <w:szCs w:val="18"/>
              </w:rPr>
            </w:pPr>
            <w:r w:rsidRPr="00BA3EF2">
              <w:rPr>
                <w:rFonts w:ascii="Arial Narrow" w:hAnsi="Arial Narrow" w:cs="Times New Roman"/>
                <w:b/>
                <w:snapToGrid w:val="0"/>
                <w:sz w:val="20"/>
                <w:szCs w:val="18"/>
              </w:rPr>
              <w:t>Prescriber criteria:</w:t>
            </w:r>
          </w:p>
          <w:p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 xml:space="preserve">A multidisciplinary team is defined as comprising of at least a specialist experienced in the diagnosis and treatment of interstitial lung disease, a radiologist and where histological material is considered, a pathologist. If attendance is not possible because of geographical isolation, consultation with a multidisciplinary team is required for diagnosis. </w:t>
            </w:r>
          </w:p>
          <w:p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Interstitial lung disease includes connective tissue associated interstitial lung disease or chronic fibrosing hypersensitivity pneumonitis or idiopathic non-specific interstitial pneumonia or environmental</w:t>
            </w:r>
            <w:r w:rsidR="00F145EF">
              <w:rPr>
                <w:rFonts w:ascii="Arial Narrow" w:hAnsi="Arial Narrow" w:cs="Times New Roman"/>
                <w:snapToGrid w:val="0"/>
                <w:color w:val="000000"/>
                <w:sz w:val="20"/>
                <w:szCs w:val="18"/>
              </w:rPr>
              <w:t xml:space="preserve"> </w:t>
            </w:r>
            <w:r w:rsidRPr="00BA3EF2">
              <w:rPr>
                <w:rFonts w:ascii="Arial Narrow" w:hAnsi="Arial Narrow" w:cs="Times New Roman"/>
                <w:snapToGrid w:val="0"/>
                <w:color w:val="000000"/>
                <w:sz w:val="20"/>
                <w:szCs w:val="18"/>
              </w:rPr>
              <w:t>/ or occupational lung disease or sarcoidosis.</w:t>
            </w:r>
          </w:p>
          <w:p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Patient must not have an acute respiratory infection at the time of FVC testing.</w:t>
            </w:r>
          </w:p>
          <w:p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Patient must be aged equal to or greater than 18 years of age.</w:t>
            </w:r>
          </w:p>
          <w:p w:rsidR="001851D5" w:rsidRPr="00BA3EF2" w:rsidRDefault="001851D5" w:rsidP="00B15687">
            <w:p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 xml:space="preserve">Application for authorisation of initial treatment must be in writing and must include: </w:t>
            </w:r>
          </w:p>
          <w:p w:rsidR="001851D5" w:rsidRPr="00BA3EF2" w:rsidRDefault="001851D5" w:rsidP="00B15687">
            <w:pPr>
              <w:numPr>
                <w:ilvl w:val="0"/>
                <w:numId w:val="6"/>
              </w:num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A completed authority prescription form; and</w:t>
            </w:r>
          </w:p>
          <w:p w:rsidR="001851D5" w:rsidRPr="00BA3EF2" w:rsidRDefault="001851D5" w:rsidP="00B15687">
            <w:pPr>
              <w:numPr>
                <w:ilvl w:val="0"/>
                <w:numId w:val="6"/>
              </w:num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A completed PF-ILD Authority Application Supporting Information Form; and</w:t>
            </w:r>
          </w:p>
          <w:p w:rsidR="001851D5" w:rsidRPr="00BA3EF2" w:rsidRDefault="001851D5" w:rsidP="00B15687">
            <w:pPr>
              <w:numPr>
                <w:ilvl w:val="0"/>
                <w:numId w:val="6"/>
              </w:numPr>
              <w:jc w:val="left"/>
              <w:rPr>
                <w:rFonts w:ascii="Arial Narrow" w:hAnsi="Arial Narrow" w:cs="Times New Roman"/>
                <w:snapToGrid w:val="0"/>
                <w:color w:val="000000"/>
                <w:sz w:val="20"/>
                <w:szCs w:val="18"/>
              </w:rPr>
            </w:pPr>
            <w:r w:rsidRPr="00BA3EF2">
              <w:rPr>
                <w:rFonts w:ascii="Arial Narrow" w:hAnsi="Arial Narrow" w:cs="Times New Roman"/>
                <w:snapToGrid w:val="0"/>
                <w:color w:val="000000"/>
                <w:sz w:val="20"/>
                <w:szCs w:val="18"/>
              </w:rPr>
              <w:t>A signed patient acknowledgement.</w:t>
            </w:r>
          </w:p>
        </w:tc>
      </w:tr>
    </w:tbl>
    <w:p w:rsidR="008A30F8" w:rsidRPr="00060B29" w:rsidRDefault="008A30F8" w:rsidP="00B15687">
      <w:pPr>
        <w:pStyle w:val="TableFigureFooter"/>
      </w:pPr>
      <w:r w:rsidRPr="00060B29">
        <w:t xml:space="preserve">Source: Table 1.6, pp17-19 of the submission. </w:t>
      </w:r>
    </w:p>
    <w:tbl>
      <w:tblPr>
        <w:tblW w:w="5000" w:type="pct"/>
        <w:tblLook w:val="0000" w:firstRow="0" w:lastRow="0" w:firstColumn="0" w:lastColumn="0" w:noHBand="0" w:noVBand="0"/>
      </w:tblPr>
      <w:tblGrid>
        <w:gridCol w:w="1837"/>
        <w:gridCol w:w="7179"/>
      </w:tblGrid>
      <w:tr w:rsidR="00930FD0" w:rsidRPr="00060B29" w:rsidTr="00ED76F7">
        <w:trPr>
          <w:cantSplit/>
        </w:trPr>
        <w:tc>
          <w:tcPr>
            <w:tcW w:w="1019" w:type="pct"/>
            <w:tcBorders>
              <w:top w:val="single" w:sz="4" w:space="0" w:color="auto"/>
              <w:left w:val="single" w:sz="4" w:space="0" w:color="auto"/>
              <w:bottom w:val="single" w:sz="4" w:space="0" w:color="auto"/>
              <w:right w:val="single" w:sz="4" w:space="0" w:color="auto"/>
            </w:tcBorders>
          </w:tcPr>
          <w:p w:rsidR="00930FD0" w:rsidRPr="00060B29" w:rsidRDefault="00930FD0" w:rsidP="00B15687">
            <w:pPr>
              <w:jc w:val="left"/>
              <w:rPr>
                <w:rFonts w:ascii="Arial Narrow" w:eastAsiaTheme="majorEastAsia" w:hAnsi="Arial Narrow" w:cstheme="majorBidi"/>
                <w:bCs/>
                <w:sz w:val="20"/>
              </w:rPr>
            </w:pPr>
            <w:r w:rsidRPr="00060B29">
              <w:rPr>
                <w:rFonts w:ascii="Arial Narrow" w:eastAsiaTheme="majorEastAsia" w:hAnsi="Arial Narrow" w:cstheme="majorBidi"/>
                <w:b/>
                <w:bCs/>
                <w:sz w:val="20"/>
              </w:rPr>
              <w:t>Treatment phase:</w:t>
            </w:r>
          </w:p>
        </w:tc>
        <w:tc>
          <w:tcPr>
            <w:tcW w:w="3981" w:type="pct"/>
            <w:tcBorders>
              <w:top w:val="single" w:sz="4" w:space="0" w:color="auto"/>
              <w:left w:val="single" w:sz="4" w:space="0" w:color="auto"/>
              <w:bottom w:val="single" w:sz="4" w:space="0" w:color="auto"/>
              <w:right w:val="single" w:sz="4" w:space="0" w:color="auto"/>
            </w:tcBorders>
          </w:tcPr>
          <w:p w:rsidR="00930FD0" w:rsidRPr="00060B29" w:rsidRDefault="00930FD0"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Initial treatment 2 – change or re-commencement of treatment</w:t>
            </w:r>
          </w:p>
        </w:tc>
      </w:tr>
      <w:tr w:rsidR="001851D5" w:rsidRPr="00060B29" w:rsidTr="001851D5">
        <w:trPr>
          <w:cantSplit/>
        </w:trPr>
        <w:tc>
          <w:tcPr>
            <w:tcW w:w="5000" w:type="pct"/>
            <w:gridSpan w:val="2"/>
            <w:tcBorders>
              <w:top w:val="single" w:sz="4" w:space="0" w:color="auto"/>
              <w:left w:val="single" w:sz="4" w:space="0" w:color="auto"/>
              <w:bottom w:val="single" w:sz="4" w:space="0" w:color="auto"/>
              <w:right w:val="single" w:sz="4" w:space="0" w:color="auto"/>
            </w:tcBorders>
          </w:tcPr>
          <w:p w:rsidR="001851D5" w:rsidRPr="00060B29" w:rsidRDefault="001851D5" w:rsidP="00B15687">
            <w:pPr>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Treatment criteria:</w:t>
            </w:r>
          </w:p>
          <w:p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Must be treated by a specialist physician experienced in the diagnosis and treatment of interstitial lung disease, or in consultation with such as a specialist physician.</w:t>
            </w:r>
          </w:p>
          <w:p w:rsidR="001851D5" w:rsidRPr="00060B29" w:rsidRDefault="001851D5" w:rsidP="00B15687">
            <w:pPr>
              <w:jc w:val="left"/>
              <w:rPr>
                <w:rFonts w:ascii="Arial Narrow" w:eastAsiaTheme="majorEastAsia" w:hAnsi="Arial Narrow" w:cstheme="majorBidi"/>
                <w:bCs/>
                <w:color w:val="000000" w:themeColor="text1"/>
                <w:sz w:val="20"/>
              </w:rPr>
            </w:pPr>
            <w:r>
              <w:rPr>
                <w:rFonts w:ascii="Arial Narrow" w:eastAsiaTheme="majorEastAsia" w:hAnsi="Arial Narrow" w:cstheme="majorBidi"/>
                <w:bCs/>
                <w:color w:val="000000" w:themeColor="text1"/>
                <w:sz w:val="20"/>
              </w:rPr>
              <w:t>AND</w:t>
            </w:r>
          </w:p>
          <w:p w:rsidR="001851D5" w:rsidRPr="00060B29" w:rsidRDefault="001851D5" w:rsidP="00B15687">
            <w:pPr>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Patient must not have idiopathic pulmonary fibrosis.</w:t>
            </w:r>
          </w:p>
        </w:tc>
      </w:tr>
      <w:tr w:rsidR="001851D5" w:rsidRPr="00060B29" w:rsidTr="001851D5">
        <w:trPr>
          <w:cantSplit/>
        </w:trPr>
        <w:tc>
          <w:tcPr>
            <w:tcW w:w="5000" w:type="pct"/>
            <w:gridSpan w:val="2"/>
            <w:tcBorders>
              <w:top w:val="single" w:sz="4" w:space="0" w:color="auto"/>
              <w:left w:val="single" w:sz="4" w:space="0" w:color="auto"/>
              <w:bottom w:val="single" w:sz="4" w:space="0" w:color="auto"/>
              <w:right w:val="single" w:sz="4" w:space="0" w:color="auto"/>
            </w:tcBorders>
          </w:tcPr>
          <w:p w:rsidR="001851D5" w:rsidRPr="00060B29" w:rsidRDefault="001851D5" w:rsidP="00B15687">
            <w:pPr>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Clinical criteria:</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previously received PBS-subsidised treatment with nintedanib for this condition,</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rsidR="001851D5" w:rsidRPr="00060B29" w:rsidRDefault="001851D5" w:rsidP="00B15687">
            <w:pPr>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The treatment must be the sole PBS subsidised treatment for this condition.</w:t>
            </w:r>
          </w:p>
        </w:tc>
      </w:tr>
      <w:tr w:rsidR="001851D5" w:rsidRPr="00060B29" w:rsidTr="00E9718C">
        <w:trPr>
          <w:cantSplit/>
        </w:trPr>
        <w:tc>
          <w:tcPr>
            <w:tcW w:w="1" w:type="pct"/>
            <w:gridSpan w:val="2"/>
            <w:tcBorders>
              <w:top w:val="single" w:sz="4" w:space="0" w:color="auto"/>
              <w:left w:val="single" w:sz="4" w:space="0" w:color="auto"/>
              <w:bottom w:val="single" w:sz="4" w:space="0" w:color="auto"/>
              <w:right w:val="single" w:sz="4" w:space="0" w:color="auto"/>
            </w:tcBorders>
          </w:tcPr>
          <w:p w:rsidR="001851D5" w:rsidRPr="00060B29" w:rsidRDefault="001851D5" w:rsidP="00B15687">
            <w:pPr>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Population criteria:</w:t>
            </w:r>
          </w:p>
          <w:p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Patient must be aged 18 years and over.</w:t>
            </w:r>
          </w:p>
        </w:tc>
      </w:tr>
    </w:tbl>
    <w:p w:rsidR="008A30F8" w:rsidRPr="00060B29" w:rsidRDefault="008A30F8" w:rsidP="00B15687">
      <w:pPr>
        <w:pStyle w:val="TableFigureFooter"/>
      </w:pPr>
      <w:r w:rsidRPr="00060B29">
        <w:t xml:space="preserve">Source: Table 1.6, pp19-20 of the submission. </w:t>
      </w:r>
    </w:p>
    <w:tbl>
      <w:tblPr>
        <w:tblW w:w="5000" w:type="pct"/>
        <w:tblLook w:val="0000" w:firstRow="0" w:lastRow="0" w:firstColumn="0" w:lastColumn="0" w:noHBand="0" w:noVBand="0"/>
      </w:tblPr>
      <w:tblGrid>
        <w:gridCol w:w="1837"/>
        <w:gridCol w:w="7179"/>
      </w:tblGrid>
      <w:tr w:rsidR="00930FD0" w:rsidRPr="00060B29" w:rsidTr="00ED76F7">
        <w:trPr>
          <w:cantSplit/>
        </w:trPr>
        <w:tc>
          <w:tcPr>
            <w:tcW w:w="1019" w:type="pct"/>
            <w:tcBorders>
              <w:top w:val="single" w:sz="4" w:space="0" w:color="auto"/>
              <w:left w:val="single" w:sz="4" w:space="0" w:color="auto"/>
              <w:bottom w:val="single" w:sz="4" w:space="0" w:color="auto"/>
              <w:right w:val="single" w:sz="4" w:space="0" w:color="auto"/>
            </w:tcBorders>
          </w:tcPr>
          <w:p w:rsidR="00930FD0" w:rsidRPr="00060B29" w:rsidRDefault="00930FD0" w:rsidP="00B15687">
            <w:pPr>
              <w:keepNext/>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
                <w:bCs/>
                <w:color w:val="000000" w:themeColor="text1"/>
                <w:sz w:val="20"/>
              </w:rPr>
              <w:t>Treatment phase:</w:t>
            </w:r>
          </w:p>
        </w:tc>
        <w:tc>
          <w:tcPr>
            <w:tcW w:w="3981" w:type="pct"/>
            <w:tcBorders>
              <w:top w:val="single" w:sz="4" w:space="0" w:color="auto"/>
              <w:left w:val="single" w:sz="4" w:space="0" w:color="auto"/>
              <w:bottom w:val="single" w:sz="4" w:space="0" w:color="auto"/>
              <w:right w:val="single" w:sz="4" w:space="0" w:color="auto"/>
            </w:tcBorders>
          </w:tcPr>
          <w:p w:rsidR="00930FD0" w:rsidRPr="00060B29" w:rsidRDefault="00930FD0" w:rsidP="00B15687">
            <w:pPr>
              <w:keepNext/>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Continuing treatment</w:t>
            </w:r>
          </w:p>
        </w:tc>
      </w:tr>
      <w:tr w:rsidR="001851D5" w:rsidRPr="00060B29" w:rsidTr="001851D5">
        <w:trPr>
          <w:cantSplit/>
        </w:trPr>
        <w:tc>
          <w:tcPr>
            <w:tcW w:w="5000" w:type="pct"/>
            <w:gridSpan w:val="2"/>
            <w:tcBorders>
              <w:top w:val="single" w:sz="4" w:space="0" w:color="auto"/>
              <w:left w:val="single" w:sz="4" w:space="0" w:color="auto"/>
              <w:bottom w:val="single" w:sz="4" w:space="0" w:color="auto"/>
              <w:right w:val="single" w:sz="4" w:space="0" w:color="auto"/>
            </w:tcBorders>
          </w:tcPr>
          <w:p w:rsidR="001851D5" w:rsidRPr="00060B29" w:rsidRDefault="001851D5" w:rsidP="00B15687">
            <w:pPr>
              <w:keepNext/>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Treatment criteria:</w:t>
            </w:r>
          </w:p>
          <w:p w:rsidR="001851D5" w:rsidRDefault="001851D5" w:rsidP="00B15687">
            <w:pPr>
              <w:keepNext/>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Must be treated by a specialist physician experienced in the diagnosis and treatment of interstitial lung disease, or in consultation with such as a specialist physician.</w:t>
            </w:r>
          </w:p>
          <w:p w:rsidR="001851D5" w:rsidRPr="00060B29" w:rsidRDefault="001851D5" w:rsidP="00B15687">
            <w:pPr>
              <w:keepNext/>
              <w:jc w:val="left"/>
              <w:rPr>
                <w:rFonts w:ascii="Arial Narrow" w:eastAsiaTheme="majorEastAsia" w:hAnsi="Arial Narrow" w:cstheme="majorBidi"/>
                <w:bCs/>
                <w:color w:val="000000" w:themeColor="text1"/>
                <w:sz w:val="20"/>
              </w:rPr>
            </w:pPr>
            <w:r>
              <w:rPr>
                <w:rFonts w:ascii="Arial Narrow" w:eastAsiaTheme="majorEastAsia" w:hAnsi="Arial Narrow" w:cstheme="majorBidi"/>
                <w:bCs/>
                <w:color w:val="000000" w:themeColor="text1"/>
                <w:sz w:val="20"/>
              </w:rPr>
              <w:t>AND</w:t>
            </w:r>
          </w:p>
          <w:p w:rsidR="001851D5" w:rsidRPr="00060B29" w:rsidRDefault="001851D5" w:rsidP="00B15687">
            <w:pPr>
              <w:keepNext/>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Patient must not have idiopathic pulmonary fibrosis.</w:t>
            </w:r>
          </w:p>
        </w:tc>
      </w:tr>
      <w:tr w:rsidR="001851D5" w:rsidRPr="00060B29" w:rsidTr="001851D5">
        <w:trPr>
          <w:cantSplit/>
        </w:trPr>
        <w:tc>
          <w:tcPr>
            <w:tcW w:w="5000" w:type="pct"/>
            <w:gridSpan w:val="2"/>
            <w:tcBorders>
              <w:top w:val="single" w:sz="4" w:space="0" w:color="auto"/>
              <w:left w:val="single" w:sz="4" w:space="0" w:color="auto"/>
              <w:bottom w:val="single" w:sz="4" w:space="0" w:color="auto"/>
              <w:right w:val="single" w:sz="4" w:space="0" w:color="auto"/>
            </w:tcBorders>
          </w:tcPr>
          <w:p w:rsidR="001851D5" w:rsidRPr="00060B29" w:rsidRDefault="001851D5" w:rsidP="00B15687">
            <w:pPr>
              <w:keepNext/>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Clinical criteria:</w:t>
            </w:r>
          </w:p>
          <w:p w:rsidR="001851D5" w:rsidRPr="00060B29" w:rsidRDefault="001851D5" w:rsidP="00B15687">
            <w:pPr>
              <w:keepNext/>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previously received PBS-subsidised treatment with nintedanib for this condition,</w:t>
            </w:r>
          </w:p>
          <w:p w:rsidR="001851D5" w:rsidRPr="00060B29" w:rsidRDefault="001851D5" w:rsidP="00B15687">
            <w:pPr>
              <w:keepNext/>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rsidR="001851D5" w:rsidRPr="00060B29" w:rsidRDefault="001851D5" w:rsidP="00B15687">
            <w:pPr>
              <w:keepNext/>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The treatment must be the sole PBS subsidised treatment for this condition.</w:t>
            </w:r>
          </w:p>
        </w:tc>
      </w:tr>
      <w:tr w:rsidR="001851D5" w:rsidRPr="00060B29" w:rsidTr="00E9718C">
        <w:trPr>
          <w:cantSplit/>
        </w:trPr>
        <w:tc>
          <w:tcPr>
            <w:tcW w:w="1" w:type="pct"/>
            <w:gridSpan w:val="2"/>
            <w:tcBorders>
              <w:top w:val="single" w:sz="4" w:space="0" w:color="auto"/>
              <w:left w:val="single" w:sz="4" w:space="0" w:color="auto"/>
              <w:bottom w:val="single" w:sz="4" w:space="0" w:color="auto"/>
              <w:right w:val="single" w:sz="4" w:space="0" w:color="auto"/>
            </w:tcBorders>
          </w:tcPr>
          <w:p w:rsidR="001851D5" w:rsidRPr="00060B29" w:rsidRDefault="001851D5" w:rsidP="00B15687">
            <w:pPr>
              <w:keepNext/>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Population criteria:</w:t>
            </w:r>
          </w:p>
          <w:p w:rsidR="001851D5" w:rsidRPr="00060B29" w:rsidRDefault="001851D5" w:rsidP="00B15687">
            <w:pPr>
              <w:keepNext/>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Patient must be aged 18 years and over.</w:t>
            </w:r>
          </w:p>
        </w:tc>
      </w:tr>
    </w:tbl>
    <w:p w:rsidR="008A30F8" w:rsidRPr="00060B29" w:rsidRDefault="008A30F8" w:rsidP="00B15687">
      <w:pPr>
        <w:pStyle w:val="TableFigureFooter"/>
        <w:keepNext/>
      </w:pPr>
      <w:r w:rsidRPr="00060B29">
        <w:t xml:space="preserve">Source: Table 1.6, pp20-21 of the submission. </w:t>
      </w:r>
    </w:p>
    <w:tbl>
      <w:tblPr>
        <w:tblW w:w="5000" w:type="pct"/>
        <w:tblLook w:val="0000" w:firstRow="0" w:lastRow="0" w:firstColumn="0" w:lastColumn="0" w:noHBand="0" w:noVBand="0"/>
      </w:tblPr>
      <w:tblGrid>
        <w:gridCol w:w="1837"/>
        <w:gridCol w:w="7179"/>
      </w:tblGrid>
      <w:tr w:rsidR="00930FD0" w:rsidRPr="00060B29" w:rsidTr="00B15687">
        <w:trPr>
          <w:cantSplit/>
        </w:trPr>
        <w:tc>
          <w:tcPr>
            <w:tcW w:w="1019" w:type="pct"/>
            <w:tcBorders>
              <w:top w:val="single" w:sz="4" w:space="0" w:color="auto"/>
              <w:left w:val="single" w:sz="4" w:space="0" w:color="auto"/>
              <w:bottom w:val="single" w:sz="4" w:space="0" w:color="auto"/>
              <w:right w:val="single" w:sz="4" w:space="0" w:color="auto"/>
            </w:tcBorders>
          </w:tcPr>
          <w:p w:rsidR="00930FD0" w:rsidRPr="00060B29" w:rsidRDefault="00930FD0"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
                <w:bCs/>
                <w:color w:val="000000" w:themeColor="text1"/>
                <w:sz w:val="20"/>
              </w:rPr>
              <w:t>Treatment phase:</w:t>
            </w:r>
          </w:p>
        </w:tc>
        <w:tc>
          <w:tcPr>
            <w:tcW w:w="3981" w:type="pct"/>
            <w:tcBorders>
              <w:top w:val="single" w:sz="4" w:space="0" w:color="auto"/>
              <w:left w:val="single" w:sz="4" w:space="0" w:color="auto"/>
              <w:bottom w:val="single" w:sz="4" w:space="0" w:color="auto"/>
              <w:right w:val="single" w:sz="4" w:space="0" w:color="auto"/>
            </w:tcBorders>
          </w:tcPr>
          <w:p w:rsidR="00930FD0" w:rsidRPr="00060B29" w:rsidRDefault="00930FD0"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Grandfather treatment</w:t>
            </w:r>
          </w:p>
        </w:tc>
      </w:tr>
      <w:tr w:rsidR="001851D5" w:rsidRPr="00060B29" w:rsidTr="00B15687">
        <w:trPr>
          <w:cantSplit/>
        </w:trPr>
        <w:tc>
          <w:tcPr>
            <w:tcW w:w="5000" w:type="pct"/>
            <w:gridSpan w:val="2"/>
            <w:tcBorders>
              <w:top w:val="single" w:sz="4" w:space="0" w:color="auto"/>
              <w:left w:val="single" w:sz="4" w:space="0" w:color="auto"/>
              <w:bottom w:val="single" w:sz="4" w:space="0" w:color="auto"/>
              <w:right w:val="single" w:sz="4" w:space="0" w:color="auto"/>
            </w:tcBorders>
          </w:tcPr>
          <w:p w:rsidR="001851D5" w:rsidRPr="00060B29" w:rsidRDefault="001851D5" w:rsidP="00B15687">
            <w:pPr>
              <w:jc w:val="left"/>
              <w:rPr>
                <w:rFonts w:ascii="Arial Narrow" w:eastAsiaTheme="majorEastAsia" w:hAnsi="Arial Narrow" w:cstheme="majorBidi"/>
                <w:bCs/>
                <w:i/>
                <w:color w:val="000000" w:themeColor="text1"/>
                <w:sz w:val="20"/>
              </w:rPr>
            </w:pPr>
            <w:r w:rsidRPr="00060B29">
              <w:rPr>
                <w:rFonts w:ascii="Arial Narrow" w:eastAsiaTheme="majorEastAsia" w:hAnsi="Arial Narrow" w:cstheme="majorBidi"/>
                <w:b/>
                <w:bCs/>
                <w:color w:val="000000" w:themeColor="text1"/>
                <w:sz w:val="20"/>
              </w:rPr>
              <w:t>Treatment criteria:</w:t>
            </w:r>
          </w:p>
          <w:p w:rsidR="001851D5" w:rsidRPr="00060B29" w:rsidRDefault="001851D5" w:rsidP="00B15687">
            <w:pPr>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Must be treated by a specialist physician experienced in the diagnosis and treatment of interstitial lung disease, or in consultation with such as a specialist physician.</w:t>
            </w:r>
          </w:p>
        </w:tc>
      </w:tr>
      <w:tr w:rsidR="001851D5" w:rsidRPr="00060B29" w:rsidTr="00B15687">
        <w:trPr>
          <w:cantSplit/>
        </w:trPr>
        <w:tc>
          <w:tcPr>
            <w:tcW w:w="5000" w:type="pct"/>
            <w:gridSpan w:val="2"/>
            <w:tcBorders>
              <w:top w:val="single" w:sz="4" w:space="0" w:color="auto"/>
              <w:left w:val="single" w:sz="4" w:space="0" w:color="auto"/>
              <w:bottom w:val="single" w:sz="4" w:space="0" w:color="auto"/>
              <w:right w:val="single" w:sz="4" w:space="0" w:color="auto"/>
            </w:tcBorders>
          </w:tcPr>
          <w:p w:rsidR="001851D5" w:rsidRPr="00060B29" w:rsidRDefault="001851D5" w:rsidP="00B15687">
            <w:pPr>
              <w:jc w:val="left"/>
              <w:rPr>
                <w:rFonts w:ascii="Arial Narrow" w:eastAsiaTheme="majorEastAsia" w:hAnsi="Arial Narrow" w:cstheme="majorBidi"/>
                <w:bCs/>
                <w:i/>
                <w:sz w:val="20"/>
              </w:rPr>
            </w:pPr>
            <w:r w:rsidRPr="00060B29">
              <w:rPr>
                <w:rFonts w:ascii="Arial Narrow" w:eastAsiaTheme="majorEastAsia" w:hAnsi="Arial Narrow" w:cstheme="majorBidi"/>
                <w:b/>
                <w:bCs/>
                <w:sz w:val="20"/>
              </w:rPr>
              <w:t>Clinical criteria:</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previously received non-PBS subsidised treatment with this drug for this condition prior to [insert listing date]</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 xml:space="preserve">The condition must be diagnosed through a multidisciplinary team, </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chest high resolution computed tomography (HRCT) consistent with diagnosis of progressive fibrosing interstitial lung disease within the previous 12 months including features of diffuse fibrosing lung disease of greater than 10% extent on HRCT,</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a forced vital capacity (FVC) equal to or greater than 45% predicted for age, gender and height and in the last 24 months one or more of the following that demonstrates progression:</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w:t>
            </w:r>
            <w:r w:rsidRPr="00060B29">
              <w:rPr>
                <w:rFonts w:ascii="Arial Narrow" w:hAnsi="Arial Narrow" w:cs="Times New Roman"/>
                <w:snapToGrid w:val="0"/>
                <w:color w:val="000000" w:themeColor="text1"/>
                <w:sz w:val="20"/>
              </w:rPr>
              <w:tab/>
              <w:t xml:space="preserve">have had a relative decline in FVC % predicted of equal to or greater than 10% OR </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w:t>
            </w:r>
            <w:r w:rsidRPr="00060B29">
              <w:rPr>
                <w:rFonts w:ascii="Arial Narrow" w:hAnsi="Arial Narrow" w:cs="Times New Roman"/>
                <w:snapToGrid w:val="0"/>
                <w:color w:val="000000" w:themeColor="text1"/>
                <w:sz w:val="20"/>
              </w:rPr>
              <w:tab/>
              <w:t xml:space="preserve">a relative decline in FVC % predicted equal to or greater than 5% and less than 10% combined with worsening of respiratory symptoms OR </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w:t>
            </w:r>
            <w:r w:rsidRPr="00060B29">
              <w:rPr>
                <w:rFonts w:ascii="Arial Narrow" w:hAnsi="Arial Narrow" w:cs="Times New Roman"/>
                <w:snapToGrid w:val="0"/>
                <w:color w:val="000000" w:themeColor="text1"/>
                <w:sz w:val="20"/>
              </w:rPr>
              <w:tab/>
              <w:t>a relative decline in FVC % predicted equal to or greater than 5% and less than 10% combined with an increasing extent of fibrotic changes on HRCT,</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a forced expiratory volume in 1 second to forced vital capacity ratio (FEV1/FVC) equal to or greater than 0.7,</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have diffusing capacity of the lungs for carbon monoxide (DLCO) corrected for haemoglobin equal to or greater than 30% and less than 80% predicted,</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Patient must not have interstitial lung disease due to idiopathic pulmonary fibrosis or due to drug toxicity,</w:t>
            </w:r>
          </w:p>
          <w:p w:rsidR="001851D5" w:rsidRPr="00060B29" w:rsidRDefault="001851D5" w:rsidP="00B15687">
            <w:pPr>
              <w:jc w:val="left"/>
              <w:rPr>
                <w:rFonts w:ascii="Arial Narrow" w:hAnsi="Arial Narrow" w:cs="Times New Roman"/>
                <w:snapToGrid w:val="0"/>
                <w:color w:val="000000" w:themeColor="text1"/>
                <w:sz w:val="20"/>
              </w:rPr>
            </w:pPr>
            <w:r w:rsidRPr="00060B29">
              <w:rPr>
                <w:rFonts w:ascii="Arial Narrow" w:hAnsi="Arial Narrow" w:cs="Times New Roman"/>
                <w:snapToGrid w:val="0"/>
                <w:color w:val="000000" w:themeColor="text1"/>
                <w:sz w:val="20"/>
              </w:rPr>
              <w:t>AND</w:t>
            </w:r>
          </w:p>
          <w:p w:rsidR="001851D5" w:rsidRPr="00060B29" w:rsidRDefault="001851D5" w:rsidP="00B15687">
            <w:pPr>
              <w:jc w:val="left"/>
              <w:rPr>
                <w:rFonts w:ascii="Arial Narrow" w:eastAsiaTheme="majorEastAsia" w:hAnsi="Arial Narrow"/>
                <w:bCs/>
                <w:color w:val="000000" w:themeColor="text1"/>
                <w:sz w:val="20"/>
              </w:rPr>
            </w:pPr>
            <w:r w:rsidRPr="00060B29">
              <w:rPr>
                <w:rFonts w:ascii="Arial Narrow" w:eastAsiaTheme="majorEastAsia" w:hAnsi="Arial Narrow" w:cstheme="majorBidi"/>
                <w:bCs/>
                <w:color w:val="000000" w:themeColor="text1"/>
                <w:sz w:val="20"/>
              </w:rPr>
              <w:t>The treatment must be the sole PBS subsidised treatment for this condition.</w:t>
            </w:r>
          </w:p>
        </w:tc>
      </w:tr>
      <w:tr w:rsidR="001851D5" w:rsidRPr="00060B29" w:rsidTr="00B15687">
        <w:trPr>
          <w:cantSplit/>
        </w:trPr>
        <w:tc>
          <w:tcPr>
            <w:tcW w:w="5000" w:type="pct"/>
            <w:gridSpan w:val="2"/>
            <w:tcBorders>
              <w:top w:val="single" w:sz="4" w:space="0" w:color="auto"/>
              <w:left w:val="single" w:sz="4" w:space="0" w:color="auto"/>
              <w:bottom w:val="single" w:sz="4" w:space="0" w:color="auto"/>
              <w:right w:val="single" w:sz="4" w:space="0" w:color="auto"/>
            </w:tcBorders>
          </w:tcPr>
          <w:p w:rsidR="001851D5" w:rsidRPr="00060B29" w:rsidRDefault="001851D5" w:rsidP="00B15687">
            <w:pPr>
              <w:jc w:val="left"/>
              <w:rPr>
                <w:rFonts w:ascii="Arial Narrow" w:eastAsiaTheme="majorEastAsia" w:hAnsi="Arial Narrow" w:cstheme="majorBidi"/>
                <w:bCs/>
                <w:i/>
                <w:sz w:val="20"/>
              </w:rPr>
            </w:pPr>
            <w:r w:rsidRPr="00060B29">
              <w:rPr>
                <w:rFonts w:ascii="Arial Narrow" w:eastAsiaTheme="majorEastAsia" w:hAnsi="Arial Narrow" w:cstheme="majorBidi"/>
                <w:b/>
                <w:bCs/>
                <w:sz w:val="20"/>
              </w:rPr>
              <w:t>Population criteria:</w:t>
            </w:r>
          </w:p>
          <w:p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Patient must be aged 18 years and over.</w:t>
            </w:r>
          </w:p>
        </w:tc>
      </w:tr>
      <w:tr w:rsidR="001851D5" w:rsidRPr="00060B29" w:rsidTr="00B15687">
        <w:trPr>
          <w:cantSplit/>
        </w:trPr>
        <w:tc>
          <w:tcPr>
            <w:tcW w:w="1" w:type="pct"/>
            <w:gridSpan w:val="2"/>
            <w:tcBorders>
              <w:top w:val="single" w:sz="4" w:space="0" w:color="auto"/>
              <w:left w:val="single" w:sz="4" w:space="0" w:color="auto"/>
              <w:bottom w:val="single" w:sz="4" w:space="0" w:color="auto"/>
              <w:right w:val="single" w:sz="4" w:space="0" w:color="auto"/>
            </w:tcBorders>
          </w:tcPr>
          <w:p w:rsidR="001851D5" w:rsidRPr="00060B29" w:rsidRDefault="001851D5"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Prescriber Instructions:</w:t>
            </w:r>
          </w:p>
          <w:p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 xml:space="preserve">A patient may qualify for PBS-subsidised treatment under this restriction once only. </w:t>
            </w:r>
          </w:p>
          <w:p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For continuing PBS-subsidised treatment, a Grandfathered patient must qualify under the Continuing treatment criteria.</w:t>
            </w:r>
          </w:p>
          <w:p w:rsidR="001851D5" w:rsidRPr="00060B29" w:rsidRDefault="001851D5" w:rsidP="00B15687">
            <w:pPr>
              <w:jc w:val="left"/>
              <w:rPr>
                <w:rFonts w:ascii="Arial Narrow" w:eastAsiaTheme="majorEastAsia" w:hAnsi="Arial Narrow" w:cstheme="majorBidi"/>
                <w:bCs/>
                <w:color w:val="000000" w:themeColor="text1"/>
                <w:sz w:val="20"/>
              </w:rPr>
            </w:pPr>
          </w:p>
          <w:p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A multidisciplinary team is defined as comprising of at least a specialist experienced in the diagnosis and treatment of interstitial lung disease, a radiologist and where histological material is considered, a pathologist. If attendance is not possible because of geographical isolation, consultation with a multidisciplinary team is required for diagnosis.</w:t>
            </w:r>
          </w:p>
          <w:p w:rsidR="001851D5" w:rsidRPr="00060B29" w:rsidRDefault="001851D5" w:rsidP="00B15687">
            <w:pPr>
              <w:jc w:val="left"/>
              <w:rPr>
                <w:rFonts w:ascii="Arial Narrow" w:eastAsiaTheme="majorEastAsia" w:hAnsi="Arial Narrow" w:cstheme="majorBidi"/>
                <w:bCs/>
                <w:color w:val="000000" w:themeColor="text1"/>
                <w:sz w:val="20"/>
              </w:rPr>
            </w:pPr>
          </w:p>
          <w:p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Interstitial lung disease includes connective tissue associated interstitial lung disease or chronic fibrosing hypersensitivity pneumonitis or idiopathic non-specific interstitial pneumonia or environmental</w:t>
            </w:r>
            <w:r w:rsidR="009E6231">
              <w:rPr>
                <w:rFonts w:ascii="Arial Narrow" w:eastAsiaTheme="majorEastAsia" w:hAnsi="Arial Narrow" w:cstheme="majorBidi"/>
                <w:bCs/>
                <w:color w:val="000000" w:themeColor="text1"/>
                <w:sz w:val="20"/>
              </w:rPr>
              <w:t xml:space="preserve"> </w:t>
            </w:r>
            <w:r w:rsidRPr="00060B29">
              <w:rPr>
                <w:rFonts w:ascii="Arial Narrow" w:eastAsiaTheme="majorEastAsia" w:hAnsi="Arial Narrow" w:cstheme="majorBidi"/>
                <w:bCs/>
                <w:color w:val="000000" w:themeColor="text1"/>
                <w:sz w:val="20"/>
              </w:rPr>
              <w:t>/ or occupational lung disease or sarcoidosis.</w:t>
            </w:r>
          </w:p>
          <w:p w:rsidR="001851D5" w:rsidRPr="00060B29" w:rsidRDefault="001851D5" w:rsidP="00B15687">
            <w:pPr>
              <w:jc w:val="left"/>
              <w:rPr>
                <w:rFonts w:ascii="Arial Narrow" w:eastAsiaTheme="majorEastAsia" w:hAnsi="Arial Narrow" w:cstheme="majorBidi"/>
                <w:bCs/>
                <w:color w:val="000000" w:themeColor="text1"/>
                <w:sz w:val="20"/>
              </w:rPr>
            </w:pPr>
          </w:p>
          <w:p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Patient must not have an acute respiratory infection at the time of FVC testing.</w:t>
            </w:r>
          </w:p>
          <w:p w:rsidR="001851D5" w:rsidRPr="00060B29" w:rsidRDefault="001851D5" w:rsidP="00B15687">
            <w:pPr>
              <w:jc w:val="left"/>
              <w:rPr>
                <w:rFonts w:ascii="Arial Narrow" w:eastAsiaTheme="majorEastAsia" w:hAnsi="Arial Narrow" w:cstheme="majorBidi"/>
                <w:bCs/>
                <w:color w:val="000000" w:themeColor="text1"/>
                <w:sz w:val="20"/>
              </w:rPr>
            </w:pPr>
          </w:p>
          <w:p w:rsidR="001851D5"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Patient must be aged equal to or greater than 18 years of age.</w:t>
            </w:r>
          </w:p>
          <w:p w:rsidR="001851D5" w:rsidRPr="00060B29" w:rsidRDefault="001851D5" w:rsidP="00B15687">
            <w:pPr>
              <w:jc w:val="left"/>
              <w:rPr>
                <w:rFonts w:ascii="Arial Narrow" w:eastAsiaTheme="majorEastAsia" w:hAnsi="Arial Narrow" w:cstheme="majorBidi"/>
                <w:bCs/>
                <w:color w:val="000000" w:themeColor="text1"/>
                <w:sz w:val="20"/>
              </w:rPr>
            </w:pPr>
          </w:p>
          <w:p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 xml:space="preserve">Application for authorisation of initial treatment must be in writing and must include: </w:t>
            </w:r>
          </w:p>
          <w:p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a)</w:t>
            </w:r>
            <w:r w:rsidRPr="00060B29">
              <w:rPr>
                <w:rFonts w:ascii="Arial Narrow" w:eastAsiaTheme="majorEastAsia" w:hAnsi="Arial Narrow" w:cstheme="majorBidi"/>
                <w:bCs/>
                <w:color w:val="000000" w:themeColor="text1"/>
                <w:sz w:val="20"/>
              </w:rPr>
              <w:tab/>
              <w:t>A completed authority prescription form; and</w:t>
            </w:r>
          </w:p>
          <w:p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b)</w:t>
            </w:r>
            <w:r w:rsidRPr="00060B29">
              <w:rPr>
                <w:rFonts w:ascii="Arial Narrow" w:eastAsiaTheme="majorEastAsia" w:hAnsi="Arial Narrow" w:cstheme="majorBidi"/>
                <w:bCs/>
                <w:color w:val="000000" w:themeColor="text1"/>
                <w:sz w:val="20"/>
              </w:rPr>
              <w:tab/>
              <w:t>A completed PF-ILD Authority Application Supporting Information Form; and</w:t>
            </w:r>
          </w:p>
          <w:p w:rsidR="001851D5" w:rsidRPr="00060B29" w:rsidRDefault="001851D5" w:rsidP="00B15687">
            <w:pPr>
              <w:jc w:val="left"/>
              <w:rPr>
                <w:rFonts w:ascii="Arial Narrow" w:eastAsiaTheme="majorEastAsia" w:hAnsi="Arial Narrow" w:cstheme="majorBidi"/>
                <w:bCs/>
                <w:color w:val="000000" w:themeColor="text1"/>
                <w:sz w:val="20"/>
              </w:rPr>
            </w:pPr>
            <w:r w:rsidRPr="00060B29">
              <w:rPr>
                <w:rFonts w:ascii="Arial Narrow" w:eastAsiaTheme="majorEastAsia" w:hAnsi="Arial Narrow" w:cstheme="majorBidi"/>
                <w:bCs/>
                <w:color w:val="000000" w:themeColor="text1"/>
                <w:sz w:val="20"/>
              </w:rPr>
              <w:t>c)</w:t>
            </w:r>
            <w:r w:rsidRPr="00060B29">
              <w:rPr>
                <w:rFonts w:ascii="Arial Narrow" w:eastAsiaTheme="majorEastAsia" w:hAnsi="Arial Narrow" w:cstheme="majorBidi"/>
                <w:bCs/>
                <w:color w:val="000000" w:themeColor="text1"/>
                <w:sz w:val="20"/>
              </w:rPr>
              <w:tab/>
              <w:t>A signed patient acknowledgement.</w:t>
            </w:r>
          </w:p>
        </w:tc>
      </w:tr>
    </w:tbl>
    <w:p w:rsidR="008A30F8" w:rsidRPr="00060B29" w:rsidRDefault="008A30F8" w:rsidP="00B15687">
      <w:pPr>
        <w:pStyle w:val="TableFigureFooter"/>
      </w:pPr>
      <w:r w:rsidRPr="00060B29">
        <w:t xml:space="preserve">Source: Table 1.6, pp21-22 of the submission. </w:t>
      </w:r>
    </w:p>
    <w:p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snapToGrid w:val="0"/>
          <w:color w:val="000000" w:themeColor="text1"/>
        </w:rPr>
        <w:t xml:space="preserve">The submission proposed a confidential Special Pricing Arrangement (SPA). </w:t>
      </w:r>
    </w:p>
    <w:p w:rsidR="00D31EBA" w:rsidRPr="00060B29" w:rsidRDefault="001461F4" w:rsidP="00B15687">
      <w:pPr>
        <w:numPr>
          <w:ilvl w:val="1"/>
          <w:numId w:val="1"/>
        </w:numPr>
        <w:spacing w:after="120"/>
        <w:rPr>
          <w:rFonts w:asciiTheme="minorHAnsi" w:hAnsiTheme="minorHAnsi"/>
          <w:iCs/>
          <w:snapToGrid w:val="0"/>
          <w:color w:val="000000" w:themeColor="text1"/>
        </w:rPr>
      </w:pPr>
      <w:r w:rsidRPr="00060B29">
        <w:rPr>
          <w:rFonts w:asciiTheme="minorHAnsi" w:hAnsiTheme="minorHAnsi"/>
          <w:iCs/>
          <w:snapToGrid w:val="0"/>
          <w:color w:val="000000" w:themeColor="text1"/>
        </w:rPr>
        <w:t>The proposed eligibility criteria were based on clinical deterioration (progressive fibrosing) rather than the diagnosis of underlying ILD, leading to the potential eligibility of patients with any type of PF-ILD, with a progressive phenotype</w:t>
      </w:r>
      <w:r w:rsidR="0003297D" w:rsidRPr="00060B29">
        <w:rPr>
          <w:rFonts w:asciiTheme="minorHAnsi" w:hAnsiTheme="minorHAnsi"/>
          <w:iCs/>
          <w:snapToGrid w:val="0"/>
          <w:color w:val="000000" w:themeColor="text1"/>
        </w:rPr>
        <w:t xml:space="preserve"> that is not </w:t>
      </w:r>
      <w:r w:rsidRPr="00060B29">
        <w:rPr>
          <w:rFonts w:asciiTheme="minorHAnsi" w:hAnsiTheme="minorHAnsi"/>
          <w:iCs/>
          <w:snapToGrid w:val="0"/>
          <w:color w:val="000000" w:themeColor="text1"/>
        </w:rPr>
        <w:t xml:space="preserve">IPF. </w:t>
      </w:r>
    </w:p>
    <w:p w:rsidR="001461F4" w:rsidRPr="00060B29" w:rsidRDefault="001461F4" w:rsidP="00B15687">
      <w:pPr>
        <w:pStyle w:val="3-BodyText"/>
      </w:pPr>
      <w:r w:rsidRPr="00060B29">
        <w:t>The p</w:t>
      </w:r>
      <w:r w:rsidR="00CC4135" w:rsidRPr="00060B29">
        <w:t>roposed PBS restriction requires</w:t>
      </w:r>
      <w:r w:rsidRPr="00060B29">
        <w:t xml:space="preserve"> patients to have a </w:t>
      </w:r>
      <w:r w:rsidR="00FB784F" w:rsidRPr="00060B29">
        <w:t>high resolution computed tomography (</w:t>
      </w:r>
      <w:r w:rsidRPr="00060B29">
        <w:t>HRCT</w:t>
      </w:r>
      <w:r w:rsidR="00FB784F" w:rsidRPr="00060B29">
        <w:t>)</w:t>
      </w:r>
      <w:r w:rsidRPr="00060B29">
        <w:t xml:space="preserve"> consistent with diagnosis of PF-ILD within the previous 12 months AND evidence demonstrating progression in the last 24 months. </w:t>
      </w:r>
      <w:r w:rsidR="00B31FF3" w:rsidRPr="00060B29">
        <w:t xml:space="preserve">The </w:t>
      </w:r>
      <w:r w:rsidR="00415B59" w:rsidRPr="00060B29">
        <w:rPr>
          <w:iCs/>
          <w:color w:val="000000" w:themeColor="text1"/>
        </w:rPr>
        <w:t>Pre-Sub-Committee Response (</w:t>
      </w:r>
      <w:r w:rsidR="00415B59" w:rsidRPr="00060B29">
        <w:t>PSCR</w:t>
      </w:r>
      <w:r w:rsidR="00B31FF3" w:rsidRPr="00060B29">
        <w:t>) noted that the</w:t>
      </w:r>
      <w:r w:rsidR="00CC4135" w:rsidRPr="00060B29">
        <w:t xml:space="preserve"> proposed</w:t>
      </w:r>
      <w:r w:rsidR="00B31FF3" w:rsidRPr="00060B29">
        <w:t xml:space="preserve"> timeframe of 24 months </w:t>
      </w:r>
      <w:r w:rsidR="00CC4135" w:rsidRPr="00060B29">
        <w:t xml:space="preserve">for evidence demonstrating progression was consistent with the inclusion criteria of the INBUILD trial. The ESC considered it was appropriate to specify this timeframe in the proposed restriction. </w:t>
      </w:r>
    </w:p>
    <w:p w:rsidR="00E33646" w:rsidRPr="00060B29" w:rsidRDefault="00E33646" w:rsidP="00B15687">
      <w:pPr>
        <w:pStyle w:val="3-BodyText"/>
      </w:pPr>
      <w:r w:rsidRPr="00060B29">
        <w:t xml:space="preserve">The </w:t>
      </w:r>
      <w:r w:rsidR="008749B9" w:rsidRPr="00060B29">
        <w:t xml:space="preserve">PBAC </w:t>
      </w:r>
      <w:r w:rsidRPr="00060B29">
        <w:t xml:space="preserve">considered that if nintedanib was listed for PF-ILD, there may be a proportion of </w:t>
      </w:r>
      <w:r w:rsidR="003A1B4E" w:rsidRPr="00060B29">
        <w:t xml:space="preserve">patients </w:t>
      </w:r>
      <w:r w:rsidR="00086151" w:rsidRPr="00060B29">
        <w:t>with</w:t>
      </w:r>
      <w:r w:rsidR="008749B9" w:rsidRPr="00060B29">
        <w:t xml:space="preserve"> clinical characteristics of</w:t>
      </w:r>
      <w:r w:rsidR="00086151" w:rsidRPr="00060B29">
        <w:t xml:space="preserve"> both </w:t>
      </w:r>
      <w:r w:rsidR="003A1B4E" w:rsidRPr="00060B29">
        <w:t xml:space="preserve">IPF and </w:t>
      </w:r>
      <w:r w:rsidR="00086151" w:rsidRPr="00060B29">
        <w:t>PF-ILD</w:t>
      </w:r>
      <w:r w:rsidR="008749B9" w:rsidRPr="00060B29">
        <w:t xml:space="preserve"> who may be eligible to receive treatment under either</w:t>
      </w:r>
      <w:r w:rsidR="00086151" w:rsidRPr="00060B29">
        <w:t xml:space="preserve"> listing. </w:t>
      </w:r>
    </w:p>
    <w:p w:rsidR="00E3539E" w:rsidRPr="00060B29" w:rsidRDefault="00E3539E" w:rsidP="00B15687">
      <w:pPr>
        <w:pStyle w:val="3-BodyText"/>
        <w:numPr>
          <w:ilvl w:val="0"/>
          <w:numId w:val="0"/>
        </w:numPr>
        <w:ind w:left="720"/>
        <w:rPr>
          <w:i/>
          <w:iCs/>
          <w:color w:val="000000" w:themeColor="text1"/>
        </w:rPr>
      </w:pPr>
      <w:r w:rsidRPr="00060B29">
        <w:rPr>
          <w:i/>
          <w:iCs/>
          <w:color w:val="000000" w:themeColor="text1"/>
        </w:rPr>
        <w:t>For more detail on PBAC’s view, see section 7 PBAC outcome.</w:t>
      </w:r>
    </w:p>
    <w:p w:rsidR="00D31EBA" w:rsidRPr="00060B29" w:rsidRDefault="00D31EBA" w:rsidP="00B15687">
      <w:pPr>
        <w:pStyle w:val="2-SectionHeading"/>
      </w:pPr>
      <w:bookmarkStart w:id="15" w:name="_Toc58872435"/>
      <w:r w:rsidRPr="00060B29">
        <w:t>Population and disease</w:t>
      </w:r>
      <w:bookmarkEnd w:id="15"/>
    </w:p>
    <w:p w:rsidR="00CC712C" w:rsidRPr="00060B29" w:rsidRDefault="00D31EBA" w:rsidP="00B15687">
      <w:pPr>
        <w:pStyle w:val="3-BodyText"/>
      </w:pPr>
      <w:r w:rsidRPr="00060B29">
        <w:t>ILD refers to a large and heterogeneous group of parenchymal lung disorders</w:t>
      </w:r>
      <w:r w:rsidR="00F77D66" w:rsidRPr="00060B29">
        <w:t>,</w:t>
      </w:r>
      <w:r w:rsidRPr="00060B29">
        <w:rPr>
          <w:vertAlign w:val="superscript"/>
        </w:rPr>
        <w:footnoteReference w:id="1"/>
      </w:r>
      <w:r w:rsidRPr="00060B29">
        <w:t xml:space="preserve"> characterised by diffuse inflammation and fibrosis.</w:t>
      </w:r>
      <w:r w:rsidRPr="00060B29">
        <w:rPr>
          <w:vertAlign w:val="superscript"/>
        </w:rPr>
        <w:footnoteReference w:id="2"/>
      </w:r>
      <w:r w:rsidRPr="00060B29">
        <w:t xml:space="preserve"> IPF is the most common type of idiopathic ILD and represents the prototype of progressive fibrosing ILD, characterised by a decline in lung function and early mortality.</w:t>
      </w:r>
      <w:r w:rsidRPr="00060B29">
        <w:rPr>
          <w:vertAlign w:val="superscript"/>
        </w:rPr>
        <w:footnoteReference w:id="3"/>
      </w:r>
      <w:r w:rsidRPr="00060B29">
        <w:t xml:space="preserve"> </w:t>
      </w:r>
    </w:p>
    <w:p w:rsidR="00CC712C" w:rsidRPr="00060B29" w:rsidRDefault="00D31EBA" w:rsidP="00B15687">
      <w:pPr>
        <w:pStyle w:val="3-BodyText"/>
      </w:pPr>
      <w:r w:rsidRPr="00060B29">
        <w:t>PF-ILD other than IPF includes idiopathic non-specific interstitial pneumonia (iNSIP), unclassifiable idiopathic interstitial pneumonias (IIPs), connective tissue disease-related ILDs (CTD-ILDs) like rheumatoid arthritis-associated ILD, (RA-ILD) and systemic sclerosis-associated ILD (SSc-ILD), chronic sarcoidosis, chronic hypersensitivity pneumonitis (HP) and exposure-related diseases (e.g. asbestosis, silicosis)</w:t>
      </w:r>
      <w:r w:rsidR="00CC712C" w:rsidRPr="00060B29">
        <w:t xml:space="preserve"> (Figure 1)</w:t>
      </w:r>
      <w:r w:rsidRPr="00060B29">
        <w:t>.</w:t>
      </w:r>
    </w:p>
    <w:p w:rsidR="00E0090D" w:rsidRDefault="00E0090D">
      <w:pPr>
        <w:jc w:val="left"/>
        <w:rPr>
          <w:rFonts w:ascii="Arial Narrow" w:eastAsiaTheme="majorEastAsia" w:hAnsi="Arial Narrow" w:cstheme="majorBidi"/>
          <w:b/>
          <w:bCs/>
          <w:sz w:val="20"/>
        </w:rPr>
      </w:pPr>
      <w:r>
        <w:rPr>
          <w:rFonts w:ascii="Arial Narrow" w:eastAsiaTheme="majorEastAsia" w:hAnsi="Arial Narrow" w:cstheme="majorBidi"/>
          <w:b/>
          <w:bCs/>
          <w:sz w:val="20"/>
        </w:rPr>
        <w:br w:type="page"/>
      </w:r>
    </w:p>
    <w:p w:rsidR="00CC712C" w:rsidRPr="00060B29" w:rsidRDefault="00CC712C"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Figure 1: Types of ILD that may be associated with a progressive fibrosing phenotype</w:t>
      </w:r>
    </w:p>
    <w:p w:rsidR="00CC712C" w:rsidRPr="00060B29" w:rsidRDefault="00CC712C" w:rsidP="00B15687">
      <w:r w:rsidRPr="00060B29">
        <w:rPr>
          <w:noProof/>
        </w:rPr>
        <w:drawing>
          <wp:inline distT="0" distB="0" distL="0" distR="0" wp14:anchorId="42D7C1B4" wp14:editId="6A2EF76C">
            <wp:extent cx="5752643" cy="3813810"/>
            <wp:effectExtent l="19050" t="19050" r="19685" b="15240"/>
            <wp:docPr id="18" name="Picture 18" title="Figure 1: Types of ILD that may be associated with a progressive fibrosing phen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4168" cy="3834710"/>
                    </a:xfrm>
                    <a:prstGeom prst="rect">
                      <a:avLst/>
                    </a:prstGeom>
                    <a:ln w="3175">
                      <a:solidFill>
                        <a:sysClr val="windowText" lastClr="000000"/>
                      </a:solidFill>
                    </a:ln>
                  </pic:spPr>
                </pic:pic>
              </a:graphicData>
            </a:graphic>
          </wp:inline>
        </w:drawing>
      </w:r>
    </w:p>
    <w:p w:rsidR="00CC712C" w:rsidRPr="00060B29" w:rsidRDefault="00CC712C" w:rsidP="00B15687">
      <w:pPr>
        <w:pStyle w:val="Tabletext"/>
        <w:rPr>
          <w:sz w:val="18"/>
          <w:szCs w:val="18"/>
        </w:rPr>
      </w:pPr>
      <w:r w:rsidRPr="00060B29">
        <w:rPr>
          <w:sz w:val="18"/>
          <w:szCs w:val="18"/>
        </w:rPr>
        <w:t>Source: Figure 1 in Cottin 2019b</w:t>
      </w:r>
      <w:r w:rsidRPr="00060B29">
        <w:rPr>
          <w:sz w:val="18"/>
          <w:szCs w:val="18"/>
          <w:vertAlign w:val="superscript"/>
        </w:rPr>
        <w:footnoteReference w:id="4"/>
      </w:r>
    </w:p>
    <w:p w:rsidR="00CC712C" w:rsidRPr="00060B29" w:rsidRDefault="00CC712C" w:rsidP="00B15687">
      <w:pPr>
        <w:pStyle w:val="TableFigureFooter"/>
      </w:pPr>
      <w:r w:rsidRPr="00060B29">
        <w:t>CTD-ILD=Connective tissue disease-associated ILD; g/f PF=genetic and/or familial pulmonary fibrosis; HP=hypersensitivity pneumonitis; ILD=interstitial lung disease; iNSIP=idiopathic nonspecific interstitial pneumonia; IPAF=interstitial pneumonia with autoimmune features; IPF= idiopathic pulmonary fibrosis; RA=rheumatoid arthritis; SSc-ILD=systemic sclerosis-associated ILD; uILD=unclassifiable ILD</w:t>
      </w:r>
    </w:p>
    <w:p w:rsidR="00CC712C" w:rsidRPr="00060B29" w:rsidRDefault="00CC712C" w:rsidP="00B15687">
      <w:pPr>
        <w:pStyle w:val="TableFigureFooter"/>
      </w:pPr>
      <w:r w:rsidRPr="00060B29">
        <w:t xml:space="preserve">CTD-ILDs include RA-associated ILD, SSc-associated ILD, mixed CTD-associated ILD and other autoimmune ILDs. </w:t>
      </w:r>
    </w:p>
    <w:p w:rsidR="00CC712C" w:rsidRPr="00060B29" w:rsidRDefault="00CC712C" w:rsidP="00B15687">
      <w:pPr>
        <w:pStyle w:val="TableFigureFooter"/>
      </w:pPr>
      <w:r w:rsidRPr="00060B29">
        <w:t xml:space="preserve">Other ILDs include exposure-related ILDs (asbestosis and silicosis), non-idiopathic pulmonary fibrosis (IPF), idiopathic interstitial pneumonias (desquamative interstitial pneumonia, etc.), and others. </w:t>
      </w:r>
    </w:p>
    <w:p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snapToGrid w:val="0"/>
          <w:color w:val="000000" w:themeColor="text1"/>
        </w:rPr>
        <w:t>PF-ILD is characterised by the presence of progressive pulmonary fibrosis, worsening respiratory symptoms, declining lung function</w:t>
      </w:r>
      <w:r w:rsidR="00F77D66" w:rsidRPr="00060B29">
        <w:rPr>
          <w:rFonts w:asciiTheme="minorHAnsi" w:hAnsiTheme="minorHAnsi"/>
          <w:snapToGrid w:val="0"/>
          <w:color w:val="000000" w:themeColor="text1"/>
        </w:rPr>
        <w:t>,</w:t>
      </w:r>
      <w:r w:rsidRPr="00060B29">
        <w:rPr>
          <w:rFonts w:asciiTheme="minorHAnsi" w:hAnsiTheme="minorHAnsi"/>
          <w:snapToGrid w:val="0"/>
          <w:color w:val="000000" w:themeColor="text1"/>
        </w:rPr>
        <w:t xml:space="preserve"> and</w:t>
      </w:r>
      <w:r w:rsidR="00F77D66" w:rsidRPr="00060B29">
        <w:rPr>
          <w:rFonts w:asciiTheme="minorHAnsi" w:hAnsiTheme="minorHAnsi"/>
          <w:snapToGrid w:val="0"/>
          <w:color w:val="000000" w:themeColor="text1"/>
        </w:rPr>
        <w:t xml:space="preserve"> </w:t>
      </w:r>
      <w:r w:rsidRPr="00060B29">
        <w:rPr>
          <w:rFonts w:asciiTheme="minorHAnsi" w:hAnsiTheme="minorHAnsi"/>
          <w:snapToGrid w:val="0"/>
          <w:color w:val="000000" w:themeColor="text1"/>
        </w:rPr>
        <w:t xml:space="preserve">early mortality. Patients with IPF have access to subsidised treatment with either nintedanib or pirfenidone. However, there is no </w:t>
      </w:r>
      <w:r w:rsidR="00ED0582" w:rsidRPr="00060B29">
        <w:rPr>
          <w:rFonts w:asciiTheme="minorHAnsi" w:hAnsiTheme="minorHAnsi"/>
          <w:snapToGrid w:val="0"/>
          <w:color w:val="000000" w:themeColor="text1"/>
        </w:rPr>
        <w:t>PBS-listed</w:t>
      </w:r>
      <w:r w:rsidRPr="00060B29">
        <w:rPr>
          <w:rFonts w:asciiTheme="minorHAnsi" w:hAnsiTheme="minorHAnsi"/>
          <w:snapToGrid w:val="0"/>
          <w:color w:val="000000" w:themeColor="text1"/>
        </w:rPr>
        <w:t xml:space="preserve"> treatment for non-IPF chronic PF-ILD. The current clinical management for patients with non-IPF chronic PF-ILD consists primarily of treatment with unlicensed anti-inflammatory or immunomodulatory agents. The proposed clinical management is for nintedanib to be used in addition to BSC in patients with PF-ILD.</w:t>
      </w:r>
      <w:r w:rsidR="00155109" w:rsidRPr="00060B29">
        <w:rPr>
          <w:rFonts w:asciiTheme="minorHAnsi" w:hAnsiTheme="minorHAnsi"/>
          <w:snapToGrid w:val="0"/>
          <w:color w:val="000000" w:themeColor="text1"/>
        </w:rPr>
        <w:t xml:space="preserve"> The ESC considered there is a high clinical need for effective treatments for PF-ILD. The ESC acknowledged that PF-ILD </w:t>
      </w:r>
      <w:r w:rsidR="002E59A9" w:rsidRPr="00060B29">
        <w:rPr>
          <w:rFonts w:asciiTheme="minorHAnsi" w:hAnsiTheme="minorHAnsi"/>
          <w:snapToGrid w:val="0"/>
          <w:color w:val="000000" w:themeColor="text1"/>
        </w:rPr>
        <w:t>is associated with</w:t>
      </w:r>
      <w:r w:rsidR="00155109" w:rsidRPr="00060B29">
        <w:rPr>
          <w:rFonts w:asciiTheme="minorHAnsi" w:hAnsiTheme="minorHAnsi"/>
          <w:snapToGrid w:val="0"/>
          <w:color w:val="000000" w:themeColor="text1"/>
        </w:rPr>
        <w:t xml:space="preserve"> debilitating </w:t>
      </w:r>
      <w:r w:rsidR="002E59A9" w:rsidRPr="00060B29">
        <w:rPr>
          <w:rFonts w:asciiTheme="minorHAnsi" w:hAnsiTheme="minorHAnsi"/>
          <w:snapToGrid w:val="0"/>
          <w:color w:val="000000" w:themeColor="text1"/>
        </w:rPr>
        <w:t>effects which have a significant impact on quality of life.</w:t>
      </w:r>
    </w:p>
    <w:p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snapToGrid w:val="0"/>
          <w:color w:val="000000" w:themeColor="text1"/>
        </w:rPr>
        <w:t xml:space="preserve">Nintedanib belongs to the pharmacotherapeutic group of antineoplastic agents - protein-tyrosine kinase inhibitors (ATC code: L01XE31). </w:t>
      </w:r>
    </w:p>
    <w:p w:rsidR="00702D02" w:rsidRPr="00060B29" w:rsidRDefault="00702D02" w:rsidP="00B15687">
      <w:pPr>
        <w:spacing w:after="120"/>
        <w:ind w:left="720"/>
        <w:rPr>
          <w:rFonts w:asciiTheme="minorHAnsi" w:hAnsiTheme="minorHAnsi"/>
          <w:snapToGrid w:val="0"/>
          <w:color w:val="000000" w:themeColor="text1"/>
        </w:rPr>
      </w:pPr>
      <w:r w:rsidRPr="00060B29">
        <w:rPr>
          <w:i/>
          <w:iCs/>
          <w:color w:val="000000" w:themeColor="text1"/>
        </w:rPr>
        <w:t>For more detail on PBAC’s view, see section 7 PBAC outcome.</w:t>
      </w:r>
    </w:p>
    <w:p w:rsidR="00D31EBA" w:rsidRPr="00060B29" w:rsidRDefault="00D31EBA" w:rsidP="00B15687">
      <w:pPr>
        <w:pStyle w:val="2-SectionHeading"/>
      </w:pPr>
      <w:bookmarkStart w:id="16" w:name="_Toc58872436"/>
      <w:r w:rsidRPr="00060B29">
        <w:t>Comparator</w:t>
      </w:r>
      <w:bookmarkEnd w:id="16"/>
    </w:p>
    <w:p w:rsidR="00D31EBA" w:rsidRPr="00060B29" w:rsidRDefault="00D31EBA" w:rsidP="00B15687">
      <w:pPr>
        <w:numPr>
          <w:ilvl w:val="1"/>
          <w:numId w:val="1"/>
        </w:numPr>
        <w:spacing w:after="120"/>
        <w:rPr>
          <w:rFonts w:asciiTheme="minorHAnsi" w:hAnsiTheme="minorHAnsi"/>
        </w:rPr>
      </w:pPr>
      <w:r w:rsidRPr="00060B29">
        <w:rPr>
          <w:rFonts w:asciiTheme="minorHAnsi" w:hAnsiTheme="minorHAnsi"/>
          <w:snapToGrid w:val="0"/>
        </w:rPr>
        <w:t xml:space="preserve">The submission nominated placebo, in combination with BSC as the comparator. </w:t>
      </w:r>
      <w:r w:rsidR="00FC15DB" w:rsidRPr="0063646B">
        <w:t xml:space="preserve">The submission reported that </w:t>
      </w:r>
      <w:r w:rsidR="00FC15DB">
        <w:t>BSC</w:t>
      </w:r>
      <w:r w:rsidR="00FC15DB" w:rsidRPr="0063646B">
        <w:t xml:space="preserve"> may include education (individual or as patient support groups), lung function support (oxygen), pneumonia prophylaxis, pain relief, treatment of co-morbidities (e.g. gastro-oesophageal reflux disease, sleep apnoea, pulmonary hypertension), and palliative care .</w:t>
      </w:r>
      <w:r w:rsidRPr="00060B29">
        <w:rPr>
          <w:rFonts w:asciiTheme="minorHAnsi" w:hAnsiTheme="minorHAnsi"/>
          <w:snapToGrid w:val="0"/>
        </w:rPr>
        <w:t xml:space="preserve">The main argument provided in support of this nomination was: there is currently no approved treatment for patients with PF-ILD. </w:t>
      </w:r>
      <w:r w:rsidR="00BA5CB2" w:rsidRPr="00060B29">
        <w:rPr>
          <w:rFonts w:asciiTheme="minorHAnsi" w:hAnsiTheme="minorHAnsi"/>
          <w:snapToGrid w:val="0"/>
        </w:rPr>
        <w:t>Current</w:t>
      </w:r>
      <w:r w:rsidRPr="00060B29">
        <w:rPr>
          <w:rFonts w:asciiTheme="minorHAnsi" w:hAnsiTheme="minorHAnsi"/>
          <w:snapToGrid w:val="0"/>
        </w:rPr>
        <w:t xml:space="preserve"> management relies on the off-label use of corticosteroids and immunomodulatory agents, none of which are approved for use in PF-ILD. </w:t>
      </w:r>
      <w:r w:rsidRPr="00060B29">
        <w:rPr>
          <w:rFonts w:asciiTheme="minorHAnsi" w:hAnsiTheme="minorHAnsi"/>
          <w:iCs/>
          <w:snapToGrid w:val="0"/>
        </w:rPr>
        <w:t xml:space="preserve">The </w:t>
      </w:r>
      <w:r w:rsidR="004B02F9" w:rsidRPr="00060B29">
        <w:rPr>
          <w:rFonts w:asciiTheme="minorHAnsi" w:hAnsiTheme="minorHAnsi"/>
          <w:iCs/>
          <w:snapToGrid w:val="0"/>
        </w:rPr>
        <w:t xml:space="preserve">ESC considered that </w:t>
      </w:r>
      <w:r w:rsidRPr="00060B29">
        <w:rPr>
          <w:rFonts w:asciiTheme="minorHAnsi" w:hAnsiTheme="minorHAnsi"/>
          <w:iCs/>
          <w:snapToGrid w:val="0"/>
        </w:rPr>
        <w:t>placebo</w:t>
      </w:r>
      <w:r w:rsidR="00087B4C" w:rsidRPr="00060B29">
        <w:rPr>
          <w:rFonts w:asciiTheme="minorHAnsi" w:hAnsiTheme="minorHAnsi"/>
          <w:iCs/>
          <w:snapToGrid w:val="0"/>
        </w:rPr>
        <w:t xml:space="preserve"> </w:t>
      </w:r>
      <w:r w:rsidRPr="00060B29">
        <w:rPr>
          <w:rFonts w:asciiTheme="minorHAnsi" w:hAnsiTheme="minorHAnsi"/>
          <w:iCs/>
          <w:snapToGrid w:val="0"/>
        </w:rPr>
        <w:t>+</w:t>
      </w:r>
      <w:r w:rsidR="00087B4C" w:rsidRPr="00060B29">
        <w:rPr>
          <w:rFonts w:asciiTheme="minorHAnsi" w:hAnsiTheme="minorHAnsi"/>
          <w:iCs/>
          <w:snapToGrid w:val="0"/>
        </w:rPr>
        <w:t xml:space="preserve"> </w:t>
      </w:r>
      <w:r w:rsidRPr="00060B29">
        <w:rPr>
          <w:rFonts w:asciiTheme="minorHAnsi" w:hAnsiTheme="minorHAnsi"/>
          <w:iCs/>
          <w:snapToGrid w:val="0"/>
        </w:rPr>
        <w:t>BSC</w:t>
      </w:r>
      <w:r w:rsidR="004B02F9" w:rsidRPr="00060B29">
        <w:rPr>
          <w:rFonts w:asciiTheme="minorHAnsi" w:hAnsiTheme="minorHAnsi"/>
          <w:iCs/>
          <w:snapToGrid w:val="0"/>
        </w:rPr>
        <w:t xml:space="preserve"> is an </w:t>
      </w:r>
      <w:r w:rsidR="005A680E" w:rsidRPr="00060B29">
        <w:rPr>
          <w:rFonts w:asciiTheme="minorHAnsi" w:hAnsiTheme="minorHAnsi"/>
          <w:iCs/>
          <w:snapToGrid w:val="0"/>
        </w:rPr>
        <w:t xml:space="preserve">appropriate </w:t>
      </w:r>
      <w:r w:rsidR="005A680E">
        <w:rPr>
          <w:rFonts w:asciiTheme="minorHAnsi" w:hAnsiTheme="minorHAnsi"/>
          <w:iCs/>
          <w:snapToGrid w:val="0"/>
        </w:rPr>
        <w:t>comparator</w:t>
      </w:r>
      <w:r w:rsidRPr="00060B29">
        <w:rPr>
          <w:rFonts w:asciiTheme="minorHAnsi" w:hAnsiTheme="minorHAnsi"/>
          <w:iCs/>
          <w:snapToGrid w:val="0"/>
        </w:rPr>
        <w:t xml:space="preserve"> for nintedanib in PF-ILD.</w:t>
      </w:r>
      <w:r w:rsidRPr="00060B29">
        <w:rPr>
          <w:rFonts w:asciiTheme="minorHAnsi" w:hAnsiTheme="minorHAnsi"/>
          <w:snapToGrid w:val="0"/>
        </w:rPr>
        <w:t xml:space="preserve"> </w:t>
      </w:r>
    </w:p>
    <w:p w:rsidR="00D31EBA" w:rsidRPr="00060B29" w:rsidRDefault="00D31EBA" w:rsidP="00B15687">
      <w:pPr>
        <w:pStyle w:val="3-BodyText"/>
        <w:rPr>
          <w:iCs/>
        </w:rPr>
      </w:pPr>
      <w:r w:rsidRPr="00060B29">
        <w:rPr>
          <w:iCs/>
        </w:rPr>
        <w:t>BSC was the nominated main comparator for both nintedanib and pirfenidone in patients with IPF. The PBAC</w:t>
      </w:r>
      <w:r w:rsidR="00563C56" w:rsidRPr="00060B29">
        <w:rPr>
          <w:iCs/>
        </w:rPr>
        <w:t xml:space="preserve"> previously</w:t>
      </w:r>
      <w:r w:rsidRPr="00060B29">
        <w:rPr>
          <w:iCs/>
        </w:rPr>
        <w:t xml:space="preserve"> considered that BSC was an appropriate comparator for either treatment in IPF. </w:t>
      </w:r>
      <w:r w:rsidR="00670D49" w:rsidRPr="00060B29">
        <w:rPr>
          <w:iCs/>
        </w:rPr>
        <w:t>P</w:t>
      </w:r>
      <w:r w:rsidRPr="00060B29">
        <w:rPr>
          <w:iCs/>
        </w:rPr>
        <w:t>irfenidone was</w:t>
      </w:r>
      <w:r w:rsidR="00670D49" w:rsidRPr="00060B29">
        <w:rPr>
          <w:iCs/>
        </w:rPr>
        <w:t xml:space="preserve"> also</w:t>
      </w:r>
      <w:r w:rsidRPr="00060B29">
        <w:rPr>
          <w:iCs/>
        </w:rPr>
        <w:t xml:space="preserve"> considered a relevant secondary comparator for nintedanib (para. 7.5, </w:t>
      </w:r>
      <w:r w:rsidR="001819A6" w:rsidRPr="00060B29">
        <w:rPr>
          <w:iCs/>
        </w:rPr>
        <w:t>PSD</w:t>
      </w:r>
      <w:r w:rsidRPr="00060B29">
        <w:rPr>
          <w:iCs/>
        </w:rPr>
        <w:t xml:space="preserve">, Nintedanib, November 2016 </w:t>
      </w:r>
      <w:r w:rsidR="009434F5" w:rsidRPr="00060B29">
        <w:rPr>
          <w:iCs/>
        </w:rPr>
        <w:t>m</w:t>
      </w:r>
      <w:r w:rsidRPr="00060B29">
        <w:rPr>
          <w:iCs/>
        </w:rPr>
        <w:t xml:space="preserve">eeting), and vice versa (para. 7.5, </w:t>
      </w:r>
      <w:r w:rsidR="001819A6" w:rsidRPr="00060B29">
        <w:rPr>
          <w:iCs/>
        </w:rPr>
        <w:t>PSD</w:t>
      </w:r>
      <w:r w:rsidRPr="00060B29">
        <w:rPr>
          <w:iCs/>
        </w:rPr>
        <w:t xml:space="preserve">, Pirfenidone, November 2016 </w:t>
      </w:r>
      <w:r w:rsidR="009434F5" w:rsidRPr="00060B29">
        <w:rPr>
          <w:iCs/>
        </w:rPr>
        <w:t>m</w:t>
      </w:r>
      <w:r w:rsidRPr="00060B29">
        <w:rPr>
          <w:iCs/>
        </w:rPr>
        <w:t xml:space="preserve">eeting). </w:t>
      </w:r>
    </w:p>
    <w:p w:rsidR="00702D02" w:rsidRPr="00060B29" w:rsidRDefault="00702D02" w:rsidP="00B15687">
      <w:pPr>
        <w:pStyle w:val="3-BodyText"/>
        <w:numPr>
          <w:ilvl w:val="0"/>
          <w:numId w:val="0"/>
        </w:numPr>
        <w:ind w:left="720"/>
        <w:rPr>
          <w:iCs/>
        </w:rPr>
      </w:pPr>
      <w:r w:rsidRPr="00060B29">
        <w:rPr>
          <w:i/>
          <w:iCs/>
          <w:color w:val="000000" w:themeColor="text1"/>
        </w:rPr>
        <w:t>For more detail on PBAC’s view, see section 7 PBAC outcome.</w:t>
      </w:r>
    </w:p>
    <w:p w:rsidR="00D31EBA" w:rsidRPr="00060B29" w:rsidRDefault="00D31EBA" w:rsidP="00FD38BF">
      <w:pPr>
        <w:pStyle w:val="2-SectionHeading"/>
      </w:pPr>
      <w:bookmarkStart w:id="17" w:name="_Toc58872437"/>
      <w:bookmarkStart w:id="18" w:name="_Toc22897640"/>
      <w:r w:rsidRPr="00060B29">
        <w:t>Consideration of the evidence</w:t>
      </w:r>
      <w:bookmarkEnd w:id="17"/>
    </w:p>
    <w:p w:rsidR="00702D02" w:rsidRPr="00060B29" w:rsidRDefault="00702D02" w:rsidP="00FD38BF">
      <w:pPr>
        <w:keepNext/>
        <w:spacing w:before="120" w:after="120"/>
        <w:outlineLvl w:val="1"/>
        <w:rPr>
          <w:rFonts w:asciiTheme="minorHAnsi" w:eastAsiaTheme="majorEastAsia" w:hAnsiTheme="minorHAnsi" w:cstheme="majorBidi"/>
          <w:b/>
          <w:i/>
          <w:spacing w:val="5"/>
          <w:kern w:val="28"/>
          <w:sz w:val="28"/>
          <w:szCs w:val="36"/>
        </w:rPr>
      </w:pPr>
      <w:r w:rsidRPr="00060B29">
        <w:rPr>
          <w:rFonts w:asciiTheme="minorHAnsi" w:eastAsiaTheme="majorEastAsia" w:hAnsiTheme="minorHAnsi" w:cstheme="majorBidi"/>
          <w:b/>
          <w:i/>
          <w:spacing w:val="5"/>
          <w:kern w:val="28"/>
          <w:sz w:val="28"/>
          <w:szCs w:val="36"/>
        </w:rPr>
        <w:t>Sponsor hearing</w:t>
      </w:r>
    </w:p>
    <w:p w:rsidR="00702D02" w:rsidRPr="00060B29" w:rsidRDefault="00CC4246" w:rsidP="00B15687">
      <w:pPr>
        <w:pStyle w:val="3-BodyText"/>
        <w:rPr>
          <w:color w:val="000000" w:themeColor="text1"/>
        </w:rPr>
      </w:pPr>
      <w:r w:rsidRPr="00060B29">
        <w:t xml:space="preserve">The sponsor requested a hearing for this item. The clinician </w:t>
      </w:r>
      <w:r w:rsidR="000E56A2" w:rsidRPr="00060B29">
        <w:t>considered</w:t>
      </w:r>
      <w:r w:rsidRPr="00060B29">
        <w:t xml:space="preserve"> that</w:t>
      </w:r>
      <w:r w:rsidR="00A10356" w:rsidRPr="00060B29">
        <w:t xml:space="preserve"> the availability </w:t>
      </w:r>
      <w:r w:rsidR="003A2A54" w:rsidRPr="00060B29">
        <w:t>of nintedanib</w:t>
      </w:r>
      <w:r w:rsidR="00A10356" w:rsidRPr="00060B29">
        <w:t xml:space="preserve"> has extended survival and reduced the number of fatal exacerbations </w:t>
      </w:r>
      <w:r w:rsidR="003A2A54" w:rsidRPr="00060B29">
        <w:t>of patients with IPF</w:t>
      </w:r>
      <w:r w:rsidR="00A10356" w:rsidRPr="00060B29">
        <w:t xml:space="preserve">. The clinician </w:t>
      </w:r>
      <w:r w:rsidR="003A2A54" w:rsidRPr="00060B29">
        <w:t xml:space="preserve">considered </w:t>
      </w:r>
      <w:r w:rsidR="00A10356" w:rsidRPr="00060B29">
        <w:t>that the</w:t>
      </w:r>
      <w:r w:rsidR="003A2A54" w:rsidRPr="00060B29">
        <w:t xml:space="preserve"> distinction between IPF and PF-ILD</w:t>
      </w:r>
      <w:r w:rsidR="00C86BCD" w:rsidRPr="00060B29">
        <w:t>s</w:t>
      </w:r>
      <w:r w:rsidR="003A2A54" w:rsidRPr="00060B29">
        <w:t xml:space="preserve"> was </w:t>
      </w:r>
      <w:r w:rsidR="00C86BCD" w:rsidRPr="00060B29">
        <w:t xml:space="preserve">largely </w:t>
      </w:r>
      <w:r w:rsidR="003A2A54" w:rsidRPr="00060B29">
        <w:t>arbitrar</w:t>
      </w:r>
      <w:r w:rsidR="00C86BCD" w:rsidRPr="00060B29">
        <w:t>y given these diseases are fundamentally fibrosing</w:t>
      </w:r>
      <w:r w:rsidR="003A28D3" w:rsidRPr="00060B29">
        <w:t xml:space="preserve"> and patients undergo a similar disease course</w:t>
      </w:r>
      <w:r w:rsidR="00C86BCD" w:rsidRPr="00060B29">
        <w:t xml:space="preserve">. </w:t>
      </w:r>
      <w:r w:rsidR="003A28D3" w:rsidRPr="00060B29">
        <w:t xml:space="preserve">The clinician </w:t>
      </w:r>
      <w:r w:rsidR="00ED417F" w:rsidRPr="00060B29">
        <w:t xml:space="preserve">noted that the results of the INBUILD trial reflected </w:t>
      </w:r>
      <w:r w:rsidR="00B76395" w:rsidRPr="00060B29">
        <w:t xml:space="preserve">the </w:t>
      </w:r>
      <w:r w:rsidR="000E56A2" w:rsidRPr="00060B29">
        <w:t xml:space="preserve">available </w:t>
      </w:r>
      <w:r w:rsidR="00B76395" w:rsidRPr="00060B29">
        <w:t>efficacy evidence</w:t>
      </w:r>
      <w:r w:rsidR="000E56A2" w:rsidRPr="00060B29">
        <w:t xml:space="preserve"> for nintedanib for the treatment of IPF. </w:t>
      </w:r>
      <w:r w:rsidR="00510EB5" w:rsidRPr="00060B29">
        <w:t>The clinician indicated that FVC is a reliable surrogate for mortality</w:t>
      </w:r>
      <w:r w:rsidR="00E84587" w:rsidRPr="00060B29">
        <w:t xml:space="preserve"> in patients with PF-ILD</w:t>
      </w:r>
      <w:r w:rsidR="00510EB5" w:rsidRPr="00060B29">
        <w:t xml:space="preserve"> </w:t>
      </w:r>
      <w:r w:rsidR="00E84587" w:rsidRPr="00060B29">
        <w:t xml:space="preserve">noting it is </w:t>
      </w:r>
      <w:r w:rsidR="00510EB5" w:rsidRPr="00060B29">
        <w:t>the main criterion used in clinical practice to make decisions around timing of transplants and referral of patients to palliative care</w:t>
      </w:r>
      <w:r w:rsidR="00E84587" w:rsidRPr="00060B29">
        <w:t xml:space="preserve">. </w:t>
      </w:r>
      <w:r w:rsidR="00820D07" w:rsidRPr="00060B29">
        <w:t xml:space="preserve">The clinician noted that most patients with PF-ILD are diagnosed relatively late in the disease course when FVC has already decreased substantially, and that </w:t>
      </w:r>
      <w:r w:rsidR="009E6231">
        <w:t>mortality is substantially higher when</w:t>
      </w:r>
      <w:r w:rsidR="00820D07" w:rsidRPr="00060B29">
        <w:t xml:space="preserve"> FVC%pred </w:t>
      </w:r>
      <w:r w:rsidR="009E6231">
        <w:t>falls below 50%</w:t>
      </w:r>
      <w:r w:rsidR="00820D07" w:rsidRPr="00060B29">
        <w:t>. In this regard, the clinician emphasised that the mean difference in reduction from baseline in FVC%pre</w:t>
      </w:r>
      <w:r w:rsidR="00746FB5" w:rsidRPr="00060B29">
        <w:t xml:space="preserve">d of 3.24% </w:t>
      </w:r>
      <w:r w:rsidR="00820D07" w:rsidRPr="00060B29">
        <w:t>between nintedanib and placebo arms</w:t>
      </w:r>
      <w:r w:rsidR="00746FB5" w:rsidRPr="00060B29">
        <w:t xml:space="preserve"> of the INBUILD trial</w:t>
      </w:r>
      <w:r w:rsidR="009E6231">
        <w:t xml:space="preserve"> </w:t>
      </w:r>
      <w:r w:rsidR="00820D07" w:rsidRPr="00060B29">
        <w:t>is clinically significant.</w:t>
      </w:r>
    </w:p>
    <w:p w:rsidR="00702D02" w:rsidRPr="009E6231" w:rsidRDefault="00702D02" w:rsidP="00B15687">
      <w:pPr>
        <w:spacing w:before="120" w:after="120"/>
        <w:outlineLvl w:val="1"/>
        <w:rPr>
          <w:rFonts w:asciiTheme="minorHAnsi" w:eastAsiaTheme="majorEastAsia" w:hAnsiTheme="minorHAnsi" w:cstheme="majorBidi"/>
          <w:b/>
          <w:spacing w:val="5"/>
          <w:kern w:val="28"/>
          <w:sz w:val="28"/>
          <w:szCs w:val="36"/>
        </w:rPr>
      </w:pPr>
      <w:r w:rsidRPr="00060B29">
        <w:rPr>
          <w:rFonts w:asciiTheme="minorHAnsi" w:eastAsiaTheme="majorEastAsia" w:hAnsiTheme="minorHAnsi" w:cstheme="majorBidi"/>
          <w:b/>
          <w:i/>
          <w:spacing w:val="5"/>
          <w:kern w:val="28"/>
          <w:sz w:val="28"/>
          <w:szCs w:val="36"/>
        </w:rPr>
        <w:t xml:space="preserve">Consumer comments </w:t>
      </w:r>
    </w:p>
    <w:p w:rsidR="00702D02" w:rsidRPr="00060B29" w:rsidRDefault="00F529A6" w:rsidP="00B15687">
      <w:pPr>
        <w:numPr>
          <w:ilvl w:val="1"/>
          <w:numId w:val="1"/>
        </w:numPr>
        <w:spacing w:after="120"/>
        <w:rPr>
          <w:rFonts w:asciiTheme="minorHAnsi" w:hAnsiTheme="minorHAnsi"/>
          <w:bCs/>
          <w:snapToGrid w:val="0"/>
          <w:lang w:eastAsia="en-US"/>
        </w:rPr>
      </w:pPr>
      <w:r w:rsidRPr="00060B29">
        <w:rPr>
          <w:rFonts w:asciiTheme="minorHAnsi" w:hAnsiTheme="minorHAnsi"/>
          <w:bCs/>
          <w:snapToGrid w:val="0"/>
          <w:lang w:eastAsia="en-US"/>
        </w:rPr>
        <w:t>The PBAC noted and welcomed the input from individuals (7), health care professionals (1) and organisations (3) via the Consumer Comments facility on the PBS website.</w:t>
      </w:r>
      <w:r w:rsidR="00C6539D" w:rsidRPr="00060B29">
        <w:rPr>
          <w:rFonts w:asciiTheme="minorHAnsi" w:hAnsiTheme="minorHAnsi"/>
          <w:bCs/>
          <w:snapToGrid w:val="0"/>
          <w:lang w:eastAsia="en-US"/>
        </w:rPr>
        <w:t xml:space="preserve"> </w:t>
      </w:r>
      <w:r w:rsidR="000F3F2F" w:rsidRPr="00060B29">
        <w:rPr>
          <w:rFonts w:asciiTheme="minorHAnsi" w:hAnsiTheme="minorHAnsi"/>
          <w:bCs/>
          <w:snapToGrid w:val="0"/>
          <w:lang w:eastAsia="en-US"/>
        </w:rPr>
        <w:t>The majority of comments</w:t>
      </w:r>
      <w:r w:rsidR="007A3442" w:rsidRPr="00060B29">
        <w:rPr>
          <w:rFonts w:asciiTheme="minorHAnsi" w:hAnsiTheme="minorHAnsi"/>
          <w:bCs/>
          <w:snapToGrid w:val="0"/>
          <w:lang w:eastAsia="en-US"/>
        </w:rPr>
        <w:t xml:space="preserve"> from individuals</w:t>
      </w:r>
      <w:r w:rsidR="000F3F2F" w:rsidRPr="00060B29">
        <w:rPr>
          <w:rFonts w:asciiTheme="minorHAnsi" w:hAnsiTheme="minorHAnsi"/>
          <w:bCs/>
          <w:snapToGrid w:val="0"/>
          <w:lang w:eastAsia="en-US"/>
        </w:rPr>
        <w:t xml:space="preserve"> were from family members of patients with SSc-ILD</w:t>
      </w:r>
      <w:r w:rsidR="00187B03" w:rsidRPr="00060B29">
        <w:rPr>
          <w:rFonts w:asciiTheme="minorHAnsi" w:hAnsiTheme="minorHAnsi"/>
          <w:bCs/>
          <w:snapToGrid w:val="0"/>
          <w:lang w:eastAsia="en-US"/>
        </w:rPr>
        <w:t>. The comments noted that patients and their families were currently funding treatment with nintedanib on their own</w:t>
      </w:r>
      <w:r w:rsidR="007F0F10" w:rsidRPr="00060B29">
        <w:rPr>
          <w:rFonts w:asciiTheme="minorHAnsi" w:hAnsiTheme="minorHAnsi"/>
          <w:bCs/>
          <w:snapToGrid w:val="0"/>
          <w:lang w:eastAsia="en-US"/>
        </w:rPr>
        <w:t>, and that the cost of treatment was associated with a high financial burden.</w:t>
      </w:r>
      <w:r w:rsidR="00187B03" w:rsidRPr="00060B29">
        <w:rPr>
          <w:rFonts w:asciiTheme="minorHAnsi" w:hAnsiTheme="minorHAnsi"/>
          <w:bCs/>
          <w:snapToGrid w:val="0"/>
          <w:lang w:eastAsia="en-US"/>
        </w:rPr>
        <w:t xml:space="preserve"> </w:t>
      </w:r>
      <w:r w:rsidR="00292F4F" w:rsidRPr="00060B29">
        <w:rPr>
          <w:rFonts w:asciiTheme="minorHAnsi" w:hAnsiTheme="minorHAnsi"/>
          <w:bCs/>
          <w:snapToGrid w:val="0"/>
          <w:lang w:eastAsia="en-US"/>
        </w:rPr>
        <w:t>T</w:t>
      </w:r>
      <w:r w:rsidR="007F0F10" w:rsidRPr="00060B29">
        <w:rPr>
          <w:rFonts w:asciiTheme="minorHAnsi" w:hAnsiTheme="minorHAnsi"/>
          <w:bCs/>
          <w:snapToGrid w:val="0"/>
          <w:lang w:eastAsia="en-US"/>
        </w:rPr>
        <w:t>he health care professional noted improvements in terms of lung function and quality of life in patients with SSc-ILD who have been able to access nintedanib</w:t>
      </w:r>
      <w:r w:rsidR="00E73DB4" w:rsidRPr="00060B29">
        <w:rPr>
          <w:rFonts w:asciiTheme="minorHAnsi" w:hAnsiTheme="minorHAnsi"/>
          <w:bCs/>
          <w:snapToGrid w:val="0"/>
          <w:lang w:eastAsia="en-US"/>
        </w:rPr>
        <w:t>.</w:t>
      </w:r>
    </w:p>
    <w:p w:rsidR="00292F4F" w:rsidRPr="00060B29" w:rsidRDefault="00292F4F" w:rsidP="00B15687">
      <w:pPr>
        <w:pStyle w:val="3-BodyText"/>
        <w:rPr>
          <w:bCs/>
          <w:lang w:eastAsia="en-US"/>
        </w:rPr>
      </w:pPr>
      <w:r w:rsidRPr="00060B29">
        <w:rPr>
          <w:bCs/>
          <w:lang w:eastAsia="en-US"/>
        </w:rPr>
        <w:t xml:space="preserve">The Australian Idiopathic Pulmonary Fibrosis Registry Steering Committee and the Australian Interstitial Lung Disease Registry, Centre of Research Excellence in Pulmonary Fibrosis and </w:t>
      </w:r>
      <w:r w:rsidR="007A3442" w:rsidRPr="00060B29">
        <w:rPr>
          <w:bCs/>
          <w:lang w:eastAsia="en-US"/>
        </w:rPr>
        <w:t xml:space="preserve">the Lung Foundation Australia </w:t>
      </w:r>
      <w:r w:rsidR="00E634E4" w:rsidRPr="00060B29">
        <w:rPr>
          <w:bCs/>
          <w:lang w:eastAsia="en-US"/>
        </w:rPr>
        <w:t xml:space="preserve">strongly supported listing nintedanib on the PBS for the treatment of PF-ILD. </w:t>
      </w:r>
      <w:r w:rsidR="001E2CD7" w:rsidRPr="00060B29">
        <w:rPr>
          <w:bCs/>
          <w:lang w:eastAsia="en-US"/>
        </w:rPr>
        <w:t>The comments emphasised the high</w:t>
      </w:r>
      <w:r w:rsidR="0070365E" w:rsidRPr="00060B29">
        <w:rPr>
          <w:bCs/>
          <w:lang w:eastAsia="en-US"/>
        </w:rPr>
        <w:t xml:space="preserve"> unmet</w:t>
      </w:r>
      <w:r w:rsidR="001E2CD7" w:rsidRPr="00060B29">
        <w:rPr>
          <w:bCs/>
          <w:lang w:eastAsia="en-US"/>
        </w:rPr>
        <w:t xml:space="preserve"> clinical need for effecti</w:t>
      </w:r>
      <w:r w:rsidR="00807776" w:rsidRPr="00060B29">
        <w:rPr>
          <w:bCs/>
          <w:lang w:eastAsia="en-US"/>
        </w:rPr>
        <w:t xml:space="preserve">ve treatments for </w:t>
      </w:r>
      <w:r w:rsidR="001E2CD7" w:rsidRPr="00060B29">
        <w:rPr>
          <w:bCs/>
          <w:lang w:eastAsia="en-US"/>
        </w:rPr>
        <w:t>PF-ILD</w:t>
      </w:r>
      <w:r w:rsidR="00807776" w:rsidRPr="00060B29">
        <w:rPr>
          <w:bCs/>
          <w:lang w:eastAsia="en-US"/>
        </w:rPr>
        <w:t>,</w:t>
      </w:r>
      <w:r w:rsidR="001E2CD7" w:rsidRPr="00060B29">
        <w:rPr>
          <w:bCs/>
          <w:lang w:eastAsia="en-US"/>
        </w:rPr>
        <w:t xml:space="preserve"> </w:t>
      </w:r>
      <w:r w:rsidR="00807776" w:rsidRPr="00060B29">
        <w:rPr>
          <w:bCs/>
          <w:lang w:eastAsia="en-US"/>
        </w:rPr>
        <w:t>which has a progressive disease course</w:t>
      </w:r>
      <w:r w:rsidR="00500311" w:rsidRPr="00060B29">
        <w:rPr>
          <w:bCs/>
          <w:lang w:eastAsia="en-US"/>
        </w:rPr>
        <w:t xml:space="preserve"> similar</w:t>
      </w:r>
      <w:r w:rsidR="00807776" w:rsidRPr="00060B29">
        <w:rPr>
          <w:bCs/>
          <w:lang w:eastAsia="en-US"/>
        </w:rPr>
        <w:t xml:space="preserve"> to IPF. T</w:t>
      </w:r>
      <w:r w:rsidR="00500311" w:rsidRPr="00060B29">
        <w:rPr>
          <w:bCs/>
          <w:lang w:eastAsia="en-US"/>
        </w:rPr>
        <w:t xml:space="preserve">he comments </w:t>
      </w:r>
      <w:r w:rsidR="00807776" w:rsidRPr="00060B29">
        <w:rPr>
          <w:bCs/>
          <w:lang w:eastAsia="en-US"/>
        </w:rPr>
        <w:t xml:space="preserve">noted there </w:t>
      </w:r>
      <w:r w:rsidR="00500311" w:rsidRPr="00060B29">
        <w:rPr>
          <w:bCs/>
          <w:lang w:eastAsia="en-US"/>
        </w:rPr>
        <w:t>were</w:t>
      </w:r>
      <w:r w:rsidR="00807776" w:rsidRPr="00060B29">
        <w:rPr>
          <w:bCs/>
          <w:lang w:eastAsia="en-US"/>
        </w:rPr>
        <w:t xml:space="preserve"> currently </w:t>
      </w:r>
      <w:r w:rsidR="00043665" w:rsidRPr="00060B29">
        <w:rPr>
          <w:bCs/>
          <w:lang w:eastAsia="en-US"/>
        </w:rPr>
        <w:t>no compassionate access schemes</w:t>
      </w:r>
      <w:r w:rsidR="00500311" w:rsidRPr="00060B29">
        <w:rPr>
          <w:bCs/>
          <w:lang w:eastAsia="en-US"/>
        </w:rPr>
        <w:t xml:space="preserve"> available</w:t>
      </w:r>
      <w:r w:rsidR="00043665" w:rsidRPr="00060B29">
        <w:rPr>
          <w:bCs/>
          <w:lang w:eastAsia="en-US"/>
        </w:rPr>
        <w:t xml:space="preserve"> for nintedanib in PF-ILD</w:t>
      </w:r>
      <w:r w:rsidR="008C265A" w:rsidRPr="00060B29">
        <w:rPr>
          <w:bCs/>
          <w:lang w:eastAsia="en-US"/>
        </w:rPr>
        <w:t xml:space="preserve"> and the high cost of nintedanib treatment through private script would </w:t>
      </w:r>
      <w:r w:rsidR="00F81CD2" w:rsidRPr="00060B29">
        <w:rPr>
          <w:bCs/>
          <w:lang w:eastAsia="en-US"/>
        </w:rPr>
        <w:t>restrict the majority of patients from access</w:t>
      </w:r>
      <w:r w:rsidR="00060B29" w:rsidRPr="00060B29">
        <w:rPr>
          <w:bCs/>
          <w:lang w:eastAsia="en-US"/>
        </w:rPr>
        <w:t xml:space="preserve">. </w:t>
      </w:r>
    </w:p>
    <w:p w:rsidR="00D31EBA" w:rsidRPr="00060B29" w:rsidRDefault="00D31EBA" w:rsidP="00FD38BF">
      <w:pPr>
        <w:keepNext/>
        <w:spacing w:before="120" w:after="120"/>
        <w:outlineLvl w:val="1"/>
        <w:rPr>
          <w:rFonts w:asciiTheme="minorHAnsi" w:eastAsiaTheme="majorEastAsia" w:hAnsiTheme="minorHAnsi" w:cstheme="majorBidi"/>
          <w:b/>
          <w:i/>
          <w:spacing w:val="5"/>
          <w:kern w:val="28"/>
          <w:sz w:val="28"/>
          <w:szCs w:val="36"/>
        </w:rPr>
      </w:pPr>
      <w:r w:rsidRPr="00060B29">
        <w:rPr>
          <w:rFonts w:asciiTheme="minorHAnsi" w:eastAsiaTheme="majorEastAsia" w:hAnsiTheme="minorHAnsi" w:cstheme="majorBidi"/>
          <w:b/>
          <w:i/>
          <w:spacing w:val="5"/>
          <w:kern w:val="28"/>
          <w:sz w:val="28"/>
          <w:szCs w:val="36"/>
        </w:rPr>
        <w:t>Clinical trials</w:t>
      </w:r>
      <w:bookmarkEnd w:id="18"/>
    </w:p>
    <w:p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rPr>
        <w:t xml:space="preserve">The submission was based on one </w:t>
      </w:r>
      <w:r w:rsidR="00C92EFF" w:rsidRPr="00060B29">
        <w:rPr>
          <w:rFonts w:asciiTheme="minorHAnsi" w:hAnsiTheme="minorHAnsi"/>
        </w:rPr>
        <w:t>double-blind, randomi</w:t>
      </w:r>
      <w:r w:rsidR="00670D49" w:rsidRPr="00060B29">
        <w:rPr>
          <w:rFonts w:asciiTheme="minorHAnsi" w:hAnsiTheme="minorHAnsi"/>
        </w:rPr>
        <w:t>s</w:t>
      </w:r>
      <w:r w:rsidR="00C92EFF" w:rsidRPr="00060B29">
        <w:rPr>
          <w:rFonts w:asciiTheme="minorHAnsi" w:hAnsiTheme="minorHAnsi"/>
        </w:rPr>
        <w:t>ed</w:t>
      </w:r>
      <w:r w:rsidRPr="00060B29">
        <w:rPr>
          <w:rFonts w:asciiTheme="minorHAnsi" w:hAnsiTheme="minorHAnsi"/>
        </w:rPr>
        <w:t xml:space="preserve"> </w:t>
      </w:r>
      <w:r w:rsidR="00C92EFF" w:rsidRPr="00060B29">
        <w:rPr>
          <w:rFonts w:asciiTheme="minorHAnsi" w:hAnsiTheme="minorHAnsi"/>
        </w:rPr>
        <w:t xml:space="preserve">controlled </w:t>
      </w:r>
      <w:r w:rsidRPr="00060B29">
        <w:rPr>
          <w:rFonts w:asciiTheme="minorHAnsi" w:hAnsiTheme="minorHAnsi"/>
        </w:rPr>
        <w:t xml:space="preserve">trial </w:t>
      </w:r>
      <w:r w:rsidR="00C92EFF" w:rsidRPr="00060B29">
        <w:rPr>
          <w:rFonts w:asciiTheme="minorHAnsi" w:hAnsiTheme="minorHAnsi"/>
        </w:rPr>
        <w:t xml:space="preserve">(RCT) </w:t>
      </w:r>
      <w:r w:rsidRPr="00060B29">
        <w:rPr>
          <w:rFonts w:asciiTheme="minorHAnsi" w:hAnsiTheme="minorHAnsi"/>
        </w:rPr>
        <w:t xml:space="preserve">comparing nintedanib </w:t>
      </w:r>
      <w:r w:rsidR="00C92EFF" w:rsidRPr="00060B29">
        <w:rPr>
          <w:rFonts w:asciiTheme="minorHAnsi" w:hAnsiTheme="minorHAnsi"/>
        </w:rPr>
        <w:t xml:space="preserve">+BSC </w:t>
      </w:r>
      <w:r w:rsidRPr="00060B29">
        <w:rPr>
          <w:rFonts w:asciiTheme="minorHAnsi" w:hAnsiTheme="minorHAnsi"/>
        </w:rPr>
        <w:t xml:space="preserve">to placebo </w:t>
      </w:r>
      <w:r w:rsidR="00853D78" w:rsidRPr="00060B29">
        <w:rPr>
          <w:rFonts w:asciiTheme="minorHAnsi" w:hAnsiTheme="minorHAnsi"/>
        </w:rPr>
        <w:t xml:space="preserve">+ BSC </w:t>
      </w:r>
      <w:r w:rsidRPr="00060B29">
        <w:rPr>
          <w:rFonts w:asciiTheme="minorHAnsi" w:hAnsiTheme="minorHAnsi"/>
        </w:rPr>
        <w:t>(n=663) (Trial 1199.247 or INBUILD</w:t>
      </w:r>
      <w:r w:rsidRPr="00060B29">
        <w:rPr>
          <w:rFonts w:asciiTheme="minorHAnsi" w:hAnsiTheme="minorHAnsi"/>
          <w:color w:val="000000" w:themeColor="text1"/>
        </w:rPr>
        <w:t xml:space="preserve">). </w:t>
      </w:r>
    </w:p>
    <w:p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rPr>
        <w:t xml:space="preserve">Details of the trial presented in the submission are provided in </w:t>
      </w:r>
      <w:r w:rsidR="0011364A" w:rsidRPr="00060B29">
        <w:rPr>
          <w:rFonts w:asciiTheme="minorHAnsi" w:hAnsiTheme="minorHAnsi"/>
        </w:rPr>
        <w:t>Table 2</w:t>
      </w:r>
      <w:r w:rsidRPr="00060B29">
        <w:rPr>
          <w:rFonts w:asciiTheme="minorHAnsi" w:hAnsiTheme="minorHAnsi"/>
        </w:rPr>
        <w:t xml:space="preserve">. </w:t>
      </w:r>
    </w:p>
    <w:p w:rsidR="00E0090D" w:rsidRDefault="00E0090D">
      <w:pPr>
        <w:jc w:val="left"/>
        <w:rPr>
          <w:rFonts w:ascii="Arial Narrow" w:eastAsiaTheme="majorEastAsia" w:hAnsi="Arial Narrow" w:cstheme="majorBidi"/>
          <w:b/>
          <w:bCs/>
          <w:sz w:val="20"/>
        </w:rPr>
      </w:pPr>
      <w:r>
        <w:rPr>
          <w:rFonts w:ascii="Arial Narrow" w:eastAsiaTheme="majorEastAsia" w:hAnsi="Arial Narrow" w:cstheme="majorBidi"/>
          <w:b/>
          <w:bCs/>
          <w:sz w:val="20"/>
        </w:rPr>
        <w:br w:type="page"/>
      </w:r>
    </w:p>
    <w:p w:rsidR="00D31EBA" w:rsidRPr="00060B29" w:rsidRDefault="00D31EBA"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2: Trial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5527"/>
        <w:gridCol w:w="2218"/>
      </w:tblGrid>
      <w:tr w:rsidR="00D31EBA" w:rsidRPr="00060B29" w:rsidTr="0027037A">
        <w:trPr>
          <w:cantSplit/>
          <w:tblHeader/>
        </w:trPr>
        <w:tc>
          <w:tcPr>
            <w:tcW w:w="705" w:type="pct"/>
            <w:tcBorders>
              <w:bottom w:val="single" w:sz="4" w:space="0" w:color="auto"/>
            </w:tcBorders>
            <w:vAlign w:val="center"/>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Trial ID</w:t>
            </w:r>
          </w:p>
        </w:tc>
        <w:tc>
          <w:tcPr>
            <w:tcW w:w="3065" w:type="pct"/>
            <w:tcBorders>
              <w:bottom w:val="single" w:sz="4" w:space="0" w:color="auto"/>
            </w:tcBorders>
            <w:vAlign w:val="center"/>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Protocol title/ Publication title</w:t>
            </w:r>
          </w:p>
        </w:tc>
        <w:tc>
          <w:tcPr>
            <w:tcW w:w="1230" w:type="pct"/>
            <w:tcBorders>
              <w:bottom w:val="single" w:sz="4" w:space="0" w:color="auto"/>
            </w:tcBorders>
            <w:vAlign w:val="center"/>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Publication citation</w:t>
            </w:r>
          </w:p>
        </w:tc>
      </w:tr>
      <w:tr w:rsidR="00D31EBA" w:rsidRPr="00060B29" w:rsidTr="0027037A">
        <w:trPr>
          <w:cantSplit/>
        </w:trPr>
        <w:tc>
          <w:tcPr>
            <w:tcW w:w="705" w:type="pct"/>
            <w:tcBorders>
              <w:bottom w:val="nil"/>
            </w:tcBorders>
          </w:tcPr>
          <w:p w:rsidR="00D31EBA" w:rsidRPr="00060B29" w:rsidRDefault="00D31EBA" w:rsidP="00B15687">
            <w:pPr>
              <w:spacing w:before="40" w:after="40"/>
              <w:jc w:val="left"/>
              <w:rPr>
                <w:rFonts w:ascii="Arial Narrow" w:eastAsiaTheme="majorEastAsia" w:hAnsi="Arial Narrow" w:cstheme="majorBidi"/>
                <w:bCs/>
                <w:sz w:val="20"/>
              </w:rPr>
            </w:pPr>
            <w:r w:rsidRPr="00060B29">
              <w:rPr>
                <w:rFonts w:ascii="Arial Narrow" w:eastAsiaTheme="majorEastAsia" w:hAnsi="Arial Narrow" w:cstheme="majorBidi"/>
                <w:bCs/>
                <w:sz w:val="20"/>
              </w:rPr>
              <w:t>Trial 1199.247 (INBUILD)</w:t>
            </w:r>
          </w:p>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w:t>
            </w:r>
            <w:r w:rsidRPr="00FD38BF">
              <w:rPr>
                <w:rFonts w:ascii="Arial Narrow" w:eastAsiaTheme="majorEastAsia" w:hAnsi="Arial Narrow" w:cstheme="majorBidi"/>
                <w:bCs/>
                <w:sz w:val="20"/>
              </w:rPr>
              <w:t>NCT02999178</w:t>
            </w:r>
            <w:r w:rsidRPr="00060B29">
              <w:rPr>
                <w:rFonts w:ascii="Arial Narrow" w:eastAsiaTheme="majorEastAsia" w:hAnsi="Arial Narrow" w:cstheme="majorBidi"/>
                <w:bCs/>
                <w:sz w:val="20"/>
              </w:rPr>
              <w:t>)</w:t>
            </w:r>
          </w:p>
        </w:tc>
        <w:tc>
          <w:tcPr>
            <w:tcW w:w="3065" w:type="pct"/>
            <w:tcBorders>
              <w:bottom w:val="nil"/>
            </w:tcBorders>
          </w:tcPr>
          <w:p w:rsidR="00D31EBA" w:rsidRPr="00060B29" w:rsidRDefault="00D31EBA" w:rsidP="00B15687">
            <w:pPr>
              <w:spacing w:before="40" w:after="40"/>
              <w:jc w:val="left"/>
              <w:rPr>
                <w:rFonts w:ascii="Arial Narrow" w:eastAsiaTheme="majorEastAsia" w:hAnsi="Arial Narrow" w:cstheme="majorBidi"/>
                <w:bCs/>
                <w:sz w:val="20"/>
                <w:szCs w:val="18"/>
              </w:rPr>
            </w:pPr>
            <w:r w:rsidRPr="00060B29">
              <w:rPr>
                <w:rFonts w:ascii="Arial Narrow" w:eastAsiaTheme="majorEastAsia" w:hAnsi="Arial Narrow" w:cstheme="majorBidi"/>
                <w:bCs/>
                <w:sz w:val="20"/>
                <w:szCs w:val="18"/>
              </w:rPr>
              <w:t>Clinical Trial Report title</w:t>
            </w:r>
          </w:p>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szCs w:val="18"/>
              </w:rPr>
              <w:t>INBUILD</w:t>
            </w:r>
            <w:r w:rsidRPr="00060B29">
              <w:rPr>
                <w:rFonts w:ascii="Arial Narrow" w:eastAsiaTheme="majorEastAsia" w:hAnsi="Arial Narrow" w:cstheme="majorBidi"/>
                <w:bCs/>
                <w:sz w:val="20"/>
                <w:szCs w:val="18"/>
                <w:vertAlign w:val="superscript"/>
              </w:rPr>
              <w:t>®</w:t>
            </w:r>
            <w:r w:rsidRPr="00060B29">
              <w:rPr>
                <w:rFonts w:ascii="Arial Narrow" w:eastAsiaTheme="majorEastAsia" w:hAnsi="Arial Narrow" w:cstheme="majorBidi"/>
                <w:bCs/>
                <w:sz w:val="20"/>
                <w:szCs w:val="18"/>
              </w:rPr>
              <w:t>: A double-blind, randomized, placebo-controlled trial evaluating the effic</w:t>
            </w:r>
            <w:r w:rsidR="006D101B" w:rsidRPr="00060B29">
              <w:rPr>
                <w:rFonts w:ascii="Arial Narrow" w:eastAsiaTheme="majorEastAsia" w:hAnsi="Arial Narrow" w:cstheme="majorBidi"/>
                <w:bCs/>
                <w:sz w:val="20"/>
                <w:szCs w:val="18"/>
              </w:rPr>
              <w:t>acy and safety of nintedanib ov</w:t>
            </w:r>
            <w:r w:rsidRPr="00060B29">
              <w:rPr>
                <w:rFonts w:ascii="Arial Narrow" w:eastAsiaTheme="majorEastAsia" w:hAnsi="Arial Narrow" w:cstheme="majorBidi"/>
                <w:bCs/>
                <w:sz w:val="20"/>
                <w:szCs w:val="18"/>
              </w:rPr>
              <w:t>er 52 weeks in patients with Progressive Fibrosing Interstitial Lung Disease (PF-ILD). (Document Number: c26471552-02)</w:t>
            </w:r>
          </w:p>
        </w:tc>
        <w:tc>
          <w:tcPr>
            <w:tcW w:w="1230" w:type="pct"/>
            <w:tcBorders>
              <w:bottom w:val="nil"/>
            </w:tcBorders>
          </w:tcPr>
          <w:p w:rsidR="00D31EBA" w:rsidRPr="00060B29" w:rsidRDefault="00D31EBA" w:rsidP="00B15687">
            <w:pPr>
              <w:spacing w:before="40" w:after="40"/>
              <w:jc w:val="left"/>
              <w:rPr>
                <w:rFonts w:ascii="Arial Narrow" w:eastAsiaTheme="majorEastAsia" w:hAnsi="Arial Narrow" w:cstheme="majorBidi"/>
                <w:bCs/>
                <w:sz w:val="20"/>
                <w:szCs w:val="18"/>
              </w:rPr>
            </w:pPr>
            <w:r w:rsidRPr="00060B29">
              <w:rPr>
                <w:rFonts w:ascii="Arial Narrow" w:eastAsiaTheme="majorEastAsia" w:hAnsi="Arial Narrow" w:cstheme="majorBidi"/>
                <w:bCs/>
                <w:sz w:val="20"/>
                <w:szCs w:val="18"/>
              </w:rPr>
              <w:t>November 2019</w:t>
            </w:r>
          </w:p>
          <w:p w:rsidR="00D31EBA" w:rsidRPr="00060B29" w:rsidRDefault="00D31EBA" w:rsidP="00B15687">
            <w:pPr>
              <w:jc w:val="left"/>
              <w:rPr>
                <w:rFonts w:ascii="Arial Narrow" w:eastAsiaTheme="majorEastAsia" w:hAnsi="Arial Narrow" w:cstheme="majorBidi"/>
                <w:bCs/>
                <w:i/>
                <w:sz w:val="20"/>
              </w:rPr>
            </w:pPr>
          </w:p>
        </w:tc>
      </w:tr>
      <w:tr w:rsidR="00553FA9" w:rsidRPr="00060B29" w:rsidTr="0027037A">
        <w:trPr>
          <w:cantSplit/>
        </w:trPr>
        <w:tc>
          <w:tcPr>
            <w:tcW w:w="705" w:type="pct"/>
            <w:tcBorders>
              <w:top w:val="nil"/>
              <w:bottom w:val="nil"/>
            </w:tcBorders>
          </w:tcPr>
          <w:p w:rsidR="00553FA9" w:rsidRPr="00060B29" w:rsidRDefault="00553FA9" w:rsidP="00B15687">
            <w:pPr>
              <w:spacing w:before="40" w:after="40"/>
              <w:jc w:val="left"/>
              <w:rPr>
                <w:rFonts w:ascii="Arial Narrow" w:eastAsiaTheme="majorEastAsia" w:hAnsi="Arial Narrow" w:cstheme="majorBidi"/>
                <w:bCs/>
                <w:sz w:val="20"/>
              </w:rPr>
            </w:pPr>
          </w:p>
        </w:tc>
        <w:tc>
          <w:tcPr>
            <w:tcW w:w="3065" w:type="pct"/>
            <w:tcBorders>
              <w:top w:val="nil"/>
              <w:bottom w:val="nil"/>
            </w:tcBorders>
          </w:tcPr>
          <w:p w:rsidR="00553FA9" w:rsidRPr="00060B29" w:rsidRDefault="00553FA9" w:rsidP="00B15687">
            <w:pPr>
              <w:spacing w:before="40" w:after="40"/>
              <w:jc w:val="left"/>
              <w:rPr>
                <w:rFonts w:ascii="Arial Narrow" w:eastAsiaTheme="majorEastAsia" w:hAnsi="Arial Narrow" w:cstheme="majorBidi"/>
                <w:bCs/>
                <w:i/>
                <w:iCs/>
                <w:sz w:val="20"/>
                <w:szCs w:val="18"/>
              </w:rPr>
            </w:pPr>
            <w:r w:rsidRPr="00060B29">
              <w:rPr>
                <w:rFonts w:ascii="Arial Narrow" w:eastAsiaTheme="majorEastAsia" w:hAnsi="Arial Narrow" w:cstheme="majorBidi"/>
                <w:bCs/>
                <w:i/>
                <w:iCs/>
                <w:sz w:val="20"/>
                <w:szCs w:val="18"/>
              </w:rPr>
              <w:t>Nintedanib for the Treatment of Progressive-fibrosing Interstitial Lung Disease, Technical Report (EVA-20662-00), version 1.0, 19 November 2019 (provided as Attachment 20 of the submission).</w:t>
            </w:r>
          </w:p>
        </w:tc>
        <w:tc>
          <w:tcPr>
            <w:tcW w:w="1230" w:type="pct"/>
            <w:tcBorders>
              <w:top w:val="nil"/>
              <w:bottom w:val="nil"/>
            </w:tcBorders>
          </w:tcPr>
          <w:p w:rsidR="00553FA9" w:rsidRPr="00060B29" w:rsidRDefault="00553FA9" w:rsidP="00B15687">
            <w:pPr>
              <w:spacing w:before="40" w:after="40"/>
              <w:jc w:val="left"/>
              <w:rPr>
                <w:rFonts w:ascii="Arial Narrow" w:eastAsiaTheme="majorEastAsia" w:hAnsi="Arial Narrow" w:cstheme="majorBidi"/>
                <w:bCs/>
                <w:i/>
                <w:iCs/>
                <w:sz w:val="20"/>
                <w:szCs w:val="18"/>
              </w:rPr>
            </w:pPr>
            <w:r w:rsidRPr="00060B29">
              <w:rPr>
                <w:rFonts w:ascii="Arial Narrow" w:eastAsiaTheme="majorEastAsia" w:hAnsi="Arial Narrow" w:cstheme="majorBidi"/>
                <w:bCs/>
                <w:i/>
                <w:iCs/>
                <w:sz w:val="20"/>
                <w:szCs w:val="18"/>
              </w:rPr>
              <w:t>Unpublished</w:t>
            </w:r>
          </w:p>
        </w:tc>
      </w:tr>
      <w:tr w:rsidR="00D31EBA" w:rsidRPr="00060B29" w:rsidTr="0027037A">
        <w:trPr>
          <w:cantSplit/>
        </w:trPr>
        <w:tc>
          <w:tcPr>
            <w:tcW w:w="705" w:type="pct"/>
            <w:tcBorders>
              <w:top w:val="nil"/>
              <w:bottom w:val="nil"/>
            </w:tcBorders>
            <w:vAlign w:val="center"/>
          </w:tcPr>
          <w:p w:rsidR="00D31EBA" w:rsidRPr="00060B29" w:rsidRDefault="00D31EBA" w:rsidP="00B15687">
            <w:pPr>
              <w:jc w:val="left"/>
              <w:rPr>
                <w:rFonts w:ascii="Arial Narrow" w:eastAsiaTheme="majorEastAsia" w:hAnsi="Arial Narrow" w:cstheme="majorBidi"/>
                <w:bCs/>
                <w:sz w:val="20"/>
              </w:rPr>
            </w:pPr>
          </w:p>
        </w:tc>
        <w:tc>
          <w:tcPr>
            <w:tcW w:w="3065" w:type="pct"/>
            <w:tcBorders>
              <w:top w:val="nil"/>
              <w:bottom w:val="nil"/>
            </w:tcBorders>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szCs w:val="18"/>
              </w:rPr>
              <w:t xml:space="preserve">Flaherty KR, Wells AU, Cottin V, et al.; INBUILD Trial Investigators. Nintedanib in Progressive Fibrosing Interstitial Lung Diseases. </w:t>
            </w:r>
          </w:p>
        </w:tc>
        <w:tc>
          <w:tcPr>
            <w:tcW w:w="1230" w:type="pct"/>
            <w:tcBorders>
              <w:top w:val="nil"/>
              <w:bottom w:val="nil"/>
            </w:tcBorders>
          </w:tcPr>
          <w:p w:rsidR="00D31EBA" w:rsidRPr="00060B29" w:rsidRDefault="00D31EBA" w:rsidP="00B15687">
            <w:pPr>
              <w:jc w:val="left"/>
              <w:rPr>
                <w:rFonts w:ascii="Arial Narrow" w:eastAsiaTheme="majorEastAsia" w:hAnsi="Arial Narrow" w:cstheme="majorBidi"/>
                <w:bCs/>
                <w:i/>
                <w:sz w:val="20"/>
              </w:rPr>
            </w:pPr>
            <w:r w:rsidRPr="00060B29">
              <w:rPr>
                <w:rFonts w:ascii="Arial Narrow" w:eastAsiaTheme="majorEastAsia" w:hAnsi="Arial Narrow" w:cstheme="majorBidi"/>
                <w:bCs/>
                <w:i/>
                <w:iCs/>
                <w:sz w:val="20"/>
                <w:szCs w:val="18"/>
              </w:rPr>
              <w:t>NEJM</w:t>
            </w:r>
            <w:r w:rsidRPr="00060B29">
              <w:rPr>
                <w:rFonts w:ascii="Arial Narrow" w:eastAsiaTheme="majorEastAsia" w:hAnsi="Arial Narrow" w:cstheme="majorBidi"/>
                <w:bCs/>
                <w:sz w:val="20"/>
                <w:szCs w:val="18"/>
              </w:rPr>
              <w:t xml:space="preserve"> 2019; 381(18):1718-1727. </w:t>
            </w:r>
          </w:p>
        </w:tc>
      </w:tr>
      <w:tr w:rsidR="00D31EBA" w:rsidRPr="00060B29" w:rsidTr="0027037A">
        <w:trPr>
          <w:cantSplit/>
        </w:trPr>
        <w:tc>
          <w:tcPr>
            <w:tcW w:w="705" w:type="pct"/>
            <w:tcBorders>
              <w:top w:val="nil"/>
              <w:bottom w:val="nil"/>
            </w:tcBorders>
            <w:vAlign w:val="center"/>
          </w:tcPr>
          <w:p w:rsidR="00D31EBA" w:rsidRPr="00060B29" w:rsidRDefault="00D31EBA" w:rsidP="00B15687">
            <w:pPr>
              <w:jc w:val="left"/>
              <w:rPr>
                <w:rFonts w:ascii="Arial Narrow" w:eastAsiaTheme="majorEastAsia" w:hAnsi="Arial Narrow" w:cstheme="majorBidi"/>
                <w:bCs/>
                <w:sz w:val="20"/>
              </w:rPr>
            </w:pPr>
          </w:p>
        </w:tc>
        <w:tc>
          <w:tcPr>
            <w:tcW w:w="3065" w:type="pct"/>
            <w:tcBorders>
              <w:top w:val="nil"/>
              <w:bottom w:val="nil"/>
            </w:tcBorders>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szCs w:val="18"/>
              </w:rPr>
              <w:t xml:space="preserve">Flaherty KR, Brown KK, Wells AU, et at. Design of the PF-ILD trial: a double-blind, randomised, placebo-controlled phase III trial of nintedanib in patients with progressive fibrosing interstitial lung disease. </w:t>
            </w:r>
          </w:p>
        </w:tc>
        <w:tc>
          <w:tcPr>
            <w:tcW w:w="1230" w:type="pct"/>
            <w:tcBorders>
              <w:top w:val="nil"/>
              <w:bottom w:val="nil"/>
            </w:tcBorders>
          </w:tcPr>
          <w:p w:rsidR="00D31EBA" w:rsidRPr="00060B29" w:rsidRDefault="00D31EBA" w:rsidP="00B15687">
            <w:pPr>
              <w:jc w:val="left"/>
              <w:rPr>
                <w:rFonts w:ascii="Arial Narrow" w:eastAsiaTheme="majorEastAsia" w:hAnsi="Arial Narrow" w:cstheme="majorBidi"/>
                <w:bCs/>
                <w:i/>
                <w:sz w:val="20"/>
              </w:rPr>
            </w:pPr>
            <w:r w:rsidRPr="00060B29">
              <w:rPr>
                <w:rFonts w:ascii="Arial Narrow" w:eastAsiaTheme="majorEastAsia" w:hAnsi="Arial Narrow" w:cstheme="majorBidi"/>
                <w:bCs/>
                <w:i/>
                <w:iCs/>
                <w:sz w:val="20"/>
                <w:szCs w:val="18"/>
              </w:rPr>
              <w:t>BMJ Open Respir Res</w:t>
            </w:r>
            <w:r w:rsidRPr="00060B29">
              <w:rPr>
                <w:rFonts w:ascii="Arial Narrow" w:eastAsiaTheme="majorEastAsia" w:hAnsi="Arial Narrow" w:cstheme="majorBidi"/>
                <w:bCs/>
                <w:sz w:val="20"/>
                <w:szCs w:val="18"/>
              </w:rPr>
              <w:t xml:space="preserve"> 2017; 4(1):e000212. </w:t>
            </w:r>
          </w:p>
        </w:tc>
      </w:tr>
      <w:tr w:rsidR="00D31EBA" w:rsidRPr="00060B29" w:rsidTr="0027037A">
        <w:trPr>
          <w:cantSplit/>
        </w:trPr>
        <w:tc>
          <w:tcPr>
            <w:tcW w:w="705" w:type="pct"/>
            <w:tcBorders>
              <w:top w:val="nil"/>
              <w:bottom w:val="single" w:sz="4" w:space="0" w:color="auto"/>
            </w:tcBorders>
            <w:vAlign w:val="center"/>
          </w:tcPr>
          <w:p w:rsidR="00D31EBA" w:rsidRPr="00060B29" w:rsidRDefault="00D31EBA" w:rsidP="00B15687">
            <w:pPr>
              <w:jc w:val="left"/>
              <w:rPr>
                <w:rFonts w:ascii="Arial Narrow" w:eastAsiaTheme="majorEastAsia" w:hAnsi="Arial Narrow" w:cstheme="majorBidi"/>
                <w:bCs/>
                <w:sz w:val="20"/>
              </w:rPr>
            </w:pPr>
          </w:p>
        </w:tc>
        <w:tc>
          <w:tcPr>
            <w:tcW w:w="3065" w:type="pct"/>
            <w:tcBorders>
              <w:top w:val="nil"/>
              <w:bottom w:val="single" w:sz="4" w:space="0" w:color="auto"/>
            </w:tcBorders>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szCs w:val="18"/>
              </w:rPr>
              <w:t xml:space="preserve">Wells AU, Flaherty KR, Brown KK, et al.; INBUILD trial investigators. Nintedanib in patients with progressive fibrosing interstitial lung diseases-subgroup analyses by interstitial lung disease diagnosis in the INBUILD trial: a randomised, double-blind, placebo-controlled, parallel-group trial. </w:t>
            </w:r>
          </w:p>
        </w:tc>
        <w:tc>
          <w:tcPr>
            <w:tcW w:w="1230" w:type="pct"/>
            <w:tcBorders>
              <w:top w:val="nil"/>
              <w:bottom w:val="single" w:sz="4" w:space="0" w:color="auto"/>
            </w:tcBorders>
          </w:tcPr>
          <w:p w:rsidR="00D31EBA" w:rsidRPr="00060B29" w:rsidRDefault="00D31EBA" w:rsidP="00B15687">
            <w:pPr>
              <w:jc w:val="left"/>
              <w:rPr>
                <w:rFonts w:ascii="Arial Narrow" w:eastAsiaTheme="majorEastAsia" w:hAnsi="Arial Narrow" w:cstheme="majorBidi"/>
                <w:bCs/>
                <w:i/>
                <w:sz w:val="20"/>
              </w:rPr>
            </w:pPr>
            <w:r w:rsidRPr="00060B29">
              <w:rPr>
                <w:rFonts w:ascii="Arial Narrow" w:eastAsiaTheme="majorEastAsia" w:hAnsi="Arial Narrow" w:cstheme="majorBidi"/>
                <w:bCs/>
                <w:i/>
                <w:iCs/>
                <w:sz w:val="20"/>
                <w:szCs w:val="18"/>
              </w:rPr>
              <w:t>Lancet Respir Med</w:t>
            </w:r>
            <w:r w:rsidRPr="00060B29">
              <w:rPr>
                <w:rFonts w:ascii="Arial Narrow" w:eastAsiaTheme="majorEastAsia" w:hAnsi="Arial Narrow" w:cstheme="majorBidi"/>
                <w:bCs/>
                <w:sz w:val="20"/>
                <w:szCs w:val="18"/>
              </w:rPr>
              <w:t xml:space="preserve"> 2020; pii: S2213-2600(20)30036-9. </w:t>
            </w:r>
          </w:p>
        </w:tc>
      </w:tr>
    </w:tbl>
    <w:p w:rsidR="00D31EBA" w:rsidRPr="00060B29" w:rsidRDefault="00D31EBA" w:rsidP="00B15687">
      <w:pPr>
        <w:spacing w:after="240"/>
        <w:contextualSpacing/>
        <w:rPr>
          <w:rFonts w:ascii="Arial Narrow" w:hAnsi="Arial Narrow"/>
          <w:snapToGrid w:val="0"/>
          <w:sz w:val="18"/>
          <w:szCs w:val="22"/>
        </w:rPr>
      </w:pPr>
      <w:r w:rsidRPr="00060B29">
        <w:rPr>
          <w:rFonts w:ascii="Arial Narrow" w:hAnsi="Arial Narrow"/>
          <w:snapToGrid w:val="0"/>
          <w:sz w:val="18"/>
          <w:szCs w:val="22"/>
        </w:rPr>
        <w:t>Source: Table 2.1, p31 of the submission.</w:t>
      </w:r>
    </w:p>
    <w:p w:rsidR="00D31EBA" w:rsidRPr="00060B29" w:rsidRDefault="00D31EBA" w:rsidP="00B15687">
      <w:pPr>
        <w:pStyle w:val="3-BodyText"/>
        <w:rPr>
          <w:color w:val="000000" w:themeColor="text1"/>
        </w:rPr>
      </w:pPr>
      <w:r w:rsidRPr="00060B29">
        <w:t xml:space="preserve">The key features of the randomised trial are summarised in </w:t>
      </w:r>
      <w:r w:rsidR="0011364A" w:rsidRPr="00060B29">
        <w:t>T</w:t>
      </w:r>
      <w:r w:rsidRPr="00060B29">
        <w:t xml:space="preserve">able </w:t>
      </w:r>
      <w:r w:rsidR="0011364A" w:rsidRPr="00060B29">
        <w:t>3</w:t>
      </w:r>
      <w:r w:rsidRPr="00060B29">
        <w:t xml:space="preserve">. </w:t>
      </w:r>
    </w:p>
    <w:p w:rsidR="00D31EBA" w:rsidRPr="00060B29" w:rsidRDefault="00D31EBA"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6"/>
        <w:gridCol w:w="691"/>
        <w:gridCol w:w="968"/>
        <w:gridCol w:w="831"/>
        <w:gridCol w:w="970"/>
        <w:gridCol w:w="3345"/>
        <w:gridCol w:w="1385"/>
      </w:tblGrid>
      <w:tr w:rsidR="00D31EBA" w:rsidRPr="00060B29" w:rsidTr="0027037A">
        <w:trPr>
          <w:cantSplit/>
          <w:tblHeader/>
        </w:trPr>
        <w:tc>
          <w:tcPr>
            <w:tcW w:w="458" w:type="pct"/>
            <w:shd w:val="clear" w:color="auto" w:fill="auto"/>
            <w:vAlign w:val="center"/>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Trial</w:t>
            </w:r>
          </w:p>
        </w:tc>
        <w:tc>
          <w:tcPr>
            <w:tcW w:w="383" w:type="pct"/>
            <w:shd w:val="clear" w:color="auto" w:fill="auto"/>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w:t>
            </w:r>
          </w:p>
        </w:tc>
        <w:tc>
          <w:tcPr>
            <w:tcW w:w="537" w:type="pct"/>
            <w:shd w:val="clear" w:color="auto" w:fill="auto"/>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Design/ duration</w:t>
            </w:r>
          </w:p>
        </w:tc>
        <w:tc>
          <w:tcPr>
            <w:tcW w:w="461" w:type="pct"/>
            <w:shd w:val="clear" w:color="auto" w:fill="auto"/>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Risk of bias</w:t>
            </w:r>
          </w:p>
        </w:tc>
        <w:tc>
          <w:tcPr>
            <w:tcW w:w="538" w:type="pct"/>
            <w:shd w:val="clear" w:color="auto" w:fill="auto"/>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Patient population</w:t>
            </w:r>
          </w:p>
        </w:tc>
        <w:tc>
          <w:tcPr>
            <w:tcW w:w="1855" w:type="pct"/>
            <w:shd w:val="clear" w:color="auto" w:fill="auto"/>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Outcome(s)</w:t>
            </w:r>
          </w:p>
        </w:tc>
        <w:tc>
          <w:tcPr>
            <w:tcW w:w="768" w:type="pct"/>
            <w:shd w:val="clear" w:color="auto" w:fill="auto"/>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Use in modelled evaluation</w:t>
            </w:r>
          </w:p>
        </w:tc>
      </w:tr>
      <w:tr w:rsidR="00D31EBA" w:rsidRPr="00060B29" w:rsidTr="0027037A">
        <w:trPr>
          <w:cantSplit/>
        </w:trPr>
        <w:tc>
          <w:tcPr>
            <w:tcW w:w="5000" w:type="pct"/>
            <w:gridSpan w:val="7"/>
            <w:shd w:val="clear" w:color="auto" w:fill="auto"/>
            <w:vAlign w:val="center"/>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Nintedanib vs. placebo</w:t>
            </w:r>
          </w:p>
        </w:tc>
      </w:tr>
      <w:tr w:rsidR="00D31EBA" w:rsidRPr="00060B29" w:rsidTr="0027037A">
        <w:trPr>
          <w:cantSplit/>
        </w:trPr>
        <w:tc>
          <w:tcPr>
            <w:tcW w:w="458" w:type="pct"/>
            <w:tcBorders>
              <w:bottom w:val="nil"/>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INBUILD</w:t>
            </w:r>
          </w:p>
        </w:tc>
        <w:tc>
          <w:tcPr>
            <w:tcW w:w="383" w:type="pct"/>
            <w:tcBorders>
              <w:bottom w:val="nil"/>
            </w:tcBorders>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663</w:t>
            </w:r>
          </w:p>
        </w:tc>
        <w:tc>
          <w:tcPr>
            <w:tcW w:w="537" w:type="pct"/>
            <w:tcBorders>
              <w:bottom w:val="nil"/>
            </w:tcBorders>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Phase 3, R, DB, MC, MN, nintedanib vs. placebo, </w:t>
            </w:r>
          </w:p>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52 weeks treatment </w:t>
            </w:r>
          </w:p>
        </w:tc>
        <w:tc>
          <w:tcPr>
            <w:tcW w:w="461" w:type="pct"/>
            <w:tcBorders>
              <w:bottom w:val="nil"/>
            </w:tcBorders>
            <w:shd w:val="clear" w:color="auto" w:fill="auto"/>
            <w:vAlign w:val="center"/>
          </w:tcPr>
          <w:p w:rsidR="00D31EBA" w:rsidRPr="00060B29" w:rsidRDefault="00D31EBA" w:rsidP="00B15687">
            <w:pPr>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Low</w:t>
            </w:r>
          </w:p>
        </w:tc>
        <w:tc>
          <w:tcPr>
            <w:tcW w:w="538" w:type="pct"/>
            <w:tcBorders>
              <w:bottom w:val="nil"/>
            </w:tcBorders>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Adults with PF-ILD</w:t>
            </w:r>
          </w:p>
        </w:tc>
        <w:tc>
          <w:tcPr>
            <w:tcW w:w="1855" w:type="pct"/>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Annual rate of FVC decline </w:t>
            </w:r>
            <w:r w:rsidR="00003F0F" w:rsidRPr="00060B29">
              <w:rPr>
                <w:rFonts w:ascii="Arial Narrow" w:eastAsiaTheme="majorEastAsia" w:hAnsi="Arial Narrow" w:cstheme="majorBidi"/>
                <w:bCs/>
                <w:sz w:val="20"/>
              </w:rPr>
              <w:t xml:space="preserve">(mL/year) </w:t>
            </w:r>
            <w:r w:rsidRPr="00060B29">
              <w:rPr>
                <w:rFonts w:ascii="Arial Narrow" w:eastAsiaTheme="majorEastAsia" w:hAnsi="Arial Narrow" w:cstheme="majorBidi"/>
                <w:bCs/>
                <w:sz w:val="20"/>
              </w:rPr>
              <w:t>(primary outcome)</w:t>
            </w:r>
          </w:p>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Absolute change from baseline to week 52 in K-BILD total score</w:t>
            </w:r>
          </w:p>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Proportion with an absolute decline &gt;10%, &gt;5% </w:t>
            </w:r>
            <w:r w:rsidR="00583167" w:rsidRPr="00060B29">
              <w:rPr>
                <w:rFonts w:ascii="Arial Narrow" w:eastAsiaTheme="majorEastAsia" w:hAnsi="Arial Narrow" w:cstheme="majorBidi"/>
                <w:bCs/>
                <w:sz w:val="20"/>
              </w:rPr>
              <w:t>FVC%Pred</w:t>
            </w:r>
          </w:p>
          <w:p w:rsidR="00003F0F" w:rsidRPr="00060B29" w:rsidRDefault="00003F0F"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Time to progression (≥10% absolute decline in </w:t>
            </w:r>
            <w:r w:rsidR="00583167" w:rsidRPr="00060B29">
              <w:rPr>
                <w:rFonts w:ascii="Arial Narrow" w:eastAsiaTheme="majorEastAsia" w:hAnsi="Arial Narrow" w:cstheme="majorBidi"/>
                <w:bCs/>
                <w:sz w:val="20"/>
              </w:rPr>
              <w:t>FVC%Pred</w:t>
            </w:r>
            <w:r w:rsidRPr="00060B29">
              <w:rPr>
                <w:rFonts w:ascii="Arial Narrow" w:eastAsiaTheme="majorEastAsia" w:hAnsi="Arial Narrow" w:cstheme="majorBidi"/>
                <w:bCs/>
                <w:sz w:val="20"/>
              </w:rPr>
              <w:t>)</w:t>
            </w:r>
          </w:p>
        </w:tc>
        <w:tc>
          <w:tcPr>
            <w:tcW w:w="768" w:type="pct"/>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Not used</w:t>
            </w:r>
          </w:p>
        </w:tc>
      </w:tr>
      <w:tr w:rsidR="00D31EBA" w:rsidRPr="00060B29" w:rsidTr="0027037A">
        <w:trPr>
          <w:cantSplit/>
        </w:trPr>
        <w:tc>
          <w:tcPr>
            <w:tcW w:w="458" w:type="pct"/>
            <w:tcBorders>
              <w:top w:val="nil"/>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p>
        </w:tc>
        <w:tc>
          <w:tcPr>
            <w:tcW w:w="383" w:type="pct"/>
            <w:tcBorders>
              <w:top w:val="nil"/>
            </w:tcBorders>
            <w:shd w:val="clear" w:color="auto" w:fill="auto"/>
            <w:vAlign w:val="center"/>
          </w:tcPr>
          <w:p w:rsidR="00D31EBA" w:rsidRPr="00060B29" w:rsidRDefault="00D31EBA" w:rsidP="00B15687">
            <w:pPr>
              <w:jc w:val="center"/>
              <w:rPr>
                <w:rFonts w:ascii="Arial Narrow" w:eastAsiaTheme="majorEastAsia" w:hAnsi="Arial Narrow" w:cstheme="majorBidi"/>
                <w:bCs/>
                <w:sz w:val="20"/>
              </w:rPr>
            </w:pPr>
          </w:p>
        </w:tc>
        <w:tc>
          <w:tcPr>
            <w:tcW w:w="537" w:type="pct"/>
            <w:tcBorders>
              <w:top w:val="nil"/>
            </w:tcBorders>
            <w:shd w:val="clear" w:color="auto" w:fill="auto"/>
            <w:vAlign w:val="center"/>
          </w:tcPr>
          <w:p w:rsidR="00D31EBA" w:rsidRPr="00060B29" w:rsidRDefault="00D31EBA" w:rsidP="00B15687">
            <w:pPr>
              <w:jc w:val="center"/>
              <w:rPr>
                <w:rFonts w:ascii="Arial Narrow" w:eastAsiaTheme="majorEastAsia" w:hAnsi="Arial Narrow" w:cstheme="majorBidi"/>
                <w:bCs/>
                <w:sz w:val="20"/>
              </w:rPr>
            </w:pPr>
          </w:p>
        </w:tc>
        <w:tc>
          <w:tcPr>
            <w:tcW w:w="461" w:type="pct"/>
            <w:tcBorders>
              <w:top w:val="nil"/>
            </w:tcBorders>
            <w:shd w:val="clear" w:color="auto" w:fill="auto"/>
            <w:vAlign w:val="center"/>
          </w:tcPr>
          <w:p w:rsidR="00D31EBA" w:rsidRPr="00060B29" w:rsidRDefault="00D31EBA" w:rsidP="00B15687">
            <w:pPr>
              <w:jc w:val="center"/>
              <w:rPr>
                <w:rFonts w:ascii="Arial Narrow" w:eastAsiaTheme="majorEastAsia" w:hAnsi="Arial Narrow" w:cstheme="majorBidi"/>
                <w:bCs/>
                <w:i/>
                <w:sz w:val="20"/>
              </w:rPr>
            </w:pPr>
          </w:p>
        </w:tc>
        <w:tc>
          <w:tcPr>
            <w:tcW w:w="538" w:type="pct"/>
            <w:tcBorders>
              <w:top w:val="nil"/>
            </w:tcBorders>
            <w:shd w:val="clear" w:color="auto" w:fill="auto"/>
            <w:vAlign w:val="center"/>
          </w:tcPr>
          <w:p w:rsidR="00D31EBA" w:rsidRPr="00060B29" w:rsidRDefault="00D31EBA" w:rsidP="00B15687">
            <w:pPr>
              <w:jc w:val="center"/>
              <w:rPr>
                <w:rFonts w:ascii="Arial Narrow" w:eastAsiaTheme="majorEastAsia" w:hAnsi="Arial Narrow" w:cstheme="majorBidi"/>
                <w:bCs/>
                <w:sz w:val="20"/>
              </w:rPr>
            </w:pPr>
          </w:p>
        </w:tc>
        <w:tc>
          <w:tcPr>
            <w:tcW w:w="1855" w:type="pct"/>
            <w:shd w:val="clear" w:color="auto" w:fill="auto"/>
            <w:vAlign w:val="center"/>
          </w:tcPr>
          <w:p w:rsidR="00003F0F" w:rsidRPr="00060B29" w:rsidRDefault="00003F0F"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Absolute change from baseline to week 52 in </w:t>
            </w:r>
            <w:r w:rsidR="00583167" w:rsidRPr="00060B29">
              <w:rPr>
                <w:rFonts w:ascii="Arial Narrow" w:eastAsiaTheme="majorEastAsia" w:hAnsi="Arial Narrow" w:cstheme="majorBidi"/>
                <w:bCs/>
                <w:sz w:val="20"/>
              </w:rPr>
              <w:t>FVC%Pred</w:t>
            </w:r>
          </w:p>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death (OS)</w:t>
            </w:r>
          </w:p>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acute ILD exacerbation</w:t>
            </w:r>
          </w:p>
        </w:tc>
        <w:tc>
          <w:tcPr>
            <w:tcW w:w="768" w:type="pct"/>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Used</w:t>
            </w:r>
          </w:p>
        </w:tc>
      </w:tr>
    </w:tbl>
    <w:p w:rsidR="00D31EBA" w:rsidRPr="00060B29" w:rsidRDefault="00D31EBA" w:rsidP="00B15687">
      <w:pPr>
        <w:pStyle w:val="TableFigureFooter"/>
      </w:pPr>
      <w:r w:rsidRPr="00060B29">
        <w:t>Source: summarised during the evaluation from pp26, 96, 99 and 104 of the submission.</w:t>
      </w:r>
    </w:p>
    <w:p w:rsidR="00D31EBA" w:rsidRPr="00060B29" w:rsidRDefault="00D31EBA" w:rsidP="00B15687">
      <w:pPr>
        <w:pStyle w:val="TableFigureFooter"/>
      </w:pPr>
      <w:r w:rsidRPr="00060B29">
        <w:t xml:space="preserve">DB=double blind; FVC=forced vital capacity; </w:t>
      </w:r>
      <w:r w:rsidR="00583167" w:rsidRPr="00060B29">
        <w:t xml:space="preserve">FVC%Pred= forced vital capacity % predicted; </w:t>
      </w:r>
      <w:r w:rsidRPr="00060B29">
        <w:t>ILD=interstitial lung disease; K-BILD=King’s Brief Interstitial Lung Disease questionnaire; MC=multi-centre; MN=multinational; N=number of trial participants; OS=overall survival; PF-ILD=progressive fibrosing interstitial lung disease; R=randomised.</w:t>
      </w:r>
    </w:p>
    <w:p w:rsidR="00D31EBA" w:rsidRPr="00060B29" w:rsidRDefault="00D31EBA" w:rsidP="00B15687">
      <w:pPr>
        <w:pStyle w:val="3-BodyText"/>
      </w:pPr>
      <w:r w:rsidRPr="00060B29">
        <w:t>The submission claimed that, as in patients with IPF, a decline in FVC was “associated with an increased risk of early mortality” and was therefore “an appropriate surrogate marker in lieu of survival and a clinically important outcome measure for patients with PF-ILD” (page iii of the submission).</w:t>
      </w:r>
      <w:r w:rsidR="00802578" w:rsidRPr="00060B29">
        <w:t xml:space="preserve"> The ESC </w:t>
      </w:r>
      <w:r w:rsidR="00B31181" w:rsidRPr="00060B29">
        <w:t>noted that FVC is a clinically accepted surrogate outcome for survival and that the PBAC have previously accepted FVC as a surrogate</w:t>
      </w:r>
      <w:r w:rsidR="00B52E28" w:rsidRPr="00060B29">
        <w:t xml:space="preserve"> outcome</w:t>
      </w:r>
      <w:r w:rsidR="00B31181" w:rsidRPr="00060B29">
        <w:t xml:space="preserve"> for mortality in IPF (see below). </w:t>
      </w:r>
    </w:p>
    <w:p w:rsidR="00D31EBA" w:rsidRPr="00060B29" w:rsidRDefault="00D31EBA" w:rsidP="00B15687">
      <w:pPr>
        <w:pStyle w:val="4-SubsectionHeading"/>
        <w:keepNext w:val="0"/>
      </w:pPr>
      <w:bookmarkStart w:id="19" w:name="_Toc22897641"/>
      <w:bookmarkStart w:id="20" w:name="_Toc58872438"/>
      <w:r w:rsidRPr="00060B29">
        <w:t>Comparative effectiveness</w:t>
      </w:r>
      <w:bookmarkEnd w:id="19"/>
      <w:bookmarkEnd w:id="20"/>
    </w:p>
    <w:p w:rsidR="00D31EBA" w:rsidRPr="00060B29" w:rsidRDefault="00D31EBA" w:rsidP="00B15687">
      <w:pPr>
        <w:pStyle w:val="3-BodyText"/>
        <w:rPr>
          <w:iCs/>
        </w:rPr>
      </w:pPr>
      <w:r w:rsidRPr="00060B29">
        <w:rPr>
          <w:iCs/>
        </w:rPr>
        <w:t xml:space="preserve">The PBAC </w:t>
      </w:r>
      <w:r w:rsidR="00C77302" w:rsidRPr="00060B29">
        <w:rPr>
          <w:iCs/>
        </w:rPr>
        <w:t xml:space="preserve">previously </w:t>
      </w:r>
      <w:r w:rsidRPr="00060B29">
        <w:rPr>
          <w:iCs/>
        </w:rPr>
        <w:t>noted that</w:t>
      </w:r>
      <w:r w:rsidR="00C42AF2" w:rsidRPr="00060B29">
        <w:rPr>
          <w:iCs/>
        </w:rPr>
        <w:t xml:space="preserve"> in patients with IPF,</w:t>
      </w:r>
      <w:r w:rsidRPr="00060B29">
        <w:rPr>
          <w:iCs/>
        </w:rPr>
        <w:t xml:space="preserve"> l</w:t>
      </w:r>
      <w:r w:rsidR="00F77D66" w:rsidRPr="00060B29">
        <w:rPr>
          <w:iCs/>
        </w:rPr>
        <w:t>ung function loss</w:t>
      </w:r>
      <w:r w:rsidRPr="00060B29">
        <w:rPr>
          <w:iCs/>
        </w:rPr>
        <w:t xml:space="preserve"> was a more critical clinical issue than exacerbations (para. 7.7, </w:t>
      </w:r>
      <w:r w:rsidR="001819A6" w:rsidRPr="00060B29">
        <w:rPr>
          <w:iCs/>
        </w:rPr>
        <w:t>PSD</w:t>
      </w:r>
      <w:r w:rsidRPr="00060B29">
        <w:rPr>
          <w:iCs/>
        </w:rPr>
        <w:t xml:space="preserve">, nintedanib, November 2015 PBAC </w:t>
      </w:r>
      <w:r w:rsidR="009434F5" w:rsidRPr="00060B29">
        <w:rPr>
          <w:iCs/>
        </w:rPr>
        <w:t>m</w:t>
      </w:r>
      <w:r w:rsidRPr="00060B29">
        <w:rPr>
          <w:iCs/>
        </w:rPr>
        <w:t xml:space="preserve">eeting). </w:t>
      </w:r>
      <w:r w:rsidRPr="00060B29">
        <w:rPr>
          <w:bCs/>
          <w:iCs/>
        </w:rPr>
        <w:t>The PBAC also noted an FDA review</w:t>
      </w:r>
      <w:r w:rsidRPr="00060B29">
        <w:rPr>
          <w:bCs/>
          <w:iCs/>
          <w:vertAlign w:val="superscript"/>
        </w:rPr>
        <w:footnoteReference w:id="5"/>
      </w:r>
      <w:r w:rsidRPr="00060B29">
        <w:rPr>
          <w:bCs/>
          <w:iCs/>
        </w:rPr>
        <w:t xml:space="preserve"> of nintedanib and pirfenidone studies that suggested that FVC is a valid surrogate for mortality in IPF (para. 7.7, </w:t>
      </w:r>
      <w:r w:rsidR="001819A6" w:rsidRPr="00060B29">
        <w:rPr>
          <w:bCs/>
          <w:iCs/>
        </w:rPr>
        <w:t>PSD</w:t>
      </w:r>
      <w:r w:rsidRPr="00060B29">
        <w:rPr>
          <w:bCs/>
          <w:iCs/>
        </w:rPr>
        <w:t xml:space="preserve">, nintedanib, November 2016 PBAC </w:t>
      </w:r>
      <w:r w:rsidR="009434F5" w:rsidRPr="00060B29">
        <w:rPr>
          <w:bCs/>
          <w:iCs/>
        </w:rPr>
        <w:t>m</w:t>
      </w:r>
      <w:r w:rsidRPr="00060B29">
        <w:rPr>
          <w:bCs/>
          <w:iCs/>
        </w:rPr>
        <w:t xml:space="preserve">eeting). The FDA review </w:t>
      </w:r>
      <w:r w:rsidR="0094373B">
        <w:rPr>
          <w:bCs/>
          <w:iCs/>
        </w:rPr>
        <w:t>provided</w:t>
      </w:r>
      <w:r w:rsidRPr="00060B29">
        <w:rPr>
          <w:bCs/>
          <w:iCs/>
        </w:rPr>
        <w:t xml:space="preserve"> the PBAC more confidence that the lack of statistical significance in overall survival in IPF might be an issue of lack of power in the trials (para. 7.8, </w:t>
      </w:r>
      <w:r w:rsidR="001819A6" w:rsidRPr="00060B29">
        <w:rPr>
          <w:bCs/>
          <w:iCs/>
        </w:rPr>
        <w:t>PSD</w:t>
      </w:r>
      <w:r w:rsidRPr="00060B29">
        <w:rPr>
          <w:bCs/>
          <w:iCs/>
        </w:rPr>
        <w:t xml:space="preserve">, nintedanib, November 2015 PBAC </w:t>
      </w:r>
      <w:r w:rsidR="009434F5" w:rsidRPr="00060B29">
        <w:rPr>
          <w:bCs/>
          <w:iCs/>
        </w:rPr>
        <w:t>m</w:t>
      </w:r>
      <w:r w:rsidRPr="00060B29">
        <w:rPr>
          <w:bCs/>
          <w:iCs/>
        </w:rPr>
        <w:t>eeting).</w:t>
      </w:r>
    </w:p>
    <w:p w:rsidR="00D31EBA" w:rsidRPr="00060B29" w:rsidRDefault="00FF3DAC" w:rsidP="00B15687">
      <w:pPr>
        <w:pStyle w:val="3-BodyText"/>
        <w:rPr>
          <w:iCs/>
        </w:rPr>
      </w:pPr>
      <w:r w:rsidRPr="00060B29">
        <w:rPr>
          <w:iCs/>
        </w:rPr>
        <w:t>The m</w:t>
      </w:r>
      <w:r w:rsidR="00D31EBA" w:rsidRPr="00060B29">
        <w:rPr>
          <w:iCs/>
        </w:rPr>
        <w:t>ethods used to derive the MCID</w:t>
      </w:r>
      <w:r w:rsidR="001D1B1F" w:rsidRPr="00060B29">
        <w:rPr>
          <w:iCs/>
        </w:rPr>
        <w:t xml:space="preserve"> (minimal clinically important difference)</w:t>
      </w:r>
      <w:r w:rsidR="00D31EBA" w:rsidRPr="00060B29">
        <w:rPr>
          <w:iCs/>
        </w:rPr>
        <w:t xml:space="preserve"> and a trial-based analysis of MCID for </w:t>
      </w:r>
      <w:r w:rsidR="00853D78" w:rsidRPr="00060B29">
        <w:rPr>
          <w:iCs/>
        </w:rPr>
        <w:t xml:space="preserve">FVC%Pred </w:t>
      </w:r>
      <w:r w:rsidR="00D31EBA" w:rsidRPr="00060B29">
        <w:rPr>
          <w:iCs/>
        </w:rPr>
        <w:t xml:space="preserve">were presented in the </w:t>
      </w:r>
      <w:r w:rsidR="00B3443B" w:rsidRPr="00060B29">
        <w:rPr>
          <w:iCs/>
        </w:rPr>
        <w:t xml:space="preserve">November 2015 </w:t>
      </w:r>
      <w:r w:rsidR="00D31EBA" w:rsidRPr="00060B29">
        <w:rPr>
          <w:iCs/>
        </w:rPr>
        <w:t xml:space="preserve">resubmission of nintedanib for IPF. </w:t>
      </w:r>
      <w:r w:rsidR="00D31EBA" w:rsidRPr="00060B29">
        <w:rPr>
          <w:bCs/>
          <w:iCs/>
        </w:rPr>
        <w:t xml:space="preserve">The pooled mean difference in absolute change in FVC%Pred from baseline to week 52 was 3.31 (95% CI 2.46, 4.16), favouring nintedanib (Table 3, para. 6.10, </w:t>
      </w:r>
      <w:r w:rsidR="001819A6" w:rsidRPr="00060B29">
        <w:rPr>
          <w:bCs/>
          <w:iCs/>
        </w:rPr>
        <w:t>PSD</w:t>
      </w:r>
      <w:r w:rsidR="00D31EBA" w:rsidRPr="00060B29">
        <w:rPr>
          <w:bCs/>
          <w:iCs/>
        </w:rPr>
        <w:t xml:space="preserve">, nintedanib, November 2015 PBAC </w:t>
      </w:r>
      <w:r w:rsidR="009434F5" w:rsidRPr="00060B29">
        <w:rPr>
          <w:bCs/>
          <w:iCs/>
        </w:rPr>
        <w:t>m</w:t>
      </w:r>
      <w:r w:rsidR="00D31EBA" w:rsidRPr="00060B29">
        <w:rPr>
          <w:bCs/>
          <w:iCs/>
        </w:rPr>
        <w:t xml:space="preserve">eeting). The PBAC </w:t>
      </w:r>
      <w:r w:rsidR="00BD65E1" w:rsidRPr="00060B29">
        <w:rPr>
          <w:bCs/>
          <w:iCs/>
        </w:rPr>
        <w:t xml:space="preserve">previously </w:t>
      </w:r>
      <w:r w:rsidR="00D31EBA" w:rsidRPr="00060B29">
        <w:rPr>
          <w:bCs/>
          <w:iCs/>
        </w:rPr>
        <w:t xml:space="preserve">noted that </w:t>
      </w:r>
      <w:r w:rsidR="00583167" w:rsidRPr="00060B29">
        <w:rPr>
          <w:bCs/>
          <w:iCs/>
        </w:rPr>
        <w:t>a</w:t>
      </w:r>
      <w:r w:rsidR="00D31EBA" w:rsidRPr="00060B29">
        <w:rPr>
          <w:bCs/>
          <w:iCs/>
        </w:rPr>
        <w:t xml:space="preserve"> 3.31% absolute decline in FVC was close to the MCID calculated by the anchor</w:t>
      </w:r>
      <w:r w:rsidRPr="00060B29">
        <w:rPr>
          <w:bCs/>
          <w:iCs/>
        </w:rPr>
        <w:t>-</w:t>
      </w:r>
      <w:r w:rsidR="00D31EBA" w:rsidRPr="00060B29">
        <w:rPr>
          <w:bCs/>
          <w:iCs/>
        </w:rPr>
        <w:t xml:space="preserve">based method </w:t>
      </w:r>
      <w:r w:rsidR="00D33F8A" w:rsidRPr="00060B29">
        <w:rPr>
          <w:bCs/>
          <w:iCs/>
        </w:rPr>
        <w:t>(</w:t>
      </w:r>
      <w:r w:rsidR="00D33F8A" w:rsidRPr="00060B29">
        <w:rPr>
          <w:iCs/>
        </w:rPr>
        <w:t>2.5 and 2.84%)</w:t>
      </w:r>
      <w:r w:rsidR="00D33F8A" w:rsidRPr="00060B29">
        <w:t xml:space="preserve"> </w:t>
      </w:r>
      <w:r w:rsidR="00D31EBA" w:rsidRPr="00060B29">
        <w:rPr>
          <w:bCs/>
          <w:iCs/>
        </w:rPr>
        <w:t>and the distribution</w:t>
      </w:r>
      <w:r w:rsidRPr="00060B29">
        <w:rPr>
          <w:bCs/>
          <w:iCs/>
        </w:rPr>
        <w:t>-</w:t>
      </w:r>
      <w:r w:rsidR="00D31EBA" w:rsidRPr="00060B29">
        <w:rPr>
          <w:bCs/>
          <w:iCs/>
        </w:rPr>
        <w:t xml:space="preserve">based method </w:t>
      </w:r>
      <w:r w:rsidR="00D33F8A" w:rsidRPr="00060B29">
        <w:rPr>
          <w:iCs/>
        </w:rPr>
        <w:t xml:space="preserve">(3.12%) </w:t>
      </w:r>
      <w:r w:rsidR="00D31EBA" w:rsidRPr="00060B29">
        <w:rPr>
          <w:bCs/>
          <w:iCs/>
        </w:rPr>
        <w:t xml:space="preserve">(para. 7.7, </w:t>
      </w:r>
      <w:r w:rsidR="001819A6" w:rsidRPr="00060B29">
        <w:rPr>
          <w:bCs/>
          <w:iCs/>
        </w:rPr>
        <w:t>PSD</w:t>
      </w:r>
      <w:r w:rsidR="00D31EBA" w:rsidRPr="00060B29">
        <w:rPr>
          <w:bCs/>
          <w:iCs/>
        </w:rPr>
        <w:t xml:space="preserve">, nintedanib, November 2015 PBAC </w:t>
      </w:r>
      <w:r w:rsidR="009434F5" w:rsidRPr="00060B29">
        <w:rPr>
          <w:bCs/>
          <w:iCs/>
        </w:rPr>
        <w:t>m</w:t>
      </w:r>
      <w:r w:rsidR="00D31EBA" w:rsidRPr="00060B29">
        <w:rPr>
          <w:bCs/>
          <w:iCs/>
        </w:rPr>
        <w:t xml:space="preserve">eeting). </w:t>
      </w:r>
    </w:p>
    <w:p w:rsidR="00D31EBA" w:rsidRPr="00060B29" w:rsidRDefault="00F45118" w:rsidP="00B15687">
      <w:pPr>
        <w:pStyle w:val="3-BodyText"/>
      </w:pPr>
      <w:r w:rsidRPr="00060B29">
        <w:t xml:space="preserve">The </w:t>
      </w:r>
      <w:r w:rsidR="00D31EBA" w:rsidRPr="00060B29">
        <w:t>K-BILD</w:t>
      </w:r>
      <w:r w:rsidR="008E16DD" w:rsidRPr="00060B29">
        <w:t xml:space="preserve"> (</w:t>
      </w:r>
      <w:r w:rsidR="008E16DD" w:rsidRPr="00060B29">
        <w:rPr>
          <w:iCs/>
        </w:rPr>
        <w:t xml:space="preserve">King’s Brief Interstitial Lung Disease) </w:t>
      </w:r>
      <w:r w:rsidRPr="00060B29">
        <w:t>questionnaire</w:t>
      </w:r>
      <w:r w:rsidR="00D31EBA" w:rsidRPr="00060B29">
        <w:t xml:space="preserve"> </w:t>
      </w:r>
      <w:r w:rsidR="00F77D66" w:rsidRPr="00060B29">
        <w:t xml:space="preserve">has </w:t>
      </w:r>
      <w:r w:rsidR="00FF3DAC" w:rsidRPr="00060B29">
        <w:t>n</w:t>
      </w:r>
      <w:r w:rsidR="00D31EBA" w:rsidRPr="00060B29">
        <w:t>ot been considered by the PBAC in previous submissions for nintedanib or pirfenidone in IPF.</w:t>
      </w:r>
    </w:p>
    <w:p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snapToGrid w:val="0"/>
        </w:rPr>
        <w:t>Results over 52 weeks in the INBUILD trial are provided in Table 4.</w:t>
      </w:r>
    </w:p>
    <w:p w:rsidR="00E0090D" w:rsidRDefault="00E0090D">
      <w:pPr>
        <w:jc w:val="left"/>
        <w:rPr>
          <w:rFonts w:ascii="Arial Narrow" w:eastAsiaTheme="majorEastAsia" w:hAnsi="Arial Narrow" w:cstheme="majorBidi"/>
          <w:b/>
          <w:bCs/>
          <w:sz w:val="20"/>
        </w:rPr>
      </w:pPr>
      <w:r>
        <w:rPr>
          <w:rFonts w:ascii="Arial Narrow" w:eastAsiaTheme="majorEastAsia" w:hAnsi="Arial Narrow" w:cstheme="majorBidi"/>
          <w:b/>
          <w:bCs/>
          <w:sz w:val="20"/>
        </w:rPr>
        <w:br w:type="page"/>
      </w:r>
    </w:p>
    <w:p w:rsidR="00D31EBA" w:rsidRPr="00060B29" w:rsidRDefault="00D31EBA" w:rsidP="00FD38BF">
      <w:pPr>
        <w:keepLines/>
        <w:spacing w:before="240"/>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4: Results in the INBUILD trial (52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3"/>
        <w:gridCol w:w="566"/>
        <w:gridCol w:w="1985"/>
        <w:gridCol w:w="566"/>
        <w:gridCol w:w="1985"/>
        <w:gridCol w:w="1931"/>
      </w:tblGrid>
      <w:tr w:rsidR="00D31EBA" w:rsidRPr="00060B29" w:rsidTr="00F345C8">
        <w:trPr>
          <w:tblHeader/>
        </w:trPr>
        <w:tc>
          <w:tcPr>
            <w:tcW w:w="1099" w:type="pct"/>
            <w:tcBorders>
              <w:bottom w:val="nil"/>
            </w:tcBorders>
          </w:tcPr>
          <w:p w:rsidR="00D31EBA" w:rsidRPr="00060B29" w:rsidRDefault="00D31EBA" w:rsidP="00B15687">
            <w:pPr>
              <w:keepLines/>
              <w:jc w:val="left"/>
              <w:rPr>
                <w:rFonts w:ascii="Arial Narrow" w:eastAsiaTheme="majorEastAsia" w:hAnsi="Arial Narrow" w:cstheme="majorBidi"/>
                <w:bCs/>
                <w:sz w:val="20"/>
              </w:rPr>
            </w:pPr>
          </w:p>
        </w:tc>
        <w:tc>
          <w:tcPr>
            <w:tcW w:w="1415" w:type="pct"/>
            <w:gridSpan w:val="2"/>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iCs/>
                <w:sz w:val="20"/>
              </w:rPr>
              <w:t>Nintedanib</w:t>
            </w:r>
          </w:p>
        </w:tc>
        <w:tc>
          <w:tcPr>
            <w:tcW w:w="1415" w:type="pct"/>
            <w:gridSpan w:val="2"/>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iCs/>
                <w:sz w:val="20"/>
              </w:rPr>
              <w:t>Placebo+BSC</w:t>
            </w:r>
          </w:p>
        </w:tc>
        <w:tc>
          <w:tcPr>
            <w:tcW w:w="1072" w:type="pct"/>
          </w:tcPr>
          <w:p w:rsidR="00D31EBA" w:rsidRPr="00060B29" w:rsidRDefault="00D31EBA" w:rsidP="00B15687">
            <w:pPr>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Difference</w:t>
            </w:r>
          </w:p>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iCs/>
                <w:sz w:val="20"/>
              </w:rPr>
              <w:t>(Nintedanib – Placebo)</w:t>
            </w:r>
          </w:p>
        </w:tc>
      </w:tr>
      <w:tr w:rsidR="00D31EBA" w:rsidRPr="00060B29" w:rsidTr="00F345C8">
        <w:trPr>
          <w:tblHeader/>
        </w:trPr>
        <w:tc>
          <w:tcPr>
            <w:tcW w:w="1099" w:type="pct"/>
            <w:tcBorders>
              <w:top w:val="nil"/>
              <w:bottom w:val="single" w:sz="4" w:space="0" w:color="auto"/>
              <w:right w:val="single" w:sz="4" w:space="0" w:color="auto"/>
            </w:tcBorders>
          </w:tcPr>
          <w:p w:rsidR="00D31EBA" w:rsidRPr="00060B29" w:rsidRDefault="00D31EBA" w:rsidP="00B15687">
            <w:pPr>
              <w:keepLines/>
              <w:jc w:val="left"/>
              <w:rPr>
                <w:rFonts w:ascii="Arial Narrow" w:eastAsiaTheme="majorEastAsia" w:hAnsi="Arial Narrow" w:cstheme="majorBidi"/>
                <w:bCs/>
                <w:sz w:val="20"/>
              </w:rPr>
            </w:pPr>
          </w:p>
        </w:tc>
        <w:tc>
          <w:tcPr>
            <w:tcW w:w="314" w:type="pct"/>
            <w:tcBorders>
              <w:left w:val="single" w:sz="4"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N</w:t>
            </w:r>
          </w:p>
        </w:tc>
        <w:tc>
          <w:tcPr>
            <w:tcW w:w="1101" w:type="pct"/>
            <w:tcBorders>
              <w:left w:val="nil"/>
              <w:bottom w:val="single" w:sz="4"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Mean* (SD)</w:t>
            </w:r>
          </w:p>
        </w:tc>
        <w:tc>
          <w:tcPr>
            <w:tcW w:w="314" w:type="pct"/>
            <w:tcBorders>
              <w:left w:val="single" w:sz="4"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N</w:t>
            </w:r>
          </w:p>
        </w:tc>
        <w:tc>
          <w:tcPr>
            <w:tcW w:w="1101" w:type="pct"/>
            <w:tcBorders>
              <w:left w:val="nil"/>
              <w:bottom w:val="single" w:sz="4"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Mean* (SD)</w:t>
            </w:r>
          </w:p>
        </w:tc>
        <w:tc>
          <w:tcPr>
            <w:tcW w:w="1072" w:type="pct"/>
            <w:tcBorders>
              <w:left w:val="single" w:sz="4" w:space="0" w:color="auto"/>
              <w:bottom w:val="single" w:sz="4" w:space="0" w:color="auto"/>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iCs/>
                <w:sz w:val="20"/>
              </w:rPr>
              <w:t>Mean* (95% CI), P-value</w:t>
            </w:r>
          </w:p>
        </w:tc>
      </w:tr>
      <w:tr w:rsidR="00D31EBA" w:rsidRPr="00060B29" w:rsidTr="00F345C8">
        <w:tc>
          <w:tcPr>
            <w:tcW w:w="1099" w:type="pct"/>
            <w:tcBorders>
              <w:right w:val="nil"/>
            </w:tcBorders>
          </w:tcPr>
          <w:p w:rsidR="00D31EBA" w:rsidRPr="00060B29" w:rsidRDefault="00D31EBA" w:rsidP="00B15687">
            <w:pPr>
              <w:keepLines/>
              <w:jc w:val="left"/>
              <w:rPr>
                <w:rFonts w:ascii="Arial Narrow" w:eastAsiaTheme="majorEastAsia" w:hAnsi="Arial Narrow" w:cstheme="majorBidi"/>
                <w:b/>
                <w:caps/>
                <w:sz w:val="20"/>
              </w:rPr>
            </w:pPr>
            <w:r w:rsidRPr="00060B29">
              <w:rPr>
                <w:rFonts w:ascii="Arial Narrow" w:eastAsiaTheme="majorEastAsia" w:hAnsi="Arial Narrow" w:cstheme="majorBidi"/>
                <w:b/>
                <w:caps/>
                <w:sz w:val="20"/>
              </w:rPr>
              <w:t>Overall population</w:t>
            </w:r>
          </w:p>
        </w:tc>
        <w:tc>
          <w:tcPr>
            <w:tcW w:w="314" w:type="pct"/>
            <w:tcBorders>
              <w:left w:val="nil"/>
              <w:right w:val="nil"/>
            </w:tcBorders>
          </w:tcPr>
          <w:p w:rsidR="00D31EBA" w:rsidRPr="00060B29" w:rsidRDefault="00D31EBA" w:rsidP="00B15687">
            <w:pPr>
              <w:keepLines/>
              <w:jc w:val="center"/>
              <w:rPr>
                <w:rFonts w:ascii="Arial Narrow" w:eastAsiaTheme="majorEastAsia" w:hAnsi="Arial Narrow" w:cstheme="majorBidi"/>
                <w:b/>
                <w:sz w:val="20"/>
              </w:rPr>
            </w:pPr>
          </w:p>
        </w:tc>
        <w:tc>
          <w:tcPr>
            <w:tcW w:w="1101" w:type="pct"/>
            <w:tcBorders>
              <w:left w:val="nil"/>
              <w:right w:val="nil"/>
            </w:tcBorders>
          </w:tcPr>
          <w:p w:rsidR="00D31EBA" w:rsidRPr="00060B29" w:rsidRDefault="00D31EBA" w:rsidP="00B15687">
            <w:pPr>
              <w:keepLines/>
              <w:jc w:val="center"/>
              <w:rPr>
                <w:rFonts w:ascii="Arial Narrow" w:eastAsiaTheme="majorEastAsia" w:hAnsi="Arial Narrow" w:cstheme="majorBidi"/>
                <w:b/>
                <w:sz w:val="20"/>
              </w:rPr>
            </w:pPr>
          </w:p>
        </w:tc>
        <w:tc>
          <w:tcPr>
            <w:tcW w:w="314" w:type="pct"/>
            <w:tcBorders>
              <w:left w:val="nil"/>
              <w:right w:val="nil"/>
            </w:tcBorders>
          </w:tcPr>
          <w:p w:rsidR="00D31EBA" w:rsidRPr="00060B29" w:rsidRDefault="00D31EBA" w:rsidP="00B15687">
            <w:pPr>
              <w:keepLines/>
              <w:jc w:val="center"/>
              <w:rPr>
                <w:rFonts w:ascii="Arial Narrow" w:eastAsiaTheme="majorEastAsia" w:hAnsi="Arial Narrow" w:cstheme="majorBidi"/>
                <w:b/>
                <w:sz w:val="20"/>
              </w:rPr>
            </w:pPr>
          </w:p>
        </w:tc>
        <w:tc>
          <w:tcPr>
            <w:tcW w:w="1101" w:type="pct"/>
            <w:tcBorders>
              <w:left w:val="nil"/>
              <w:right w:val="nil"/>
            </w:tcBorders>
          </w:tcPr>
          <w:p w:rsidR="00D31EBA" w:rsidRPr="00060B29" w:rsidRDefault="00D31EBA" w:rsidP="00B15687">
            <w:pPr>
              <w:keepLines/>
              <w:jc w:val="center"/>
              <w:rPr>
                <w:rFonts w:ascii="Arial Narrow" w:eastAsiaTheme="majorEastAsia" w:hAnsi="Arial Narrow" w:cstheme="majorBidi"/>
                <w:b/>
                <w:sz w:val="20"/>
              </w:rPr>
            </w:pPr>
          </w:p>
        </w:tc>
        <w:tc>
          <w:tcPr>
            <w:tcW w:w="1072" w:type="pct"/>
            <w:tcBorders>
              <w:left w:val="nil"/>
            </w:tcBorders>
          </w:tcPr>
          <w:p w:rsidR="00D31EBA" w:rsidRPr="00060B29" w:rsidRDefault="00D31EBA" w:rsidP="00B15687">
            <w:pPr>
              <w:keepLines/>
              <w:jc w:val="center"/>
              <w:rPr>
                <w:rFonts w:ascii="Arial Narrow" w:eastAsiaTheme="majorEastAsia" w:hAnsi="Arial Narrow" w:cstheme="majorBidi"/>
                <w:b/>
                <w:sz w:val="20"/>
              </w:rPr>
            </w:pPr>
          </w:p>
        </w:tc>
      </w:tr>
      <w:tr w:rsidR="00D31EBA" w:rsidRPr="00060B29" w:rsidTr="00F345C8">
        <w:tc>
          <w:tcPr>
            <w:tcW w:w="1099" w:type="pct"/>
            <w:tcBorders>
              <w:bottom w:val="single" w:sz="4" w:space="0" w:color="auto"/>
              <w:right w:val="single" w:sz="4"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Annual rate^ (SD) of FVC decline, mL/year</w:t>
            </w:r>
          </w:p>
        </w:tc>
        <w:tc>
          <w:tcPr>
            <w:tcW w:w="314" w:type="pct"/>
            <w:tcBorders>
              <w:left w:val="single" w:sz="4"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1101" w:type="pct"/>
            <w:tcBorders>
              <w:left w:val="nil"/>
              <w:bottom w:val="single" w:sz="4"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-80.82 (274.59)</w:t>
            </w:r>
          </w:p>
        </w:tc>
        <w:tc>
          <w:tcPr>
            <w:tcW w:w="314" w:type="pct"/>
            <w:tcBorders>
              <w:left w:val="single" w:sz="4"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1101" w:type="pct"/>
            <w:tcBorders>
              <w:left w:val="nil"/>
              <w:bottom w:val="single" w:sz="4"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-187.78 (269.99)</w:t>
            </w:r>
          </w:p>
        </w:tc>
        <w:tc>
          <w:tcPr>
            <w:tcW w:w="1072" w:type="pct"/>
            <w:tcBorders>
              <w:left w:val="single" w:sz="4" w:space="0" w:color="auto"/>
              <w:bottom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106.96 (65.42, 148.50), </w:t>
            </w:r>
            <w:r w:rsidRPr="00060B29">
              <w:rPr>
                <w:rFonts w:ascii="Arial Narrow" w:eastAsiaTheme="majorEastAsia" w:hAnsi="Arial Narrow" w:cstheme="majorBidi"/>
                <w:b/>
                <w:sz w:val="20"/>
              </w:rPr>
              <w:t>P&lt;0.0001</w:t>
            </w:r>
          </w:p>
        </w:tc>
      </w:tr>
      <w:tr w:rsidR="00D31EBA" w:rsidRPr="00060B29" w:rsidTr="00F345C8">
        <w:tc>
          <w:tcPr>
            <w:tcW w:w="5000" w:type="pct"/>
            <w:gridSpan w:val="6"/>
            <w:tcBorders>
              <w:bottom w:val="single" w:sz="4" w:space="0" w:color="auto"/>
            </w:tcBorders>
          </w:tcPr>
          <w:p w:rsidR="00D31EBA" w:rsidRPr="00060B29" w:rsidRDefault="00D31EBA" w:rsidP="00B15687">
            <w:pPr>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 xml:space="preserve">Absolute decline in </w:t>
            </w:r>
            <w:r w:rsidR="00583167" w:rsidRPr="00060B29">
              <w:rPr>
                <w:rFonts w:ascii="Arial Narrow" w:eastAsiaTheme="majorEastAsia" w:hAnsi="Arial Narrow" w:cstheme="majorBidi"/>
                <w:b/>
                <w:sz w:val="20"/>
              </w:rPr>
              <w:t>FVC%Pred</w:t>
            </w:r>
            <w:r w:rsidRPr="00060B29">
              <w:rPr>
                <w:rFonts w:ascii="Arial Narrow" w:eastAsiaTheme="majorEastAsia" w:hAnsi="Arial Narrow" w:cstheme="majorBidi"/>
                <w:b/>
                <w:sz w:val="20"/>
              </w:rPr>
              <w:t>, n/N (%)~</w:t>
            </w:r>
          </w:p>
        </w:tc>
      </w:tr>
      <w:tr w:rsidR="00D31EBA" w:rsidRPr="00060B29" w:rsidTr="00F345C8">
        <w:tc>
          <w:tcPr>
            <w:tcW w:w="1099" w:type="pct"/>
            <w:tcBorders>
              <w:top w:val="single" w:sz="4" w:space="0" w:color="auto"/>
              <w:bottom w:val="nil"/>
              <w:right w:val="single" w:sz="4"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&gt;10%</w:t>
            </w:r>
          </w:p>
        </w:tc>
        <w:tc>
          <w:tcPr>
            <w:tcW w:w="314" w:type="pct"/>
            <w:tcBorders>
              <w:top w:val="single" w:sz="4" w:space="0" w:color="auto"/>
              <w:left w:val="single" w:sz="4" w:space="0" w:color="auto"/>
              <w:bottom w:val="nil"/>
              <w:right w:val="nil"/>
            </w:tcBorders>
          </w:tcPr>
          <w:p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single" w:sz="4" w:space="0" w:color="auto"/>
              <w:left w:val="nil"/>
              <w:bottom w:val="nil"/>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94/332 (28.3%)</w:t>
            </w:r>
          </w:p>
        </w:tc>
        <w:tc>
          <w:tcPr>
            <w:tcW w:w="314" w:type="pct"/>
            <w:tcBorders>
              <w:top w:val="single" w:sz="4" w:space="0" w:color="auto"/>
              <w:left w:val="single" w:sz="4" w:space="0" w:color="auto"/>
              <w:bottom w:val="nil"/>
              <w:right w:val="nil"/>
            </w:tcBorders>
          </w:tcPr>
          <w:p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single" w:sz="4" w:space="0" w:color="auto"/>
              <w:left w:val="nil"/>
              <w:bottom w:val="nil"/>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121/331 (36.6%)</w:t>
            </w:r>
          </w:p>
        </w:tc>
        <w:tc>
          <w:tcPr>
            <w:tcW w:w="1072" w:type="pct"/>
            <w:tcBorders>
              <w:top w:val="single" w:sz="4" w:space="0" w:color="auto"/>
              <w:left w:val="single" w:sz="4" w:space="0" w:color="auto"/>
              <w:bottom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OR</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=0.68 (0.49, 0.95)</w:t>
            </w:r>
          </w:p>
        </w:tc>
      </w:tr>
      <w:tr w:rsidR="00D31EBA" w:rsidRPr="00060B29" w:rsidTr="00F345C8">
        <w:tc>
          <w:tcPr>
            <w:tcW w:w="1099" w:type="pct"/>
            <w:tcBorders>
              <w:top w:val="nil"/>
              <w:bottom w:val="single" w:sz="4" w:space="0" w:color="auto"/>
              <w:right w:val="single" w:sz="4"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&gt;5%</w:t>
            </w:r>
          </w:p>
        </w:tc>
        <w:tc>
          <w:tcPr>
            <w:tcW w:w="314" w:type="pct"/>
            <w:tcBorders>
              <w:top w:val="nil"/>
              <w:left w:val="single" w:sz="4"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nil"/>
              <w:left w:val="nil"/>
              <w:bottom w:val="single" w:sz="4"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144/332 (43.4%)</w:t>
            </w:r>
          </w:p>
        </w:tc>
        <w:tc>
          <w:tcPr>
            <w:tcW w:w="314" w:type="pct"/>
            <w:tcBorders>
              <w:top w:val="nil"/>
              <w:left w:val="single" w:sz="4"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nil"/>
              <w:left w:val="nil"/>
              <w:bottom w:val="single" w:sz="4"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182/331 (55.0%)</w:t>
            </w:r>
          </w:p>
        </w:tc>
        <w:tc>
          <w:tcPr>
            <w:tcW w:w="1072" w:type="pct"/>
            <w:tcBorders>
              <w:top w:val="nil"/>
              <w:left w:val="single" w:sz="4" w:space="0" w:color="auto"/>
              <w:bottom w:val="single" w:sz="4" w:space="0" w:color="auto"/>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OR</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=0.63 (0.46, 0.85)</w:t>
            </w:r>
          </w:p>
        </w:tc>
      </w:tr>
      <w:tr w:rsidR="00D31EBA" w:rsidRPr="00060B29" w:rsidTr="00F345C8">
        <w:tc>
          <w:tcPr>
            <w:tcW w:w="5000" w:type="pct"/>
            <w:gridSpan w:val="6"/>
            <w:tcBorders>
              <w:bottom w:val="single" w:sz="4" w:space="0" w:color="auto"/>
            </w:tcBorders>
          </w:tcPr>
          <w:p w:rsidR="00D31EBA" w:rsidRPr="00060B29" w:rsidRDefault="00D31EBA" w:rsidP="00B15687">
            <w:pPr>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Absolute change from baseline</w:t>
            </w:r>
          </w:p>
        </w:tc>
      </w:tr>
      <w:tr w:rsidR="00D31EBA" w:rsidRPr="00060B29" w:rsidTr="00F345C8">
        <w:tc>
          <w:tcPr>
            <w:tcW w:w="1099" w:type="pct"/>
            <w:tcBorders>
              <w:top w:val="single" w:sz="4" w:space="0" w:color="auto"/>
              <w:bottom w:val="nil"/>
              <w:right w:val="single" w:sz="4"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 (mL)</w:t>
            </w:r>
          </w:p>
        </w:tc>
        <w:tc>
          <w:tcPr>
            <w:tcW w:w="314" w:type="pct"/>
            <w:tcBorders>
              <w:top w:val="single" w:sz="4" w:space="0" w:color="auto"/>
              <w:left w:val="single" w:sz="4" w:space="0" w:color="auto"/>
              <w:bottom w:val="nil"/>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1101" w:type="pct"/>
            <w:tcBorders>
              <w:top w:val="single" w:sz="4" w:space="0" w:color="auto"/>
              <w:left w:val="nil"/>
              <w:bottom w:val="nil"/>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-85.45 (-113.04, -57.86)</w:t>
            </w:r>
          </w:p>
        </w:tc>
        <w:tc>
          <w:tcPr>
            <w:tcW w:w="314" w:type="pct"/>
            <w:tcBorders>
              <w:top w:val="single" w:sz="4" w:space="0" w:color="auto"/>
              <w:left w:val="single" w:sz="4" w:space="0" w:color="auto"/>
              <w:bottom w:val="nil"/>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1101" w:type="pct"/>
            <w:tcBorders>
              <w:top w:val="single" w:sz="4" w:space="0" w:color="auto"/>
              <w:left w:val="nil"/>
              <w:bottom w:val="nil"/>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-192.20 (-219.37, -165.03)</w:t>
            </w:r>
          </w:p>
        </w:tc>
        <w:tc>
          <w:tcPr>
            <w:tcW w:w="1072" w:type="pct"/>
            <w:tcBorders>
              <w:top w:val="single" w:sz="4" w:space="0" w:color="auto"/>
              <w:left w:val="single" w:sz="4" w:space="0" w:color="auto"/>
              <w:bottom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106.75 (68.03, 145.48)</w:t>
            </w:r>
          </w:p>
        </w:tc>
      </w:tr>
      <w:tr w:rsidR="00D31EBA" w:rsidRPr="00060B29" w:rsidTr="00F345C8">
        <w:tc>
          <w:tcPr>
            <w:tcW w:w="1099" w:type="pct"/>
            <w:tcBorders>
              <w:top w:val="nil"/>
              <w:bottom w:val="single" w:sz="2" w:space="0" w:color="auto"/>
              <w:right w:val="single" w:sz="4" w:space="0" w:color="auto"/>
            </w:tcBorders>
          </w:tcPr>
          <w:p w:rsidR="00D31EBA" w:rsidRPr="00060B29" w:rsidRDefault="00583167"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FVC%Pred</w:t>
            </w:r>
          </w:p>
        </w:tc>
        <w:tc>
          <w:tcPr>
            <w:tcW w:w="314" w:type="pct"/>
            <w:tcBorders>
              <w:top w:val="nil"/>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1101" w:type="pct"/>
            <w:tcBorders>
              <w:top w:val="nil"/>
              <w:left w:val="nil"/>
              <w:bottom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-2.62 (-3.44, -1.80)</w:t>
            </w:r>
          </w:p>
        </w:tc>
        <w:tc>
          <w:tcPr>
            <w:tcW w:w="314" w:type="pct"/>
            <w:tcBorders>
              <w:top w:val="nil"/>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1101" w:type="pct"/>
            <w:tcBorders>
              <w:top w:val="nil"/>
              <w:left w:val="nil"/>
              <w:bottom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-5.86 (-6.67, -5.05)</w:t>
            </w:r>
          </w:p>
        </w:tc>
        <w:tc>
          <w:tcPr>
            <w:tcW w:w="1072" w:type="pct"/>
            <w:tcBorders>
              <w:top w:val="nil"/>
              <w:bottom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3.24 (2.09,</w:t>
            </w:r>
            <w:r w:rsidR="007C52C4" w:rsidRPr="00060B29">
              <w:rPr>
                <w:rFonts w:ascii="Arial Narrow" w:eastAsiaTheme="majorEastAsia" w:hAnsi="Arial Narrow" w:cstheme="majorBidi"/>
                <w:b/>
                <w:sz w:val="20"/>
              </w:rPr>
              <w:t xml:space="preserve"> </w:t>
            </w:r>
            <w:r w:rsidRPr="00060B29">
              <w:rPr>
                <w:rFonts w:ascii="Arial Narrow" w:eastAsiaTheme="majorEastAsia" w:hAnsi="Arial Narrow" w:cstheme="majorBidi"/>
                <w:b/>
                <w:sz w:val="20"/>
              </w:rPr>
              <w:t>4.40)</w:t>
            </w:r>
          </w:p>
        </w:tc>
      </w:tr>
      <w:tr w:rsidR="00D31EBA" w:rsidRPr="00060B29" w:rsidTr="00F345C8">
        <w:tc>
          <w:tcPr>
            <w:tcW w:w="1099" w:type="pct"/>
            <w:tcBorders>
              <w:top w:val="single" w:sz="2" w:space="0" w:color="auto"/>
              <w:bottom w:val="single" w:sz="2" w:space="0" w:color="auto"/>
              <w:right w:val="single" w:sz="4"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K-BILD total score</w:t>
            </w:r>
          </w:p>
        </w:tc>
        <w:tc>
          <w:tcPr>
            <w:tcW w:w="314" w:type="pct"/>
            <w:tcBorders>
              <w:top w:val="single" w:sz="2" w:space="0" w:color="auto"/>
              <w:left w:val="single" w:sz="4" w:space="0" w:color="auto"/>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1101" w:type="pct"/>
            <w:tcBorders>
              <w:top w:val="single" w:sz="2" w:space="0" w:color="auto"/>
              <w:left w:val="nil"/>
              <w:bottom w:val="single" w:sz="2"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0.55 (-0.62, 1.72)</w:t>
            </w:r>
          </w:p>
        </w:tc>
        <w:tc>
          <w:tcPr>
            <w:tcW w:w="314" w:type="pct"/>
            <w:tcBorders>
              <w:top w:val="single" w:sz="2" w:space="0" w:color="auto"/>
              <w:left w:val="single" w:sz="4" w:space="0" w:color="auto"/>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1101" w:type="pct"/>
            <w:tcBorders>
              <w:top w:val="single" w:sz="2" w:space="0" w:color="auto"/>
              <w:left w:val="nil"/>
              <w:bottom w:val="single" w:sz="2"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-0.79 (-1.94, 0.37)</w:t>
            </w:r>
          </w:p>
        </w:tc>
        <w:tc>
          <w:tcPr>
            <w:tcW w:w="1072" w:type="pct"/>
            <w:tcBorders>
              <w:top w:val="single" w:sz="2" w:space="0" w:color="auto"/>
              <w:left w:val="single" w:sz="4" w:space="0" w:color="auto"/>
              <w:bottom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1.34 (-0.31. 2.98), p=0.1115</w:t>
            </w:r>
          </w:p>
        </w:tc>
      </w:tr>
      <w:tr w:rsidR="00D31EBA" w:rsidRPr="00060B29" w:rsidTr="00F345C8">
        <w:tc>
          <w:tcPr>
            <w:tcW w:w="1099" w:type="pct"/>
            <w:tcBorders>
              <w:top w:val="single" w:sz="2" w:space="0" w:color="auto"/>
              <w:bottom w:val="single" w:sz="2" w:space="0" w:color="auto"/>
              <w:right w:val="single" w:sz="4"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L-PF symptoms dyspnoea domain score</w:t>
            </w:r>
          </w:p>
        </w:tc>
        <w:tc>
          <w:tcPr>
            <w:tcW w:w="314" w:type="pct"/>
            <w:tcBorders>
              <w:top w:val="single" w:sz="2" w:space="0" w:color="auto"/>
              <w:left w:val="single" w:sz="4" w:space="0" w:color="auto"/>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329</w:t>
            </w:r>
          </w:p>
        </w:tc>
        <w:tc>
          <w:tcPr>
            <w:tcW w:w="1101" w:type="pct"/>
            <w:tcBorders>
              <w:top w:val="single" w:sz="2" w:space="0" w:color="auto"/>
              <w:left w:val="nil"/>
              <w:bottom w:val="single" w:sz="2"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4.28 (2.43, 6.14)</w:t>
            </w:r>
          </w:p>
        </w:tc>
        <w:tc>
          <w:tcPr>
            <w:tcW w:w="314" w:type="pct"/>
            <w:tcBorders>
              <w:top w:val="single" w:sz="2" w:space="0" w:color="auto"/>
              <w:left w:val="single" w:sz="4" w:space="0" w:color="auto"/>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323</w:t>
            </w:r>
          </w:p>
        </w:tc>
        <w:tc>
          <w:tcPr>
            <w:tcW w:w="1101" w:type="pct"/>
            <w:tcBorders>
              <w:top w:val="single" w:sz="2" w:space="0" w:color="auto"/>
              <w:left w:val="nil"/>
              <w:bottom w:val="single" w:sz="2"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7.81 (5.97, 9.66)</w:t>
            </w:r>
          </w:p>
        </w:tc>
        <w:tc>
          <w:tcPr>
            <w:tcW w:w="1072" w:type="pct"/>
            <w:tcBorders>
              <w:top w:val="single" w:sz="2" w:space="0" w:color="auto"/>
              <w:left w:val="single" w:sz="4" w:space="0" w:color="auto"/>
              <w:bottom w:val="single" w:sz="2" w:space="0" w:color="auto"/>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Cs/>
                <w:sz w:val="20"/>
              </w:rPr>
              <w:t>-3.53 (-6.14, -0.92)</w:t>
            </w:r>
          </w:p>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=0.0081</w:t>
            </w:r>
          </w:p>
        </w:tc>
      </w:tr>
      <w:tr w:rsidR="00D31EBA" w:rsidRPr="00060B29" w:rsidTr="00F345C8">
        <w:tc>
          <w:tcPr>
            <w:tcW w:w="1099" w:type="pct"/>
            <w:tcBorders>
              <w:top w:val="single" w:sz="2" w:space="0" w:color="auto"/>
              <w:bottom w:val="single" w:sz="4" w:space="0" w:color="auto"/>
              <w:right w:val="single" w:sz="4"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L-PF symptoms cough domain score</w:t>
            </w:r>
          </w:p>
        </w:tc>
        <w:tc>
          <w:tcPr>
            <w:tcW w:w="314" w:type="pct"/>
            <w:tcBorders>
              <w:top w:val="single" w:sz="2" w:space="0" w:color="auto"/>
              <w:left w:val="single" w:sz="4"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327</w:t>
            </w:r>
          </w:p>
        </w:tc>
        <w:tc>
          <w:tcPr>
            <w:tcW w:w="1101" w:type="pct"/>
            <w:tcBorders>
              <w:top w:val="single" w:sz="2" w:space="0" w:color="auto"/>
              <w:left w:val="nil"/>
              <w:bottom w:val="single" w:sz="4"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-1.84 (-4.36, 0.69)</w:t>
            </w:r>
          </w:p>
        </w:tc>
        <w:tc>
          <w:tcPr>
            <w:tcW w:w="314" w:type="pct"/>
            <w:tcBorders>
              <w:top w:val="single" w:sz="2" w:space="0" w:color="auto"/>
              <w:left w:val="single" w:sz="4"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320</w:t>
            </w:r>
          </w:p>
        </w:tc>
        <w:tc>
          <w:tcPr>
            <w:tcW w:w="1101" w:type="pct"/>
            <w:tcBorders>
              <w:top w:val="single" w:sz="2" w:space="0" w:color="auto"/>
              <w:left w:val="nil"/>
              <w:bottom w:val="single" w:sz="4" w:space="0" w:color="auto"/>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4.25 (1.74, 6.76)</w:t>
            </w:r>
          </w:p>
        </w:tc>
        <w:tc>
          <w:tcPr>
            <w:tcW w:w="1072" w:type="pct"/>
            <w:tcBorders>
              <w:top w:val="single" w:sz="2" w:space="0" w:color="auto"/>
              <w:left w:val="single" w:sz="4" w:space="0" w:color="auto"/>
              <w:bottom w:val="single" w:sz="4" w:space="0" w:color="auto"/>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Cs/>
                <w:sz w:val="20"/>
              </w:rPr>
              <w:t>-6.09 (-9.65, -2.53)</w:t>
            </w:r>
          </w:p>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=0.0008</w:t>
            </w:r>
          </w:p>
        </w:tc>
      </w:tr>
      <w:tr w:rsidR="00D31EBA" w:rsidRPr="00060B29" w:rsidTr="00F345C8">
        <w:tc>
          <w:tcPr>
            <w:tcW w:w="5000" w:type="pct"/>
            <w:gridSpan w:val="6"/>
          </w:tcPr>
          <w:p w:rsidR="00D31EBA" w:rsidRPr="00060B29" w:rsidRDefault="00D31EBA" w:rsidP="00B15687">
            <w:pPr>
              <w:keepLines/>
              <w:jc w:val="left"/>
              <w:rPr>
                <w:rFonts w:ascii="Arial Narrow" w:eastAsiaTheme="majorEastAsia" w:hAnsi="Arial Narrow" w:cstheme="majorBidi"/>
                <w:b/>
                <w:caps/>
                <w:sz w:val="20"/>
              </w:rPr>
            </w:pPr>
            <w:r w:rsidRPr="00060B29">
              <w:rPr>
                <w:rFonts w:ascii="Arial Narrow" w:eastAsiaTheme="majorEastAsia" w:hAnsi="Arial Narrow" w:cstheme="majorBidi"/>
                <w:b/>
                <w:caps/>
                <w:sz w:val="20"/>
              </w:rPr>
              <w:t>Patients with HRCT with UIP-like fibrotic pattern</w:t>
            </w:r>
          </w:p>
        </w:tc>
      </w:tr>
      <w:tr w:rsidR="00D31EBA" w:rsidRPr="00060B29" w:rsidTr="00F345C8">
        <w:tc>
          <w:tcPr>
            <w:tcW w:w="1099" w:type="pct"/>
            <w:tcBorders>
              <w:bottom w:val="single" w:sz="4" w:space="0" w:color="auto"/>
              <w:right w:val="single" w:sz="4"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Annual rate of FVC decline (mL/year)</w:t>
            </w:r>
          </w:p>
        </w:tc>
        <w:tc>
          <w:tcPr>
            <w:tcW w:w="314" w:type="pct"/>
            <w:tcBorders>
              <w:left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left w:val="nil"/>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-82.87 (297.96)</w:t>
            </w:r>
          </w:p>
        </w:tc>
        <w:tc>
          <w:tcPr>
            <w:tcW w:w="314" w:type="pct"/>
            <w:tcBorders>
              <w:left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left w:val="nil"/>
              <w:righ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-211.07 (294.09)</w:t>
            </w:r>
          </w:p>
        </w:tc>
        <w:tc>
          <w:tcPr>
            <w:tcW w:w="1072" w:type="pct"/>
            <w:tcBorders>
              <w:left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128.20 (70.81, 185.59), </w:t>
            </w:r>
            <w:r w:rsidRPr="00060B29">
              <w:rPr>
                <w:rFonts w:ascii="Arial Narrow" w:eastAsiaTheme="majorEastAsia" w:hAnsi="Arial Narrow" w:cstheme="majorBidi"/>
                <w:b/>
                <w:sz w:val="20"/>
              </w:rPr>
              <w:t>P&lt;0.0001</w:t>
            </w:r>
          </w:p>
        </w:tc>
      </w:tr>
      <w:tr w:rsidR="00D31EBA" w:rsidRPr="00060B29" w:rsidTr="00F345C8">
        <w:tc>
          <w:tcPr>
            <w:tcW w:w="5000" w:type="pct"/>
            <w:gridSpan w:val="6"/>
            <w:tcBorders>
              <w:bottom w:val="single" w:sz="4" w:space="0" w:color="auto"/>
            </w:tcBorders>
          </w:tcPr>
          <w:p w:rsidR="00D31EBA" w:rsidRPr="00060B29" w:rsidRDefault="00D31EBA" w:rsidP="00B15687">
            <w:pPr>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 xml:space="preserve">Absolute decline in </w:t>
            </w:r>
            <w:r w:rsidR="00583167" w:rsidRPr="00060B29">
              <w:rPr>
                <w:rFonts w:ascii="Arial Narrow" w:eastAsiaTheme="majorEastAsia" w:hAnsi="Arial Narrow" w:cstheme="majorBidi"/>
                <w:b/>
                <w:sz w:val="20"/>
              </w:rPr>
              <w:t>FVC%Pred</w:t>
            </w:r>
            <w:r w:rsidRPr="00060B29">
              <w:rPr>
                <w:rFonts w:ascii="Arial Narrow" w:eastAsiaTheme="majorEastAsia" w:hAnsi="Arial Narrow" w:cstheme="majorBidi"/>
                <w:b/>
                <w:sz w:val="20"/>
              </w:rPr>
              <w:t>, n/N (%)</w:t>
            </w:r>
          </w:p>
        </w:tc>
      </w:tr>
      <w:tr w:rsidR="00D31EBA" w:rsidRPr="00060B29" w:rsidTr="00F345C8">
        <w:tc>
          <w:tcPr>
            <w:tcW w:w="1099" w:type="pct"/>
            <w:tcBorders>
              <w:bottom w:val="nil"/>
              <w:right w:val="single" w:sz="2"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&gt;10%</w:t>
            </w:r>
          </w:p>
        </w:tc>
        <w:tc>
          <w:tcPr>
            <w:tcW w:w="314" w:type="pct"/>
            <w:tcBorders>
              <w:left w:val="single" w:sz="2" w:space="0" w:color="auto"/>
              <w:bottom w:val="nil"/>
              <w:right w:val="nil"/>
            </w:tcBorders>
          </w:tcPr>
          <w:p w:rsidR="00D31EBA" w:rsidRPr="00060B29" w:rsidRDefault="00D31EBA" w:rsidP="00B15687">
            <w:pPr>
              <w:keepLines/>
              <w:jc w:val="center"/>
              <w:rPr>
                <w:rFonts w:ascii="Arial Narrow" w:eastAsiaTheme="majorEastAsia" w:hAnsi="Arial Narrow" w:cstheme="majorBidi"/>
                <w:bCs/>
                <w:sz w:val="20"/>
              </w:rPr>
            </w:pPr>
          </w:p>
        </w:tc>
        <w:tc>
          <w:tcPr>
            <w:tcW w:w="1101" w:type="pct"/>
            <w:tcBorders>
              <w:left w:val="nil"/>
              <w:bottom w:val="nil"/>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63/206 (30.6%)</w:t>
            </w:r>
          </w:p>
        </w:tc>
        <w:tc>
          <w:tcPr>
            <w:tcW w:w="314" w:type="pct"/>
            <w:tcBorders>
              <w:left w:val="single" w:sz="2" w:space="0" w:color="auto"/>
              <w:bottom w:val="nil"/>
              <w:right w:val="nil"/>
            </w:tcBorders>
          </w:tcPr>
          <w:p w:rsidR="00D31EBA" w:rsidRPr="00060B29" w:rsidRDefault="00D31EBA" w:rsidP="00B15687">
            <w:pPr>
              <w:keepLines/>
              <w:jc w:val="center"/>
              <w:rPr>
                <w:rFonts w:ascii="Arial Narrow" w:eastAsiaTheme="majorEastAsia" w:hAnsi="Arial Narrow" w:cstheme="majorBidi"/>
                <w:bCs/>
                <w:sz w:val="20"/>
              </w:rPr>
            </w:pPr>
          </w:p>
        </w:tc>
        <w:tc>
          <w:tcPr>
            <w:tcW w:w="1101" w:type="pct"/>
            <w:tcBorders>
              <w:left w:val="nil"/>
              <w:bottom w:val="nil"/>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85/206 (41.3%)</w:t>
            </w:r>
          </w:p>
        </w:tc>
        <w:tc>
          <w:tcPr>
            <w:tcW w:w="1072" w:type="pct"/>
            <w:tcBorders>
              <w:left w:val="single" w:sz="2" w:space="0" w:color="auto"/>
              <w:bottom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OR=0.63 (0.42, 0.94)</w:t>
            </w:r>
          </w:p>
        </w:tc>
      </w:tr>
      <w:tr w:rsidR="00D31EBA" w:rsidRPr="00060B29" w:rsidTr="00F345C8">
        <w:tc>
          <w:tcPr>
            <w:tcW w:w="1099" w:type="pct"/>
            <w:tcBorders>
              <w:top w:val="nil"/>
              <w:bottom w:val="single" w:sz="4" w:space="0" w:color="auto"/>
              <w:right w:val="single" w:sz="2"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&gt;5%</w:t>
            </w:r>
          </w:p>
        </w:tc>
        <w:tc>
          <w:tcPr>
            <w:tcW w:w="314" w:type="pct"/>
            <w:tcBorders>
              <w:top w:val="nil"/>
              <w:left w:val="single" w:sz="2"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nil"/>
              <w:left w:val="nil"/>
              <w:bottom w:val="single" w:sz="4" w:space="0" w:color="auto"/>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90/206 (43.7%)</w:t>
            </w:r>
          </w:p>
        </w:tc>
        <w:tc>
          <w:tcPr>
            <w:tcW w:w="314" w:type="pct"/>
            <w:tcBorders>
              <w:top w:val="nil"/>
              <w:left w:val="single" w:sz="2"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p>
        </w:tc>
        <w:tc>
          <w:tcPr>
            <w:tcW w:w="1101" w:type="pct"/>
            <w:tcBorders>
              <w:top w:val="nil"/>
              <w:left w:val="nil"/>
              <w:bottom w:val="single" w:sz="4" w:space="0" w:color="auto"/>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118/206 (57.3%)</w:t>
            </w:r>
          </w:p>
        </w:tc>
        <w:tc>
          <w:tcPr>
            <w:tcW w:w="1072" w:type="pct"/>
            <w:tcBorders>
              <w:top w:val="nil"/>
              <w:left w:val="single" w:sz="2" w:space="0" w:color="auto"/>
              <w:bottom w:val="single" w:sz="4"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OR=0.58 (0.39, 0.85)</w:t>
            </w:r>
          </w:p>
        </w:tc>
      </w:tr>
      <w:tr w:rsidR="00D31EBA" w:rsidRPr="00060B29" w:rsidTr="00F345C8">
        <w:tc>
          <w:tcPr>
            <w:tcW w:w="5000" w:type="pct"/>
            <w:gridSpan w:val="6"/>
            <w:tcBorders>
              <w:left w:val="single" w:sz="2" w:space="0" w:color="auto"/>
              <w:bottom w:val="single" w:sz="2" w:space="0" w:color="auto"/>
              <w:right w:val="single" w:sz="2" w:space="0" w:color="auto"/>
            </w:tcBorders>
          </w:tcPr>
          <w:p w:rsidR="00D31EBA" w:rsidRPr="00060B29" w:rsidRDefault="00D31EBA" w:rsidP="00B15687">
            <w:pPr>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Absolute change from baseline</w:t>
            </w:r>
          </w:p>
        </w:tc>
      </w:tr>
      <w:tr w:rsidR="00D31EBA" w:rsidRPr="00060B29" w:rsidTr="00F345C8">
        <w:tc>
          <w:tcPr>
            <w:tcW w:w="1099" w:type="pct"/>
            <w:tcBorders>
              <w:top w:val="single" w:sz="2" w:space="0" w:color="auto"/>
              <w:bottom w:val="nil"/>
              <w:right w:val="single" w:sz="2"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 (mL)</w:t>
            </w:r>
          </w:p>
        </w:tc>
        <w:tc>
          <w:tcPr>
            <w:tcW w:w="314" w:type="pct"/>
            <w:tcBorders>
              <w:top w:val="single" w:sz="2" w:space="0" w:color="auto"/>
              <w:left w:val="single" w:sz="2" w:space="0" w:color="auto"/>
              <w:bottom w:val="nil"/>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single" w:sz="2" w:space="0" w:color="auto"/>
              <w:left w:val="nil"/>
              <w:bottom w:val="nil"/>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-80.72 (-116.75, -44.68)</w:t>
            </w:r>
          </w:p>
        </w:tc>
        <w:tc>
          <w:tcPr>
            <w:tcW w:w="314" w:type="pct"/>
            <w:tcBorders>
              <w:top w:val="single" w:sz="2" w:space="0" w:color="auto"/>
              <w:left w:val="single" w:sz="2" w:space="0" w:color="auto"/>
              <w:bottom w:val="nil"/>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single" w:sz="2" w:space="0" w:color="auto"/>
              <w:left w:val="nil"/>
              <w:bottom w:val="nil"/>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-212.55 (-248.20, -176.91)</w:t>
            </w:r>
          </w:p>
        </w:tc>
        <w:tc>
          <w:tcPr>
            <w:tcW w:w="1072" w:type="pct"/>
            <w:tcBorders>
              <w:top w:val="single" w:sz="2" w:space="0" w:color="auto"/>
              <w:left w:val="single" w:sz="2" w:space="0" w:color="auto"/>
              <w:bottom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131.84 (81.15, 182.52)</w:t>
            </w:r>
          </w:p>
        </w:tc>
      </w:tr>
      <w:tr w:rsidR="00D31EBA" w:rsidRPr="00060B29" w:rsidTr="00F345C8">
        <w:tc>
          <w:tcPr>
            <w:tcW w:w="1099" w:type="pct"/>
            <w:tcBorders>
              <w:top w:val="nil"/>
              <w:bottom w:val="single" w:sz="2" w:space="0" w:color="auto"/>
              <w:right w:val="single" w:sz="2" w:space="0" w:color="auto"/>
            </w:tcBorders>
          </w:tcPr>
          <w:p w:rsidR="00D31EBA" w:rsidRPr="00060B29" w:rsidRDefault="00583167"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FVC%Pred</w:t>
            </w:r>
          </w:p>
        </w:tc>
        <w:tc>
          <w:tcPr>
            <w:tcW w:w="314" w:type="pct"/>
            <w:tcBorders>
              <w:top w:val="nil"/>
              <w:left w:val="single" w:sz="2" w:space="0" w:color="auto"/>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nil"/>
              <w:left w:val="nil"/>
              <w:bottom w:val="single" w:sz="2" w:space="0" w:color="auto"/>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-2.34 (-3.41, -1.27)</w:t>
            </w:r>
          </w:p>
        </w:tc>
        <w:tc>
          <w:tcPr>
            <w:tcW w:w="314" w:type="pct"/>
            <w:tcBorders>
              <w:top w:val="nil"/>
              <w:left w:val="single" w:sz="2" w:space="0" w:color="auto"/>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nil"/>
              <w:left w:val="nil"/>
              <w:bottom w:val="single" w:sz="2" w:space="0" w:color="auto"/>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-6.44 (-7.49, -5.38)</w:t>
            </w:r>
          </w:p>
        </w:tc>
        <w:tc>
          <w:tcPr>
            <w:tcW w:w="1072" w:type="pct"/>
            <w:tcBorders>
              <w:top w:val="nil"/>
              <w:left w:val="single" w:sz="2" w:space="0" w:color="auto"/>
              <w:bottom w:val="single" w:sz="2" w:space="0" w:color="auto"/>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4.10 (2.59, 5.60)</w:t>
            </w:r>
          </w:p>
        </w:tc>
      </w:tr>
      <w:tr w:rsidR="00D31EBA" w:rsidRPr="00060B29" w:rsidTr="00F345C8">
        <w:tc>
          <w:tcPr>
            <w:tcW w:w="1099" w:type="pct"/>
            <w:tcBorders>
              <w:top w:val="single" w:sz="2" w:space="0" w:color="auto"/>
              <w:bottom w:val="single" w:sz="2" w:space="0" w:color="auto"/>
              <w:right w:val="single" w:sz="2"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K-BILD total score</w:t>
            </w:r>
          </w:p>
        </w:tc>
        <w:tc>
          <w:tcPr>
            <w:tcW w:w="314" w:type="pct"/>
            <w:tcBorders>
              <w:top w:val="single" w:sz="2" w:space="0" w:color="auto"/>
              <w:left w:val="single" w:sz="2" w:space="0" w:color="auto"/>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single" w:sz="2" w:space="0" w:color="auto"/>
              <w:left w:val="nil"/>
              <w:bottom w:val="single" w:sz="2" w:space="0" w:color="auto"/>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0.75 (-0.82, 2.31)</w:t>
            </w:r>
          </w:p>
        </w:tc>
        <w:tc>
          <w:tcPr>
            <w:tcW w:w="314" w:type="pct"/>
            <w:tcBorders>
              <w:top w:val="single" w:sz="2" w:space="0" w:color="auto"/>
              <w:left w:val="single" w:sz="2" w:space="0" w:color="auto"/>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206</w:t>
            </w:r>
          </w:p>
        </w:tc>
        <w:tc>
          <w:tcPr>
            <w:tcW w:w="1101" w:type="pct"/>
            <w:tcBorders>
              <w:top w:val="single" w:sz="2" w:space="0" w:color="auto"/>
              <w:left w:val="nil"/>
              <w:bottom w:val="single" w:sz="2" w:space="0" w:color="auto"/>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-0.78 (-2.34, 0.78)</w:t>
            </w:r>
          </w:p>
        </w:tc>
        <w:tc>
          <w:tcPr>
            <w:tcW w:w="1072" w:type="pct"/>
            <w:tcBorders>
              <w:top w:val="single" w:sz="2" w:space="0" w:color="auto"/>
              <w:left w:val="single" w:sz="2" w:space="0" w:color="auto"/>
              <w:bottom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1.53 (-0.68, 3.74), p=0.1747</w:t>
            </w:r>
          </w:p>
        </w:tc>
      </w:tr>
      <w:tr w:rsidR="00D31EBA" w:rsidRPr="00060B29" w:rsidTr="00F345C8">
        <w:tc>
          <w:tcPr>
            <w:tcW w:w="1099" w:type="pct"/>
            <w:tcBorders>
              <w:top w:val="single" w:sz="2" w:space="0" w:color="auto"/>
              <w:bottom w:val="single" w:sz="2" w:space="0" w:color="auto"/>
              <w:right w:val="single" w:sz="2"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L-PF symptoms dyspnoea domain score</w:t>
            </w:r>
          </w:p>
        </w:tc>
        <w:tc>
          <w:tcPr>
            <w:tcW w:w="314" w:type="pct"/>
            <w:tcBorders>
              <w:top w:val="single" w:sz="2" w:space="0" w:color="auto"/>
              <w:left w:val="single" w:sz="2" w:space="0" w:color="auto"/>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204</w:t>
            </w:r>
          </w:p>
        </w:tc>
        <w:tc>
          <w:tcPr>
            <w:tcW w:w="1101" w:type="pct"/>
            <w:tcBorders>
              <w:top w:val="single" w:sz="2" w:space="0" w:color="auto"/>
              <w:left w:val="nil"/>
              <w:bottom w:val="single" w:sz="2" w:space="0" w:color="auto"/>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4.14 (1.81, 6.47)</w:t>
            </w:r>
          </w:p>
        </w:tc>
        <w:tc>
          <w:tcPr>
            <w:tcW w:w="314" w:type="pct"/>
            <w:tcBorders>
              <w:top w:val="single" w:sz="2" w:space="0" w:color="auto"/>
              <w:left w:val="single" w:sz="2" w:space="0" w:color="auto"/>
              <w:bottom w:val="single" w:sz="2"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201</w:t>
            </w:r>
          </w:p>
        </w:tc>
        <w:tc>
          <w:tcPr>
            <w:tcW w:w="1101" w:type="pct"/>
            <w:tcBorders>
              <w:top w:val="single" w:sz="2" w:space="0" w:color="auto"/>
              <w:left w:val="nil"/>
              <w:bottom w:val="single" w:sz="2" w:space="0" w:color="auto"/>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8.32 (5.99, 10.66)</w:t>
            </w:r>
          </w:p>
        </w:tc>
        <w:tc>
          <w:tcPr>
            <w:tcW w:w="1072" w:type="pct"/>
            <w:tcBorders>
              <w:top w:val="single" w:sz="2" w:space="0" w:color="auto"/>
              <w:left w:val="single" w:sz="2" w:space="0" w:color="auto"/>
              <w:bottom w:val="single" w:sz="2" w:space="0" w:color="auto"/>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Cs/>
                <w:sz w:val="20"/>
              </w:rPr>
              <w:t>-4.18 (-7.48, -0.88)</w:t>
            </w:r>
          </w:p>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=0.0132</w:t>
            </w:r>
          </w:p>
        </w:tc>
      </w:tr>
      <w:tr w:rsidR="00D31EBA" w:rsidRPr="00060B29" w:rsidTr="00F345C8">
        <w:tc>
          <w:tcPr>
            <w:tcW w:w="1099" w:type="pct"/>
            <w:tcBorders>
              <w:top w:val="single" w:sz="2" w:space="0" w:color="auto"/>
              <w:bottom w:val="single" w:sz="4" w:space="0" w:color="auto"/>
              <w:right w:val="single" w:sz="2" w:space="0" w:color="auto"/>
            </w:tcBorders>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L-PF symptoms cough domain score</w:t>
            </w:r>
          </w:p>
        </w:tc>
        <w:tc>
          <w:tcPr>
            <w:tcW w:w="314" w:type="pct"/>
            <w:tcBorders>
              <w:top w:val="single" w:sz="2" w:space="0" w:color="auto"/>
              <w:left w:val="single" w:sz="2"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203</w:t>
            </w:r>
          </w:p>
        </w:tc>
        <w:tc>
          <w:tcPr>
            <w:tcW w:w="1101" w:type="pct"/>
            <w:tcBorders>
              <w:top w:val="single" w:sz="2" w:space="0" w:color="auto"/>
              <w:left w:val="nil"/>
              <w:bottom w:val="single" w:sz="4" w:space="0" w:color="auto"/>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-3.20 (-6.43, 0.04)</w:t>
            </w:r>
          </w:p>
        </w:tc>
        <w:tc>
          <w:tcPr>
            <w:tcW w:w="314" w:type="pct"/>
            <w:tcBorders>
              <w:top w:val="single" w:sz="2" w:space="0" w:color="auto"/>
              <w:left w:val="single" w:sz="2" w:space="0" w:color="auto"/>
              <w:bottom w:val="single" w:sz="4" w:space="0" w:color="auto"/>
              <w:right w:val="nil"/>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199</w:t>
            </w:r>
          </w:p>
        </w:tc>
        <w:tc>
          <w:tcPr>
            <w:tcW w:w="1101" w:type="pct"/>
            <w:tcBorders>
              <w:top w:val="single" w:sz="2" w:space="0" w:color="auto"/>
              <w:left w:val="nil"/>
              <w:bottom w:val="single" w:sz="4" w:space="0" w:color="auto"/>
              <w:right w:val="single" w:sz="2" w:space="0" w:color="auto"/>
            </w:tcBorders>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4.09 (0.85, 7.32)</w:t>
            </w:r>
          </w:p>
        </w:tc>
        <w:tc>
          <w:tcPr>
            <w:tcW w:w="1072" w:type="pct"/>
            <w:tcBorders>
              <w:top w:val="single" w:sz="2" w:space="0" w:color="auto"/>
              <w:left w:val="single" w:sz="2" w:space="0" w:color="auto"/>
              <w:bottom w:val="single" w:sz="4" w:space="0" w:color="auto"/>
            </w:tcBorders>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Cs/>
                <w:sz w:val="20"/>
              </w:rPr>
              <w:t>-7.28 (-11.86, -2.71)</w:t>
            </w:r>
          </w:p>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=0.0019</w:t>
            </w:r>
          </w:p>
        </w:tc>
      </w:tr>
    </w:tbl>
    <w:p w:rsidR="00D31EBA" w:rsidRPr="00060B29" w:rsidRDefault="00D31EBA" w:rsidP="00B15687">
      <w:pPr>
        <w:pStyle w:val="TableFigureFooter"/>
        <w:keepLines/>
      </w:pPr>
      <w:r w:rsidRPr="00060B29">
        <w:t>Source: Tables 2.19-2.22 and 2.24-2.25, pp74, 84, 86, 88, 90 and 92 of the submission</w:t>
      </w:r>
    </w:p>
    <w:p w:rsidR="00D31EBA" w:rsidRPr="00060B29" w:rsidRDefault="00D31EBA" w:rsidP="00B15687">
      <w:pPr>
        <w:pStyle w:val="TableFigureFooter"/>
        <w:keepLines/>
      </w:pPr>
      <w:r w:rsidRPr="00060B29">
        <w:t xml:space="preserve">BSC=best supportive care; CI=confidence interval; FVC=forced vital capacity; </w:t>
      </w:r>
      <w:r w:rsidR="00583167" w:rsidRPr="00060B29">
        <w:t xml:space="preserve">FVC%Pred= forced vital capacity % predicted; </w:t>
      </w:r>
      <w:r w:rsidRPr="00060B29">
        <w:t>HRCT=high-resolution computed tomography; K-BILD=King’s Brief Interstitial Lung Disease; L-PF=Living with Pulmonary Fibrosis; N=number of patients analysed; OR=odds ratio; SD=standard deviation; UIP=usual interstitial pneumonia; vs=versus</w:t>
      </w:r>
    </w:p>
    <w:p w:rsidR="00D31EBA" w:rsidRPr="00060B29" w:rsidRDefault="00D31EBA" w:rsidP="00B15687">
      <w:pPr>
        <w:pStyle w:val="TableFigureFooter"/>
        <w:keepLines/>
      </w:pPr>
      <w:r w:rsidRPr="00060B29">
        <w:t>* Adjusted mean based on Mixed-Effect Model Repeated Measure (MMRM), with fixed effects for baseline, visit, treatment-by-visit interaction, baseline-by-visit interaction and random effect for patient.</w:t>
      </w:r>
    </w:p>
    <w:p w:rsidR="00D31EBA" w:rsidRPr="00060B29" w:rsidRDefault="00D31EBA" w:rsidP="00B15687">
      <w:pPr>
        <w:pStyle w:val="TableFigureFooter"/>
        <w:keepLines/>
      </w:pPr>
      <w:r w:rsidRPr="00060B29">
        <w:t>^ Based on a random coefficient regression with fixed effects for treatment, HRCT pattern (for the overall population only), and baseline FVC (mL), and including treatment-by-time and baseline-by-time interactions. Within-patient errors were modelled by an unstructured variance-covariance matrix.</w:t>
      </w:r>
    </w:p>
    <w:p w:rsidR="00D31EBA" w:rsidRPr="00060B29" w:rsidRDefault="00D31EBA" w:rsidP="00B15687">
      <w:pPr>
        <w:pStyle w:val="TableFigureFooter"/>
        <w:keepLines/>
      </w:pPr>
      <w:r w:rsidRPr="00060B29">
        <w:t>~ Worst-case analysis: patients with missing data at Week 52 were considered non-responders.</w:t>
      </w:r>
    </w:p>
    <w:p w:rsidR="00D31EBA" w:rsidRPr="00060B29" w:rsidRDefault="00D31EBA" w:rsidP="00B15687">
      <w:pPr>
        <w:pStyle w:val="TableFigureFooter"/>
        <w:keepLines/>
      </w:pPr>
      <w:r w:rsidRPr="00060B29">
        <w:rPr>
          <w:vertAlign w:val="superscript"/>
        </w:rPr>
        <w:t>#</w:t>
      </w:r>
      <w:r w:rsidRPr="00060B29">
        <w:t xml:space="preserve"> Adjusted OR based on a logistic regression model with continuous covariate baseline </w:t>
      </w:r>
      <w:r w:rsidR="00583167" w:rsidRPr="00060B29">
        <w:t>FVC%Pred</w:t>
      </w:r>
      <w:r w:rsidRPr="00060B29">
        <w:t xml:space="preserve"> and binary covariate HRCT pattern (for the overall population only) </w:t>
      </w:r>
    </w:p>
    <w:p w:rsidR="00D31EBA" w:rsidRPr="00060B29" w:rsidRDefault="00D31EBA" w:rsidP="00B15687">
      <w:pPr>
        <w:pStyle w:val="TableFigureFooter"/>
        <w:keepLines/>
      </w:pPr>
      <w:r w:rsidRPr="00060B29">
        <w:rPr>
          <w:vertAlign w:val="superscript"/>
        </w:rPr>
        <w:t>†</w:t>
      </w:r>
      <w:r w:rsidRPr="00060B29">
        <w:t xml:space="preserve"> Nominal p-value</w:t>
      </w:r>
    </w:p>
    <w:p w:rsidR="00D31EBA" w:rsidRPr="00060B29" w:rsidRDefault="00D31EBA" w:rsidP="00B15687">
      <w:pPr>
        <w:pStyle w:val="TableFigureFooter"/>
        <w:keepLines/>
      </w:pPr>
      <w:r w:rsidRPr="00060B29">
        <w:rPr>
          <w:b/>
          <w:bCs/>
        </w:rPr>
        <w:t>p-values</w:t>
      </w:r>
      <w:r w:rsidRPr="00060B29">
        <w:t xml:space="preserve"> in </w:t>
      </w:r>
      <w:r w:rsidRPr="00060B29">
        <w:rPr>
          <w:b/>
          <w:bCs/>
        </w:rPr>
        <w:t>bold</w:t>
      </w:r>
      <w:r w:rsidRPr="00060B29">
        <w:t xml:space="preserve"> indicate reaching statistical significance </w:t>
      </w:r>
    </w:p>
    <w:p w:rsidR="00D31EBA" w:rsidRPr="00060B29" w:rsidRDefault="00D31EBA" w:rsidP="00B15687">
      <w:pPr>
        <w:pStyle w:val="TableFigureFooter"/>
        <w:keepLines/>
      </w:pPr>
      <w:r w:rsidRPr="00060B29">
        <w:t xml:space="preserve">OR in </w:t>
      </w:r>
      <w:r w:rsidRPr="00060B29">
        <w:rPr>
          <w:b/>
          <w:bCs/>
        </w:rPr>
        <w:t>bold</w:t>
      </w:r>
      <w:r w:rsidRPr="00060B29">
        <w:t xml:space="preserve"> indicate reaching statistical significance </w:t>
      </w:r>
    </w:p>
    <w:p w:rsidR="00D31EBA" w:rsidRPr="00060B29" w:rsidRDefault="00D31EBA" w:rsidP="00B15687">
      <w:pPr>
        <w:pStyle w:val="TableFigureFooter"/>
        <w:keepLines/>
      </w:pPr>
      <w:r w:rsidRPr="00060B29">
        <w:t>K−BILD: The total score ranges from 0 to 100; a higher score indicates a better health status. The minimal clinically important difference (MCID) for K-BILD has not been established, but a change of between 4 and 8 points has been suggested to represent a meaningful change in a population of patients with different ILDs (p95 in the Clinical Trial Report for INBUILD).</w:t>
      </w:r>
    </w:p>
    <w:p w:rsidR="00D31EBA" w:rsidRPr="00060B29" w:rsidRDefault="00D31EBA" w:rsidP="00B15687">
      <w:pPr>
        <w:pStyle w:val="TableFigureFooter"/>
        <w:keepLines/>
        <w:rPr>
          <w:rStyle w:val="TableFigureFooterChar"/>
        </w:rPr>
      </w:pPr>
      <w:r w:rsidRPr="00060B29">
        <w:t xml:space="preserve">L-PF symptoms domain scores range from 0 to 100, the higher the score, the greater the impairment. An MCID for L-PF has not been </w:t>
      </w:r>
      <w:r w:rsidRPr="00060B29">
        <w:rPr>
          <w:rStyle w:val="TableFigureFooterChar"/>
        </w:rPr>
        <w:t>established (p95 in the Clinical Trial Report for INBUILD).</w:t>
      </w:r>
    </w:p>
    <w:p w:rsidR="00D31EBA" w:rsidRPr="00060B29" w:rsidRDefault="00D31EBA" w:rsidP="00B15687">
      <w:pPr>
        <w:pStyle w:val="3-BodyText"/>
        <w:rPr>
          <w:iCs/>
        </w:rPr>
      </w:pPr>
      <w:r w:rsidRPr="00060B29">
        <w:t xml:space="preserve">In the overall population, the annual rate of FVC decline over 52 weeks was significantly slower </w:t>
      </w:r>
      <w:r w:rsidR="00C77302" w:rsidRPr="00060B29">
        <w:t>in the</w:t>
      </w:r>
      <w:r w:rsidRPr="00060B29">
        <w:t xml:space="preserve"> nintedanib group than in the placebo </w:t>
      </w:r>
      <w:r w:rsidR="00095C53" w:rsidRPr="00060B29">
        <w:t xml:space="preserve">+ BSC </w:t>
      </w:r>
      <w:r w:rsidRPr="00060B29">
        <w:t xml:space="preserve">group (adjusted mean difference = 106.96 mL/year </w:t>
      </w:r>
      <w:r w:rsidRPr="00060B29">
        <w:rPr>
          <w:bCs/>
        </w:rPr>
        <w:t>P&lt;0.0001</w:t>
      </w:r>
      <w:r w:rsidRPr="00060B29">
        <w:t xml:space="preserve">). The annual rate of FVC decline over 52 weeks was also significantly slower with </w:t>
      </w:r>
      <w:r w:rsidR="00297406" w:rsidRPr="00060B29">
        <w:t>nintedanib</w:t>
      </w:r>
      <w:r w:rsidRPr="00060B29">
        <w:t xml:space="preserve"> in both subgroups </w:t>
      </w:r>
      <w:r w:rsidR="00132FEA" w:rsidRPr="00060B29">
        <w:t>of patients with HRCT with</w:t>
      </w:r>
      <w:r w:rsidR="00132FEA" w:rsidRPr="00060B29">
        <w:rPr>
          <w:snapToGrid/>
        </w:rPr>
        <w:t xml:space="preserve"> UIP</w:t>
      </w:r>
      <w:r w:rsidR="00264A77" w:rsidRPr="00060B29">
        <w:rPr>
          <w:snapToGrid/>
        </w:rPr>
        <w:t xml:space="preserve"> (usual interstitial pneumonia)</w:t>
      </w:r>
      <w:r w:rsidR="00132FEA" w:rsidRPr="00060B29">
        <w:rPr>
          <w:snapToGrid/>
        </w:rPr>
        <w:t>-like fibrotic pattern only and patients with HRCT with other fibrotic pattern</w:t>
      </w:r>
      <w:r w:rsidR="0062157E" w:rsidRPr="00060B29">
        <w:rPr>
          <w:snapToGrid/>
        </w:rPr>
        <w:t xml:space="preserve">. The </w:t>
      </w:r>
      <w:r w:rsidR="00FF3E5F" w:rsidRPr="00060B29">
        <w:rPr>
          <w:snapToGrid/>
        </w:rPr>
        <w:t xml:space="preserve">PBAC </w:t>
      </w:r>
      <w:r w:rsidR="0062157E" w:rsidRPr="00060B29">
        <w:rPr>
          <w:snapToGrid/>
        </w:rPr>
        <w:t xml:space="preserve">noted that the results </w:t>
      </w:r>
      <w:r w:rsidR="00931493" w:rsidRPr="00060B29">
        <w:rPr>
          <w:snapToGrid/>
        </w:rPr>
        <w:t>over</w:t>
      </w:r>
      <w:r w:rsidR="0062157E" w:rsidRPr="00060B29">
        <w:rPr>
          <w:snapToGrid/>
        </w:rPr>
        <w:t xml:space="preserve"> 52 weeks were similar for the overall population and the subgroup of patients with HRCT with UIP-like fibrotic pattern</w:t>
      </w:r>
      <w:r w:rsidR="00060B29" w:rsidRPr="00060B29">
        <w:rPr>
          <w:snapToGrid/>
        </w:rPr>
        <w:t xml:space="preserve">. </w:t>
      </w:r>
    </w:p>
    <w:p w:rsidR="00D31EBA" w:rsidRPr="00060B29" w:rsidRDefault="00D31EBA" w:rsidP="00B15687">
      <w:pPr>
        <w:pStyle w:val="3-BodyText"/>
      </w:pPr>
      <w:r w:rsidRPr="00060B29">
        <w:t xml:space="preserve">The reduction from baseline to Week 52 in </w:t>
      </w:r>
      <w:r w:rsidR="00583167" w:rsidRPr="00060B29">
        <w:t>FVC%Pred</w:t>
      </w:r>
      <w:r w:rsidRPr="00060B29">
        <w:t xml:space="preserve"> was significantly smaller in the nintedanib group than in the placebo</w:t>
      </w:r>
      <w:r w:rsidR="00095C53" w:rsidRPr="00060B29">
        <w:t xml:space="preserve"> + BSC</w:t>
      </w:r>
      <w:r w:rsidRPr="00060B29">
        <w:t xml:space="preserve"> group, in the overall population. The adjusted mean difference was </w:t>
      </w:r>
      <w:r w:rsidRPr="00060B29">
        <w:rPr>
          <w:bCs/>
        </w:rPr>
        <w:t>3.24% (95% CI 2.09</w:t>
      </w:r>
      <w:r w:rsidR="00D213E3">
        <w:rPr>
          <w:bCs/>
        </w:rPr>
        <w:t>%</w:t>
      </w:r>
      <w:r w:rsidRPr="00060B29">
        <w:rPr>
          <w:bCs/>
        </w:rPr>
        <w:t>, 4.40%)</w:t>
      </w:r>
      <w:r w:rsidRPr="00060B29">
        <w:t xml:space="preserve">, favouring nintedanib. The submission considered a 3.24% difference in </w:t>
      </w:r>
      <w:r w:rsidR="00566829" w:rsidRPr="00060B29">
        <w:t>FVC%Pred</w:t>
      </w:r>
      <w:r w:rsidRPr="00060B29">
        <w:t xml:space="preserve"> clinically meaningful.</w:t>
      </w:r>
      <w:r w:rsidR="00B03F12" w:rsidRPr="00060B29">
        <w:t xml:space="preserve"> </w:t>
      </w:r>
      <w:r w:rsidR="00B03F12" w:rsidRPr="00060B29">
        <w:rPr>
          <w:color w:val="000000" w:themeColor="text1"/>
        </w:rPr>
        <w:t xml:space="preserve">The submission reported that the mean difference of 3.24% in the overall population exceeded the MCID of 2.2% reported in </w:t>
      </w:r>
      <w:r w:rsidR="00B03F12" w:rsidRPr="00060B29">
        <w:rPr>
          <w:rFonts w:eastAsia="Calibri"/>
        </w:rPr>
        <w:t>Patel 2013.</w:t>
      </w:r>
      <w:r w:rsidR="00B03F12" w:rsidRPr="00060B29">
        <w:rPr>
          <w:rStyle w:val="FootnoteReference"/>
          <w:rFonts w:eastAsia="Calibri"/>
        </w:rPr>
        <w:footnoteReference w:id="6"/>
      </w:r>
      <w:r w:rsidR="00B03F12" w:rsidRPr="00060B29">
        <w:rPr>
          <w:rFonts w:eastAsia="Calibri"/>
        </w:rPr>
        <w:t xml:space="preserve"> </w:t>
      </w:r>
      <w:r w:rsidR="00B03F12" w:rsidRPr="00060B29">
        <w:rPr>
          <w:color w:val="000000" w:themeColor="text1"/>
        </w:rPr>
        <w:t xml:space="preserve">It was also consistent with the results from “internal analysis” (2.5%-2.84% using an anchor-based method and 3.12% using a distribution-based approach) (Table 5). </w:t>
      </w:r>
      <w:r w:rsidR="00B35C40" w:rsidRPr="00060B29">
        <w:t xml:space="preserve">The ESC considered that a 3.24% difference in FVC%Pred exceeds the likely MCID. </w:t>
      </w:r>
    </w:p>
    <w:p w:rsidR="00D31EBA" w:rsidRPr="00060B29" w:rsidRDefault="00D31EBA" w:rsidP="00B15687">
      <w:pPr>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 xml:space="preserve">Table 5: Determination of MCID for absolute change in </w:t>
      </w:r>
      <w:r w:rsidR="00566829" w:rsidRPr="00060B29">
        <w:rPr>
          <w:rFonts w:ascii="Arial Narrow" w:eastAsiaTheme="majorEastAsia" w:hAnsi="Arial Narrow" w:cstheme="majorBidi"/>
          <w:b/>
          <w:bCs/>
          <w:sz w:val="20"/>
        </w:rPr>
        <w:t>FVC%Pred</w:t>
      </w:r>
      <w:r w:rsidRPr="00060B29">
        <w:rPr>
          <w:rFonts w:ascii="Arial Narrow" w:eastAsiaTheme="majorEastAsia" w:hAnsi="Arial Narrow" w:cstheme="majorBidi"/>
          <w:b/>
          <w:bCs/>
          <w:sz w:val="20"/>
        </w:rPr>
        <w:t xml:space="preserve"> in the submission (anchor-based method)</w:t>
      </w:r>
    </w:p>
    <w:tbl>
      <w:tblPr>
        <w:tblStyle w:val="TableGrid"/>
        <w:tblW w:w="5000" w:type="pct"/>
        <w:tblLook w:val="04A0" w:firstRow="1" w:lastRow="0" w:firstColumn="1" w:lastColumn="0" w:noHBand="0" w:noVBand="1"/>
        <w:tblCaption w:val="Table 5: Determination of MCID for absolute change in FVC%Pred in the submission (anchor-based method)"/>
      </w:tblPr>
      <w:tblGrid>
        <w:gridCol w:w="3801"/>
        <w:gridCol w:w="2678"/>
        <w:gridCol w:w="2537"/>
      </w:tblGrid>
      <w:tr w:rsidR="00D31EBA" w:rsidRPr="00060B29" w:rsidTr="008F520F">
        <w:trPr>
          <w:trHeight w:val="20"/>
          <w:tblHeader/>
        </w:trPr>
        <w:tc>
          <w:tcPr>
            <w:tcW w:w="2108" w:type="pct"/>
            <w:tcBorders>
              <w:right w:val="nil"/>
            </w:tcBorders>
            <w:vAlign w:val="center"/>
          </w:tcPr>
          <w:p w:rsidR="00D31EBA" w:rsidRPr="00060B29" w:rsidRDefault="00D31EBA" w:rsidP="00B15687">
            <w:pPr>
              <w:jc w:val="left"/>
              <w:rPr>
                <w:rFonts w:ascii="Arial Narrow" w:hAnsi="Arial Narrow"/>
                <w:b/>
                <w:bCs/>
                <w:sz w:val="20"/>
                <w:szCs w:val="20"/>
              </w:rPr>
            </w:pPr>
            <w:r w:rsidRPr="00060B29">
              <w:rPr>
                <w:rFonts w:ascii="Arial Narrow" w:hAnsi="Arial Narrow"/>
                <w:b/>
                <w:bCs/>
                <w:sz w:val="20"/>
                <w:szCs w:val="20"/>
              </w:rPr>
              <w:t>Anchor-based method</w:t>
            </w:r>
          </w:p>
        </w:tc>
        <w:tc>
          <w:tcPr>
            <w:tcW w:w="1485" w:type="pct"/>
            <w:tcBorders>
              <w:left w:val="nil"/>
              <w:right w:val="nil"/>
            </w:tcBorders>
            <w:vAlign w:val="center"/>
          </w:tcPr>
          <w:p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Change in</w:t>
            </w:r>
            <w:r w:rsidR="00566829" w:rsidRPr="00060B29">
              <w:rPr>
                <w:rFonts w:ascii="Arial Narrow" w:hAnsi="Arial Narrow"/>
                <w:b/>
                <w:bCs/>
                <w:sz w:val="20"/>
                <w:szCs w:val="20"/>
              </w:rPr>
              <w:t xml:space="preserve"> FVC%Pred</w:t>
            </w:r>
            <w:r w:rsidRPr="00060B29">
              <w:rPr>
                <w:rFonts w:ascii="Arial Narrow" w:hAnsi="Arial Narrow"/>
                <w:b/>
                <w:bCs/>
                <w:sz w:val="20"/>
                <w:szCs w:val="20"/>
              </w:rPr>
              <w:t xml:space="preserve"> from baseline to week 52</w:t>
            </w:r>
          </w:p>
          <w:p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Mean (95% CI)</w:t>
            </w:r>
          </w:p>
        </w:tc>
        <w:tc>
          <w:tcPr>
            <w:tcW w:w="1407" w:type="pct"/>
            <w:tcBorders>
              <w:left w:val="nil"/>
            </w:tcBorders>
            <w:vAlign w:val="center"/>
          </w:tcPr>
          <w:p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Comparison vs. stable</w:t>
            </w:r>
          </w:p>
          <w:p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Mean (95% CI)</w:t>
            </w:r>
          </w:p>
        </w:tc>
      </w:tr>
      <w:tr w:rsidR="00D31EBA" w:rsidRPr="00060B29" w:rsidTr="0027037A">
        <w:trPr>
          <w:trHeight w:val="20"/>
        </w:trPr>
        <w:tc>
          <w:tcPr>
            <w:tcW w:w="2108" w:type="pct"/>
            <w:tcBorders>
              <w:bottom w:val="single" w:sz="4" w:space="0" w:color="auto"/>
              <w:right w:val="nil"/>
            </w:tcBorders>
            <w:vAlign w:val="center"/>
          </w:tcPr>
          <w:p w:rsidR="00D31EBA" w:rsidRPr="00060B29" w:rsidRDefault="00D31EBA" w:rsidP="00B15687">
            <w:pPr>
              <w:jc w:val="left"/>
              <w:rPr>
                <w:rFonts w:ascii="Arial Narrow" w:hAnsi="Arial Narrow"/>
                <w:sz w:val="20"/>
                <w:szCs w:val="20"/>
              </w:rPr>
            </w:pPr>
            <w:r w:rsidRPr="00060B29">
              <w:rPr>
                <w:rFonts w:ascii="Arial Narrow" w:hAnsi="Arial Narrow"/>
                <w:b/>
                <w:bCs/>
                <w:sz w:val="20"/>
                <w:szCs w:val="20"/>
              </w:rPr>
              <w:t>K-BILD Total derived subgroups</w:t>
            </w:r>
          </w:p>
        </w:tc>
        <w:tc>
          <w:tcPr>
            <w:tcW w:w="1485" w:type="pct"/>
            <w:tcBorders>
              <w:left w:val="nil"/>
              <w:bottom w:val="single" w:sz="4" w:space="0" w:color="auto"/>
              <w:right w:val="nil"/>
            </w:tcBorders>
            <w:vAlign w:val="center"/>
          </w:tcPr>
          <w:p w:rsidR="00D31EBA" w:rsidRPr="00060B29" w:rsidRDefault="00D31EBA" w:rsidP="00B15687">
            <w:pPr>
              <w:jc w:val="center"/>
              <w:rPr>
                <w:rFonts w:ascii="Arial Narrow" w:hAnsi="Arial Narrow"/>
                <w:sz w:val="20"/>
                <w:szCs w:val="20"/>
              </w:rPr>
            </w:pPr>
          </w:p>
        </w:tc>
        <w:tc>
          <w:tcPr>
            <w:tcW w:w="1407" w:type="pct"/>
            <w:tcBorders>
              <w:left w:val="nil"/>
              <w:bottom w:val="single" w:sz="4" w:space="0" w:color="auto"/>
            </w:tcBorders>
            <w:vAlign w:val="center"/>
          </w:tcPr>
          <w:p w:rsidR="00D31EBA" w:rsidRPr="00060B29" w:rsidRDefault="00D31EBA" w:rsidP="00B15687">
            <w:pPr>
              <w:jc w:val="center"/>
              <w:rPr>
                <w:rFonts w:ascii="Arial Narrow" w:hAnsi="Arial Narrow"/>
                <w:sz w:val="20"/>
                <w:szCs w:val="20"/>
              </w:rPr>
            </w:pPr>
          </w:p>
        </w:tc>
      </w:tr>
      <w:tr w:rsidR="00D31EBA" w:rsidRPr="00060B29" w:rsidTr="0027037A">
        <w:trPr>
          <w:trHeight w:val="20"/>
        </w:trPr>
        <w:tc>
          <w:tcPr>
            <w:tcW w:w="2108" w:type="pct"/>
            <w:tcBorders>
              <w:bottom w:val="nil"/>
              <w:right w:val="nil"/>
            </w:tcBorders>
            <w:vAlign w:val="center"/>
          </w:tcPr>
          <w:p w:rsidR="00D31EBA" w:rsidRPr="00060B29" w:rsidRDefault="00D31EBA" w:rsidP="00B15687">
            <w:pPr>
              <w:jc w:val="left"/>
              <w:rPr>
                <w:rFonts w:ascii="Arial Narrow" w:hAnsi="Arial Narrow"/>
                <w:sz w:val="20"/>
                <w:szCs w:val="20"/>
              </w:rPr>
            </w:pPr>
            <w:r w:rsidRPr="00060B29">
              <w:rPr>
                <w:rFonts w:ascii="Arial Narrow" w:hAnsi="Arial Narrow"/>
                <w:sz w:val="20"/>
                <w:szCs w:val="20"/>
              </w:rPr>
              <w:t>Stable: Decline or increase &lt;2.2 points</w:t>
            </w:r>
          </w:p>
        </w:tc>
        <w:tc>
          <w:tcPr>
            <w:tcW w:w="1485" w:type="pct"/>
            <w:tcBorders>
              <w:left w:val="nil"/>
              <w:bottom w:val="nil"/>
              <w:right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−4.06 (−5.29, −2.83)</w:t>
            </w:r>
          </w:p>
        </w:tc>
        <w:tc>
          <w:tcPr>
            <w:tcW w:w="1407" w:type="pct"/>
            <w:tcBorders>
              <w:left w:val="nil"/>
              <w:bottom w:val="nil"/>
            </w:tcBorders>
            <w:vAlign w:val="center"/>
          </w:tcPr>
          <w:p w:rsidR="00D31EBA" w:rsidRPr="00060B29" w:rsidRDefault="00D31EBA" w:rsidP="00B15687">
            <w:pPr>
              <w:jc w:val="center"/>
              <w:rPr>
                <w:rFonts w:ascii="Arial Narrow" w:hAnsi="Arial Narrow"/>
                <w:sz w:val="20"/>
                <w:szCs w:val="20"/>
              </w:rPr>
            </w:pPr>
          </w:p>
        </w:tc>
      </w:tr>
      <w:tr w:rsidR="00D31EBA" w:rsidRPr="00060B29" w:rsidTr="0027037A">
        <w:trPr>
          <w:trHeight w:val="20"/>
        </w:trPr>
        <w:tc>
          <w:tcPr>
            <w:tcW w:w="2108" w:type="pct"/>
            <w:tcBorders>
              <w:top w:val="nil"/>
              <w:bottom w:val="nil"/>
              <w:right w:val="nil"/>
            </w:tcBorders>
            <w:vAlign w:val="center"/>
          </w:tcPr>
          <w:p w:rsidR="00D31EBA" w:rsidRPr="00060B29" w:rsidRDefault="00D31EBA" w:rsidP="00B15687">
            <w:pPr>
              <w:jc w:val="left"/>
              <w:rPr>
                <w:rFonts w:ascii="Arial Narrow" w:hAnsi="Arial Narrow"/>
                <w:sz w:val="20"/>
                <w:szCs w:val="20"/>
              </w:rPr>
            </w:pPr>
            <w:r w:rsidRPr="00060B29">
              <w:rPr>
                <w:rFonts w:ascii="Arial Narrow" w:hAnsi="Arial Narrow"/>
                <w:sz w:val="20"/>
                <w:szCs w:val="20"/>
              </w:rPr>
              <w:t>Deterioration: ≤−2.2 points</w:t>
            </w:r>
          </w:p>
        </w:tc>
        <w:tc>
          <w:tcPr>
            <w:tcW w:w="1485" w:type="pct"/>
            <w:tcBorders>
              <w:top w:val="nil"/>
              <w:left w:val="nil"/>
              <w:bottom w:val="nil"/>
              <w:right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−6.57 (−7.48, −5.65)</w:t>
            </w:r>
          </w:p>
        </w:tc>
        <w:tc>
          <w:tcPr>
            <w:tcW w:w="1407" w:type="pct"/>
            <w:tcBorders>
              <w:top w:val="nil"/>
              <w:left w:val="nil"/>
              <w:bottom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 xml:space="preserve">−2.50 (−4.04, −0.97), </w:t>
            </w:r>
            <w:r w:rsidRPr="00060B29">
              <w:rPr>
                <w:rFonts w:ascii="Arial Narrow" w:hAnsi="Arial Narrow"/>
                <w:b/>
                <w:bCs/>
                <w:sz w:val="20"/>
                <w:szCs w:val="20"/>
              </w:rPr>
              <w:t>p=0.0014</w:t>
            </w:r>
          </w:p>
        </w:tc>
      </w:tr>
      <w:tr w:rsidR="00D31EBA" w:rsidRPr="00060B29" w:rsidTr="0027037A">
        <w:trPr>
          <w:trHeight w:val="20"/>
        </w:trPr>
        <w:tc>
          <w:tcPr>
            <w:tcW w:w="2108" w:type="pct"/>
            <w:tcBorders>
              <w:top w:val="nil"/>
              <w:right w:val="nil"/>
            </w:tcBorders>
            <w:vAlign w:val="center"/>
          </w:tcPr>
          <w:p w:rsidR="00D31EBA" w:rsidRPr="00060B29" w:rsidRDefault="00D31EBA" w:rsidP="00B15687">
            <w:pPr>
              <w:jc w:val="left"/>
              <w:rPr>
                <w:rFonts w:ascii="Arial Narrow" w:hAnsi="Arial Narrow"/>
                <w:sz w:val="20"/>
                <w:szCs w:val="20"/>
              </w:rPr>
            </w:pPr>
            <w:r w:rsidRPr="00060B29">
              <w:rPr>
                <w:rFonts w:ascii="Arial Narrow" w:hAnsi="Arial Narrow"/>
                <w:sz w:val="20"/>
                <w:szCs w:val="20"/>
              </w:rPr>
              <w:t>Improvement: ≥+2.2 points</w:t>
            </w:r>
          </w:p>
        </w:tc>
        <w:tc>
          <w:tcPr>
            <w:tcW w:w="1485" w:type="pct"/>
            <w:tcBorders>
              <w:top w:val="nil"/>
              <w:left w:val="nil"/>
              <w:right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−1.23 (−2.14, -0.32)</w:t>
            </w:r>
          </w:p>
        </w:tc>
        <w:tc>
          <w:tcPr>
            <w:tcW w:w="1407" w:type="pct"/>
            <w:tcBorders>
              <w:top w:val="nil"/>
              <w:left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2.84 (1.31, 4.37)</w:t>
            </w:r>
            <w:r w:rsidRPr="00060B29">
              <w:rPr>
                <w:rFonts w:ascii="Arial Narrow" w:hAnsi="Arial Narrow"/>
                <w:b/>
                <w:bCs/>
                <w:sz w:val="20"/>
                <w:szCs w:val="20"/>
              </w:rPr>
              <w:t xml:space="preserve"> p=0.0003</w:t>
            </w:r>
          </w:p>
        </w:tc>
      </w:tr>
      <w:tr w:rsidR="00D31EBA" w:rsidRPr="00060B29" w:rsidTr="0027037A">
        <w:trPr>
          <w:trHeight w:val="20"/>
        </w:trPr>
        <w:tc>
          <w:tcPr>
            <w:tcW w:w="2108" w:type="pct"/>
            <w:tcBorders>
              <w:bottom w:val="single" w:sz="4" w:space="0" w:color="auto"/>
              <w:right w:val="nil"/>
            </w:tcBorders>
            <w:vAlign w:val="center"/>
          </w:tcPr>
          <w:p w:rsidR="00D31EBA" w:rsidRPr="00060B29" w:rsidRDefault="00D31EBA" w:rsidP="00B15687">
            <w:pPr>
              <w:jc w:val="left"/>
              <w:rPr>
                <w:rFonts w:ascii="Arial Narrow" w:hAnsi="Arial Narrow"/>
                <w:b/>
                <w:bCs/>
                <w:sz w:val="20"/>
                <w:szCs w:val="20"/>
              </w:rPr>
            </w:pPr>
            <w:r w:rsidRPr="00060B29">
              <w:rPr>
                <w:rFonts w:ascii="Arial Narrow" w:hAnsi="Arial Narrow"/>
                <w:b/>
                <w:bCs/>
                <w:sz w:val="20"/>
                <w:szCs w:val="20"/>
              </w:rPr>
              <w:t>Distribution-based approach</w:t>
            </w:r>
          </w:p>
        </w:tc>
        <w:tc>
          <w:tcPr>
            <w:tcW w:w="1485" w:type="pct"/>
            <w:tcBorders>
              <w:left w:val="nil"/>
              <w:bottom w:val="single" w:sz="4" w:space="0" w:color="auto"/>
              <w:right w:val="nil"/>
            </w:tcBorders>
            <w:vAlign w:val="center"/>
          </w:tcPr>
          <w:p w:rsidR="00D31EBA" w:rsidRPr="00060B29" w:rsidRDefault="00566829" w:rsidP="00B15687">
            <w:pPr>
              <w:jc w:val="center"/>
              <w:rPr>
                <w:rFonts w:ascii="Arial Narrow" w:hAnsi="Arial Narrow"/>
                <w:b/>
                <w:bCs/>
                <w:sz w:val="20"/>
                <w:szCs w:val="20"/>
              </w:rPr>
            </w:pPr>
            <w:r w:rsidRPr="00060B29">
              <w:rPr>
                <w:rFonts w:ascii="Arial Narrow" w:hAnsi="Arial Narrow"/>
                <w:b/>
                <w:bCs/>
                <w:sz w:val="20"/>
                <w:szCs w:val="20"/>
              </w:rPr>
              <w:t>FVC%Pred</w:t>
            </w:r>
            <w:r w:rsidR="00D31EBA" w:rsidRPr="00060B29">
              <w:rPr>
                <w:rFonts w:ascii="Arial Narrow" w:hAnsi="Arial Narrow"/>
                <w:b/>
                <w:bCs/>
                <w:sz w:val="20"/>
                <w:szCs w:val="20"/>
              </w:rPr>
              <w:t xml:space="preserve"> at baseline,</w:t>
            </w:r>
          </w:p>
          <w:p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mean (SD)</w:t>
            </w:r>
          </w:p>
        </w:tc>
        <w:tc>
          <w:tcPr>
            <w:tcW w:w="1407" w:type="pct"/>
            <w:tcBorders>
              <w:left w:val="nil"/>
              <w:bottom w:val="single" w:sz="4" w:space="0" w:color="auto"/>
            </w:tcBorders>
            <w:vAlign w:val="center"/>
          </w:tcPr>
          <w:p w:rsidR="00D31EBA" w:rsidRPr="00060B29" w:rsidRDefault="00D31EBA" w:rsidP="00B15687">
            <w:pPr>
              <w:jc w:val="center"/>
              <w:rPr>
                <w:rFonts w:ascii="Arial Narrow" w:hAnsi="Arial Narrow"/>
                <w:b/>
                <w:bCs/>
                <w:sz w:val="20"/>
                <w:szCs w:val="20"/>
              </w:rPr>
            </w:pPr>
            <w:r w:rsidRPr="00060B29">
              <w:rPr>
                <w:rFonts w:ascii="Arial Narrow" w:hAnsi="Arial Narrow"/>
                <w:b/>
                <w:bCs/>
                <w:sz w:val="20"/>
                <w:szCs w:val="20"/>
              </w:rPr>
              <w:t>MCID (effect size=0.2)</w:t>
            </w:r>
          </w:p>
        </w:tc>
      </w:tr>
      <w:tr w:rsidR="00D31EBA" w:rsidRPr="00060B29" w:rsidTr="0027037A">
        <w:trPr>
          <w:trHeight w:val="20"/>
        </w:trPr>
        <w:tc>
          <w:tcPr>
            <w:tcW w:w="2108" w:type="pct"/>
            <w:tcBorders>
              <w:bottom w:val="nil"/>
              <w:right w:val="nil"/>
            </w:tcBorders>
            <w:vAlign w:val="center"/>
          </w:tcPr>
          <w:p w:rsidR="00D31EBA" w:rsidRPr="00060B29" w:rsidRDefault="00D31EBA" w:rsidP="00B15687">
            <w:pPr>
              <w:jc w:val="left"/>
              <w:rPr>
                <w:rFonts w:ascii="Arial Narrow" w:hAnsi="Arial Narrow"/>
                <w:sz w:val="20"/>
                <w:szCs w:val="20"/>
              </w:rPr>
            </w:pPr>
            <w:r w:rsidRPr="00060B29">
              <w:rPr>
                <w:rFonts w:ascii="Arial Narrow" w:hAnsi="Arial Narrow"/>
                <w:sz w:val="20"/>
                <w:szCs w:val="20"/>
              </w:rPr>
              <w:t>Overall population (N=663):</w:t>
            </w:r>
          </w:p>
        </w:tc>
        <w:tc>
          <w:tcPr>
            <w:tcW w:w="1485" w:type="pct"/>
            <w:tcBorders>
              <w:left w:val="nil"/>
              <w:bottom w:val="nil"/>
              <w:right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68.99 (15.62)</w:t>
            </w:r>
          </w:p>
        </w:tc>
        <w:tc>
          <w:tcPr>
            <w:tcW w:w="1407" w:type="pct"/>
            <w:tcBorders>
              <w:left w:val="nil"/>
              <w:bottom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3.12%</w:t>
            </w:r>
          </w:p>
        </w:tc>
      </w:tr>
      <w:tr w:rsidR="00D31EBA" w:rsidRPr="00060B29" w:rsidTr="0027037A">
        <w:trPr>
          <w:trHeight w:val="20"/>
        </w:trPr>
        <w:tc>
          <w:tcPr>
            <w:tcW w:w="2108" w:type="pct"/>
            <w:tcBorders>
              <w:top w:val="nil"/>
              <w:bottom w:val="nil"/>
              <w:right w:val="nil"/>
            </w:tcBorders>
            <w:vAlign w:val="center"/>
          </w:tcPr>
          <w:p w:rsidR="00D31EBA" w:rsidRPr="00060B29" w:rsidRDefault="00D31EBA" w:rsidP="00B15687">
            <w:pPr>
              <w:jc w:val="left"/>
              <w:rPr>
                <w:rFonts w:ascii="Arial Narrow" w:hAnsi="Arial Narrow"/>
                <w:sz w:val="20"/>
                <w:szCs w:val="20"/>
              </w:rPr>
            </w:pPr>
            <w:r w:rsidRPr="00060B29">
              <w:rPr>
                <w:rFonts w:ascii="Arial Narrow" w:hAnsi="Arial Narrow"/>
                <w:sz w:val="20"/>
                <w:szCs w:val="20"/>
              </w:rPr>
              <w:t>UIP-like fibrotic pattern population (N=412):</w:t>
            </w:r>
          </w:p>
        </w:tc>
        <w:tc>
          <w:tcPr>
            <w:tcW w:w="1485" w:type="pct"/>
            <w:tcBorders>
              <w:top w:val="nil"/>
              <w:left w:val="nil"/>
              <w:bottom w:val="nil"/>
              <w:right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70.58 (15.89)</w:t>
            </w:r>
          </w:p>
        </w:tc>
        <w:tc>
          <w:tcPr>
            <w:tcW w:w="1407" w:type="pct"/>
            <w:tcBorders>
              <w:top w:val="nil"/>
              <w:left w:val="nil"/>
              <w:bottom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3.18%</w:t>
            </w:r>
          </w:p>
        </w:tc>
      </w:tr>
      <w:tr w:rsidR="00D31EBA" w:rsidRPr="00060B29" w:rsidTr="0027037A">
        <w:trPr>
          <w:trHeight w:val="20"/>
        </w:trPr>
        <w:tc>
          <w:tcPr>
            <w:tcW w:w="2108" w:type="pct"/>
            <w:tcBorders>
              <w:top w:val="nil"/>
              <w:right w:val="nil"/>
            </w:tcBorders>
            <w:vAlign w:val="center"/>
          </w:tcPr>
          <w:p w:rsidR="00D31EBA" w:rsidRPr="00060B29" w:rsidRDefault="00D31EBA" w:rsidP="00B15687">
            <w:pPr>
              <w:jc w:val="left"/>
              <w:rPr>
                <w:rFonts w:ascii="Arial Narrow" w:hAnsi="Arial Narrow"/>
                <w:sz w:val="20"/>
                <w:szCs w:val="20"/>
              </w:rPr>
            </w:pPr>
            <w:r w:rsidRPr="00060B29">
              <w:rPr>
                <w:rFonts w:ascii="Arial Narrow" w:hAnsi="Arial Narrow"/>
                <w:sz w:val="20"/>
                <w:szCs w:val="20"/>
              </w:rPr>
              <w:t>Other HRCT fibrotic pattern population (N=251):</w:t>
            </w:r>
          </w:p>
        </w:tc>
        <w:tc>
          <w:tcPr>
            <w:tcW w:w="1485" w:type="pct"/>
            <w:tcBorders>
              <w:top w:val="nil"/>
              <w:left w:val="nil"/>
              <w:right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66.37 (14.82)</w:t>
            </w:r>
          </w:p>
        </w:tc>
        <w:tc>
          <w:tcPr>
            <w:tcW w:w="1407" w:type="pct"/>
            <w:tcBorders>
              <w:top w:val="nil"/>
              <w:left w:val="nil"/>
            </w:tcBorders>
            <w:vAlign w:val="center"/>
          </w:tcPr>
          <w:p w:rsidR="00D31EBA" w:rsidRPr="00060B29" w:rsidRDefault="00D31EBA" w:rsidP="00B15687">
            <w:pPr>
              <w:jc w:val="center"/>
              <w:rPr>
                <w:rFonts w:ascii="Arial Narrow" w:hAnsi="Arial Narrow"/>
                <w:sz w:val="20"/>
                <w:szCs w:val="20"/>
              </w:rPr>
            </w:pPr>
            <w:r w:rsidRPr="00060B29">
              <w:rPr>
                <w:rFonts w:ascii="Arial Narrow" w:hAnsi="Arial Narrow"/>
                <w:sz w:val="20"/>
                <w:szCs w:val="20"/>
              </w:rPr>
              <w:t>2.96%</w:t>
            </w:r>
          </w:p>
        </w:tc>
      </w:tr>
    </w:tbl>
    <w:p w:rsidR="00D31EBA" w:rsidRPr="00060B29" w:rsidRDefault="00D31EBA" w:rsidP="00B15687">
      <w:pPr>
        <w:pStyle w:val="TableFigureFooter"/>
      </w:pPr>
      <w:r w:rsidRPr="00060B29">
        <w:t>Source: Tables 2.16-2.17, p70 of the submission</w:t>
      </w:r>
    </w:p>
    <w:p w:rsidR="00D31EBA" w:rsidRPr="00060B29" w:rsidRDefault="00D31EBA" w:rsidP="00B15687">
      <w:pPr>
        <w:pStyle w:val="TableFigureFooter"/>
      </w:pPr>
      <w:r w:rsidRPr="00060B29">
        <w:t xml:space="preserve">FVC=forced vital capacity; </w:t>
      </w:r>
      <w:r w:rsidR="00566829" w:rsidRPr="00060B29">
        <w:t xml:space="preserve">FVC%Pred= forced vital capacity % predicted; </w:t>
      </w:r>
      <w:r w:rsidRPr="00060B29">
        <w:t>K-BILD=King’s Brief Interstitial Lung Disease questionnaire; MCID=minimal clinically important difference</w:t>
      </w:r>
    </w:p>
    <w:p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snapToGrid w:val="0"/>
          <w:color w:val="000000" w:themeColor="text1"/>
        </w:rPr>
        <w:t>The adjusted mean difference of absolute change from baseline in K-BILD total score at Week 52 did not reach statistical significance (1.34, 95% CI -0.31 to 2.98, p=0.1115). The submission suggested that a small change in the K-BILD total score was expected from a disease characterised by progression</w:t>
      </w:r>
      <w:r w:rsidR="00F77D66" w:rsidRPr="00060B29">
        <w:rPr>
          <w:rFonts w:asciiTheme="minorHAnsi" w:hAnsiTheme="minorHAnsi"/>
          <w:snapToGrid w:val="0"/>
          <w:color w:val="000000" w:themeColor="text1"/>
        </w:rPr>
        <w:t>,</w:t>
      </w:r>
      <w:r w:rsidRPr="00060B29">
        <w:rPr>
          <w:rFonts w:asciiTheme="minorHAnsi" w:hAnsiTheme="minorHAnsi"/>
          <w:snapToGrid w:val="0"/>
          <w:color w:val="000000" w:themeColor="text1"/>
        </w:rPr>
        <w:t xml:space="preserve"> and as such, no change might indicate stabilisation of disease.</w:t>
      </w:r>
      <w:r w:rsidR="00931493" w:rsidRPr="00060B29">
        <w:rPr>
          <w:rFonts w:asciiTheme="minorHAnsi" w:hAnsiTheme="minorHAnsi"/>
          <w:snapToGrid w:val="0"/>
          <w:color w:val="000000" w:themeColor="text1"/>
        </w:rPr>
        <w:t xml:space="preserve"> The ESC </w:t>
      </w:r>
      <w:r w:rsidR="00CE16DB" w:rsidRPr="00060B29">
        <w:rPr>
          <w:rFonts w:asciiTheme="minorHAnsi" w:hAnsiTheme="minorHAnsi"/>
          <w:snapToGrid w:val="0"/>
          <w:color w:val="000000" w:themeColor="text1"/>
        </w:rPr>
        <w:t>considered that the lack of a statistically significant difference in quality of life between nintedanib and placebo</w:t>
      </w:r>
      <w:r w:rsidR="00086151" w:rsidRPr="00060B29">
        <w:rPr>
          <w:rFonts w:asciiTheme="minorHAnsi" w:hAnsiTheme="minorHAnsi"/>
          <w:snapToGrid w:val="0"/>
          <w:color w:val="000000" w:themeColor="text1"/>
        </w:rPr>
        <w:t xml:space="preserve"> </w:t>
      </w:r>
      <w:r w:rsidR="00CE16DB" w:rsidRPr="00060B29">
        <w:rPr>
          <w:rFonts w:asciiTheme="minorHAnsi" w:hAnsiTheme="minorHAnsi"/>
          <w:snapToGrid w:val="0"/>
          <w:color w:val="000000" w:themeColor="text1"/>
        </w:rPr>
        <w:t>+</w:t>
      </w:r>
      <w:r w:rsidR="00086151" w:rsidRPr="00060B29">
        <w:rPr>
          <w:rFonts w:asciiTheme="minorHAnsi" w:hAnsiTheme="minorHAnsi"/>
          <w:snapToGrid w:val="0"/>
          <w:color w:val="000000" w:themeColor="text1"/>
        </w:rPr>
        <w:t xml:space="preserve"> </w:t>
      </w:r>
      <w:r w:rsidR="00CE16DB" w:rsidRPr="00060B29">
        <w:rPr>
          <w:rFonts w:asciiTheme="minorHAnsi" w:hAnsiTheme="minorHAnsi"/>
          <w:snapToGrid w:val="0"/>
          <w:color w:val="000000" w:themeColor="text1"/>
        </w:rPr>
        <w:t xml:space="preserve">BSC arms was not </w:t>
      </w:r>
      <w:r w:rsidR="00086151" w:rsidRPr="00060B29">
        <w:rPr>
          <w:rFonts w:asciiTheme="minorHAnsi" w:hAnsiTheme="minorHAnsi"/>
          <w:snapToGrid w:val="0"/>
          <w:color w:val="000000" w:themeColor="text1"/>
        </w:rPr>
        <w:t xml:space="preserve">entirely </w:t>
      </w:r>
      <w:r w:rsidR="00CE16DB" w:rsidRPr="00060B29">
        <w:rPr>
          <w:rFonts w:asciiTheme="minorHAnsi" w:hAnsiTheme="minorHAnsi"/>
          <w:snapToGrid w:val="0"/>
          <w:color w:val="000000" w:themeColor="text1"/>
        </w:rPr>
        <w:t xml:space="preserve">unexpected given the progressive nature of the disease </w:t>
      </w:r>
      <w:r w:rsidR="00A45421" w:rsidRPr="00060B29">
        <w:rPr>
          <w:rFonts w:asciiTheme="minorHAnsi" w:hAnsiTheme="minorHAnsi"/>
          <w:snapToGrid w:val="0"/>
          <w:color w:val="000000" w:themeColor="text1"/>
        </w:rPr>
        <w:t>and given the high symptom burden associated with the disease</w:t>
      </w:r>
      <w:r w:rsidR="00060B29" w:rsidRPr="00060B29">
        <w:rPr>
          <w:rFonts w:asciiTheme="minorHAnsi" w:hAnsiTheme="minorHAnsi"/>
          <w:snapToGrid w:val="0"/>
          <w:color w:val="000000" w:themeColor="text1"/>
        </w:rPr>
        <w:t xml:space="preserve">. </w:t>
      </w:r>
      <w:r w:rsidR="00A45421" w:rsidRPr="00060B29">
        <w:rPr>
          <w:rFonts w:asciiTheme="minorHAnsi" w:hAnsiTheme="minorHAnsi"/>
          <w:snapToGrid w:val="0"/>
          <w:color w:val="000000" w:themeColor="text1"/>
        </w:rPr>
        <w:t xml:space="preserve">  </w:t>
      </w:r>
    </w:p>
    <w:p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snapToGrid w:val="0"/>
        </w:rPr>
        <w:t>Results of time-to-event data over 52 weeks in the INBUILD trial are presented in Table</w:t>
      </w:r>
      <w:r w:rsidR="00783451" w:rsidRPr="00060B29">
        <w:rPr>
          <w:rFonts w:asciiTheme="minorHAnsi" w:hAnsiTheme="minorHAnsi"/>
          <w:snapToGrid w:val="0"/>
        </w:rPr>
        <w:t> </w:t>
      </w:r>
      <w:r w:rsidRPr="00060B29">
        <w:rPr>
          <w:rFonts w:asciiTheme="minorHAnsi" w:hAnsiTheme="minorHAnsi"/>
          <w:snapToGrid w:val="0"/>
        </w:rPr>
        <w:t>6.</w:t>
      </w:r>
    </w:p>
    <w:p w:rsidR="00D31EBA" w:rsidRPr="00060B29" w:rsidRDefault="00D31EBA" w:rsidP="00B15687">
      <w:pPr>
        <w:keepLines/>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6: Results of the INBUILD trial: time-to-event data over 52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132"/>
        <w:gridCol w:w="709"/>
        <w:gridCol w:w="1275"/>
        <w:gridCol w:w="851"/>
        <w:gridCol w:w="1416"/>
        <w:gridCol w:w="1650"/>
      </w:tblGrid>
      <w:tr w:rsidR="00D31EBA" w:rsidRPr="00060B29" w:rsidTr="0027037A">
        <w:trPr>
          <w:tblHeader/>
        </w:trPr>
        <w:tc>
          <w:tcPr>
            <w:tcW w:w="1100" w:type="pct"/>
            <w:tcBorders>
              <w:top w:val="single" w:sz="4" w:space="0" w:color="auto"/>
              <w:bottom w:val="nil"/>
            </w:tcBorders>
            <w:vAlign w:val="center"/>
          </w:tcPr>
          <w:p w:rsidR="00D31EBA" w:rsidRPr="00060B29" w:rsidRDefault="00D31EBA" w:rsidP="00B15687">
            <w:pPr>
              <w:keepLines/>
              <w:jc w:val="left"/>
              <w:rPr>
                <w:rFonts w:ascii="Arial Narrow" w:eastAsiaTheme="majorEastAsia" w:hAnsi="Arial Narrow" w:cstheme="majorBidi"/>
                <w:b/>
                <w:sz w:val="20"/>
              </w:rPr>
            </w:pPr>
          </w:p>
        </w:tc>
        <w:tc>
          <w:tcPr>
            <w:tcW w:w="1021" w:type="pct"/>
            <w:gridSpan w:val="2"/>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Nintedanib</w:t>
            </w:r>
          </w:p>
        </w:tc>
        <w:tc>
          <w:tcPr>
            <w:tcW w:w="1179" w:type="pct"/>
            <w:gridSpan w:val="2"/>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Placebo+BSC</w:t>
            </w:r>
          </w:p>
        </w:tc>
        <w:tc>
          <w:tcPr>
            <w:tcW w:w="1700" w:type="pct"/>
            <w:gridSpan w:val="2"/>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Nintedanib vs. placebo</w:t>
            </w:r>
          </w:p>
        </w:tc>
      </w:tr>
      <w:tr w:rsidR="00D31EBA" w:rsidRPr="00060B29" w:rsidTr="0027037A">
        <w:trPr>
          <w:tblHeader/>
        </w:trPr>
        <w:tc>
          <w:tcPr>
            <w:tcW w:w="1100" w:type="pct"/>
            <w:tcBorders>
              <w:top w:val="nil"/>
              <w:bottom w:val="single" w:sz="4" w:space="0" w:color="auto"/>
            </w:tcBorders>
            <w:vAlign w:val="center"/>
          </w:tcPr>
          <w:p w:rsidR="00D31EBA" w:rsidRPr="00060B29" w:rsidRDefault="00D31EBA" w:rsidP="00B15687">
            <w:pPr>
              <w:keepLines/>
              <w:jc w:val="left"/>
              <w:rPr>
                <w:rFonts w:ascii="Arial Narrow" w:eastAsiaTheme="majorEastAsia" w:hAnsi="Arial Narrow" w:cstheme="majorBidi"/>
                <w:b/>
                <w:sz w:val="20"/>
              </w:rPr>
            </w:pPr>
          </w:p>
        </w:tc>
        <w:tc>
          <w:tcPr>
            <w:tcW w:w="628"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Patients with event, n/N (%)</w:t>
            </w:r>
          </w:p>
        </w:tc>
        <w:tc>
          <w:tcPr>
            <w:tcW w:w="393"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Obs. time (pt-yr)</w:t>
            </w:r>
          </w:p>
        </w:tc>
        <w:tc>
          <w:tcPr>
            <w:tcW w:w="707"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Patients with event, n/N (%)</w:t>
            </w:r>
          </w:p>
        </w:tc>
        <w:tc>
          <w:tcPr>
            <w:tcW w:w="472"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Obs. time (pt-yr)</w:t>
            </w:r>
          </w:p>
        </w:tc>
        <w:tc>
          <w:tcPr>
            <w:tcW w:w="785"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Survival</w:t>
            </w:r>
          </w:p>
        </w:tc>
        <w:tc>
          <w:tcPr>
            <w:tcW w:w="915"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HR (95% CI)</w:t>
            </w:r>
          </w:p>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p-value</w:t>
            </w:r>
          </w:p>
        </w:tc>
      </w:tr>
      <w:tr w:rsidR="00D31EBA" w:rsidRPr="00060B29" w:rsidTr="0027037A">
        <w:tc>
          <w:tcPr>
            <w:tcW w:w="1100" w:type="pct"/>
            <w:tcBorders>
              <w:right w:val="nil"/>
            </w:tcBorders>
            <w:vAlign w:val="center"/>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
                <w:sz w:val="20"/>
              </w:rPr>
              <w:t>Overall population</w:t>
            </w:r>
          </w:p>
        </w:tc>
        <w:tc>
          <w:tcPr>
            <w:tcW w:w="628" w:type="pct"/>
            <w:tcBorders>
              <w:left w:val="nil"/>
              <w:right w:val="nil"/>
            </w:tcBorders>
            <w:vAlign w:val="center"/>
          </w:tcPr>
          <w:p w:rsidR="00D31EBA" w:rsidRPr="00060B29" w:rsidRDefault="00D31EBA" w:rsidP="00B15687">
            <w:pPr>
              <w:keepLines/>
              <w:jc w:val="center"/>
              <w:rPr>
                <w:rFonts w:ascii="Arial Narrow" w:eastAsiaTheme="majorEastAsia" w:hAnsi="Arial Narrow" w:cstheme="majorBidi"/>
                <w:bCs/>
                <w:sz w:val="20"/>
              </w:rPr>
            </w:pPr>
          </w:p>
        </w:tc>
        <w:tc>
          <w:tcPr>
            <w:tcW w:w="393" w:type="pct"/>
            <w:tcBorders>
              <w:left w:val="nil"/>
              <w:right w:val="nil"/>
            </w:tcBorders>
            <w:vAlign w:val="center"/>
          </w:tcPr>
          <w:p w:rsidR="00D31EBA" w:rsidRPr="00060B29" w:rsidRDefault="00D31EBA" w:rsidP="00B15687">
            <w:pPr>
              <w:keepLines/>
              <w:jc w:val="center"/>
              <w:rPr>
                <w:rFonts w:ascii="Arial Narrow" w:eastAsiaTheme="majorEastAsia" w:hAnsi="Arial Narrow" w:cstheme="majorBidi"/>
                <w:bCs/>
                <w:sz w:val="20"/>
              </w:rPr>
            </w:pPr>
          </w:p>
        </w:tc>
        <w:tc>
          <w:tcPr>
            <w:tcW w:w="707" w:type="pct"/>
            <w:tcBorders>
              <w:left w:val="nil"/>
              <w:right w:val="nil"/>
            </w:tcBorders>
            <w:vAlign w:val="center"/>
          </w:tcPr>
          <w:p w:rsidR="00D31EBA" w:rsidRPr="00060B29" w:rsidRDefault="00D31EBA" w:rsidP="00B15687">
            <w:pPr>
              <w:keepLines/>
              <w:jc w:val="center"/>
              <w:rPr>
                <w:rFonts w:ascii="Arial Narrow" w:eastAsiaTheme="majorEastAsia" w:hAnsi="Arial Narrow" w:cstheme="majorBidi"/>
                <w:bCs/>
                <w:sz w:val="20"/>
              </w:rPr>
            </w:pPr>
          </w:p>
        </w:tc>
        <w:tc>
          <w:tcPr>
            <w:tcW w:w="472" w:type="pct"/>
            <w:tcBorders>
              <w:left w:val="nil"/>
              <w:right w:val="nil"/>
            </w:tcBorders>
            <w:vAlign w:val="center"/>
          </w:tcPr>
          <w:p w:rsidR="00D31EBA" w:rsidRPr="00060B29" w:rsidRDefault="00D31EBA" w:rsidP="00B15687">
            <w:pPr>
              <w:keepLines/>
              <w:jc w:val="center"/>
              <w:rPr>
                <w:rFonts w:ascii="Arial Narrow" w:eastAsiaTheme="majorEastAsia" w:hAnsi="Arial Narrow" w:cstheme="majorBidi"/>
                <w:bCs/>
                <w:sz w:val="20"/>
              </w:rPr>
            </w:pPr>
          </w:p>
        </w:tc>
        <w:tc>
          <w:tcPr>
            <w:tcW w:w="785" w:type="pct"/>
            <w:tcBorders>
              <w:left w:val="nil"/>
              <w:right w:val="nil"/>
            </w:tcBorders>
            <w:vAlign w:val="center"/>
          </w:tcPr>
          <w:p w:rsidR="00D31EBA" w:rsidRPr="00060B29" w:rsidRDefault="00D31EBA" w:rsidP="00B15687">
            <w:pPr>
              <w:keepLines/>
              <w:jc w:val="center"/>
              <w:rPr>
                <w:rFonts w:ascii="Arial Narrow" w:eastAsiaTheme="majorEastAsia" w:hAnsi="Arial Narrow" w:cstheme="majorBidi"/>
                <w:b/>
                <w:sz w:val="20"/>
              </w:rPr>
            </w:pPr>
          </w:p>
        </w:tc>
        <w:tc>
          <w:tcPr>
            <w:tcW w:w="915" w:type="pct"/>
            <w:tcBorders>
              <w:left w:val="nil"/>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HR^ (95% CI)</w:t>
            </w:r>
          </w:p>
        </w:tc>
      </w:tr>
      <w:tr w:rsidR="00D31EBA" w:rsidRPr="00060B29" w:rsidTr="0027037A">
        <w:tc>
          <w:tcPr>
            <w:tcW w:w="1100" w:type="pct"/>
            <w:vAlign w:val="center"/>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death (OS) over 52 weeks</w:t>
            </w:r>
          </w:p>
        </w:tc>
        <w:tc>
          <w:tcPr>
            <w:tcW w:w="628"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16/332 (4.8)</w:t>
            </w:r>
          </w:p>
        </w:tc>
        <w:tc>
          <w:tcPr>
            <w:tcW w:w="393"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330.8</w:t>
            </w:r>
          </w:p>
        </w:tc>
        <w:tc>
          <w:tcPr>
            <w:tcW w:w="707"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17/331 (5.1)</w:t>
            </w:r>
          </w:p>
        </w:tc>
        <w:tc>
          <w:tcPr>
            <w:tcW w:w="472"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330.1</w:t>
            </w:r>
          </w:p>
        </w:tc>
        <w:tc>
          <w:tcPr>
            <w:tcW w:w="785"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915"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0.94 (0.47, 1.86)</w:t>
            </w:r>
          </w:p>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P=0.8544</w:t>
            </w:r>
          </w:p>
        </w:tc>
      </w:tr>
      <w:tr w:rsidR="00D31EBA" w:rsidRPr="00060B29" w:rsidTr="0027037A">
        <w:tc>
          <w:tcPr>
            <w:tcW w:w="1100" w:type="pct"/>
            <w:vAlign w:val="center"/>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first acute ILD exacerbation</w:t>
            </w:r>
          </w:p>
        </w:tc>
        <w:tc>
          <w:tcPr>
            <w:tcW w:w="628" w:type="pct"/>
            <w:shd w:val="clear" w:color="auto" w:fill="auto"/>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16/332 (4.8)</w:t>
            </w:r>
          </w:p>
        </w:tc>
        <w:tc>
          <w:tcPr>
            <w:tcW w:w="393" w:type="pct"/>
            <w:shd w:val="clear" w:color="auto" w:fill="auto"/>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324.8</w:t>
            </w:r>
          </w:p>
        </w:tc>
        <w:tc>
          <w:tcPr>
            <w:tcW w:w="707" w:type="pct"/>
            <w:shd w:val="clear" w:color="auto" w:fill="auto"/>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22/331 (6.6)</w:t>
            </w:r>
          </w:p>
        </w:tc>
        <w:tc>
          <w:tcPr>
            <w:tcW w:w="472" w:type="pct"/>
            <w:shd w:val="clear" w:color="auto" w:fill="auto"/>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319.6</w:t>
            </w:r>
          </w:p>
        </w:tc>
        <w:tc>
          <w:tcPr>
            <w:tcW w:w="785"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915"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0.72 (0.38, 1.37)</w:t>
            </w:r>
          </w:p>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P=0.3095</w:t>
            </w:r>
          </w:p>
        </w:tc>
      </w:tr>
      <w:tr w:rsidR="00D31EBA" w:rsidRPr="00060B29" w:rsidTr="0027037A">
        <w:tc>
          <w:tcPr>
            <w:tcW w:w="1100" w:type="pct"/>
            <w:tcBorders>
              <w:bottom w:val="single" w:sz="4" w:space="0" w:color="auto"/>
            </w:tcBorders>
            <w:vAlign w:val="center"/>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Time to progression (≥10% absolute decline in </w:t>
            </w:r>
            <w:r w:rsidR="00583167" w:rsidRPr="00060B29">
              <w:rPr>
                <w:rFonts w:ascii="Arial Narrow" w:eastAsiaTheme="majorEastAsia" w:hAnsi="Arial Narrow" w:cstheme="majorBidi"/>
                <w:bCs/>
                <w:sz w:val="20"/>
              </w:rPr>
              <w:t>FVC%Pred</w:t>
            </w:r>
            <w:r w:rsidRPr="00060B29">
              <w:rPr>
                <w:rFonts w:ascii="Arial Narrow" w:eastAsiaTheme="majorEastAsia" w:hAnsi="Arial Narrow" w:cstheme="majorBidi"/>
                <w:bCs/>
                <w:sz w:val="20"/>
              </w:rPr>
              <w:t>)</w:t>
            </w:r>
          </w:p>
        </w:tc>
        <w:tc>
          <w:tcPr>
            <w:tcW w:w="628"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73/332 (22.0)</w:t>
            </w:r>
          </w:p>
        </w:tc>
        <w:tc>
          <w:tcPr>
            <w:tcW w:w="393"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295.2</w:t>
            </w:r>
          </w:p>
        </w:tc>
        <w:tc>
          <w:tcPr>
            <w:tcW w:w="707"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115/331 (34.7)</w:t>
            </w:r>
          </w:p>
        </w:tc>
        <w:tc>
          <w:tcPr>
            <w:tcW w:w="472"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283.9</w:t>
            </w:r>
          </w:p>
        </w:tc>
        <w:tc>
          <w:tcPr>
            <w:tcW w:w="785"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915" w:type="pct"/>
            <w:tcBorders>
              <w:bottom w:val="single" w:sz="4" w:space="0" w:color="auto"/>
            </w:tcBorders>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0.60 (0.45, 0.80)</w:t>
            </w:r>
          </w:p>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=0.0005</w:t>
            </w:r>
          </w:p>
        </w:tc>
      </w:tr>
      <w:tr w:rsidR="00D31EBA" w:rsidRPr="00060B29" w:rsidTr="0027037A">
        <w:tc>
          <w:tcPr>
            <w:tcW w:w="4085" w:type="pct"/>
            <w:gridSpan w:val="6"/>
            <w:tcBorders>
              <w:right w:val="nil"/>
            </w:tcBorders>
            <w:vAlign w:val="center"/>
          </w:tcPr>
          <w:p w:rsidR="00D31EBA" w:rsidRPr="00060B29" w:rsidRDefault="00D31EBA" w:rsidP="00B15687">
            <w:pPr>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Patients with HRCT with UIP-like fibrotic pattern</w:t>
            </w:r>
          </w:p>
        </w:tc>
        <w:tc>
          <w:tcPr>
            <w:tcW w:w="915" w:type="pct"/>
            <w:tcBorders>
              <w:left w:val="nil"/>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HR</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 xml:space="preserve"> (95% CI)</w:t>
            </w:r>
          </w:p>
        </w:tc>
      </w:tr>
      <w:tr w:rsidR="00D31EBA" w:rsidRPr="00060B29" w:rsidTr="0027037A">
        <w:tc>
          <w:tcPr>
            <w:tcW w:w="1100" w:type="pct"/>
            <w:vAlign w:val="center"/>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death (OS) over 52 weeks</w:t>
            </w:r>
          </w:p>
        </w:tc>
        <w:tc>
          <w:tcPr>
            <w:tcW w:w="628"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11/206 (5.3)</w:t>
            </w:r>
          </w:p>
        </w:tc>
        <w:tc>
          <w:tcPr>
            <w:tcW w:w="393"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203.8</w:t>
            </w:r>
          </w:p>
        </w:tc>
        <w:tc>
          <w:tcPr>
            <w:tcW w:w="707"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16/206 (7.8)</w:t>
            </w:r>
          </w:p>
        </w:tc>
        <w:tc>
          <w:tcPr>
            <w:tcW w:w="472"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202.9</w:t>
            </w:r>
          </w:p>
        </w:tc>
        <w:tc>
          <w:tcPr>
            <w:tcW w:w="785"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915"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0.68 (0.32, 1.47)</w:t>
            </w:r>
          </w:p>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P=0.3291</w:t>
            </w:r>
          </w:p>
        </w:tc>
      </w:tr>
      <w:tr w:rsidR="00D31EBA" w:rsidRPr="00060B29" w:rsidTr="0027037A">
        <w:tc>
          <w:tcPr>
            <w:tcW w:w="1100" w:type="pct"/>
            <w:vAlign w:val="center"/>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Time to first acute ILD exacerbation</w:t>
            </w:r>
          </w:p>
        </w:tc>
        <w:tc>
          <w:tcPr>
            <w:tcW w:w="628" w:type="pct"/>
            <w:shd w:val="clear" w:color="auto" w:fill="auto"/>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11/206 (5.3)</w:t>
            </w:r>
          </w:p>
        </w:tc>
        <w:tc>
          <w:tcPr>
            <w:tcW w:w="393" w:type="pct"/>
            <w:shd w:val="clear" w:color="auto" w:fill="auto"/>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707" w:type="pct"/>
            <w:shd w:val="clear" w:color="auto" w:fill="auto"/>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15/206 (7.3)</w:t>
            </w:r>
          </w:p>
        </w:tc>
        <w:tc>
          <w:tcPr>
            <w:tcW w:w="472" w:type="pct"/>
            <w:shd w:val="clear" w:color="auto" w:fill="auto"/>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785"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0.946 vs. 0.926</w:t>
            </w:r>
          </w:p>
        </w:tc>
        <w:tc>
          <w:tcPr>
            <w:tcW w:w="915"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0.72 (0.33, 1.58)</w:t>
            </w:r>
          </w:p>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P=NR</w:t>
            </w:r>
          </w:p>
        </w:tc>
      </w:tr>
      <w:tr w:rsidR="00D31EBA" w:rsidRPr="00060B29" w:rsidTr="0027037A">
        <w:tc>
          <w:tcPr>
            <w:tcW w:w="1100" w:type="pct"/>
            <w:vAlign w:val="center"/>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Time to progression (≥10% absolute decline in </w:t>
            </w:r>
            <w:r w:rsidR="00583167" w:rsidRPr="00060B29">
              <w:rPr>
                <w:rFonts w:ascii="Arial Narrow" w:eastAsiaTheme="majorEastAsia" w:hAnsi="Arial Narrow" w:cstheme="majorBidi"/>
                <w:bCs/>
                <w:sz w:val="20"/>
              </w:rPr>
              <w:t>FVC%Pred</w:t>
            </w:r>
            <w:r w:rsidRPr="00060B29">
              <w:rPr>
                <w:rFonts w:ascii="Arial Narrow" w:eastAsiaTheme="majorEastAsia" w:hAnsi="Arial Narrow" w:cstheme="majorBidi"/>
                <w:bCs/>
                <w:sz w:val="20"/>
              </w:rPr>
              <w:t>)</w:t>
            </w:r>
          </w:p>
        </w:tc>
        <w:tc>
          <w:tcPr>
            <w:tcW w:w="628"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49/206 (23.8)</w:t>
            </w:r>
          </w:p>
        </w:tc>
        <w:tc>
          <w:tcPr>
            <w:tcW w:w="393"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707"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74/206 (35.9)</w:t>
            </w:r>
          </w:p>
        </w:tc>
        <w:tc>
          <w:tcPr>
            <w:tcW w:w="472"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NR</w:t>
            </w:r>
          </w:p>
        </w:tc>
        <w:tc>
          <w:tcPr>
            <w:tcW w:w="785" w:type="pct"/>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0.757 vs. 0.640</w:t>
            </w:r>
          </w:p>
        </w:tc>
        <w:tc>
          <w:tcPr>
            <w:tcW w:w="915" w:type="pct"/>
            <w:vAlign w:val="center"/>
          </w:tcPr>
          <w:p w:rsidR="00D31EBA" w:rsidRPr="00060B29" w:rsidRDefault="00D31EBA" w:rsidP="00B15687">
            <w:pPr>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0.62 (0.43, 0.89)</w:t>
            </w:r>
          </w:p>
          <w:p w:rsidR="00D31EBA" w:rsidRPr="00060B29" w:rsidRDefault="00D31EBA" w:rsidP="00B15687">
            <w:pPr>
              <w:keepLines/>
              <w:jc w:val="center"/>
              <w:rPr>
                <w:rFonts w:ascii="Arial Narrow" w:eastAsiaTheme="majorEastAsia" w:hAnsi="Arial Narrow" w:cstheme="majorBidi"/>
                <w:sz w:val="20"/>
              </w:rPr>
            </w:pPr>
            <w:r w:rsidRPr="00060B29">
              <w:rPr>
                <w:rFonts w:ascii="Arial Narrow" w:eastAsiaTheme="majorEastAsia" w:hAnsi="Arial Narrow" w:cstheme="majorBidi"/>
                <w:sz w:val="20"/>
              </w:rPr>
              <w:t>P=NR</w:t>
            </w:r>
          </w:p>
        </w:tc>
      </w:tr>
    </w:tbl>
    <w:p w:rsidR="00D31EBA" w:rsidRPr="00060B29" w:rsidRDefault="00D31EBA" w:rsidP="00B15687">
      <w:pPr>
        <w:pStyle w:val="TableFigureFooter"/>
        <w:keepLines/>
      </w:pPr>
      <w:r w:rsidRPr="00060B29">
        <w:t>Source: Tables 2.28-2.29 and 2.31, pp97, 99 and 104 of the submission; Tables 36.1.1.9 and 79.1.1.1.3 in Attachment 3 provided with the submission</w:t>
      </w:r>
    </w:p>
    <w:p w:rsidR="00D31EBA" w:rsidRPr="00060B29" w:rsidRDefault="00D31EBA" w:rsidP="00B15687">
      <w:pPr>
        <w:pStyle w:val="TableFigureFooter"/>
        <w:keepLines/>
      </w:pPr>
      <w:r w:rsidRPr="00060B29">
        <w:t xml:space="preserve">BSC=best supportive care; CI=confidence interval; FVC=forced vital capacity; </w:t>
      </w:r>
      <w:r w:rsidR="00566829" w:rsidRPr="00060B29">
        <w:t xml:space="preserve">FVC%Pred= forced vital capacity % predicted; </w:t>
      </w:r>
      <w:r w:rsidRPr="00060B29">
        <w:t>HR=hazard ratio; HRCT=high-resolution computed tomography; ILD=interstitial lung disease; n=number of participants with event; N=total participants in group; NR=not reported; obs=observational; OS=overall survival; pt-yr=patient-year; UIP=usual interstitial pneumonia; vs=versus</w:t>
      </w:r>
    </w:p>
    <w:p w:rsidR="00D31EBA" w:rsidRPr="00060B29" w:rsidRDefault="00D31EBA" w:rsidP="00B15687">
      <w:pPr>
        <w:pStyle w:val="TableFigureFooter"/>
        <w:keepLines/>
      </w:pPr>
      <w:r w:rsidRPr="00060B29">
        <w:t>^ Based on a Cox’s regression model with terms for treatment and stratified by HRCT pattern</w:t>
      </w:r>
    </w:p>
    <w:p w:rsidR="00D31EBA" w:rsidRPr="00060B29" w:rsidRDefault="00D31EBA" w:rsidP="00B15687">
      <w:pPr>
        <w:pStyle w:val="TableFigureFooter"/>
        <w:keepLines/>
      </w:pPr>
      <w:r w:rsidRPr="00060B29">
        <w:rPr>
          <w:vertAlign w:val="superscript"/>
        </w:rPr>
        <w:t>#</w:t>
      </w:r>
      <w:r w:rsidRPr="00060B29">
        <w:t xml:space="preserve"> Based on a Cox’s regression model with terms for treatment</w:t>
      </w:r>
    </w:p>
    <w:p w:rsidR="00D31EBA" w:rsidRPr="00060B29" w:rsidRDefault="00D31EBA" w:rsidP="00B15687">
      <w:pPr>
        <w:pStyle w:val="TableFigureFooter"/>
        <w:keepLines/>
      </w:pPr>
      <w:r w:rsidRPr="00060B29">
        <w:rPr>
          <w:b/>
          <w:bCs/>
        </w:rPr>
        <w:t>p-values</w:t>
      </w:r>
      <w:r w:rsidRPr="00060B29">
        <w:t xml:space="preserve"> in </w:t>
      </w:r>
      <w:r w:rsidRPr="00060B29">
        <w:rPr>
          <w:b/>
          <w:bCs/>
        </w:rPr>
        <w:t>bold</w:t>
      </w:r>
      <w:r w:rsidRPr="00060B29">
        <w:t xml:space="preserve"> indicate reaching statistical significance</w:t>
      </w:r>
    </w:p>
    <w:p w:rsidR="00641119" w:rsidRPr="00060B29" w:rsidRDefault="00D31EBA" w:rsidP="00B15687">
      <w:pPr>
        <w:pStyle w:val="3-BodyText"/>
        <w:rPr>
          <w:rFonts w:ascii="Calibri" w:hAnsi="Calibri"/>
          <w:szCs w:val="22"/>
          <w:lang w:eastAsia="en-US"/>
        </w:rPr>
      </w:pPr>
      <w:r w:rsidRPr="00060B29">
        <w:t>Figure</w:t>
      </w:r>
      <w:r w:rsidR="000C399D" w:rsidRPr="00060B29">
        <w:t>s</w:t>
      </w:r>
      <w:r w:rsidRPr="00060B29">
        <w:t xml:space="preserve"> </w:t>
      </w:r>
      <w:r w:rsidR="00F81469" w:rsidRPr="00060B29">
        <w:t>2</w:t>
      </w:r>
      <w:r w:rsidR="0093087F" w:rsidRPr="00060B29">
        <w:t xml:space="preserve"> </w:t>
      </w:r>
      <w:r w:rsidRPr="00060B29">
        <w:t>present</w:t>
      </w:r>
      <w:r w:rsidR="00DA4196" w:rsidRPr="00060B29">
        <w:t>s</w:t>
      </w:r>
      <w:r w:rsidRPr="00060B29">
        <w:t xml:space="preserve"> the Kaplan-Meier plot for time to death over 52 weeks </w:t>
      </w:r>
      <w:r w:rsidR="000C399D" w:rsidRPr="00060B29">
        <w:t xml:space="preserve">and the whole trial up to </w:t>
      </w:r>
      <w:r w:rsidR="00853D78" w:rsidRPr="00060B29">
        <w:t>database lock 1 (</w:t>
      </w:r>
      <w:r w:rsidR="000C399D" w:rsidRPr="00060B29">
        <w:t>DBL1</w:t>
      </w:r>
      <w:r w:rsidR="00853D78" w:rsidRPr="00060B29">
        <w:t>)</w:t>
      </w:r>
      <w:r w:rsidR="000C399D" w:rsidRPr="00060B29">
        <w:t xml:space="preserve"> </w:t>
      </w:r>
      <w:r w:rsidRPr="00060B29">
        <w:t xml:space="preserve">for the overall population in the INBUILD trial. </w:t>
      </w:r>
      <w:r w:rsidR="00641119" w:rsidRPr="00060B29">
        <w:rPr>
          <w:snapToGrid/>
        </w:rPr>
        <w:t xml:space="preserve">In the overall population, 4.8% of patients in the nintedanib group died over 52 weeks, compared to 5.1% in the placebo </w:t>
      </w:r>
      <w:r w:rsidR="00095C53" w:rsidRPr="00060B29">
        <w:rPr>
          <w:snapToGrid/>
        </w:rPr>
        <w:t xml:space="preserve">+ BSC </w:t>
      </w:r>
      <w:r w:rsidR="00641119" w:rsidRPr="00060B29">
        <w:rPr>
          <w:snapToGrid/>
        </w:rPr>
        <w:t>group. The difference was not statistically significant (P=0.8544). The submission reported that the trial was not powered to detect a statistically significant reduction in mortality.</w:t>
      </w:r>
      <w:r w:rsidR="00DA4196" w:rsidRPr="00060B29">
        <w:rPr>
          <w:iCs/>
          <w:snapToGrid/>
        </w:rPr>
        <w:t xml:space="preserve"> Data up to 17.2 months was used in the economic model.</w:t>
      </w:r>
      <w:r w:rsidR="009663AB" w:rsidRPr="00060B29">
        <w:t xml:space="preserve"> The Clinical Trial Report noted that the Kaplan-Meier curves for time to death over the whole trial started separating after 480 days (approximately 68 weeks), and showed subsequent continued separation.</w:t>
      </w:r>
      <w:r w:rsidR="009663AB" w:rsidRPr="00060B29">
        <w:rPr>
          <w:vertAlign w:val="superscript"/>
        </w:rPr>
        <w:footnoteReference w:id="7"/>
      </w:r>
      <w:r w:rsidR="009663AB" w:rsidRPr="00060B29">
        <w:t xml:space="preserve"> </w:t>
      </w:r>
      <w:r w:rsidR="00C945BF" w:rsidRPr="00060B29">
        <w:rPr>
          <w:iCs/>
          <w:snapToGrid/>
        </w:rPr>
        <w:t xml:space="preserve">The </w:t>
      </w:r>
      <w:r w:rsidR="00415B59" w:rsidRPr="00060B29">
        <w:rPr>
          <w:iCs/>
          <w:snapToGrid/>
        </w:rPr>
        <w:t>PSCR</w:t>
      </w:r>
      <w:r w:rsidR="00C945BF" w:rsidRPr="00060B29">
        <w:rPr>
          <w:iCs/>
          <w:snapToGrid/>
        </w:rPr>
        <w:t xml:space="preserve"> noted there was a clear trend towards improved survival for nintedanib for the overall population and argued that this trend is biologically plausible </w:t>
      </w:r>
      <w:r w:rsidR="00DF28CA" w:rsidRPr="00060B29">
        <w:rPr>
          <w:iCs/>
          <w:snapToGrid/>
        </w:rPr>
        <w:t>given there is a statistically significant difference in the rate of disease progression (i.e. the rate of decline in FVC and change in FVC%Pred).</w:t>
      </w:r>
      <w:r w:rsidR="009663AB" w:rsidRPr="00060B29">
        <w:rPr>
          <w:iCs/>
        </w:rPr>
        <w:t xml:space="preserve"> The PSCR noted the divergence in the KM curves occurred during Part B of the trial, where patients and investigators remained blinded until trial completion. The PSCR considered the trend towards improved survival over the whole trial is not an artefact but rather supports the use of FVC as a surrogate marker for mortality</w:t>
      </w:r>
      <w:r w:rsidR="00060B29" w:rsidRPr="00060B29">
        <w:rPr>
          <w:iCs/>
        </w:rPr>
        <w:t xml:space="preserve">. </w:t>
      </w:r>
      <w:r w:rsidR="00DF28CA" w:rsidRPr="00060B29">
        <w:rPr>
          <w:iCs/>
          <w:snapToGrid/>
        </w:rPr>
        <w:t xml:space="preserve"> </w:t>
      </w:r>
      <w:r w:rsidR="0016016D" w:rsidRPr="00060B29">
        <w:rPr>
          <w:iCs/>
          <w:snapToGrid/>
        </w:rPr>
        <w:t>The ESC</w:t>
      </w:r>
      <w:r w:rsidR="0094373B">
        <w:rPr>
          <w:iCs/>
          <w:snapToGrid/>
        </w:rPr>
        <w:t xml:space="preserve"> agreed that there was a trend to improved survival and</w:t>
      </w:r>
      <w:r w:rsidR="0016016D" w:rsidRPr="00060B29">
        <w:rPr>
          <w:iCs/>
          <w:snapToGrid/>
        </w:rPr>
        <w:t xml:space="preserve"> </w:t>
      </w:r>
      <w:r w:rsidR="00E5329C" w:rsidRPr="00060B29">
        <w:rPr>
          <w:iCs/>
          <w:snapToGrid/>
        </w:rPr>
        <w:t>considered that the trial follow-up period of 25-months would unlikely be sufficient to detect any survival benefit</w:t>
      </w:r>
      <w:r w:rsidR="00D52D9A" w:rsidRPr="00060B29">
        <w:rPr>
          <w:iCs/>
          <w:snapToGrid/>
        </w:rPr>
        <w:t xml:space="preserve"> in PF-ILD</w:t>
      </w:r>
      <w:r w:rsidR="00A43F44" w:rsidRPr="00060B29">
        <w:rPr>
          <w:iCs/>
          <w:snapToGrid/>
        </w:rPr>
        <w:t>.</w:t>
      </w:r>
      <w:r w:rsidR="009663AB" w:rsidRPr="00060B29">
        <w:rPr>
          <w:iCs/>
        </w:rPr>
        <w:t xml:space="preserve"> </w:t>
      </w:r>
      <w:r w:rsidR="0094373B">
        <w:rPr>
          <w:iCs/>
        </w:rPr>
        <w:t>However, the ESC</w:t>
      </w:r>
      <w:r w:rsidR="009663AB" w:rsidRPr="00060B29">
        <w:rPr>
          <w:iCs/>
        </w:rPr>
        <w:t xml:space="preserve"> considered that the possibility of the divergence being due to chance cannot be excluded given the non-significance of overall survival.</w:t>
      </w:r>
    </w:p>
    <w:p w:rsidR="005D67D3" w:rsidRPr="00060B29" w:rsidRDefault="00253945" w:rsidP="00B15687">
      <w:pPr>
        <w:pStyle w:val="3-BodyText"/>
        <w:rPr>
          <w:rFonts w:ascii="Calibri" w:hAnsi="Calibri"/>
          <w:szCs w:val="22"/>
          <w:lang w:eastAsia="en-US"/>
        </w:rPr>
      </w:pPr>
      <w:r w:rsidRPr="00060B29">
        <w:rPr>
          <w:iCs/>
        </w:rPr>
        <w:t>While survival with nintedanib treatment over 52 weeks was also not statistically significant compared with BSC for IPF (RR=0.72 (95% CI 0.48, 1.09)</w:t>
      </w:r>
      <w:r w:rsidR="00E42DC3">
        <w:rPr>
          <w:iCs/>
        </w:rPr>
        <w:t>,</w:t>
      </w:r>
      <w:r w:rsidRPr="00060B29">
        <w:rPr>
          <w:iCs/>
        </w:rPr>
        <w:t xml:space="preserve"> which was considered by the PBAC in November 2016, there was a clearer trend towards a survival benefit for nintedanib with a lower point estimate for the HR</w:t>
      </w:r>
      <w:r w:rsidR="00E42DC3">
        <w:rPr>
          <w:iCs/>
        </w:rPr>
        <w:t xml:space="preserve"> in IPF</w:t>
      </w:r>
      <w:r w:rsidRPr="00060B29">
        <w:rPr>
          <w:iCs/>
        </w:rPr>
        <w:t xml:space="preserve"> compared with</w:t>
      </w:r>
      <w:r w:rsidR="00E42DC3">
        <w:rPr>
          <w:iCs/>
        </w:rPr>
        <w:t xml:space="preserve"> that seen for PF-ILD</w:t>
      </w:r>
      <w:r w:rsidRPr="00060B29">
        <w:rPr>
          <w:iCs/>
        </w:rPr>
        <w:t xml:space="preserve">. The ESC considered there was more uncertainty associated with the OS results for </w:t>
      </w:r>
      <w:r w:rsidR="00E42DC3">
        <w:rPr>
          <w:iCs/>
        </w:rPr>
        <w:t>PF-ILD</w:t>
      </w:r>
      <w:r w:rsidRPr="00060B29">
        <w:rPr>
          <w:iCs/>
        </w:rPr>
        <w:t xml:space="preserve"> than that for IPF.</w:t>
      </w:r>
    </w:p>
    <w:p w:rsidR="00582696" w:rsidRPr="00060B29" w:rsidRDefault="00582696" w:rsidP="00B15687">
      <w:pPr>
        <w:jc w:val="left"/>
      </w:pPr>
      <w:r w:rsidRPr="00060B29">
        <w:rPr>
          <w:rStyle w:val="CommentReference"/>
          <w:szCs w:val="24"/>
        </w:rPr>
        <w:t>Figure 2: Kaplan-Meier curve of time to death over the whole trial (Part A+B) up to DBL1 in INBUILD (overall population)</w:t>
      </w:r>
    </w:p>
    <w:p w:rsidR="00582696" w:rsidRPr="00060B29" w:rsidRDefault="00582696" w:rsidP="00B15687">
      <w:pPr>
        <w:jc w:val="left"/>
      </w:pPr>
      <w:r w:rsidRPr="00060B29">
        <w:rPr>
          <w:noProof/>
        </w:rPr>
        <w:drawing>
          <wp:inline distT="0" distB="0" distL="0" distR="0" wp14:anchorId="6EB30E22" wp14:editId="5724CD77">
            <wp:extent cx="5669280" cy="2787301"/>
            <wp:effectExtent l="19050" t="19050" r="26670" b="13335"/>
            <wp:docPr id="25" name="Picture 25" title="Figure 2: Kaplan-Meier curve of time to death over the whole trial (Part A+B) up to DBL1 in INBUILD (overall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2331" cy="2842883"/>
                    </a:xfrm>
                    <a:prstGeom prst="rect">
                      <a:avLst/>
                    </a:prstGeom>
                    <a:ln w="3175">
                      <a:solidFill>
                        <a:sysClr val="windowText" lastClr="000000"/>
                      </a:solidFill>
                    </a:ln>
                  </pic:spPr>
                </pic:pic>
              </a:graphicData>
            </a:graphic>
          </wp:inline>
        </w:drawing>
      </w:r>
    </w:p>
    <w:p w:rsidR="00582696" w:rsidRPr="00060B29" w:rsidRDefault="00582696" w:rsidP="00B15687">
      <w:pPr>
        <w:pStyle w:val="TableFigureFooter"/>
      </w:pPr>
      <w:r w:rsidRPr="00060B29">
        <w:t>Source: Figure 11.1.3.2.2:1, p267 in the Clinical Trial Report Main analysis (Document No: c26471552-02), Trial 1199.247, November 2019.</w:t>
      </w:r>
    </w:p>
    <w:p w:rsidR="00246843" w:rsidRPr="00060B29" w:rsidRDefault="00641119" w:rsidP="00B15687">
      <w:pPr>
        <w:pStyle w:val="3-BodyText"/>
        <w:rPr>
          <w:rFonts w:ascii="Calibri" w:hAnsi="Calibri"/>
          <w:szCs w:val="22"/>
          <w:lang w:eastAsia="en-US"/>
        </w:rPr>
      </w:pPr>
      <w:r w:rsidRPr="00060B29">
        <w:t>Fewer patients in the nintedanib group (5.3%) experienced acute ILD exacerbation over 52 weeks, when compared to placebo</w:t>
      </w:r>
      <w:r w:rsidR="00095C53" w:rsidRPr="00060B29">
        <w:t xml:space="preserve"> + BSC</w:t>
      </w:r>
      <w:r w:rsidRPr="00060B29">
        <w:t xml:space="preserve"> (7.3%), but this was not statistically significant (P=0.3095).</w:t>
      </w:r>
      <w:r w:rsidR="003638B6" w:rsidRPr="00060B29">
        <w:t xml:space="preserve"> Figure </w:t>
      </w:r>
      <w:r w:rsidR="00582696" w:rsidRPr="00060B29">
        <w:t>3</w:t>
      </w:r>
      <w:r w:rsidR="003638B6" w:rsidRPr="00060B29">
        <w:t xml:space="preserve"> presents the </w:t>
      </w:r>
      <w:r w:rsidR="003638B6" w:rsidRPr="00060B29">
        <w:rPr>
          <w:szCs w:val="22"/>
          <w:lang w:eastAsia="en-US"/>
        </w:rPr>
        <w:t xml:space="preserve">distribution of acute observations in the INBUILD trial. Approximately 90% of patients treated with nintedanib and 73% treated with placebo </w:t>
      </w:r>
      <w:r w:rsidR="006F4D6B" w:rsidRPr="00060B29">
        <w:rPr>
          <w:szCs w:val="22"/>
          <w:lang w:eastAsia="en-US"/>
        </w:rPr>
        <w:t xml:space="preserve">+BSC </w:t>
      </w:r>
      <w:r w:rsidR="003638B6" w:rsidRPr="00060B29">
        <w:rPr>
          <w:szCs w:val="22"/>
          <w:lang w:eastAsia="en-US"/>
        </w:rPr>
        <w:t xml:space="preserve">remained free of acute exacerbations at the end of the INBUILD trial follow-up </w:t>
      </w:r>
      <w:r w:rsidR="00C77302" w:rsidRPr="00060B29">
        <w:rPr>
          <w:szCs w:val="22"/>
          <w:lang w:eastAsia="en-US"/>
        </w:rPr>
        <w:t xml:space="preserve">period </w:t>
      </w:r>
      <w:r w:rsidR="003638B6" w:rsidRPr="00060B29">
        <w:rPr>
          <w:szCs w:val="22"/>
          <w:lang w:eastAsia="en-US"/>
        </w:rPr>
        <w:t>of 25 months.</w:t>
      </w:r>
      <w:r w:rsidR="00246843" w:rsidRPr="00060B29">
        <w:rPr>
          <w:szCs w:val="22"/>
          <w:lang w:eastAsia="en-US"/>
        </w:rPr>
        <w:t xml:space="preserve"> </w:t>
      </w:r>
      <w:r w:rsidR="00246843" w:rsidRPr="00060B29">
        <w:rPr>
          <w:rFonts w:ascii="Calibri" w:hAnsi="Calibri"/>
          <w:szCs w:val="22"/>
          <w:lang w:eastAsia="en-US"/>
        </w:rPr>
        <w:t>Data up to 17.2 months was used in the economic model.</w:t>
      </w:r>
    </w:p>
    <w:p w:rsidR="003638B6" w:rsidRPr="00060B29" w:rsidRDefault="003638B6" w:rsidP="00B15687">
      <w:pPr>
        <w:spacing w:after="120"/>
        <w:rPr>
          <w:snapToGrid w:val="0"/>
          <w:szCs w:val="22"/>
          <w:lang w:eastAsia="en-US"/>
        </w:rPr>
      </w:pPr>
    </w:p>
    <w:p w:rsidR="003638B6" w:rsidRPr="00060B29" w:rsidRDefault="003638B6" w:rsidP="00B15687">
      <w:pPr>
        <w:jc w:val="left"/>
        <w:rPr>
          <w:rFonts w:ascii="Arial Narrow" w:hAnsi="Arial Narrow" w:cs="Times New Roman"/>
          <w:b/>
          <w:bCs/>
          <w:sz w:val="20"/>
          <w:lang w:eastAsia="en-US"/>
        </w:rPr>
      </w:pPr>
      <w:r w:rsidRPr="00060B29">
        <w:rPr>
          <w:rFonts w:ascii="Arial Narrow" w:hAnsi="Arial Narrow" w:cs="Times New Roman"/>
          <w:b/>
          <w:bCs/>
          <w:sz w:val="20"/>
          <w:lang w:eastAsia="en-US"/>
        </w:rPr>
        <w:t xml:space="preserve">Figure </w:t>
      </w:r>
      <w:r w:rsidR="00582696" w:rsidRPr="00060B29">
        <w:rPr>
          <w:rFonts w:ascii="Arial Narrow" w:hAnsi="Arial Narrow" w:cs="Times New Roman"/>
          <w:b/>
          <w:bCs/>
          <w:sz w:val="20"/>
          <w:lang w:eastAsia="en-US"/>
        </w:rPr>
        <w:t>3</w:t>
      </w:r>
      <w:r w:rsidRPr="00060B29">
        <w:rPr>
          <w:rFonts w:ascii="Arial Narrow" w:hAnsi="Arial Narrow" w:cs="Times New Roman"/>
          <w:b/>
          <w:bCs/>
          <w:sz w:val="20"/>
          <w:lang w:eastAsia="en-US"/>
        </w:rPr>
        <w:t>: Time to first acute exacerbation based on the INBUILD trial</w:t>
      </w:r>
    </w:p>
    <w:p w:rsidR="003638B6" w:rsidRPr="00060B29" w:rsidRDefault="0089456D" w:rsidP="00B15687">
      <w:pPr>
        <w:spacing w:after="120"/>
        <w:contextualSpacing/>
        <w:rPr>
          <w:rFonts w:ascii="Arial Narrow" w:hAnsi="Arial Narrow"/>
          <w:snapToGrid w:val="0"/>
          <w:sz w:val="18"/>
          <w:szCs w:val="22"/>
          <w:lang w:eastAsia="en-US"/>
        </w:rPr>
      </w:pPr>
      <w:r w:rsidRPr="00060B29">
        <w:rPr>
          <w:noProof/>
        </w:rPr>
        <w:drawing>
          <wp:inline distT="0" distB="0" distL="0" distR="0" wp14:anchorId="61BC0E05" wp14:editId="71C26EDD">
            <wp:extent cx="6281530" cy="3568766"/>
            <wp:effectExtent l="0" t="0" r="0" b="0"/>
            <wp:docPr id="15" name="Picture 15" title="Figure 3: Time to first acute exacerbation based on the INBUILD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4142" cy="3575931"/>
                    </a:xfrm>
                    <a:prstGeom prst="rect">
                      <a:avLst/>
                    </a:prstGeom>
                    <a:noFill/>
                    <a:ln>
                      <a:noFill/>
                    </a:ln>
                  </pic:spPr>
                </pic:pic>
              </a:graphicData>
            </a:graphic>
          </wp:inline>
        </w:drawing>
      </w:r>
      <w:r w:rsidR="003638B6" w:rsidRPr="00060B29">
        <w:rPr>
          <w:rFonts w:ascii="Arial Narrow" w:hAnsi="Arial Narrow"/>
          <w:snapToGrid w:val="0"/>
          <w:sz w:val="18"/>
          <w:szCs w:val="22"/>
          <w:lang w:eastAsia="en-US"/>
        </w:rPr>
        <w:t>Source: Figure 3.7, p177 of the submission</w:t>
      </w:r>
    </w:p>
    <w:p w:rsidR="00D31EBA" w:rsidRPr="00060B29" w:rsidRDefault="00D31EBA" w:rsidP="00FD38BF">
      <w:pPr>
        <w:spacing w:before="480" w:after="120"/>
        <w:outlineLvl w:val="1"/>
        <w:rPr>
          <w:rFonts w:asciiTheme="minorHAnsi" w:eastAsiaTheme="majorEastAsia" w:hAnsiTheme="minorHAnsi" w:cstheme="majorBidi"/>
          <w:b/>
          <w:i/>
          <w:spacing w:val="5"/>
          <w:kern w:val="28"/>
          <w:sz w:val="28"/>
          <w:szCs w:val="36"/>
        </w:rPr>
      </w:pPr>
      <w:bookmarkStart w:id="21" w:name="_Toc22897642"/>
      <w:r w:rsidRPr="00060B29">
        <w:rPr>
          <w:rFonts w:asciiTheme="minorHAnsi" w:eastAsiaTheme="majorEastAsia" w:hAnsiTheme="minorHAnsi" w:cstheme="majorBidi"/>
          <w:b/>
          <w:i/>
          <w:spacing w:val="5"/>
          <w:kern w:val="28"/>
          <w:sz w:val="28"/>
          <w:szCs w:val="36"/>
        </w:rPr>
        <w:t>Comparative harms</w:t>
      </w:r>
      <w:bookmarkEnd w:id="21"/>
    </w:p>
    <w:p w:rsidR="00D31EBA" w:rsidRPr="00060B29" w:rsidRDefault="00D31EBA" w:rsidP="00B15687">
      <w:pPr>
        <w:numPr>
          <w:ilvl w:val="1"/>
          <w:numId w:val="1"/>
        </w:numPr>
        <w:spacing w:after="120"/>
        <w:rPr>
          <w:rFonts w:asciiTheme="minorHAnsi" w:hAnsiTheme="minorHAnsi"/>
          <w:snapToGrid w:val="0"/>
          <w:color w:val="000000" w:themeColor="text1"/>
        </w:rPr>
      </w:pPr>
      <w:r w:rsidRPr="00060B29">
        <w:rPr>
          <w:rFonts w:asciiTheme="minorHAnsi" w:hAnsiTheme="minorHAnsi"/>
          <w:snapToGrid w:val="0"/>
          <w:color w:val="000000" w:themeColor="text1"/>
        </w:rPr>
        <w:t xml:space="preserve">Significantly more patients in the nintedanib group experienced acute respiratory failure SAE, </w:t>
      </w:r>
      <w:r w:rsidR="008F2EAA" w:rsidRPr="00060B29">
        <w:rPr>
          <w:rFonts w:asciiTheme="minorHAnsi" w:hAnsiTheme="minorHAnsi"/>
          <w:snapToGrid w:val="0"/>
          <w:color w:val="000000" w:themeColor="text1"/>
        </w:rPr>
        <w:t xml:space="preserve">drug-induced liver injury SAE, </w:t>
      </w:r>
      <w:r w:rsidRPr="00060B29">
        <w:rPr>
          <w:rFonts w:asciiTheme="minorHAnsi" w:hAnsiTheme="minorHAnsi"/>
          <w:snapToGrid w:val="0"/>
          <w:color w:val="000000" w:themeColor="text1"/>
        </w:rPr>
        <w:t xml:space="preserve">investigator-defined drug-related AEs, </w:t>
      </w:r>
      <w:r w:rsidR="008F2EAA" w:rsidRPr="00060B29">
        <w:rPr>
          <w:rFonts w:asciiTheme="minorHAnsi" w:hAnsiTheme="minorHAnsi"/>
          <w:snapToGrid w:val="0"/>
          <w:color w:val="000000" w:themeColor="text1"/>
        </w:rPr>
        <w:t xml:space="preserve">and </w:t>
      </w:r>
      <w:r w:rsidRPr="00060B29">
        <w:rPr>
          <w:rFonts w:asciiTheme="minorHAnsi" w:hAnsiTheme="minorHAnsi"/>
          <w:snapToGrid w:val="0"/>
          <w:color w:val="000000" w:themeColor="text1"/>
        </w:rPr>
        <w:t>gastrointestinal disorders (diarrhoea, nausea, abdominal pain) over 52 weeks when compared to placebo</w:t>
      </w:r>
      <w:r w:rsidR="00853D78" w:rsidRPr="00060B29">
        <w:rPr>
          <w:rFonts w:asciiTheme="minorHAnsi" w:hAnsiTheme="minorHAnsi"/>
          <w:snapToGrid w:val="0"/>
          <w:color w:val="000000" w:themeColor="text1"/>
        </w:rPr>
        <w:t xml:space="preserve"> </w:t>
      </w:r>
      <w:r w:rsidRPr="00060B29">
        <w:rPr>
          <w:rFonts w:asciiTheme="minorHAnsi" w:hAnsiTheme="minorHAnsi"/>
          <w:snapToGrid w:val="0"/>
          <w:color w:val="000000" w:themeColor="text1"/>
        </w:rPr>
        <w:t>+</w:t>
      </w:r>
      <w:r w:rsidR="00853D78" w:rsidRPr="00060B29">
        <w:rPr>
          <w:rFonts w:asciiTheme="minorHAnsi" w:hAnsiTheme="minorHAnsi"/>
          <w:snapToGrid w:val="0"/>
          <w:color w:val="000000" w:themeColor="text1"/>
        </w:rPr>
        <w:t xml:space="preserve"> </w:t>
      </w:r>
      <w:r w:rsidRPr="00060B29">
        <w:rPr>
          <w:rFonts w:asciiTheme="minorHAnsi" w:hAnsiTheme="minorHAnsi"/>
          <w:snapToGrid w:val="0"/>
          <w:color w:val="000000" w:themeColor="text1"/>
        </w:rPr>
        <w:t>BSC in the INBUILD trial (Table 7).</w:t>
      </w:r>
    </w:p>
    <w:p w:rsidR="000B0CA6" w:rsidRPr="00060B29" w:rsidRDefault="000B0CA6" w:rsidP="00B15687">
      <w:pPr>
        <w:pStyle w:val="3-BodyText"/>
        <w:rPr>
          <w:color w:val="000000" w:themeColor="text1"/>
        </w:rPr>
      </w:pPr>
      <w:r w:rsidRPr="00060B29">
        <w:rPr>
          <w:color w:val="000000" w:themeColor="text1"/>
        </w:rPr>
        <w:t>The TGA Delegate’s Overview noted that the pattern of nintedani</w:t>
      </w:r>
      <w:r w:rsidR="00FE47D7" w:rsidRPr="00060B29">
        <w:rPr>
          <w:color w:val="000000" w:themeColor="text1"/>
        </w:rPr>
        <w:t xml:space="preserve">b toxicity observed in the INBUILD </w:t>
      </w:r>
      <w:r w:rsidR="00773AD0" w:rsidRPr="00060B29">
        <w:rPr>
          <w:color w:val="000000" w:themeColor="text1"/>
        </w:rPr>
        <w:t>trial was</w:t>
      </w:r>
      <w:r w:rsidRPr="00060B29">
        <w:rPr>
          <w:color w:val="000000" w:themeColor="text1"/>
        </w:rPr>
        <w:t xml:space="preserve"> consistent with that previously documented for the drug.</w:t>
      </w:r>
    </w:p>
    <w:p w:rsidR="00D31EBA" w:rsidRPr="00060B29" w:rsidRDefault="00D31EBA" w:rsidP="00FD38BF">
      <w:pPr>
        <w:keepNext/>
        <w:keepLines/>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Table 7: Summary of key adverse events the INBUILD trial over 52 weeks (overall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134"/>
        <w:gridCol w:w="1417"/>
        <w:gridCol w:w="1702"/>
        <w:gridCol w:w="1648"/>
      </w:tblGrid>
      <w:tr w:rsidR="00D31EBA" w:rsidRPr="00060B29" w:rsidTr="009B3DA4">
        <w:trPr>
          <w:tblHeader/>
        </w:trPr>
        <w:tc>
          <w:tcPr>
            <w:tcW w:w="1727" w:type="pct"/>
            <w:tcBorders>
              <w:bottom w:val="nil"/>
            </w:tcBorders>
          </w:tcPr>
          <w:p w:rsidR="00D31EBA" w:rsidRPr="00060B29" w:rsidRDefault="00D31EBA" w:rsidP="00FD38BF">
            <w:pPr>
              <w:keepNext/>
              <w:keepLines/>
              <w:jc w:val="left"/>
              <w:rPr>
                <w:rFonts w:ascii="Arial Narrow" w:eastAsiaTheme="majorEastAsia" w:hAnsi="Arial Narrow" w:cs="Times New Roman"/>
                <w:b/>
                <w:sz w:val="20"/>
              </w:rPr>
            </w:pPr>
          </w:p>
        </w:tc>
        <w:tc>
          <w:tcPr>
            <w:tcW w:w="629" w:type="pct"/>
            <w:vMerge w:val="restart"/>
            <w:vAlign w:val="center"/>
          </w:tcPr>
          <w:p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N=332</w:t>
            </w:r>
          </w:p>
          <w:p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 (%=n/N)</w:t>
            </w:r>
          </w:p>
        </w:tc>
        <w:tc>
          <w:tcPr>
            <w:tcW w:w="786" w:type="pct"/>
            <w:vMerge w:val="restart"/>
            <w:vAlign w:val="center"/>
          </w:tcPr>
          <w:p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Placebo</w:t>
            </w:r>
            <w:r w:rsidR="006F4D6B"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F4D6B"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p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N=331</w:t>
            </w:r>
          </w:p>
          <w:p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 (%=n/N)</w:t>
            </w:r>
          </w:p>
        </w:tc>
        <w:tc>
          <w:tcPr>
            <w:tcW w:w="1859" w:type="pct"/>
            <w:gridSpan w:val="2"/>
            <w:tcBorders>
              <w:bottom w:val="single" w:sz="4" w:space="0" w:color="auto"/>
            </w:tcBorders>
            <w:vAlign w:val="center"/>
          </w:tcPr>
          <w:p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Nintedanib vs. placebo </w:t>
            </w:r>
          </w:p>
        </w:tc>
      </w:tr>
      <w:tr w:rsidR="00D31EBA" w:rsidRPr="00060B29" w:rsidTr="009B3DA4">
        <w:trPr>
          <w:tblHeader/>
        </w:trPr>
        <w:tc>
          <w:tcPr>
            <w:tcW w:w="1727" w:type="pct"/>
            <w:tcBorders>
              <w:top w:val="nil"/>
              <w:bottom w:val="single" w:sz="4" w:space="0" w:color="auto"/>
            </w:tcBorders>
          </w:tcPr>
          <w:p w:rsidR="00D31EBA" w:rsidRPr="00060B29" w:rsidRDefault="00D31EBA" w:rsidP="00FD38BF">
            <w:pPr>
              <w:keepNext/>
              <w:keepLines/>
              <w:jc w:val="left"/>
              <w:rPr>
                <w:rFonts w:ascii="Arial Narrow" w:eastAsiaTheme="majorEastAsia" w:hAnsi="Arial Narrow" w:cs="Times New Roman"/>
                <w:b/>
                <w:sz w:val="20"/>
              </w:rPr>
            </w:pPr>
          </w:p>
        </w:tc>
        <w:tc>
          <w:tcPr>
            <w:tcW w:w="629" w:type="pct"/>
            <w:vMerge/>
            <w:tcBorders>
              <w:bottom w:val="single" w:sz="4" w:space="0" w:color="auto"/>
            </w:tcBorders>
            <w:vAlign w:val="center"/>
          </w:tcPr>
          <w:p w:rsidR="00D31EBA" w:rsidRPr="00060B29" w:rsidRDefault="00D31EBA" w:rsidP="00FD38BF">
            <w:pPr>
              <w:keepNext/>
              <w:keepLines/>
              <w:jc w:val="center"/>
              <w:rPr>
                <w:rFonts w:ascii="Arial Narrow" w:eastAsiaTheme="majorEastAsia" w:hAnsi="Arial Narrow" w:cs="Times New Roman"/>
                <w:b/>
                <w:sz w:val="20"/>
              </w:rPr>
            </w:pPr>
          </w:p>
        </w:tc>
        <w:tc>
          <w:tcPr>
            <w:tcW w:w="786" w:type="pct"/>
            <w:vMerge/>
            <w:tcBorders>
              <w:bottom w:val="single" w:sz="4" w:space="0" w:color="auto"/>
            </w:tcBorders>
            <w:vAlign w:val="center"/>
          </w:tcPr>
          <w:p w:rsidR="00D31EBA" w:rsidRPr="00060B29" w:rsidRDefault="00D31EBA" w:rsidP="00FD38BF">
            <w:pPr>
              <w:keepNext/>
              <w:keepLines/>
              <w:jc w:val="center"/>
              <w:rPr>
                <w:rFonts w:ascii="Arial Narrow" w:eastAsiaTheme="majorEastAsia" w:hAnsi="Arial Narrow" w:cs="Times New Roman"/>
                <w:b/>
                <w:sz w:val="20"/>
              </w:rPr>
            </w:pPr>
          </w:p>
        </w:tc>
        <w:tc>
          <w:tcPr>
            <w:tcW w:w="944" w:type="pct"/>
            <w:tcBorders>
              <w:bottom w:val="single" w:sz="4" w:space="0" w:color="auto"/>
            </w:tcBorders>
            <w:vAlign w:val="center"/>
          </w:tcPr>
          <w:p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RR (95% CI)</w:t>
            </w:r>
          </w:p>
        </w:tc>
        <w:tc>
          <w:tcPr>
            <w:tcW w:w="915" w:type="pct"/>
            <w:tcBorders>
              <w:bottom w:val="single" w:sz="4" w:space="0" w:color="auto"/>
            </w:tcBorders>
            <w:vAlign w:val="center"/>
          </w:tcPr>
          <w:p w:rsidR="00D31EBA" w:rsidRPr="00060B29" w:rsidRDefault="00D31EBA" w:rsidP="00FD38BF">
            <w:pPr>
              <w:keepNext/>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RD (95% CI)</w:t>
            </w:r>
          </w:p>
        </w:tc>
      </w:tr>
      <w:tr w:rsidR="00D31EBA" w:rsidRPr="00060B29" w:rsidTr="009B3DA4">
        <w:tc>
          <w:tcPr>
            <w:tcW w:w="1727" w:type="pct"/>
            <w:vAlign w:val="center"/>
          </w:tcPr>
          <w:p w:rsidR="00D31EBA" w:rsidRPr="00060B29" w:rsidRDefault="00D31EBA" w:rsidP="00FD38BF">
            <w:pPr>
              <w:keepNext/>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AEs resulting in death</w:t>
            </w:r>
          </w:p>
        </w:tc>
        <w:tc>
          <w:tcPr>
            <w:tcW w:w="629"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 (3.3)</w:t>
            </w:r>
          </w:p>
        </w:tc>
        <w:tc>
          <w:tcPr>
            <w:tcW w:w="786"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17 (5.1)</w:t>
            </w:r>
          </w:p>
        </w:tc>
        <w:tc>
          <w:tcPr>
            <w:tcW w:w="944" w:type="pct"/>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0.65 (0.31, 1.36)</w:t>
            </w:r>
          </w:p>
        </w:tc>
        <w:tc>
          <w:tcPr>
            <w:tcW w:w="915" w:type="pct"/>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−0.02 (−0.05, 0.01)</w:t>
            </w:r>
          </w:p>
        </w:tc>
      </w:tr>
      <w:tr w:rsidR="00D31EBA" w:rsidRPr="00060B29" w:rsidTr="009B3DA4">
        <w:tc>
          <w:tcPr>
            <w:tcW w:w="1727" w:type="pct"/>
            <w:vAlign w:val="center"/>
          </w:tcPr>
          <w:p w:rsidR="00D31EBA" w:rsidRPr="00060B29" w:rsidRDefault="00D31EBA" w:rsidP="00FD38BF">
            <w:pPr>
              <w:keepNext/>
              <w:keepLines/>
              <w:jc w:val="left"/>
              <w:rPr>
                <w:rFonts w:ascii="Arial Narrow" w:eastAsiaTheme="majorEastAsia" w:hAnsi="Arial Narrow" w:cstheme="majorBidi"/>
                <w:b/>
                <w:sz w:val="20"/>
                <w:vertAlign w:val="superscript"/>
              </w:rPr>
            </w:pPr>
            <w:r w:rsidRPr="00060B29">
              <w:rPr>
                <w:rFonts w:ascii="Arial Narrow" w:eastAsiaTheme="majorEastAsia" w:hAnsi="Arial Narrow" w:cstheme="majorBidi"/>
                <w:b/>
                <w:sz w:val="20"/>
              </w:rPr>
              <w:t>Any SAE</w:t>
            </w:r>
          </w:p>
        </w:tc>
        <w:tc>
          <w:tcPr>
            <w:tcW w:w="629"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107 (32.2)</w:t>
            </w:r>
          </w:p>
        </w:tc>
        <w:tc>
          <w:tcPr>
            <w:tcW w:w="786"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110 (33.2)</w:t>
            </w:r>
          </w:p>
        </w:tc>
        <w:tc>
          <w:tcPr>
            <w:tcW w:w="944" w:type="pct"/>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0.97 (0.78, 1.21)</w:t>
            </w:r>
          </w:p>
        </w:tc>
        <w:tc>
          <w:tcPr>
            <w:tcW w:w="915" w:type="pct"/>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−0.01 (−0.08, 0.06)</w:t>
            </w:r>
          </w:p>
        </w:tc>
      </w:tr>
      <w:tr w:rsidR="00D31EBA" w:rsidRPr="00060B29" w:rsidTr="009B3DA4">
        <w:tc>
          <w:tcPr>
            <w:tcW w:w="1727" w:type="pct"/>
            <w:tcBorders>
              <w:bottom w:val="nil"/>
            </w:tcBorders>
            <w:vAlign w:val="center"/>
          </w:tcPr>
          <w:p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Respiratory, thoracic and mediastinal disorders</w:t>
            </w:r>
            <w:r w:rsidR="0028533D" w:rsidRPr="00060B29">
              <w:rPr>
                <w:rFonts w:ascii="Arial Narrow" w:eastAsiaTheme="majorEastAsia" w:hAnsi="Arial Narrow" w:cstheme="majorBidi"/>
                <w:bCs/>
                <w:iCs/>
                <w:sz w:val="20"/>
                <w:vertAlign w:val="superscript"/>
              </w:rPr>
              <w:t>a</w:t>
            </w:r>
          </w:p>
        </w:tc>
        <w:tc>
          <w:tcPr>
            <w:tcW w:w="629"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highlight w:val="yellow"/>
              </w:rPr>
            </w:pPr>
            <w:r w:rsidRPr="00060B29">
              <w:rPr>
                <w:rFonts w:ascii="Arial Narrow" w:eastAsiaTheme="majorEastAsia" w:hAnsi="Arial Narrow" w:cstheme="majorBidi"/>
                <w:bCs/>
                <w:iCs/>
                <w:sz w:val="20"/>
              </w:rPr>
              <w:t>44 (13.3)</w:t>
            </w:r>
          </w:p>
        </w:tc>
        <w:tc>
          <w:tcPr>
            <w:tcW w:w="786"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highlight w:val="yellow"/>
              </w:rPr>
            </w:pPr>
            <w:r w:rsidRPr="00060B29">
              <w:rPr>
                <w:rFonts w:ascii="Arial Narrow" w:eastAsiaTheme="majorEastAsia" w:hAnsi="Arial Narrow" w:cstheme="majorBidi"/>
                <w:bCs/>
                <w:iCs/>
                <w:sz w:val="20"/>
              </w:rPr>
              <w:t>64 (19.3)</w:t>
            </w:r>
          </w:p>
        </w:tc>
        <w:tc>
          <w:tcPr>
            <w:tcW w:w="944"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0.69 (0.48, 0.97)</w:t>
            </w:r>
          </w:p>
        </w:tc>
        <w:tc>
          <w:tcPr>
            <w:tcW w:w="915"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-0.06 (-0.12, -0.00)</w:t>
            </w:r>
          </w:p>
        </w:tc>
      </w:tr>
      <w:tr w:rsidR="00D31EBA" w:rsidRPr="00060B29" w:rsidTr="009B3DA4">
        <w:trPr>
          <w:trHeight w:val="173"/>
        </w:trPr>
        <w:tc>
          <w:tcPr>
            <w:tcW w:w="1727" w:type="pct"/>
            <w:tcBorders>
              <w:top w:val="nil"/>
              <w:bottom w:val="nil"/>
            </w:tcBorders>
            <w:vAlign w:val="center"/>
          </w:tcPr>
          <w:p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ILD</w:t>
            </w:r>
            <w:r w:rsidR="0028533D" w:rsidRPr="00060B29">
              <w:rPr>
                <w:rFonts w:ascii="Arial Narrow" w:eastAsiaTheme="majorEastAsia" w:hAnsi="Arial Narrow" w:cstheme="majorBidi"/>
                <w:bCs/>
                <w:iCs/>
                <w:sz w:val="20"/>
                <w:vertAlign w:val="superscript"/>
              </w:rPr>
              <w:t>a</w:t>
            </w:r>
          </w:p>
        </w:tc>
        <w:tc>
          <w:tcPr>
            <w:tcW w:w="629" w:type="pct"/>
            <w:tcBorders>
              <w:top w:val="nil"/>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11 (3.3)</w:t>
            </w:r>
          </w:p>
        </w:tc>
        <w:tc>
          <w:tcPr>
            <w:tcW w:w="786" w:type="pct"/>
            <w:tcBorders>
              <w:top w:val="nil"/>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31 (9.4)</w:t>
            </w:r>
          </w:p>
        </w:tc>
        <w:tc>
          <w:tcPr>
            <w:tcW w:w="944" w:type="pct"/>
            <w:tcBorders>
              <w:top w:val="nil"/>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0.35 (0.18, 0.69)</w:t>
            </w:r>
          </w:p>
        </w:tc>
        <w:tc>
          <w:tcPr>
            <w:tcW w:w="915" w:type="pct"/>
            <w:tcBorders>
              <w:top w:val="nil"/>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-0.06 (-0.10, -0.02)</w:t>
            </w:r>
          </w:p>
        </w:tc>
      </w:tr>
      <w:tr w:rsidR="00D31EBA" w:rsidRPr="00060B29" w:rsidTr="009B3DA4">
        <w:trPr>
          <w:trHeight w:val="173"/>
        </w:trPr>
        <w:tc>
          <w:tcPr>
            <w:tcW w:w="1727" w:type="pct"/>
            <w:tcBorders>
              <w:top w:val="nil"/>
              <w:bottom w:val="nil"/>
            </w:tcBorders>
            <w:vAlign w:val="center"/>
          </w:tcPr>
          <w:p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Acute respiratory failure</w:t>
            </w:r>
            <w:r w:rsidR="0028533D" w:rsidRPr="00060B29">
              <w:rPr>
                <w:rFonts w:ascii="Arial Narrow" w:eastAsiaTheme="majorEastAsia" w:hAnsi="Arial Narrow" w:cstheme="majorBidi"/>
                <w:bCs/>
                <w:iCs/>
                <w:sz w:val="20"/>
                <w:vertAlign w:val="superscript"/>
              </w:rPr>
              <w:t>a</w:t>
            </w:r>
          </w:p>
        </w:tc>
        <w:tc>
          <w:tcPr>
            <w:tcW w:w="629" w:type="pct"/>
            <w:tcBorders>
              <w:top w:val="nil"/>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10 (3.0)</w:t>
            </w:r>
          </w:p>
        </w:tc>
        <w:tc>
          <w:tcPr>
            <w:tcW w:w="786" w:type="pct"/>
            <w:tcBorders>
              <w:top w:val="nil"/>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2 (0.6)</w:t>
            </w:r>
          </w:p>
        </w:tc>
        <w:tc>
          <w:tcPr>
            <w:tcW w:w="944" w:type="pct"/>
            <w:tcBorders>
              <w:top w:val="nil"/>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4.98 (1.10, 22.58)</w:t>
            </w:r>
          </w:p>
        </w:tc>
        <w:tc>
          <w:tcPr>
            <w:tcW w:w="915" w:type="pct"/>
            <w:tcBorders>
              <w:top w:val="nil"/>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0.02 (0.00, 0.04)</w:t>
            </w:r>
          </w:p>
        </w:tc>
      </w:tr>
      <w:tr w:rsidR="00D31EBA" w:rsidRPr="00060B29" w:rsidTr="009B3DA4">
        <w:tc>
          <w:tcPr>
            <w:tcW w:w="1727" w:type="pct"/>
            <w:tcBorders>
              <w:top w:val="single" w:sz="4" w:space="0" w:color="auto"/>
              <w:bottom w:val="nil"/>
            </w:tcBorders>
            <w:vAlign w:val="center"/>
          </w:tcPr>
          <w:p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Hepatobiliary disorders</w:t>
            </w:r>
            <w:r w:rsidR="0028533D" w:rsidRPr="00060B29">
              <w:rPr>
                <w:rFonts w:ascii="Arial Narrow" w:eastAsiaTheme="majorEastAsia" w:hAnsi="Arial Narrow" w:cstheme="majorBidi"/>
                <w:bCs/>
                <w:iCs/>
                <w:sz w:val="20"/>
                <w:vertAlign w:val="superscript"/>
              </w:rPr>
              <w:t xml:space="preserve">a </w:t>
            </w:r>
          </w:p>
        </w:tc>
        <w:tc>
          <w:tcPr>
            <w:tcW w:w="629" w:type="pct"/>
            <w:tcBorders>
              <w:top w:val="single" w:sz="4" w:space="0" w:color="auto"/>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11 (3.3)</w:t>
            </w:r>
          </w:p>
        </w:tc>
        <w:tc>
          <w:tcPr>
            <w:tcW w:w="786" w:type="pct"/>
            <w:tcBorders>
              <w:top w:val="single" w:sz="4" w:space="0" w:color="auto"/>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 (0.9)</w:t>
            </w:r>
          </w:p>
        </w:tc>
        <w:tc>
          <w:tcPr>
            <w:tcW w:w="944" w:type="pct"/>
            <w:tcBorders>
              <w:top w:val="single" w:sz="4" w:space="0" w:color="auto"/>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3.66 (1.03, 12.98)</w:t>
            </w:r>
          </w:p>
        </w:tc>
        <w:tc>
          <w:tcPr>
            <w:tcW w:w="915" w:type="pct"/>
            <w:tcBorders>
              <w:top w:val="single" w:sz="4" w:space="0" w:color="auto"/>
              <w:bottom w:val="nil"/>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
                <w:iCs/>
                <w:sz w:val="20"/>
              </w:rPr>
              <w:t>0.02 (0.00, 0.05)</w:t>
            </w:r>
          </w:p>
        </w:tc>
      </w:tr>
      <w:tr w:rsidR="00D31EBA" w:rsidRPr="00060B29" w:rsidTr="009B3DA4">
        <w:tc>
          <w:tcPr>
            <w:tcW w:w="1727" w:type="pct"/>
            <w:tcBorders>
              <w:top w:val="nil"/>
              <w:bottom w:val="single" w:sz="4" w:space="0" w:color="auto"/>
            </w:tcBorders>
            <w:vAlign w:val="center"/>
          </w:tcPr>
          <w:p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Drug-induced liver injury</w:t>
            </w:r>
            <w:r w:rsidR="0028533D" w:rsidRPr="00060B29">
              <w:rPr>
                <w:rFonts w:ascii="Arial Narrow" w:eastAsiaTheme="majorEastAsia" w:hAnsi="Arial Narrow" w:cstheme="majorBidi"/>
                <w:bCs/>
                <w:iCs/>
                <w:sz w:val="20"/>
                <w:vertAlign w:val="superscript"/>
              </w:rPr>
              <w:t xml:space="preserve">a </w:t>
            </w:r>
          </w:p>
        </w:tc>
        <w:tc>
          <w:tcPr>
            <w:tcW w:w="629" w:type="pct"/>
            <w:tcBorders>
              <w:top w:val="nil"/>
              <w:bottom w:val="single" w:sz="4" w:space="0" w:color="auto"/>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6 (1.8)</w:t>
            </w:r>
          </w:p>
        </w:tc>
        <w:tc>
          <w:tcPr>
            <w:tcW w:w="786" w:type="pct"/>
            <w:tcBorders>
              <w:top w:val="nil"/>
              <w:bottom w:val="single" w:sz="4" w:space="0" w:color="auto"/>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0 (0)</w:t>
            </w:r>
          </w:p>
        </w:tc>
        <w:tc>
          <w:tcPr>
            <w:tcW w:w="944" w:type="pct"/>
            <w:tcBorders>
              <w:top w:val="nil"/>
              <w:bottom w:val="single" w:sz="4" w:space="0" w:color="auto"/>
            </w:tcBorders>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w:t>
            </w:r>
          </w:p>
        </w:tc>
        <w:tc>
          <w:tcPr>
            <w:tcW w:w="915" w:type="pct"/>
            <w:tcBorders>
              <w:top w:val="nil"/>
              <w:bottom w:val="single" w:sz="4" w:space="0" w:color="auto"/>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0.02 (0.00, 0.03)</w:t>
            </w:r>
          </w:p>
        </w:tc>
      </w:tr>
      <w:tr w:rsidR="00D31EBA" w:rsidRPr="00060B29" w:rsidTr="009B3DA4">
        <w:tc>
          <w:tcPr>
            <w:tcW w:w="1727" w:type="pct"/>
            <w:vAlign w:val="center"/>
          </w:tcPr>
          <w:p w:rsidR="00D31EBA" w:rsidRPr="00060B29" w:rsidRDefault="00D31EBA" w:rsidP="00FD38BF">
            <w:pPr>
              <w:keepNext/>
              <w:keepLines/>
              <w:jc w:val="left"/>
              <w:rPr>
                <w:rFonts w:ascii="Arial Narrow" w:eastAsiaTheme="majorEastAsia" w:hAnsi="Arial Narrow" w:cstheme="majorBidi"/>
                <w:b/>
                <w:sz w:val="20"/>
              </w:rPr>
            </w:pPr>
            <w:r w:rsidRPr="00060B29">
              <w:rPr>
                <w:rFonts w:ascii="Arial Narrow" w:eastAsiaTheme="majorEastAsia" w:hAnsi="Arial Narrow" w:cstheme="majorBidi"/>
                <w:b/>
                <w:sz w:val="20"/>
              </w:rPr>
              <w:t>Any AE</w:t>
            </w:r>
          </w:p>
        </w:tc>
        <w:tc>
          <w:tcPr>
            <w:tcW w:w="629"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317 (95.5)</w:t>
            </w:r>
          </w:p>
        </w:tc>
        <w:tc>
          <w:tcPr>
            <w:tcW w:w="786"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296 (89.4)</w:t>
            </w:r>
          </w:p>
        </w:tc>
        <w:tc>
          <w:tcPr>
            <w:tcW w:w="944" w:type="pct"/>
            <w:vAlign w:val="center"/>
          </w:tcPr>
          <w:p w:rsidR="00D31EBA" w:rsidRPr="00060B29" w:rsidRDefault="00D31EBA" w:rsidP="00FD38BF">
            <w:pPr>
              <w:keepNext/>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1.07 (1.02, 1.12)</w:t>
            </w:r>
          </w:p>
        </w:tc>
        <w:tc>
          <w:tcPr>
            <w:tcW w:w="915" w:type="pct"/>
            <w:vAlign w:val="center"/>
          </w:tcPr>
          <w:p w:rsidR="00D31EBA" w:rsidRPr="00060B29" w:rsidRDefault="00D31EBA" w:rsidP="00FD38BF">
            <w:pPr>
              <w:keepNext/>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0.06 (0.02, 0.10)</w:t>
            </w:r>
          </w:p>
        </w:tc>
      </w:tr>
      <w:tr w:rsidR="00D31EBA" w:rsidRPr="00060B29" w:rsidTr="009B3DA4">
        <w:tc>
          <w:tcPr>
            <w:tcW w:w="1727" w:type="pct"/>
            <w:vAlign w:val="center"/>
          </w:tcPr>
          <w:p w:rsidR="00D31EBA" w:rsidRPr="00060B29" w:rsidRDefault="00D31EBA" w:rsidP="00FD38BF">
            <w:pPr>
              <w:keepNext/>
              <w:keepLines/>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AEs leading to premature and permanent discontinuation of trial medication</w:t>
            </w:r>
          </w:p>
        </w:tc>
        <w:tc>
          <w:tcPr>
            <w:tcW w:w="629"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65 (19.6)</w:t>
            </w:r>
          </w:p>
        </w:tc>
        <w:tc>
          <w:tcPr>
            <w:tcW w:w="786"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34 (10.3)</w:t>
            </w:r>
          </w:p>
        </w:tc>
        <w:tc>
          <w:tcPr>
            <w:tcW w:w="944" w:type="pct"/>
            <w:vAlign w:val="center"/>
          </w:tcPr>
          <w:p w:rsidR="00D31EBA" w:rsidRPr="00060B29" w:rsidRDefault="00D31EBA" w:rsidP="00FD38BF">
            <w:pPr>
              <w:keepNext/>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1.91 (1.30, 2.80)</w:t>
            </w:r>
          </w:p>
        </w:tc>
        <w:tc>
          <w:tcPr>
            <w:tcW w:w="915" w:type="pct"/>
            <w:vAlign w:val="center"/>
          </w:tcPr>
          <w:p w:rsidR="00D31EBA" w:rsidRPr="00060B29" w:rsidRDefault="00D31EBA" w:rsidP="00FD38BF">
            <w:pPr>
              <w:keepNext/>
              <w:keepLines/>
              <w:jc w:val="center"/>
              <w:rPr>
                <w:rFonts w:ascii="Arial Narrow" w:eastAsiaTheme="majorEastAsia" w:hAnsi="Arial Narrow" w:cstheme="majorBidi"/>
                <w:b/>
                <w:sz w:val="20"/>
              </w:rPr>
            </w:pPr>
            <w:r w:rsidRPr="00060B29">
              <w:rPr>
                <w:rFonts w:ascii="Arial Narrow" w:eastAsiaTheme="majorEastAsia" w:hAnsi="Arial Narrow" w:cstheme="majorBidi"/>
                <w:b/>
                <w:sz w:val="20"/>
              </w:rPr>
              <w:t>0.09 (0.04, 0.15)</w:t>
            </w:r>
          </w:p>
        </w:tc>
      </w:tr>
      <w:tr w:rsidR="00D31EBA" w:rsidRPr="00060B29" w:rsidTr="009B3DA4">
        <w:tc>
          <w:tcPr>
            <w:tcW w:w="1727" w:type="pct"/>
            <w:vAlign w:val="center"/>
          </w:tcPr>
          <w:p w:rsidR="00D31EBA" w:rsidRPr="00060B29" w:rsidRDefault="00D31EBA" w:rsidP="00FD38BF">
            <w:pPr>
              <w:keepNext/>
              <w:keepLines/>
              <w:ind w:left="170"/>
              <w:jc w:val="left"/>
              <w:rPr>
                <w:rFonts w:ascii="Arial Narrow" w:eastAsiaTheme="majorEastAsia" w:hAnsi="Arial Narrow" w:cstheme="majorBidi"/>
                <w:bCs/>
                <w:iCs/>
                <w:sz w:val="20"/>
                <w:vertAlign w:val="superscript"/>
              </w:rPr>
            </w:pPr>
            <w:r w:rsidRPr="00060B29">
              <w:rPr>
                <w:rFonts w:ascii="Arial Narrow" w:eastAsiaTheme="majorEastAsia" w:hAnsi="Arial Narrow" w:cstheme="majorBidi"/>
                <w:bCs/>
                <w:iCs/>
                <w:sz w:val="20"/>
              </w:rPr>
              <w:t>Investigator-defined drug-related AEs</w:t>
            </w:r>
            <w:r w:rsidR="0028533D" w:rsidRPr="00060B29">
              <w:rPr>
                <w:rFonts w:ascii="Arial Narrow" w:eastAsiaTheme="majorEastAsia" w:hAnsi="Arial Narrow" w:cstheme="majorBidi"/>
                <w:bCs/>
                <w:iCs/>
                <w:sz w:val="20"/>
                <w:vertAlign w:val="superscript"/>
              </w:rPr>
              <w:t>a</w:t>
            </w:r>
          </w:p>
        </w:tc>
        <w:tc>
          <w:tcPr>
            <w:tcW w:w="629"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262 (78.9)</w:t>
            </w:r>
          </w:p>
        </w:tc>
        <w:tc>
          <w:tcPr>
            <w:tcW w:w="786"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126 (38.1)</w:t>
            </w:r>
          </w:p>
        </w:tc>
        <w:tc>
          <w:tcPr>
            <w:tcW w:w="944" w:type="pct"/>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2.07 (1.79, 2.40)</w:t>
            </w:r>
          </w:p>
        </w:tc>
        <w:tc>
          <w:tcPr>
            <w:tcW w:w="915" w:type="pct"/>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0.41 (0.34, 0.48)</w:t>
            </w:r>
          </w:p>
        </w:tc>
      </w:tr>
      <w:tr w:rsidR="00D31EBA" w:rsidRPr="00060B29" w:rsidTr="009B3DA4">
        <w:tc>
          <w:tcPr>
            <w:tcW w:w="1727" w:type="pct"/>
            <w:vAlign w:val="center"/>
          </w:tcPr>
          <w:p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AESIs^</w:t>
            </w:r>
          </w:p>
        </w:tc>
        <w:tc>
          <w:tcPr>
            <w:tcW w:w="629"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16 (4.8)</w:t>
            </w:r>
          </w:p>
        </w:tc>
        <w:tc>
          <w:tcPr>
            <w:tcW w:w="786"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5 (1.5)</w:t>
            </w:r>
          </w:p>
        </w:tc>
        <w:tc>
          <w:tcPr>
            <w:tcW w:w="944" w:type="pct"/>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3.19 (1.18, 8.61)</w:t>
            </w:r>
          </w:p>
        </w:tc>
        <w:tc>
          <w:tcPr>
            <w:tcW w:w="915" w:type="pct"/>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0.03 (0.01, 0.06)</w:t>
            </w:r>
          </w:p>
        </w:tc>
      </w:tr>
      <w:tr w:rsidR="00D31EBA" w:rsidRPr="00060B29" w:rsidTr="009B3DA4">
        <w:tc>
          <w:tcPr>
            <w:tcW w:w="1727" w:type="pct"/>
            <w:vAlign w:val="center"/>
          </w:tcPr>
          <w:p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Other significant AEs</w:t>
            </w:r>
            <w:r w:rsidRPr="00060B29">
              <w:rPr>
                <w:rFonts w:ascii="Arial Narrow" w:eastAsiaTheme="majorEastAsia" w:hAnsi="Arial Narrow" w:cstheme="majorBidi"/>
                <w:bCs/>
                <w:iCs/>
                <w:sz w:val="20"/>
                <w:vertAlign w:val="superscript"/>
              </w:rPr>
              <w:t>#</w:t>
            </w:r>
            <w:r w:rsidR="0028533D" w:rsidRPr="00060B29">
              <w:rPr>
                <w:rFonts w:ascii="Arial Narrow" w:eastAsiaTheme="majorEastAsia" w:hAnsi="Arial Narrow" w:cstheme="majorBidi"/>
                <w:bCs/>
                <w:iCs/>
                <w:sz w:val="20"/>
                <w:vertAlign w:val="superscript"/>
              </w:rPr>
              <w:t>a</w:t>
            </w:r>
          </w:p>
        </w:tc>
        <w:tc>
          <w:tcPr>
            <w:tcW w:w="629"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131 (39.5)</w:t>
            </w:r>
          </w:p>
        </w:tc>
        <w:tc>
          <w:tcPr>
            <w:tcW w:w="786" w:type="pct"/>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19 (5.7)</w:t>
            </w:r>
          </w:p>
        </w:tc>
        <w:tc>
          <w:tcPr>
            <w:tcW w:w="944" w:type="pct"/>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6.87 (4.35, 10.85)</w:t>
            </w:r>
          </w:p>
        </w:tc>
        <w:tc>
          <w:tcPr>
            <w:tcW w:w="915" w:type="pct"/>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0.34 (0.28, 0.40)</w:t>
            </w:r>
          </w:p>
        </w:tc>
      </w:tr>
      <w:tr w:rsidR="00D31EBA" w:rsidRPr="00060B29" w:rsidTr="009B3DA4">
        <w:tc>
          <w:tcPr>
            <w:tcW w:w="1727" w:type="pct"/>
            <w:tcBorders>
              <w:bottom w:val="nil"/>
            </w:tcBorders>
            <w:vAlign w:val="center"/>
          </w:tcPr>
          <w:p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Gastrointestinal disorders</w:t>
            </w:r>
            <w:r w:rsidR="0028533D" w:rsidRPr="00060B29">
              <w:rPr>
                <w:rFonts w:ascii="Arial Narrow" w:eastAsiaTheme="majorEastAsia" w:hAnsi="Arial Narrow" w:cstheme="majorBidi"/>
                <w:bCs/>
                <w:iCs/>
                <w:sz w:val="20"/>
                <w:vertAlign w:val="superscript"/>
              </w:rPr>
              <w:t>a</w:t>
            </w:r>
          </w:p>
        </w:tc>
        <w:tc>
          <w:tcPr>
            <w:tcW w:w="629" w:type="pct"/>
            <w:tcBorders>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268 (80.7)</w:t>
            </w:r>
          </w:p>
        </w:tc>
        <w:tc>
          <w:tcPr>
            <w:tcW w:w="786" w:type="pct"/>
            <w:tcBorders>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149 (45.0)</w:t>
            </w:r>
          </w:p>
        </w:tc>
        <w:tc>
          <w:tcPr>
            <w:tcW w:w="944"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1.79 (1.57, 2.04)</w:t>
            </w:r>
          </w:p>
        </w:tc>
        <w:tc>
          <w:tcPr>
            <w:tcW w:w="915"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0.36 (0.29, 0.43)</w:t>
            </w:r>
          </w:p>
        </w:tc>
      </w:tr>
      <w:tr w:rsidR="00D31EBA" w:rsidRPr="00060B29" w:rsidTr="009B3DA4">
        <w:tc>
          <w:tcPr>
            <w:tcW w:w="1727" w:type="pct"/>
            <w:tcBorders>
              <w:top w:val="nil"/>
              <w:bottom w:val="nil"/>
            </w:tcBorders>
            <w:vAlign w:val="center"/>
          </w:tcPr>
          <w:p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Diarrhoea</w:t>
            </w:r>
            <w:r w:rsidR="0028533D" w:rsidRPr="00060B29">
              <w:rPr>
                <w:rFonts w:ascii="Arial Narrow" w:eastAsiaTheme="majorEastAsia" w:hAnsi="Arial Narrow" w:cstheme="majorBidi"/>
                <w:bCs/>
                <w:iCs/>
                <w:sz w:val="20"/>
                <w:vertAlign w:val="superscript"/>
              </w:rPr>
              <w:t>a</w:t>
            </w:r>
          </w:p>
        </w:tc>
        <w:tc>
          <w:tcPr>
            <w:tcW w:w="629" w:type="pct"/>
            <w:tcBorders>
              <w:top w:val="nil"/>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222 (66.9)</w:t>
            </w:r>
          </w:p>
        </w:tc>
        <w:tc>
          <w:tcPr>
            <w:tcW w:w="786" w:type="pct"/>
            <w:tcBorders>
              <w:top w:val="nil"/>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79 (23.9)</w:t>
            </w:r>
          </w:p>
        </w:tc>
        <w:tc>
          <w:tcPr>
            <w:tcW w:w="944" w:type="pct"/>
            <w:tcBorders>
              <w:top w:val="nil"/>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2.80 (2.28, 3.45)</w:t>
            </w:r>
          </w:p>
        </w:tc>
        <w:tc>
          <w:tcPr>
            <w:tcW w:w="915" w:type="pct"/>
            <w:tcBorders>
              <w:top w:val="nil"/>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0.43 (0.36, 0.50)</w:t>
            </w:r>
          </w:p>
        </w:tc>
      </w:tr>
      <w:tr w:rsidR="00D31EBA" w:rsidRPr="00060B29" w:rsidTr="009B3DA4">
        <w:tc>
          <w:tcPr>
            <w:tcW w:w="1727" w:type="pct"/>
            <w:tcBorders>
              <w:top w:val="nil"/>
              <w:bottom w:val="nil"/>
            </w:tcBorders>
            <w:vAlign w:val="center"/>
          </w:tcPr>
          <w:p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Nausea</w:t>
            </w:r>
            <w:r w:rsidR="0028533D" w:rsidRPr="00060B29">
              <w:rPr>
                <w:rFonts w:ascii="Arial Narrow" w:eastAsiaTheme="majorEastAsia" w:hAnsi="Arial Narrow" w:cstheme="majorBidi"/>
                <w:bCs/>
                <w:iCs/>
                <w:sz w:val="20"/>
                <w:vertAlign w:val="superscript"/>
              </w:rPr>
              <w:t>a</w:t>
            </w:r>
          </w:p>
        </w:tc>
        <w:tc>
          <w:tcPr>
            <w:tcW w:w="629" w:type="pct"/>
            <w:tcBorders>
              <w:top w:val="nil"/>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96 (28.9)</w:t>
            </w:r>
          </w:p>
        </w:tc>
        <w:tc>
          <w:tcPr>
            <w:tcW w:w="786" w:type="pct"/>
            <w:tcBorders>
              <w:top w:val="nil"/>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31 (9.4)</w:t>
            </w:r>
          </w:p>
        </w:tc>
        <w:tc>
          <w:tcPr>
            <w:tcW w:w="944" w:type="pct"/>
            <w:tcBorders>
              <w:top w:val="nil"/>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3.09 (2.12, 4.49)</w:t>
            </w:r>
          </w:p>
        </w:tc>
        <w:tc>
          <w:tcPr>
            <w:tcW w:w="915" w:type="pct"/>
            <w:tcBorders>
              <w:top w:val="nil"/>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0.20 (0.14, 0.25)</w:t>
            </w:r>
          </w:p>
        </w:tc>
      </w:tr>
      <w:tr w:rsidR="00D31EBA" w:rsidRPr="00060B29" w:rsidTr="009B3DA4">
        <w:tc>
          <w:tcPr>
            <w:tcW w:w="1727" w:type="pct"/>
            <w:tcBorders>
              <w:top w:val="nil"/>
              <w:bottom w:val="single" w:sz="4" w:space="0" w:color="auto"/>
            </w:tcBorders>
            <w:vAlign w:val="center"/>
          </w:tcPr>
          <w:p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Abdominal pain</w:t>
            </w:r>
            <w:r w:rsidR="0028533D" w:rsidRPr="00060B29">
              <w:rPr>
                <w:rFonts w:ascii="Arial Narrow" w:eastAsiaTheme="majorEastAsia" w:hAnsi="Arial Narrow" w:cstheme="majorBidi"/>
                <w:bCs/>
                <w:iCs/>
                <w:sz w:val="20"/>
                <w:vertAlign w:val="superscript"/>
              </w:rPr>
              <w:t>a</w:t>
            </w:r>
          </w:p>
        </w:tc>
        <w:tc>
          <w:tcPr>
            <w:tcW w:w="629" w:type="pct"/>
            <w:tcBorders>
              <w:top w:val="nil"/>
              <w:bottom w:val="single" w:sz="4" w:space="0" w:color="auto"/>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30 (9.0)</w:t>
            </w:r>
          </w:p>
        </w:tc>
        <w:tc>
          <w:tcPr>
            <w:tcW w:w="786" w:type="pct"/>
            <w:tcBorders>
              <w:top w:val="nil"/>
              <w:bottom w:val="single" w:sz="4" w:space="0" w:color="auto"/>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6 (1.8)</w:t>
            </w:r>
          </w:p>
        </w:tc>
        <w:tc>
          <w:tcPr>
            <w:tcW w:w="944" w:type="pct"/>
            <w:tcBorders>
              <w:top w:val="nil"/>
              <w:bottom w:val="single" w:sz="4" w:space="0" w:color="auto"/>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4.98 (2.10, 11.82)</w:t>
            </w:r>
          </w:p>
        </w:tc>
        <w:tc>
          <w:tcPr>
            <w:tcW w:w="915" w:type="pct"/>
            <w:tcBorders>
              <w:top w:val="nil"/>
              <w:bottom w:val="single" w:sz="4" w:space="0" w:color="auto"/>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0.07 (0.04, 0.11)</w:t>
            </w:r>
          </w:p>
        </w:tc>
      </w:tr>
      <w:tr w:rsidR="00D31EBA" w:rsidRPr="00060B29" w:rsidTr="009B3DA4">
        <w:tc>
          <w:tcPr>
            <w:tcW w:w="1727" w:type="pct"/>
            <w:tcBorders>
              <w:bottom w:val="nil"/>
            </w:tcBorders>
            <w:vAlign w:val="center"/>
          </w:tcPr>
          <w:p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Investigations</w:t>
            </w:r>
            <w:r w:rsidR="0028533D" w:rsidRPr="00060B29">
              <w:rPr>
                <w:rFonts w:ascii="Arial Narrow" w:eastAsiaTheme="majorEastAsia" w:hAnsi="Arial Narrow" w:cstheme="majorBidi"/>
                <w:bCs/>
                <w:iCs/>
                <w:sz w:val="20"/>
                <w:vertAlign w:val="superscript"/>
              </w:rPr>
              <w:t>a</w:t>
            </w:r>
          </w:p>
        </w:tc>
        <w:tc>
          <w:tcPr>
            <w:tcW w:w="629" w:type="pct"/>
            <w:tcBorders>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114 (34.3)</w:t>
            </w:r>
          </w:p>
        </w:tc>
        <w:tc>
          <w:tcPr>
            <w:tcW w:w="786" w:type="pct"/>
            <w:tcBorders>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56 (16.9)</w:t>
            </w:r>
          </w:p>
        </w:tc>
        <w:tc>
          <w:tcPr>
            <w:tcW w:w="944"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2.03 (1.53, 2.69)</w:t>
            </w:r>
          </w:p>
        </w:tc>
        <w:tc>
          <w:tcPr>
            <w:tcW w:w="915"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0.17 (0.11, 0.24)</w:t>
            </w:r>
          </w:p>
        </w:tc>
      </w:tr>
      <w:tr w:rsidR="00D31EBA" w:rsidRPr="00060B29" w:rsidTr="009B3DA4">
        <w:tc>
          <w:tcPr>
            <w:tcW w:w="1727" w:type="pct"/>
            <w:tcBorders>
              <w:top w:val="nil"/>
              <w:bottom w:val="nil"/>
            </w:tcBorders>
            <w:vAlign w:val="center"/>
          </w:tcPr>
          <w:p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ALT increased</w:t>
            </w:r>
            <w:r w:rsidR="0028533D" w:rsidRPr="00060B29">
              <w:rPr>
                <w:rFonts w:ascii="Arial Narrow" w:eastAsiaTheme="majorEastAsia" w:hAnsi="Arial Narrow" w:cstheme="majorBidi"/>
                <w:bCs/>
                <w:iCs/>
                <w:sz w:val="20"/>
                <w:vertAlign w:val="superscript"/>
              </w:rPr>
              <w:t>a</w:t>
            </w:r>
          </w:p>
        </w:tc>
        <w:tc>
          <w:tcPr>
            <w:tcW w:w="629" w:type="pct"/>
            <w:tcBorders>
              <w:top w:val="nil"/>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43 (13.0)</w:t>
            </w:r>
          </w:p>
        </w:tc>
        <w:tc>
          <w:tcPr>
            <w:tcW w:w="786" w:type="pct"/>
            <w:tcBorders>
              <w:top w:val="nil"/>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12 (3.6)</w:t>
            </w:r>
          </w:p>
        </w:tc>
        <w:tc>
          <w:tcPr>
            <w:tcW w:w="944" w:type="pct"/>
            <w:tcBorders>
              <w:top w:val="nil"/>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3.57 (1.92, 6.65)</w:t>
            </w:r>
          </w:p>
        </w:tc>
        <w:tc>
          <w:tcPr>
            <w:tcW w:w="915" w:type="pct"/>
            <w:tcBorders>
              <w:top w:val="nil"/>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0.09 (0.05, 0.13)</w:t>
            </w:r>
          </w:p>
        </w:tc>
      </w:tr>
      <w:tr w:rsidR="00D31EBA" w:rsidRPr="00060B29" w:rsidTr="009B3DA4">
        <w:tc>
          <w:tcPr>
            <w:tcW w:w="1727" w:type="pct"/>
            <w:tcBorders>
              <w:top w:val="nil"/>
              <w:bottom w:val="single" w:sz="4" w:space="0" w:color="auto"/>
            </w:tcBorders>
            <w:vAlign w:val="center"/>
          </w:tcPr>
          <w:p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AST increased</w:t>
            </w:r>
            <w:r w:rsidR="0028533D" w:rsidRPr="00060B29">
              <w:rPr>
                <w:rFonts w:ascii="Arial Narrow" w:eastAsiaTheme="majorEastAsia" w:hAnsi="Arial Narrow" w:cstheme="majorBidi"/>
                <w:bCs/>
                <w:iCs/>
                <w:sz w:val="20"/>
                <w:vertAlign w:val="superscript"/>
              </w:rPr>
              <w:t>a</w:t>
            </w:r>
          </w:p>
        </w:tc>
        <w:tc>
          <w:tcPr>
            <w:tcW w:w="629" w:type="pct"/>
            <w:tcBorders>
              <w:top w:val="nil"/>
              <w:bottom w:val="single" w:sz="4" w:space="0" w:color="auto"/>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38 (11.4)</w:t>
            </w:r>
          </w:p>
        </w:tc>
        <w:tc>
          <w:tcPr>
            <w:tcW w:w="786" w:type="pct"/>
            <w:tcBorders>
              <w:top w:val="nil"/>
              <w:bottom w:val="single" w:sz="4" w:space="0" w:color="auto"/>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12 (3.6)</w:t>
            </w:r>
          </w:p>
        </w:tc>
        <w:tc>
          <w:tcPr>
            <w:tcW w:w="944" w:type="pct"/>
            <w:tcBorders>
              <w:top w:val="nil"/>
              <w:bottom w:val="single" w:sz="4" w:space="0" w:color="auto"/>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3.16 (1.68, 5.93)</w:t>
            </w:r>
          </w:p>
        </w:tc>
        <w:tc>
          <w:tcPr>
            <w:tcW w:w="915" w:type="pct"/>
            <w:tcBorders>
              <w:top w:val="nil"/>
              <w:bottom w:val="single" w:sz="4" w:space="0" w:color="auto"/>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0.08 (0.04, 0.12)</w:t>
            </w:r>
          </w:p>
        </w:tc>
      </w:tr>
      <w:tr w:rsidR="00D31EBA" w:rsidRPr="00060B29" w:rsidTr="009B3DA4">
        <w:tc>
          <w:tcPr>
            <w:tcW w:w="1727" w:type="pct"/>
            <w:tcBorders>
              <w:bottom w:val="nil"/>
            </w:tcBorders>
            <w:vAlign w:val="center"/>
          </w:tcPr>
          <w:p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Metabolism and nutrition disorders</w:t>
            </w:r>
            <w:r w:rsidR="0028533D" w:rsidRPr="00060B29">
              <w:rPr>
                <w:rFonts w:ascii="Arial Narrow" w:eastAsiaTheme="majorEastAsia" w:hAnsi="Arial Narrow" w:cstheme="majorBidi"/>
                <w:bCs/>
                <w:iCs/>
                <w:sz w:val="20"/>
                <w:vertAlign w:val="superscript"/>
              </w:rPr>
              <w:t>a</w:t>
            </w:r>
          </w:p>
        </w:tc>
        <w:tc>
          <w:tcPr>
            <w:tcW w:w="629" w:type="pct"/>
            <w:tcBorders>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69 (20.8)</w:t>
            </w:r>
          </w:p>
        </w:tc>
        <w:tc>
          <w:tcPr>
            <w:tcW w:w="786" w:type="pct"/>
            <w:tcBorders>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38 (11.5)</w:t>
            </w:r>
          </w:p>
        </w:tc>
        <w:tc>
          <w:tcPr>
            <w:tcW w:w="944"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1.81 (1.26, 2.61)</w:t>
            </w:r>
          </w:p>
        </w:tc>
        <w:tc>
          <w:tcPr>
            <w:tcW w:w="915"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0.09 (0.04, 0.15)</w:t>
            </w:r>
          </w:p>
        </w:tc>
      </w:tr>
      <w:tr w:rsidR="00D31EBA" w:rsidRPr="00060B29" w:rsidTr="009B3DA4">
        <w:tc>
          <w:tcPr>
            <w:tcW w:w="1727" w:type="pct"/>
            <w:tcBorders>
              <w:top w:val="nil"/>
            </w:tcBorders>
            <w:vAlign w:val="center"/>
          </w:tcPr>
          <w:p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Decreased appetite</w:t>
            </w:r>
            <w:r w:rsidR="0028533D" w:rsidRPr="00060B29">
              <w:rPr>
                <w:rFonts w:ascii="Arial Narrow" w:eastAsiaTheme="majorEastAsia" w:hAnsi="Arial Narrow" w:cstheme="majorBidi"/>
                <w:bCs/>
                <w:iCs/>
                <w:sz w:val="20"/>
                <w:vertAlign w:val="superscript"/>
              </w:rPr>
              <w:t>a</w:t>
            </w:r>
          </w:p>
        </w:tc>
        <w:tc>
          <w:tcPr>
            <w:tcW w:w="629" w:type="pct"/>
            <w:tcBorders>
              <w:top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48 (14.5)</w:t>
            </w:r>
          </w:p>
        </w:tc>
        <w:tc>
          <w:tcPr>
            <w:tcW w:w="786" w:type="pct"/>
            <w:tcBorders>
              <w:top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17 (5.1)</w:t>
            </w:r>
          </w:p>
        </w:tc>
        <w:tc>
          <w:tcPr>
            <w:tcW w:w="944" w:type="pct"/>
            <w:tcBorders>
              <w:top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2.82 (1.65, 4.79)</w:t>
            </w:r>
          </w:p>
        </w:tc>
        <w:tc>
          <w:tcPr>
            <w:tcW w:w="915" w:type="pct"/>
            <w:tcBorders>
              <w:top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0.09 (0.05, 0.14)</w:t>
            </w:r>
          </w:p>
        </w:tc>
      </w:tr>
      <w:tr w:rsidR="00D31EBA" w:rsidRPr="00060B29" w:rsidTr="009B3DA4">
        <w:tc>
          <w:tcPr>
            <w:tcW w:w="1727" w:type="pct"/>
            <w:tcBorders>
              <w:bottom w:val="nil"/>
            </w:tcBorders>
            <w:vAlign w:val="center"/>
          </w:tcPr>
          <w:p w:rsidR="00D31EBA" w:rsidRPr="00060B29" w:rsidRDefault="00D31EBA" w:rsidP="00FD38BF">
            <w:pPr>
              <w:keepNext/>
              <w:keepLines/>
              <w:ind w:left="17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Hepatobiliary disorders</w:t>
            </w:r>
            <w:r w:rsidR="0028533D" w:rsidRPr="00060B29">
              <w:rPr>
                <w:rFonts w:ascii="Arial Narrow" w:eastAsiaTheme="majorEastAsia" w:hAnsi="Arial Narrow" w:cstheme="majorBidi"/>
                <w:bCs/>
                <w:iCs/>
                <w:sz w:val="20"/>
                <w:vertAlign w:val="superscript"/>
              </w:rPr>
              <w:t>a</w:t>
            </w:r>
          </w:p>
        </w:tc>
        <w:tc>
          <w:tcPr>
            <w:tcW w:w="629" w:type="pct"/>
            <w:tcBorders>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38 (11.4)</w:t>
            </w:r>
          </w:p>
        </w:tc>
        <w:tc>
          <w:tcPr>
            <w:tcW w:w="786" w:type="pct"/>
            <w:tcBorders>
              <w:bottom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10 (3.0)</w:t>
            </w:r>
          </w:p>
        </w:tc>
        <w:tc>
          <w:tcPr>
            <w:tcW w:w="944"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3.79 (1.92, 7.48)</w:t>
            </w:r>
          </w:p>
        </w:tc>
        <w:tc>
          <w:tcPr>
            <w:tcW w:w="915" w:type="pct"/>
            <w:tcBorders>
              <w:bottom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0.08 (0.05, 0.12)</w:t>
            </w:r>
          </w:p>
        </w:tc>
      </w:tr>
      <w:tr w:rsidR="00D31EBA" w:rsidRPr="00060B29" w:rsidTr="009B3DA4">
        <w:tc>
          <w:tcPr>
            <w:tcW w:w="1727" w:type="pct"/>
            <w:tcBorders>
              <w:top w:val="nil"/>
            </w:tcBorders>
            <w:vAlign w:val="center"/>
          </w:tcPr>
          <w:p w:rsidR="00D31EBA" w:rsidRPr="00060B29" w:rsidRDefault="00D31EBA" w:rsidP="00FD38BF">
            <w:pPr>
              <w:keepNext/>
              <w:keepLines/>
              <w:ind w:left="340"/>
              <w:jc w:val="left"/>
              <w:rPr>
                <w:rFonts w:ascii="Arial Narrow" w:eastAsiaTheme="majorEastAsia" w:hAnsi="Arial Narrow" w:cstheme="majorBidi"/>
                <w:bCs/>
                <w:iCs/>
                <w:sz w:val="20"/>
              </w:rPr>
            </w:pPr>
            <w:r w:rsidRPr="00060B29">
              <w:rPr>
                <w:rFonts w:ascii="Arial Narrow" w:eastAsiaTheme="majorEastAsia" w:hAnsi="Arial Narrow" w:cstheme="majorBidi"/>
                <w:bCs/>
                <w:iCs/>
                <w:sz w:val="20"/>
              </w:rPr>
              <w:t>Hepatic function abnormal</w:t>
            </w:r>
            <w:r w:rsidR="0028533D" w:rsidRPr="00060B29">
              <w:rPr>
                <w:rFonts w:ascii="Arial Narrow" w:eastAsiaTheme="majorEastAsia" w:hAnsi="Arial Narrow" w:cstheme="majorBidi"/>
                <w:bCs/>
                <w:iCs/>
                <w:sz w:val="20"/>
                <w:vertAlign w:val="superscript"/>
              </w:rPr>
              <w:t>a</w:t>
            </w:r>
          </w:p>
        </w:tc>
        <w:tc>
          <w:tcPr>
            <w:tcW w:w="629" w:type="pct"/>
            <w:tcBorders>
              <w:top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19 (5.7)</w:t>
            </w:r>
          </w:p>
        </w:tc>
        <w:tc>
          <w:tcPr>
            <w:tcW w:w="786" w:type="pct"/>
            <w:tcBorders>
              <w:top w:val="nil"/>
            </w:tcBorders>
            <w:shd w:val="clear" w:color="auto" w:fill="auto"/>
            <w:vAlign w:val="center"/>
          </w:tcPr>
          <w:p w:rsidR="00D31EBA" w:rsidRPr="00060B29" w:rsidRDefault="00D31EBA" w:rsidP="00FD38BF">
            <w:pPr>
              <w:keepNext/>
              <w:keepLines/>
              <w:jc w:val="center"/>
              <w:rPr>
                <w:rFonts w:ascii="Arial Narrow" w:eastAsiaTheme="majorEastAsia" w:hAnsi="Arial Narrow" w:cstheme="majorBidi"/>
                <w:bCs/>
                <w:iCs/>
                <w:sz w:val="20"/>
              </w:rPr>
            </w:pPr>
            <w:r w:rsidRPr="00060B29">
              <w:rPr>
                <w:rFonts w:ascii="Arial Narrow" w:eastAsiaTheme="majorEastAsia" w:hAnsi="Arial Narrow" w:cstheme="majorBidi"/>
                <w:bCs/>
                <w:iCs/>
                <w:sz w:val="20"/>
              </w:rPr>
              <w:t>3 (0.9)</w:t>
            </w:r>
          </w:p>
        </w:tc>
        <w:tc>
          <w:tcPr>
            <w:tcW w:w="944" w:type="pct"/>
            <w:tcBorders>
              <w:top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6.31 (1.89, 21.13)</w:t>
            </w:r>
          </w:p>
        </w:tc>
        <w:tc>
          <w:tcPr>
            <w:tcW w:w="915" w:type="pct"/>
            <w:tcBorders>
              <w:top w:val="nil"/>
            </w:tcBorders>
            <w:vAlign w:val="center"/>
          </w:tcPr>
          <w:p w:rsidR="00D31EBA" w:rsidRPr="00060B29" w:rsidRDefault="00D31EBA" w:rsidP="00FD38BF">
            <w:pPr>
              <w:keepNext/>
              <w:keepLines/>
              <w:jc w:val="center"/>
              <w:rPr>
                <w:rFonts w:ascii="Arial Narrow" w:eastAsiaTheme="majorEastAsia" w:hAnsi="Arial Narrow" w:cstheme="majorBidi"/>
                <w:b/>
                <w:iCs/>
                <w:sz w:val="20"/>
              </w:rPr>
            </w:pPr>
            <w:r w:rsidRPr="00060B29">
              <w:rPr>
                <w:rFonts w:ascii="Arial Narrow" w:eastAsiaTheme="majorEastAsia" w:hAnsi="Arial Narrow" w:cstheme="majorBidi"/>
                <w:b/>
                <w:iCs/>
                <w:sz w:val="20"/>
              </w:rPr>
              <w:t>0.05 (0.02, 0.08)</w:t>
            </w:r>
          </w:p>
        </w:tc>
      </w:tr>
    </w:tbl>
    <w:p w:rsidR="00D31EBA" w:rsidRPr="00060B29" w:rsidRDefault="00D31EBA" w:rsidP="00FD38BF">
      <w:pPr>
        <w:pStyle w:val="TableFigureFooter"/>
        <w:keepNext/>
        <w:keepLines/>
        <w:rPr>
          <w:sz w:val="20"/>
        </w:rPr>
      </w:pPr>
      <w:r w:rsidRPr="00060B29">
        <w:t>Source: Table 2.43, p134 of the submission; Table 12.1.2.1:1, p311 in the Clinical Trial Report Main analysis (Document No: c26471552-02), Trial 1199.247, November 2019.</w:t>
      </w:r>
    </w:p>
    <w:p w:rsidR="00D31EBA" w:rsidRPr="00060B29" w:rsidRDefault="00D31EBA" w:rsidP="00FD38BF">
      <w:pPr>
        <w:pStyle w:val="TableFigureFooter"/>
        <w:keepNext/>
        <w:keepLines/>
        <w:rPr>
          <w:rFonts w:eastAsia="Calibri"/>
        </w:rPr>
      </w:pPr>
      <w:bookmarkStart w:id="22" w:name="_Hlk57962990"/>
      <w:r w:rsidRPr="00060B29">
        <w:rPr>
          <w:rFonts w:eastAsia="Calibri"/>
        </w:rPr>
        <w:t xml:space="preserve">AESI=adverse event of special interest; </w:t>
      </w:r>
      <w:bookmarkStart w:id="23" w:name="_Hlk57964377"/>
      <w:bookmarkEnd w:id="22"/>
      <w:r w:rsidRPr="00060B29">
        <w:rPr>
          <w:rFonts w:eastAsia="Calibri"/>
        </w:rPr>
        <w:t xml:space="preserve">ALT=alanine aminotransferase; AST=aspartate aminotransferase; </w:t>
      </w:r>
      <w:bookmarkEnd w:id="23"/>
      <w:r w:rsidRPr="00060B29">
        <w:rPr>
          <w:rFonts w:eastAsia="Calibri"/>
        </w:rPr>
        <w:t>BSC=best supportive care; CI=confidence interval; HRCT=high-resolution computed tomography; n=number of participants with event; N=total participants in group; RD=risk difference; RR=relative risk; SAE=serious adverse event</w:t>
      </w:r>
    </w:p>
    <w:p w:rsidR="00D31EBA" w:rsidRPr="00060B29" w:rsidRDefault="00D31EBA" w:rsidP="00FD38BF">
      <w:pPr>
        <w:pStyle w:val="TableFigureFooter"/>
        <w:keepNext/>
        <w:keepLines/>
        <w:rPr>
          <w:rFonts w:eastAsia="Calibri"/>
        </w:rPr>
      </w:pPr>
      <w:bookmarkStart w:id="24" w:name="_Hlk57962963"/>
      <w:r w:rsidRPr="00060B29">
        <w:rPr>
          <w:rFonts w:eastAsia="Calibri"/>
        </w:rPr>
        <w:t>^ AESI relates to any specific AE identified at the project level as being of particular concern for prospective safety monitoring and safety assessment within this trial. Protocol-specified AESIs included gastrointestinal perforation and hepatic injury.</w:t>
      </w:r>
    </w:p>
    <w:p w:rsidR="00D31EBA" w:rsidRPr="00060B29" w:rsidRDefault="00D31EBA" w:rsidP="00FD38BF">
      <w:pPr>
        <w:pStyle w:val="TableFigureFooter"/>
        <w:keepNext/>
        <w:keepLines/>
        <w:rPr>
          <w:rFonts w:eastAsia="Calibri"/>
        </w:rPr>
      </w:pPr>
      <w:bookmarkStart w:id="25" w:name="_Hlk57963159"/>
      <w:bookmarkEnd w:id="24"/>
      <w:r w:rsidRPr="00060B29">
        <w:rPr>
          <w:rFonts w:eastAsia="Calibri"/>
          <w:vertAlign w:val="superscript"/>
        </w:rPr>
        <w:t>#</w:t>
      </w:r>
      <w:r w:rsidRPr="00060B29">
        <w:rPr>
          <w:rFonts w:eastAsia="Calibri"/>
        </w:rPr>
        <w:t xml:space="preserve"> Non-serious AEs that led to dose reduction or premature discontinuation of trial medication.</w:t>
      </w:r>
    </w:p>
    <w:bookmarkEnd w:id="25"/>
    <w:p w:rsidR="00D31EBA" w:rsidRPr="00060B29" w:rsidRDefault="00D31EBA" w:rsidP="00FD38BF">
      <w:pPr>
        <w:pStyle w:val="TableFigureFooter"/>
        <w:keepNext/>
        <w:keepLines/>
        <w:rPr>
          <w:rFonts w:eastAsia="Calibri"/>
        </w:rPr>
      </w:pPr>
      <w:r w:rsidRPr="00060B29">
        <w:rPr>
          <w:rFonts w:eastAsia="Calibri"/>
          <w:b/>
        </w:rPr>
        <w:t>Bold</w:t>
      </w:r>
      <w:r w:rsidRPr="00060B29">
        <w:rPr>
          <w:rFonts w:eastAsia="Calibri"/>
        </w:rPr>
        <w:t xml:space="preserve"> indicates statistically significant results.</w:t>
      </w:r>
    </w:p>
    <w:p w:rsidR="00D31EBA" w:rsidRPr="00060B29" w:rsidRDefault="00BD57B8" w:rsidP="00FD38BF">
      <w:pPr>
        <w:pStyle w:val="TableFigureFooter"/>
        <w:keepNext/>
        <w:keepLines/>
        <w:rPr>
          <w:rFonts w:eastAsia="Calibri"/>
        </w:rPr>
      </w:pPr>
      <w:r>
        <w:rPr>
          <w:rFonts w:eastAsia="Calibri"/>
          <w:bCs/>
          <w:iCs/>
          <w:vertAlign w:val="superscript"/>
        </w:rPr>
        <w:t xml:space="preserve">a </w:t>
      </w:r>
      <w:r w:rsidR="0028533D" w:rsidRPr="00060B29">
        <w:rPr>
          <w:rFonts w:eastAsia="Calibri"/>
        </w:rPr>
        <w:t>N</w:t>
      </w:r>
      <w:r w:rsidR="00D31EBA" w:rsidRPr="00060B29">
        <w:rPr>
          <w:rFonts w:eastAsia="Calibri"/>
        </w:rPr>
        <w:t>ot rep</w:t>
      </w:r>
      <w:r w:rsidR="0028533D" w:rsidRPr="00060B29">
        <w:rPr>
          <w:rFonts w:eastAsia="Calibri"/>
        </w:rPr>
        <w:t>orted in the submission but</w:t>
      </w:r>
      <w:r w:rsidR="00D31EBA" w:rsidRPr="00060B29">
        <w:rPr>
          <w:rFonts w:eastAsia="Calibri"/>
        </w:rPr>
        <w:t xml:space="preserve"> extracted from the Clinical Trial Report during the evaluation.</w:t>
      </w:r>
      <w:r w:rsidR="0028533D" w:rsidRPr="00060B29">
        <w:rPr>
          <w:rFonts w:eastAsia="Calibri"/>
        </w:rPr>
        <w:t xml:space="preserve"> Data for these values were prepared during the evaluation using raw data reported in the Clinical Trial Report. </w:t>
      </w:r>
    </w:p>
    <w:p w:rsidR="00D31EBA" w:rsidRPr="00060B29" w:rsidRDefault="00D31EBA" w:rsidP="00B15687">
      <w:pPr>
        <w:spacing w:before="120" w:after="120"/>
        <w:outlineLvl w:val="1"/>
        <w:rPr>
          <w:rFonts w:asciiTheme="minorHAnsi" w:eastAsiaTheme="majorEastAsia" w:hAnsiTheme="minorHAnsi" w:cstheme="majorBidi"/>
          <w:b/>
          <w:i/>
          <w:spacing w:val="5"/>
          <w:kern w:val="28"/>
          <w:sz w:val="28"/>
          <w:szCs w:val="36"/>
        </w:rPr>
      </w:pPr>
      <w:bookmarkStart w:id="26" w:name="_Toc22897643"/>
      <w:r w:rsidRPr="00060B29">
        <w:rPr>
          <w:rFonts w:asciiTheme="minorHAnsi" w:eastAsiaTheme="majorEastAsia" w:hAnsiTheme="minorHAnsi" w:cstheme="majorBidi"/>
          <w:b/>
          <w:i/>
          <w:spacing w:val="5"/>
          <w:kern w:val="28"/>
          <w:sz w:val="28"/>
          <w:szCs w:val="36"/>
        </w:rPr>
        <w:t>Benefits/harms</w:t>
      </w:r>
      <w:bookmarkEnd w:id="26"/>
    </w:p>
    <w:p w:rsidR="00D31EBA" w:rsidRPr="00060B29" w:rsidRDefault="00D31EBA" w:rsidP="00B15687">
      <w:pPr>
        <w:numPr>
          <w:ilvl w:val="1"/>
          <w:numId w:val="1"/>
        </w:numPr>
        <w:spacing w:after="120"/>
        <w:rPr>
          <w:rFonts w:ascii="Arial Narrow" w:hAnsi="Arial Narrow"/>
          <w:b/>
          <w:snapToGrid w:val="0"/>
          <w:color w:val="000000" w:themeColor="text1"/>
          <w:sz w:val="20"/>
          <w:szCs w:val="16"/>
        </w:rPr>
      </w:pPr>
      <w:r w:rsidRPr="00060B29">
        <w:rPr>
          <w:rFonts w:asciiTheme="minorHAnsi" w:hAnsiTheme="minorHAnsi"/>
          <w:snapToGrid w:val="0"/>
        </w:rPr>
        <w:t>A summary of the comparative benefits and harms for nintedanib versus placebo</w:t>
      </w:r>
      <w:r w:rsidR="00853D78" w:rsidRPr="00060B29">
        <w:rPr>
          <w:rFonts w:asciiTheme="minorHAnsi" w:hAnsiTheme="minorHAnsi"/>
          <w:snapToGrid w:val="0"/>
        </w:rPr>
        <w:t xml:space="preserve"> </w:t>
      </w:r>
      <w:r w:rsidRPr="00060B29">
        <w:rPr>
          <w:rFonts w:asciiTheme="minorHAnsi" w:hAnsiTheme="minorHAnsi"/>
          <w:snapToGrid w:val="0"/>
        </w:rPr>
        <w:t>+</w:t>
      </w:r>
      <w:r w:rsidR="00853D78" w:rsidRPr="00060B29">
        <w:rPr>
          <w:rFonts w:asciiTheme="minorHAnsi" w:hAnsiTheme="minorHAnsi"/>
          <w:snapToGrid w:val="0"/>
        </w:rPr>
        <w:t xml:space="preserve"> </w:t>
      </w:r>
      <w:r w:rsidRPr="00060B29">
        <w:rPr>
          <w:rFonts w:asciiTheme="minorHAnsi" w:hAnsiTheme="minorHAnsi"/>
          <w:snapToGrid w:val="0"/>
        </w:rPr>
        <w:t xml:space="preserve">BSC is presented in </w:t>
      </w:r>
      <w:r w:rsidRPr="00060B29">
        <w:rPr>
          <w:rFonts w:asciiTheme="minorHAnsi" w:hAnsiTheme="minorHAnsi"/>
          <w:snapToGrid w:val="0"/>
          <w:color w:val="000000" w:themeColor="text1"/>
        </w:rPr>
        <w:t>Table 8.</w:t>
      </w:r>
    </w:p>
    <w:p w:rsidR="00E0090D" w:rsidRDefault="00E0090D">
      <w:pPr>
        <w:jc w:val="left"/>
        <w:rPr>
          <w:rFonts w:ascii="Arial Narrow" w:eastAsiaTheme="majorEastAsia" w:hAnsi="Arial Narrow" w:cstheme="majorBidi"/>
          <w:b/>
          <w:bCs/>
          <w:iCs/>
          <w:sz w:val="20"/>
        </w:rPr>
      </w:pPr>
      <w:r>
        <w:rPr>
          <w:rFonts w:ascii="Arial Narrow" w:eastAsiaTheme="majorEastAsia" w:hAnsi="Arial Narrow" w:cstheme="majorBidi"/>
          <w:b/>
          <w:bCs/>
          <w:iCs/>
          <w:sz w:val="20"/>
        </w:rPr>
        <w:br w:type="page"/>
      </w:r>
    </w:p>
    <w:p w:rsidR="00D31EBA" w:rsidRPr="00060B29" w:rsidRDefault="00D31EBA" w:rsidP="00B15687">
      <w:pPr>
        <w:keepLines/>
        <w:jc w:val="left"/>
        <w:rPr>
          <w:rFonts w:ascii="Arial Narrow" w:eastAsiaTheme="majorEastAsia" w:hAnsi="Arial Narrow" w:cstheme="majorBidi"/>
          <w:b/>
          <w:bCs/>
          <w:iCs/>
          <w:sz w:val="20"/>
        </w:rPr>
      </w:pPr>
      <w:r w:rsidRPr="00060B29">
        <w:rPr>
          <w:rFonts w:ascii="Arial Narrow" w:eastAsiaTheme="majorEastAsia" w:hAnsi="Arial Narrow" w:cstheme="majorBidi"/>
          <w:b/>
          <w:bCs/>
          <w:iCs/>
          <w:sz w:val="20"/>
        </w:rPr>
        <w:t>Table 8: Summary of comparative benefits and harms for nintedanib and PBO</w:t>
      </w:r>
      <w:r w:rsidR="00686339" w:rsidRPr="00060B29">
        <w:rPr>
          <w:rFonts w:ascii="Arial Narrow" w:eastAsiaTheme="majorEastAsia" w:hAnsi="Arial Narrow" w:cstheme="majorBidi"/>
          <w:b/>
          <w:bCs/>
          <w:iCs/>
          <w:sz w:val="20"/>
        </w:rPr>
        <w:t xml:space="preserve"> </w:t>
      </w:r>
      <w:r w:rsidRPr="00060B29">
        <w:rPr>
          <w:rFonts w:ascii="Arial Narrow" w:eastAsiaTheme="majorEastAsia" w:hAnsi="Arial Narrow" w:cstheme="majorBidi"/>
          <w:b/>
          <w:bCs/>
          <w:iCs/>
          <w:sz w:val="20"/>
        </w:rPr>
        <w:t>+</w:t>
      </w:r>
      <w:r w:rsidR="00686339" w:rsidRPr="00060B29">
        <w:rPr>
          <w:rFonts w:ascii="Arial Narrow" w:eastAsiaTheme="majorEastAsia" w:hAnsi="Arial Narrow" w:cstheme="majorBidi"/>
          <w:b/>
          <w:bCs/>
          <w:iCs/>
          <w:sz w:val="20"/>
        </w:rPr>
        <w:t xml:space="preserve"> </w:t>
      </w:r>
      <w:r w:rsidRPr="00060B29">
        <w:rPr>
          <w:rFonts w:ascii="Arial Narrow" w:eastAsiaTheme="majorEastAsia" w:hAnsi="Arial Narrow" w:cstheme="majorBidi"/>
          <w:b/>
          <w:bCs/>
          <w:iCs/>
          <w:sz w:val="20"/>
        </w:rPr>
        <w:t>BSC in INBUILD (52 weeks, overall population)</w:t>
      </w:r>
    </w:p>
    <w:tbl>
      <w:tblPr>
        <w:tblW w:w="5000" w:type="pct"/>
        <w:tblCellMar>
          <w:left w:w="28" w:type="dxa"/>
          <w:right w:w="28" w:type="dxa"/>
        </w:tblCellMar>
        <w:tblLook w:val="04A0" w:firstRow="1" w:lastRow="0" w:firstColumn="1" w:lastColumn="0" w:noHBand="0" w:noVBand="1"/>
      </w:tblPr>
      <w:tblGrid>
        <w:gridCol w:w="966"/>
        <w:gridCol w:w="553"/>
        <w:gridCol w:w="833"/>
        <w:gridCol w:w="139"/>
        <w:gridCol w:w="1250"/>
        <w:gridCol w:w="554"/>
        <w:gridCol w:w="972"/>
        <w:gridCol w:w="1109"/>
        <w:gridCol w:w="442"/>
        <w:gridCol w:w="499"/>
        <w:gridCol w:w="1699"/>
      </w:tblGrid>
      <w:tr w:rsidR="00D31EBA" w:rsidRPr="00060B29" w:rsidTr="00B15687">
        <w:trPr>
          <w:cantSplit/>
          <w:trHeight w:val="150"/>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keepLines/>
              <w:jc w:val="left"/>
              <w:rPr>
                <w:rFonts w:ascii="Arial Narrow" w:eastAsiaTheme="majorEastAsia" w:hAnsi="Arial Narrow" w:cs="Times New Roman"/>
                <w:b/>
                <w:sz w:val="20"/>
              </w:rPr>
            </w:pPr>
            <w:r w:rsidRPr="00060B29">
              <w:rPr>
                <w:rFonts w:ascii="Arial Narrow" w:eastAsiaTheme="majorEastAsia" w:hAnsi="Arial Narrow" w:cs="Times New Roman"/>
                <w:b/>
                <w:sz w:val="20"/>
              </w:rPr>
              <w:t>Trial</w:t>
            </w:r>
          </w:p>
        </w:tc>
        <w:tc>
          <w:tcPr>
            <w:tcW w:w="846" w:type="pct"/>
            <w:gridSpan w:val="3"/>
            <w:vMerge w:val="restar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 (n/N)</w:t>
            </w:r>
          </w:p>
        </w:tc>
        <w:tc>
          <w:tcPr>
            <w:tcW w:w="693" w:type="pct"/>
            <w:vMerge w:val="restar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p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 (n/N)</w:t>
            </w:r>
          </w:p>
        </w:tc>
        <w:tc>
          <w:tcPr>
            <w:tcW w:w="846" w:type="pct"/>
            <w:gridSpan w:val="2"/>
            <w:vMerge w:val="restar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Adjusted OR</w:t>
            </w:r>
            <w:r w:rsidRPr="00060B29">
              <w:rPr>
                <w:rFonts w:ascii="Arial Narrow" w:eastAsiaTheme="majorEastAsia" w:hAnsi="Arial Narrow" w:cs="Times New Roman"/>
                <w:b/>
                <w:sz w:val="20"/>
                <w:vertAlign w:val="superscript"/>
              </w:rPr>
              <w:t>†</w:t>
            </w:r>
          </w:p>
          <w:p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(95% CI)</w:t>
            </w:r>
          </w:p>
        </w:tc>
        <w:tc>
          <w:tcPr>
            <w:tcW w:w="1137" w:type="pct"/>
            <w:gridSpan w:val="3"/>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vertAlign w:val="superscript"/>
              </w:rPr>
            </w:pPr>
            <w:r w:rsidRPr="00060B29">
              <w:rPr>
                <w:rFonts w:ascii="Arial Narrow" w:eastAsiaTheme="majorEastAsia" w:hAnsi="Arial Narrow" w:cs="Times New Roman"/>
                <w:b/>
                <w:sz w:val="20"/>
              </w:rPr>
              <w:t>Event rate/100 patients</w:t>
            </w:r>
            <w:r w:rsidR="00BA656E" w:rsidRPr="00060B29">
              <w:rPr>
                <w:rFonts w:ascii="Arial Narrow" w:eastAsiaTheme="majorEastAsia" w:hAnsi="Arial Narrow" w:cs="Times New Roman"/>
                <w:b/>
                <w:sz w:val="20"/>
                <w:vertAlign w:val="superscript"/>
              </w:rPr>
              <w:t>a</w:t>
            </w:r>
          </w:p>
        </w:tc>
        <w:tc>
          <w:tcPr>
            <w:tcW w:w="941" w:type="pct"/>
            <w:vMerge w:val="restar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RD</w:t>
            </w:r>
            <w:r w:rsidR="00BA656E" w:rsidRPr="00060B29">
              <w:rPr>
                <w:rFonts w:ascii="Arial Narrow" w:eastAsiaTheme="majorEastAsia" w:hAnsi="Arial Narrow" w:cs="Times New Roman"/>
                <w:b/>
                <w:sz w:val="20"/>
                <w:vertAlign w:val="superscript"/>
              </w:rPr>
              <w:t>a</w:t>
            </w:r>
          </w:p>
          <w:p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(95% CI)</w:t>
            </w:r>
          </w:p>
        </w:tc>
      </w:tr>
      <w:tr w:rsidR="00D31EBA" w:rsidRPr="00060B29" w:rsidTr="00B15687">
        <w:trPr>
          <w:cantSplit/>
          <w:trHeight w:val="315"/>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keepLines/>
              <w:jc w:val="center"/>
              <w:rPr>
                <w:rFonts w:ascii="Arial Narrow" w:eastAsiaTheme="majorEastAsia" w:hAnsi="Arial Narrow" w:cs="Times New Roman"/>
                <w:b/>
                <w:sz w:val="20"/>
              </w:rPr>
            </w:pPr>
          </w:p>
        </w:tc>
        <w:tc>
          <w:tcPr>
            <w:tcW w:w="846" w:type="pct"/>
            <w:gridSpan w:val="3"/>
            <w:vMerge/>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rPr>
            </w:pPr>
          </w:p>
        </w:tc>
        <w:tc>
          <w:tcPr>
            <w:tcW w:w="693" w:type="pct"/>
            <w:vMerge/>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rPr>
            </w:pPr>
          </w:p>
        </w:tc>
        <w:tc>
          <w:tcPr>
            <w:tcW w:w="846" w:type="pct"/>
            <w:gridSpan w:val="2"/>
            <w:vMerge/>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rPr>
            </w:pPr>
          </w:p>
        </w:tc>
        <w:tc>
          <w:tcPr>
            <w:tcW w:w="615"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tc>
        <w:tc>
          <w:tcPr>
            <w:tcW w:w="522"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PBO+BSC</w:t>
            </w:r>
          </w:p>
        </w:tc>
        <w:tc>
          <w:tcPr>
            <w:tcW w:w="941" w:type="pct"/>
            <w:vMerge/>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imes New Roman"/>
                <w:b/>
                <w:sz w:val="20"/>
              </w:rPr>
            </w:pPr>
          </w:p>
        </w:tc>
      </w:tr>
      <w:tr w:rsidR="00D31EBA" w:rsidRPr="00060B29" w:rsidTr="0027037A">
        <w:trPr>
          <w:cantSplit/>
        </w:trPr>
        <w:tc>
          <w:tcPr>
            <w:tcW w:w="5000" w:type="pct"/>
            <w:gridSpan w:val="11"/>
            <w:tcBorders>
              <w:top w:val="single" w:sz="4" w:space="0" w:color="auto"/>
              <w:left w:val="single" w:sz="4" w:space="0" w:color="auto"/>
              <w:bottom w:val="double" w:sz="4" w:space="0" w:color="auto"/>
              <w:right w:val="single" w:sz="4" w:space="0" w:color="auto"/>
            </w:tcBorders>
            <w:shd w:val="clear" w:color="auto" w:fill="auto"/>
            <w:vAlign w:val="center"/>
          </w:tcPr>
          <w:p w:rsidR="00D31EBA" w:rsidRPr="00060B29" w:rsidRDefault="00D31EBA" w:rsidP="00B15687">
            <w:pPr>
              <w:keepLines/>
              <w:jc w:val="left"/>
              <w:rPr>
                <w:rFonts w:ascii="Arial Narrow" w:eastAsiaTheme="majorEastAsia" w:hAnsi="Arial Narrow" w:cs="Times New Roman"/>
                <w:b/>
                <w:sz w:val="20"/>
              </w:rPr>
            </w:pPr>
            <w:r w:rsidRPr="00060B29">
              <w:rPr>
                <w:rFonts w:ascii="Arial Narrow" w:eastAsiaTheme="majorEastAsia" w:hAnsi="Arial Narrow" w:cs="Times New Roman"/>
                <w:b/>
                <w:sz w:val="20"/>
              </w:rPr>
              <w:t>Benefits</w:t>
            </w:r>
          </w:p>
        </w:tc>
      </w:tr>
      <w:tr w:rsidR="00D31EBA" w:rsidRPr="00060B29" w:rsidTr="0027037A">
        <w:trPr>
          <w:cantSplit/>
        </w:trPr>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keepLines/>
              <w:jc w:val="left"/>
              <w:rPr>
                <w:rFonts w:ascii="Arial Narrow" w:eastAsiaTheme="majorEastAsia" w:hAnsi="Arial Narrow" w:cs="Times New Roman"/>
                <w:b/>
                <w:sz w:val="20"/>
              </w:rPr>
            </w:pPr>
            <w:r w:rsidRPr="00060B29">
              <w:rPr>
                <w:rFonts w:ascii="Arial Narrow" w:eastAsiaTheme="majorEastAsia" w:hAnsi="Arial Narrow" w:cs="Times New Roman"/>
                <w:b/>
                <w:sz w:val="20"/>
              </w:rPr>
              <w:t xml:space="preserve">Proportion of patients with an absolute decline from baseline in </w:t>
            </w:r>
            <w:r w:rsidR="00583167" w:rsidRPr="00060B29">
              <w:rPr>
                <w:rFonts w:ascii="Arial Narrow" w:eastAsiaTheme="majorEastAsia" w:hAnsi="Arial Narrow" w:cs="Times New Roman"/>
                <w:b/>
                <w:sz w:val="20"/>
              </w:rPr>
              <w:t>FVC%Pred</w:t>
            </w:r>
            <w:r w:rsidRPr="00060B29">
              <w:rPr>
                <w:rFonts w:ascii="Arial Narrow" w:eastAsiaTheme="majorEastAsia" w:hAnsi="Arial Narrow" w:cs="Times New Roman"/>
                <w:b/>
                <w:sz w:val="20"/>
              </w:rPr>
              <w:t xml:space="preserve"> at week 52 (adjusted OR)</w:t>
            </w:r>
          </w:p>
        </w:tc>
      </w:tr>
      <w:tr w:rsidR="00D31EBA" w:rsidRPr="00060B29" w:rsidTr="00B15687">
        <w:trPr>
          <w:cantSplit/>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keepLines/>
              <w:jc w:val="left"/>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Decline &gt;10%</w:t>
            </w:r>
          </w:p>
        </w:tc>
        <w:tc>
          <w:tcPr>
            <w:tcW w:w="846" w:type="pct"/>
            <w:gridSpan w:val="3"/>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28.3 (94/332)</w:t>
            </w:r>
          </w:p>
        </w:tc>
        <w:tc>
          <w:tcPr>
            <w:tcW w:w="693"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36.6 (121/331)</w:t>
            </w:r>
          </w:p>
        </w:tc>
        <w:tc>
          <w:tcPr>
            <w:tcW w:w="846" w:type="pct"/>
            <w:gridSpan w:val="2"/>
            <w:tcBorders>
              <w:bottom w:val="single" w:sz="4" w:space="0" w:color="auto"/>
              <w:right w:val="nil"/>
            </w:tcBorders>
            <w:shd w:val="clear" w:color="auto" w:fill="auto"/>
            <w:vAlign w:val="center"/>
          </w:tcPr>
          <w:p w:rsidR="00D31EBA" w:rsidRPr="00060B29" w:rsidRDefault="00D31EBA" w:rsidP="00B15687">
            <w:pPr>
              <w:keepLines/>
              <w:jc w:val="center"/>
              <w:rPr>
                <w:rFonts w:ascii="Arial Narrow" w:hAnsi="Arial Narrow"/>
                <w:b/>
                <w:sz w:val="20"/>
                <w:szCs w:val="20"/>
              </w:rPr>
            </w:pPr>
            <w:r w:rsidRPr="00060B29">
              <w:rPr>
                <w:rFonts w:ascii="Arial Narrow" w:hAnsi="Arial Narrow"/>
                <w:b/>
                <w:sz w:val="20"/>
                <w:szCs w:val="20"/>
              </w:rPr>
              <w:t>0.68 (0.49, 0.95)</w:t>
            </w:r>
          </w:p>
        </w:tc>
        <w:tc>
          <w:tcPr>
            <w:tcW w:w="615"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28.3</w:t>
            </w:r>
          </w:p>
        </w:tc>
        <w:tc>
          <w:tcPr>
            <w:tcW w:w="522"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36.3</w:t>
            </w:r>
          </w:p>
        </w:tc>
        <w:tc>
          <w:tcPr>
            <w:tcW w:w="941"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−8.2 (−15.3, −1.1)</w:t>
            </w:r>
          </w:p>
        </w:tc>
      </w:tr>
      <w:tr w:rsidR="00D31EBA" w:rsidRPr="00060B29" w:rsidTr="00B15687">
        <w:trPr>
          <w:cantSplit/>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keepLines/>
              <w:jc w:val="left"/>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Decline &gt;5%</w:t>
            </w:r>
          </w:p>
        </w:tc>
        <w:tc>
          <w:tcPr>
            <w:tcW w:w="846" w:type="pct"/>
            <w:gridSpan w:val="3"/>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43.4 (144/332)</w:t>
            </w:r>
          </w:p>
        </w:tc>
        <w:tc>
          <w:tcPr>
            <w:tcW w:w="693"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55.0 (182/331)</w:t>
            </w:r>
          </w:p>
        </w:tc>
        <w:tc>
          <w:tcPr>
            <w:tcW w:w="846" w:type="pct"/>
            <w:gridSpan w:val="2"/>
            <w:tcBorders>
              <w:bottom w:val="single" w:sz="4" w:space="0" w:color="auto"/>
              <w:right w:val="nil"/>
            </w:tcBorders>
            <w:shd w:val="clear" w:color="auto" w:fill="auto"/>
            <w:vAlign w:val="center"/>
          </w:tcPr>
          <w:p w:rsidR="00D31EBA" w:rsidRPr="00060B29" w:rsidRDefault="00D31EBA" w:rsidP="00B15687">
            <w:pPr>
              <w:keepLines/>
              <w:jc w:val="center"/>
              <w:rPr>
                <w:rFonts w:ascii="Arial Narrow" w:hAnsi="Arial Narrow"/>
                <w:b/>
                <w:sz w:val="20"/>
                <w:szCs w:val="20"/>
              </w:rPr>
            </w:pPr>
            <w:r w:rsidRPr="00060B29">
              <w:rPr>
                <w:rFonts w:ascii="Arial Narrow" w:hAnsi="Arial Narrow"/>
                <w:b/>
                <w:sz w:val="20"/>
                <w:szCs w:val="20"/>
              </w:rPr>
              <w:t>0.63 (0.46, 0.85)</w:t>
            </w:r>
          </w:p>
        </w:tc>
        <w:tc>
          <w:tcPr>
            <w:tcW w:w="615"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43.4</w:t>
            </w:r>
          </w:p>
        </w:tc>
        <w:tc>
          <w:tcPr>
            <w:tcW w:w="522"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55.0</w:t>
            </w:r>
          </w:p>
        </w:tc>
        <w:tc>
          <w:tcPr>
            <w:tcW w:w="941"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−11.6 (−19.2, −4.1)</w:t>
            </w:r>
          </w:p>
        </w:tc>
      </w:tr>
      <w:tr w:rsidR="00D31EBA" w:rsidRPr="00060B29" w:rsidTr="0027037A">
        <w:trPr>
          <w:cantSplit/>
        </w:trPr>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Annual rate of FVC decline over 52 weeks (mL/year)</w:t>
            </w:r>
          </w:p>
        </w:tc>
      </w:tr>
      <w:tr w:rsidR="00D31EBA" w:rsidRPr="00060B29" w:rsidTr="00B15687">
        <w:trPr>
          <w:cantSplit/>
          <w:trHeight w:val="225"/>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p>
        </w:tc>
        <w:tc>
          <w:tcPr>
            <w:tcW w:w="1539" w:type="pct"/>
            <w:gridSpan w:val="4"/>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tc>
        <w:tc>
          <w:tcPr>
            <w:tcW w:w="1706" w:type="pct"/>
            <w:gridSpan w:val="4"/>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tc>
        <w:tc>
          <w:tcPr>
            <w:tcW w:w="1218" w:type="pct"/>
            <w:gridSpan w:val="2"/>
            <w:vMerge w:val="restar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Mean difference*:</w:t>
            </w:r>
          </w:p>
          <w:p w:rsidR="00D31EBA" w:rsidRPr="00060B29" w:rsidRDefault="00D31EBA" w:rsidP="00B15687">
            <w:pPr>
              <w:jc w:val="center"/>
              <w:rPr>
                <w:rFonts w:ascii="Arial Narrow" w:eastAsiaTheme="majorEastAsia" w:hAnsi="Arial Narrow" w:cs="Times New Roman"/>
                <w:b/>
                <w:sz w:val="20"/>
                <w:szCs w:val="18"/>
              </w:rPr>
            </w:pPr>
            <w:r w:rsidRPr="00060B29">
              <w:rPr>
                <w:rFonts w:ascii="Arial Narrow" w:eastAsiaTheme="majorEastAsia" w:hAnsi="Arial Narrow" w:cs="Times New Roman"/>
                <w:b/>
                <w:sz w:val="20"/>
                <w:szCs w:val="18"/>
              </w:rPr>
              <w:t>Nintedanib vs. PBO</w:t>
            </w:r>
            <w:r w:rsidR="00686339" w:rsidRPr="00060B29">
              <w:rPr>
                <w:rFonts w:ascii="Arial Narrow" w:eastAsiaTheme="majorEastAsia" w:hAnsi="Arial Narrow" w:cs="Times New Roman"/>
                <w:b/>
                <w:sz w:val="20"/>
                <w:szCs w:val="18"/>
              </w:rPr>
              <w:t xml:space="preserve"> </w:t>
            </w:r>
            <w:r w:rsidRPr="00060B29">
              <w:rPr>
                <w:rFonts w:ascii="Arial Narrow" w:eastAsiaTheme="majorEastAsia" w:hAnsi="Arial Narrow" w:cs="Times New Roman"/>
                <w:b/>
                <w:sz w:val="20"/>
                <w:szCs w:val="18"/>
              </w:rPr>
              <w:t>+</w:t>
            </w:r>
            <w:r w:rsidR="00686339" w:rsidRPr="00060B29">
              <w:rPr>
                <w:rFonts w:ascii="Arial Narrow" w:eastAsiaTheme="majorEastAsia" w:hAnsi="Arial Narrow" w:cs="Times New Roman"/>
                <w:b/>
                <w:sz w:val="20"/>
                <w:szCs w:val="18"/>
              </w:rPr>
              <w:t xml:space="preserve"> </w:t>
            </w:r>
            <w:r w:rsidRPr="00060B29">
              <w:rPr>
                <w:rFonts w:ascii="Arial Narrow" w:eastAsiaTheme="majorEastAsia" w:hAnsi="Arial Narrow" w:cs="Times New Roman"/>
                <w:b/>
                <w:sz w:val="20"/>
                <w:szCs w:val="18"/>
              </w:rPr>
              <w:t>BSC</w:t>
            </w:r>
          </w:p>
          <w:p w:rsidR="00D31EBA" w:rsidRPr="00060B29" w:rsidRDefault="00D31EBA" w:rsidP="00B15687">
            <w:pPr>
              <w:jc w:val="center"/>
              <w:rPr>
                <w:rFonts w:ascii="Arial Narrow" w:eastAsiaTheme="majorEastAsia" w:hAnsi="Arial Narrow" w:cs="Times New Roman"/>
                <w:b/>
                <w:sz w:val="20"/>
                <w:szCs w:val="18"/>
              </w:rPr>
            </w:pPr>
            <w:r w:rsidRPr="00060B29">
              <w:rPr>
                <w:rFonts w:ascii="Arial Narrow" w:eastAsiaTheme="majorEastAsia" w:hAnsi="Arial Narrow" w:cs="Times New Roman"/>
                <w:b/>
                <w:sz w:val="20"/>
                <w:szCs w:val="18"/>
              </w:rPr>
              <w:t>(95% CI)</w:t>
            </w:r>
          </w:p>
        </w:tc>
      </w:tr>
      <w:tr w:rsidR="00D31EBA" w:rsidRPr="00060B29" w:rsidTr="00B15687">
        <w:trPr>
          <w:cantSplit/>
          <w:trHeight w:val="225"/>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rPr>
                <w:rFonts w:ascii="Arial Narrow" w:hAnsi="Arial Narrow"/>
                <w:color w:val="000000"/>
                <w:sz w:val="20"/>
                <w:szCs w:val="18"/>
              </w:rPr>
            </w:pPr>
          </w:p>
        </w:tc>
        <w:tc>
          <w:tcPr>
            <w:tcW w:w="307"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w:t>
            </w:r>
          </w:p>
        </w:tc>
        <w:tc>
          <w:tcPr>
            <w:tcW w:w="462"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Mean ∆ baseline </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SD</w:t>
            </w:r>
          </w:p>
        </w:tc>
        <w:tc>
          <w:tcPr>
            <w:tcW w:w="307"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Mean ∆ baseline </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SD</w:t>
            </w:r>
          </w:p>
        </w:tc>
        <w:tc>
          <w:tcPr>
            <w:tcW w:w="1218" w:type="pct"/>
            <w:gridSpan w:val="2"/>
            <w:vMerge/>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hAnsi="Arial Narrow"/>
                <w:b/>
                <w:sz w:val="20"/>
                <w:szCs w:val="18"/>
              </w:rPr>
            </w:pPr>
          </w:p>
        </w:tc>
      </w:tr>
      <w:tr w:rsidR="00D31EBA" w:rsidRPr="00060B29" w:rsidTr="00B15687">
        <w:trPr>
          <w:cantSplit/>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52 weeks</w:t>
            </w:r>
          </w:p>
        </w:tc>
        <w:tc>
          <w:tcPr>
            <w:tcW w:w="307"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462"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-80.82</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274.59</w:t>
            </w:r>
          </w:p>
        </w:tc>
        <w:tc>
          <w:tcPr>
            <w:tcW w:w="307"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-187.78</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269.99</w:t>
            </w:r>
          </w:p>
        </w:tc>
        <w:tc>
          <w:tcPr>
            <w:tcW w:w="1218"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106.96 (65.42, 148.50), </w:t>
            </w:r>
            <w:r w:rsidRPr="00060B29">
              <w:rPr>
                <w:rFonts w:ascii="Arial Narrow" w:eastAsiaTheme="majorEastAsia" w:hAnsi="Arial Narrow" w:cstheme="majorBidi"/>
                <w:b/>
                <w:sz w:val="20"/>
              </w:rPr>
              <w:t>P&lt;0.0001</w:t>
            </w:r>
          </w:p>
        </w:tc>
      </w:tr>
      <w:tr w:rsidR="00D31EBA" w:rsidRPr="00060B29" w:rsidTr="0027037A">
        <w:trPr>
          <w:cantSplit/>
        </w:trPr>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 xml:space="preserve">Absolute change from baseline to week 52 </w:t>
            </w:r>
            <w:r w:rsidR="00285722" w:rsidRPr="00060B29">
              <w:rPr>
                <w:rFonts w:ascii="Arial Narrow" w:eastAsiaTheme="majorEastAsia" w:hAnsi="Arial Narrow" w:cs="Times New Roman"/>
                <w:b/>
                <w:sz w:val="20"/>
              </w:rPr>
              <w:t>for FVC and K-BILD score</w:t>
            </w:r>
          </w:p>
        </w:tc>
      </w:tr>
      <w:tr w:rsidR="00D31EBA" w:rsidRPr="00060B29" w:rsidTr="00B15687">
        <w:trPr>
          <w:cantSplit/>
          <w:trHeight w:val="225"/>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p>
        </w:tc>
        <w:tc>
          <w:tcPr>
            <w:tcW w:w="1539" w:type="pct"/>
            <w:gridSpan w:val="4"/>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tc>
        <w:tc>
          <w:tcPr>
            <w:tcW w:w="1706" w:type="pct"/>
            <w:gridSpan w:val="4"/>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tc>
        <w:tc>
          <w:tcPr>
            <w:tcW w:w="1218" w:type="pct"/>
            <w:gridSpan w:val="2"/>
            <w:vMerge w:val="restar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Mean difference*:</w:t>
            </w:r>
          </w:p>
          <w:p w:rsidR="00D31EBA" w:rsidRPr="00060B29" w:rsidRDefault="00D31EBA" w:rsidP="00B15687">
            <w:pPr>
              <w:jc w:val="center"/>
              <w:rPr>
                <w:rFonts w:ascii="Arial Narrow" w:eastAsiaTheme="majorEastAsia" w:hAnsi="Arial Narrow" w:cs="Times New Roman"/>
                <w:b/>
                <w:sz w:val="20"/>
                <w:szCs w:val="18"/>
              </w:rPr>
            </w:pPr>
            <w:r w:rsidRPr="00060B29">
              <w:rPr>
                <w:rFonts w:ascii="Arial Narrow" w:eastAsiaTheme="majorEastAsia" w:hAnsi="Arial Narrow" w:cs="Times New Roman"/>
                <w:b/>
                <w:sz w:val="20"/>
                <w:szCs w:val="18"/>
              </w:rPr>
              <w:t>Nintedanib vs. PBO</w:t>
            </w:r>
            <w:r w:rsidR="00686339" w:rsidRPr="00060B29">
              <w:rPr>
                <w:rFonts w:ascii="Arial Narrow" w:eastAsiaTheme="majorEastAsia" w:hAnsi="Arial Narrow" w:cs="Times New Roman"/>
                <w:b/>
                <w:sz w:val="20"/>
                <w:szCs w:val="18"/>
              </w:rPr>
              <w:t xml:space="preserve"> </w:t>
            </w:r>
            <w:r w:rsidRPr="00060B29">
              <w:rPr>
                <w:rFonts w:ascii="Arial Narrow" w:eastAsiaTheme="majorEastAsia" w:hAnsi="Arial Narrow" w:cs="Times New Roman"/>
                <w:b/>
                <w:sz w:val="20"/>
                <w:szCs w:val="18"/>
              </w:rPr>
              <w:t>+</w:t>
            </w:r>
            <w:r w:rsidR="00686339" w:rsidRPr="00060B29">
              <w:rPr>
                <w:rFonts w:ascii="Arial Narrow" w:eastAsiaTheme="majorEastAsia" w:hAnsi="Arial Narrow" w:cs="Times New Roman"/>
                <w:b/>
                <w:sz w:val="20"/>
                <w:szCs w:val="18"/>
              </w:rPr>
              <w:t xml:space="preserve"> </w:t>
            </w:r>
            <w:r w:rsidRPr="00060B29">
              <w:rPr>
                <w:rFonts w:ascii="Arial Narrow" w:eastAsiaTheme="majorEastAsia" w:hAnsi="Arial Narrow" w:cs="Times New Roman"/>
                <w:b/>
                <w:sz w:val="20"/>
                <w:szCs w:val="18"/>
              </w:rPr>
              <w:t>BSC</w:t>
            </w:r>
          </w:p>
          <w:p w:rsidR="00D31EBA" w:rsidRPr="00060B29" w:rsidRDefault="00D31EBA" w:rsidP="00B15687">
            <w:pPr>
              <w:jc w:val="center"/>
              <w:rPr>
                <w:rFonts w:ascii="Arial Narrow" w:eastAsiaTheme="majorEastAsia" w:hAnsi="Arial Narrow" w:cs="Times New Roman"/>
                <w:b/>
                <w:sz w:val="20"/>
                <w:szCs w:val="18"/>
              </w:rPr>
            </w:pPr>
            <w:r w:rsidRPr="00060B29">
              <w:rPr>
                <w:rFonts w:ascii="Arial Narrow" w:eastAsiaTheme="majorEastAsia" w:hAnsi="Arial Narrow" w:cs="Times New Roman"/>
                <w:b/>
                <w:sz w:val="20"/>
                <w:szCs w:val="18"/>
              </w:rPr>
              <w:t>(95% CI)</w:t>
            </w:r>
          </w:p>
        </w:tc>
      </w:tr>
      <w:tr w:rsidR="00D31EBA" w:rsidRPr="00060B29" w:rsidTr="00B15687">
        <w:trPr>
          <w:cantSplit/>
          <w:trHeight w:val="225"/>
        </w:trPr>
        <w:tc>
          <w:tcPr>
            <w:tcW w:w="536" w:type="pct"/>
            <w:vMerge/>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rPr>
                <w:rFonts w:ascii="Arial Narrow" w:hAnsi="Arial Narrow"/>
                <w:color w:val="000000"/>
                <w:sz w:val="20"/>
                <w:szCs w:val="18"/>
              </w:rPr>
            </w:pPr>
          </w:p>
        </w:tc>
        <w:tc>
          <w:tcPr>
            <w:tcW w:w="307"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w:t>
            </w:r>
          </w:p>
        </w:tc>
        <w:tc>
          <w:tcPr>
            <w:tcW w:w="462"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Mean ∆ baseline </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(95% CI)</w:t>
            </w:r>
          </w:p>
        </w:tc>
        <w:tc>
          <w:tcPr>
            <w:tcW w:w="307"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Mean ∆ baseline </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(95% CI)</w:t>
            </w:r>
          </w:p>
        </w:tc>
        <w:tc>
          <w:tcPr>
            <w:tcW w:w="1218" w:type="pct"/>
            <w:gridSpan w:val="2"/>
            <w:vMerge/>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hAnsi="Arial Narrow"/>
                <w:b/>
                <w:sz w:val="20"/>
                <w:szCs w:val="18"/>
              </w:rPr>
            </w:pPr>
          </w:p>
        </w:tc>
      </w:tr>
      <w:tr w:rsidR="00D31EBA" w:rsidRPr="00060B29" w:rsidTr="00B15687">
        <w:trPr>
          <w:cantSplit/>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 (mL)</w:t>
            </w:r>
          </w:p>
        </w:tc>
        <w:tc>
          <w:tcPr>
            <w:tcW w:w="307"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462"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-85.45</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(-113.04, -57.86)</w:t>
            </w:r>
          </w:p>
        </w:tc>
        <w:tc>
          <w:tcPr>
            <w:tcW w:w="307"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-192.20</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(-219.37, -165.03)</w:t>
            </w:r>
          </w:p>
        </w:tc>
        <w:tc>
          <w:tcPr>
            <w:tcW w:w="1218"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
                <w:sz w:val="20"/>
              </w:rPr>
              <w:t>106.75 (68.03, 145.48)</w:t>
            </w:r>
          </w:p>
        </w:tc>
      </w:tr>
      <w:tr w:rsidR="00D31EBA" w:rsidRPr="00060B29" w:rsidTr="00B15687">
        <w:trPr>
          <w:cantSplit/>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583167"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FVC%Pred</w:t>
            </w:r>
          </w:p>
        </w:tc>
        <w:tc>
          <w:tcPr>
            <w:tcW w:w="307"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462"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-2.62</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(-3.44, -1.80)</w:t>
            </w:r>
          </w:p>
        </w:tc>
        <w:tc>
          <w:tcPr>
            <w:tcW w:w="307"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-5.86</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(-6.67, -5.05)</w:t>
            </w:r>
          </w:p>
        </w:tc>
        <w:tc>
          <w:tcPr>
            <w:tcW w:w="1218"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
                <w:sz w:val="20"/>
              </w:rPr>
              <w:t>3.24 (2.09, 4.40)</w:t>
            </w:r>
          </w:p>
        </w:tc>
      </w:tr>
      <w:tr w:rsidR="00D31EBA" w:rsidRPr="00060B29" w:rsidTr="00B15687">
        <w:trPr>
          <w:cantSplit/>
        </w:trPr>
        <w:tc>
          <w:tcPr>
            <w:tcW w:w="536" w:type="pct"/>
            <w:tcBorders>
              <w:top w:val="single" w:sz="4" w:space="0" w:color="auto"/>
              <w:left w:val="single" w:sz="4" w:space="0" w:color="auto"/>
              <w:bottom w:val="single" w:sz="2"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bookmarkStart w:id="27" w:name="_Hlk58279735"/>
            <w:r w:rsidRPr="00060B29">
              <w:rPr>
                <w:rFonts w:ascii="Arial Narrow" w:eastAsiaTheme="majorEastAsia" w:hAnsi="Arial Narrow" w:cstheme="majorBidi"/>
                <w:bCs/>
                <w:sz w:val="20"/>
              </w:rPr>
              <w:t xml:space="preserve">K-BILD total score </w:t>
            </w:r>
          </w:p>
        </w:tc>
        <w:tc>
          <w:tcPr>
            <w:tcW w:w="307" w:type="pct"/>
            <w:tcBorders>
              <w:top w:val="single" w:sz="4" w:space="0" w:color="auto"/>
              <w:left w:val="single" w:sz="4" w:space="0" w:color="auto"/>
              <w:bottom w:val="single" w:sz="2"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332</w:t>
            </w:r>
          </w:p>
        </w:tc>
        <w:tc>
          <w:tcPr>
            <w:tcW w:w="462" w:type="pct"/>
            <w:tcBorders>
              <w:top w:val="single" w:sz="4" w:space="0" w:color="auto"/>
              <w:left w:val="single" w:sz="4" w:space="0" w:color="auto"/>
              <w:bottom w:val="single" w:sz="2"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0.55 </w:t>
            </w:r>
          </w:p>
        </w:tc>
        <w:tc>
          <w:tcPr>
            <w:tcW w:w="770" w:type="pct"/>
            <w:gridSpan w:val="2"/>
            <w:tcBorders>
              <w:top w:val="single" w:sz="4" w:space="0" w:color="auto"/>
              <w:left w:val="single" w:sz="4" w:space="0" w:color="auto"/>
              <w:bottom w:val="single" w:sz="2"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(-0.62, 1.72)</w:t>
            </w:r>
          </w:p>
        </w:tc>
        <w:tc>
          <w:tcPr>
            <w:tcW w:w="307" w:type="pct"/>
            <w:tcBorders>
              <w:top w:val="single" w:sz="4" w:space="0" w:color="auto"/>
              <w:left w:val="single" w:sz="4" w:space="0" w:color="auto"/>
              <w:bottom w:val="single" w:sz="2"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331</w:t>
            </w:r>
          </w:p>
        </w:tc>
        <w:tc>
          <w:tcPr>
            <w:tcW w:w="539" w:type="pct"/>
            <w:tcBorders>
              <w:top w:val="single" w:sz="4" w:space="0" w:color="auto"/>
              <w:left w:val="single" w:sz="4" w:space="0" w:color="auto"/>
              <w:bottom w:val="single" w:sz="2"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xml:space="preserve">-0.79 </w:t>
            </w:r>
          </w:p>
        </w:tc>
        <w:tc>
          <w:tcPr>
            <w:tcW w:w="860" w:type="pct"/>
            <w:gridSpan w:val="2"/>
            <w:tcBorders>
              <w:top w:val="single" w:sz="4" w:space="0" w:color="auto"/>
              <w:left w:val="single" w:sz="4" w:space="0" w:color="auto"/>
              <w:bottom w:val="single" w:sz="2"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(-1.94, 0.37)</w:t>
            </w:r>
          </w:p>
        </w:tc>
        <w:tc>
          <w:tcPr>
            <w:tcW w:w="1218" w:type="pct"/>
            <w:gridSpan w:val="2"/>
            <w:tcBorders>
              <w:top w:val="single" w:sz="4" w:space="0" w:color="auto"/>
              <w:left w:val="single" w:sz="4" w:space="0" w:color="auto"/>
              <w:bottom w:val="single" w:sz="2"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1.34 (-0.31. 2.98), p=0.1115</w:t>
            </w:r>
          </w:p>
        </w:tc>
      </w:tr>
    </w:tbl>
    <w:tbl>
      <w:tblPr>
        <w:tblStyle w:val="TableGrid"/>
        <w:tblW w:w="5000" w:type="pct"/>
        <w:tblCellMar>
          <w:left w:w="28" w:type="dxa"/>
          <w:right w:w="28" w:type="dxa"/>
        </w:tblCellMar>
        <w:tblLook w:val="04A0" w:firstRow="1" w:lastRow="0" w:firstColumn="1" w:lastColumn="0" w:noHBand="0" w:noVBand="1"/>
        <w:tblCaption w:val="Table 8: Summary of comparative benefits and harms for nintedanib and PBO + BSC in INBUILD (52 weeks, overall population)"/>
      </w:tblPr>
      <w:tblGrid>
        <w:gridCol w:w="2078"/>
        <w:gridCol w:w="1668"/>
        <w:gridCol w:w="1803"/>
        <w:gridCol w:w="1666"/>
        <w:gridCol w:w="1801"/>
      </w:tblGrid>
      <w:tr w:rsidR="00D31EBA" w:rsidRPr="00060B29" w:rsidTr="008F520F">
        <w:trPr>
          <w:trHeight w:val="20"/>
          <w:tblHeader/>
        </w:trPr>
        <w:tc>
          <w:tcPr>
            <w:tcW w:w="1152" w:type="pct"/>
            <w:tcBorders>
              <w:top w:val="single" w:sz="2" w:space="0" w:color="auto"/>
              <w:bottom w:val="single" w:sz="4" w:space="0" w:color="auto"/>
            </w:tcBorders>
            <w:shd w:val="clear" w:color="auto" w:fill="auto"/>
          </w:tcPr>
          <w:p w:rsidR="00D31EBA" w:rsidRPr="00060B29" w:rsidRDefault="00D31EBA" w:rsidP="00B15687">
            <w:pPr>
              <w:jc w:val="left"/>
              <w:rPr>
                <w:rFonts w:ascii="Arial Narrow" w:eastAsiaTheme="majorEastAsia" w:hAnsi="Arial Narrow" w:cs="Times New Roman"/>
                <w:b/>
                <w:sz w:val="20"/>
              </w:rPr>
            </w:pPr>
            <w:bookmarkStart w:id="28" w:name="_GoBack" w:colFirst="0" w:colLast="5"/>
            <w:bookmarkEnd w:id="27"/>
          </w:p>
        </w:tc>
        <w:tc>
          <w:tcPr>
            <w:tcW w:w="925" w:type="pct"/>
            <w:tcBorders>
              <w:top w:val="single" w:sz="2" w:space="0" w:color="auto"/>
              <w:bottom w:val="single" w:sz="4" w:space="0" w:color="auto"/>
            </w:tcBorders>
            <w:shd w:val="clear" w:color="auto" w:fill="auto"/>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tc>
        <w:tc>
          <w:tcPr>
            <w:tcW w:w="1000" w:type="pct"/>
            <w:tcBorders>
              <w:top w:val="single" w:sz="2" w:space="0" w:color="auto"/>
              <w:bottom w:val="single" w:sz="4" w:space="0" w:color="auto"/>
            </w:tcBorders>
            <w:shd w:val="clear" w:color="auto" w:fill="auto"/>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tc>
        <w:tc>
          <w:tcPr>
            <w:tcW w:w="924" w:type="pct"/>
            <w:tcBorders>
              <w:top w:val="single" w:sz="2" w:space="0" w:color="auto"/>
              <w:bottom w:val="single" w:sz="4" w:space="0" w:color="auto"/>
            </w:tcBorders>
            <w:shd w:val="clear" w:color="auto" w:fill="auto"/>
          </w:tcPr>
          <w:p w:rsidR="00D31EBA" w:rsidRPr="00060B29" w:rsidRDefault="00D31EBA" w:rsidP="00B15687">
            <w:pPr>
              <w:jc w:val="center"/>
              <w:rPr>
                <w:rFonts w:asciiTheme="minorHAnsi" w:eastAsiaTheme="majorEastAsia" w:hAnsiTheme="minorHAnsi" w:cs="Times New Roman"/>
                <w:b/>
                <w:sz w:val="20"/>
              </w:rPr>
            </w:pPr>
            <w:r w:rsidRPr="00060B29">
              <w:rPr>
                <w:rFonts w:ascii="Arial Narrow" w:eastAsiaTheme="majorEastAsia" w:hAnsi="Arial Narrow" w:cs="Times New Roman"/>
                <w:b/>
                <w:sz w:val="20"/>
              </w:rPr>
              <w:t>Absolute Difference</w:t>
            </w:r>
            <w:r w:rsidR="00BA656E" w:rsidRPr="00060B29">
              <w:rPr>
                <w:rFonts w:ascii="Arial Narrow" w:eastAsiaTheme="majorEastAsia" w:hAnsi="Arial Narrow" w:cs="Times New Roman"/>
                <w:b/>
                <w:sz w:val="20"/>
                <w:vertAlign w:val="superscript"/>
              </w:rPr>
              <w:t>a</w:t>
            </w:r>
          </w:p>
        </w:tc>
        <w:tc>
          <w:tcPr>
            <w:tcW w:w="999" w:type="pct"/>
            <w:tcBorders>
              <w:top w:val="single" w:sz="2" w:space="0" w:color="auto"/>
              <w:bottom w:val="single" w:sz="4" w:space="0" w:color="auto"/>
            </w:tcBorders>
            <w:shd w:val="clear" w:color="auto" w:fill="auto"/>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HR (95% CI)</w:t>
            </w:r>
          </w:p>
        </w:tc>
      </w:tr>
      <w:tr w:rsidR="00D31EBA" w:rsidRPr="00060B29"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Event</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 (n/N),</w:t>
            </w:r>
          </w:p>
          <w:p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rPr>
              <w:t>Obs. Time (pt-yr)</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imes New Roman"/>
                <w:bCs/>
                <w:sz w:val="20"/>
                <w:szCs w:val="20"/>
              </w:rPr>
              <w:t>% (n/N),</w:t>
            </w:r>
          </w:p>
          <w:p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imes New Roman"/>
                <w:bCs/>
                <w:sz w:val="20"/>
                <w:szCs w:val="20"/>
              </w:rPr>
              <w:t>Obs. Time (pt-yr)</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D31EBA" w:rsidRPr="00060B29" w:rsidRDefault="00D31EBA" w:rsidP="00B15687">
            <w:pPr>
              <w:jc w:val="center"/>
              <w:rPr>
                <w:rFonts w:ascii="Arial Narrow" w:eastAsiaTheme="majorEastAsia" w:hAnsi="Arial Narrow" w:cstheme="majorBidi"/>
                <w:bCs/>
                <w:sz w:val="20"/>
              </w:rPr>
            </w:pPr>
          </w:p>
        </w:tc>
        <w:tc>
          <w:tcPr>
            <w:tcW w:w="999" w:type="pct"/>
            <w:tcBorders>
              <w:top w:val="single" w:sz="4" w:space="0" w:color="auto"/>
              <w:left w:val="single" w:sz="4" w:space="0" w:color="auto"/>
              <w:bottom w:val="nil"/>
              <w:right w:val="single" w:sz="4" w:space="0" w:color="auto"/>
            </w:tcBorders>
            <w:shd w:val="clear" w:color="auto" w:fill="auto"/>
          </w:tcPr>
          <w:p w:rsidR="00D31EBA" w:rsidRPr="00060B29" w:rsidRDefault="00D31EBA" w:rsidP="00B15687">
            <w:pPr>
              <w:jc w:val="center"/>
              <w:rPr>
                <w:rFonts w:ascii="Arial Narrow" w:eastAsiaTheme="majorEastAsia" w:hAnsi="Arial Narrow" w:cstheme="majorBidi"/>
                <w:bCs/>
                <w:sz w:val="20"/>
                <w:szCs w:val="20"/>
              </w:rPr>
            </w:pPr>
          </w:p>
        </w:tc>
      </w:tr>
      <w:tr w:rsidR="00D31EBA" w:rsidRPr="00060B29"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
                <w:sz w:val="20"/>
              </w:rPr>
            </w:pPr>
            <w:r w:rsidRPr="00060B29">
              <w:rPr>
                <w:rFonts w:ascii="Arial Narrow" w:eastAsiaTheme="majorEastAsia" w:hAnsi="Arial Narrow" w:cstheme="majorBidi"/>
                <w:b/>
                <w:sz w:val="20"/>
              </w:rPr>
              <w:t>Deaths (Overall survival)</w:t>
            </w:r>
          </w:p>
        </w:tc>
        <w:tc>
          <w:tcPr>
            <w:tcW w:w="925" w:type="pct"/>
            <w:tcBorders>
              <w:top w:val="single" w:sz="4" w:space="0" w:color="auto"/>
              <w:left w:val="single" w:sz="4" w:space="0" w:color="auto"/>
              <w:bottom w:val="single" w:sz="4" w:space="0" w:color="auto"/>
              <w:right w:val="single" w:sz="4" w:space="0" w:color="auto"/>
            </w:tcBorders>
            <w:shd w:val="clear" w:color="auto" w:fill="auto"/>
          </w:tcPr>
          <w:p w:rsidR="00D31EBA" w:rsidRPr="00060B29" w:rsidRDefault="00D31EBA" w:rsidP="00B15687">
            <w:pPr>
              <w:jc w:val="center"/>
              <w:rPr>
                <w:rFonts w:ascii="Arial Narrow" w:eastAsiaTheme="majorEastAsia" w:hAnsi="Arial Narrow" w:cs="Times New Roman"/>
                <w:bCs/>
                <w:sz w:val="20"/>
                <w:szCs w:val="20"/>
              </w:rPr>
            </w:pP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31EBA" w:rsidRPr="00060B29" w:rsidRDefault="00D31EBA" w:rsidP="00B15687">
            <w:pPr>
              <w:jc w:val="center"/>
              <w:rPr>
                <w:rFonts w:ascii="Arial Narrow" w:eastAsiaTheme="majorEastAsia" w:hAnsi="Arial Narrow" w:cs="Times New Roman"/>
                <w:bCs/>
                <w:sz w:val="20"/>
                <w:szCs w:val="20"/>
              </w:rPr>
            </w:pP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D31EBA" w:rsidRPr="00060B29" w:rsidRDefault="00D31EBA" w:rsidP="00B15687">
            <w:pPr>
              <w:jc w:val="center"/>
              <w:rPr>
                <w:rFonts w:ascii="Arial Narrow" w:eastAsiaTheme="majorEastAsia" w:hAnsi="Arial Narrow" w:cstheme="majorBidi"/>
                <w:bCs/>
                <w:sz w:val="20"/>
              </w:rPr>
            </w:pPr>
          </w:p>
        </w:tc>
        <w:tc>
          <w:tcPr>
            <w:tcW w:w="999" w:type="pct"/>
            <w:tcBorders>
              <w:top w:val="single" w:sz="4" w:space="0" w:color="auto"/>
              <w:left w:val="single" w:sz="4" w:space="0" w:color="auto"/>
              <w:bottom w:val="single" w:sz="4" w:space="0" w:color="auto"/>
              <w:right w:val="single" w:sz="4" w:space="0" w:color="auto"/>
            </w:tcBorders>
            <w:shd w:val="clear" w:color="auto" w:fill="auto"/>
          </w:tcPr>
          <w:p w:rsidR="00D31EBA" w:rsidRPr="00060B29" w:rsidRDefault="00D31EBA" w:rsidP="00B15687">
            <w:pPr>
              <w:jc w:val="center"/>
              <w:rPr>
                <w:rFonts w:ascii="Arial Narrow" w:eastAsiaTheme="majorEastAsia" w:hAnsi="Arial Narrow" w:cstheme="majorBidi"/>
                <w:bCs/>
                <w:sz w:val="20"/>
                <w:szCs w:val="20"/>
              </w:rPr>
            </w:pPr>
          </w:p>
        </w:tc>
      </w:tr>
      <w:tr w:rsidR="00D31EBA" w:rsidRPr="00060B29"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52 weeks</w:t>
            </w:r>
          </w:p>
        </w:tc>
        <w:tc>
          <w:tcPr>
            <w:tcW w:w="925"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imes New Roman"/>
                <w:bCs/>
                <w:sz w:val="20"/>
                <w:szCs w:val="20"/>
              </w:rPr>
              <w:t xml:space="preserve">4.8 (16/332), </w:t>
            </w:r>
            <w:r w:rsidRPr="00060B29">
              <w:rPr>
                <w:rFonts w:ascii="Arial Narrow" w:eastAsiaTheme="majorEastAsia" w:hAnsi="Arial Narrow" w:cstheme="majorBidi"/>
                <w:bCs/>
                <w:sz w:val="20"/>
              </w:rPr>
              <w:t>330.8</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imes New Roman"/>
                <w:bCs/>
                <w:sz w:val="20"/>
                <w:szCs w:val="20"/>
              </w:rPr>
              <w:t xml:space="preserve">5.1 (17/331), </w:t>
            </w:r>
            <w:r w:rsidRPr="00060B29">
              <w:rPr>
                <w:rFonts w:ascii="Arial Narrow" w:eastAsiaTheme="majorEastAsia" w:hAnsi="Arial Narrow" w:cstheme="majorBidi"/>
                <w:bCs/>
                <w:sz w:val="20"/>
              </w:rPr>
              <w:t>330.1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−0.3 (−3.6, 3.0)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szCs w:val="20"/>
              </w:rPr>
              <w:t>0.94 (0.47, 1.86)</w:t>
            </w:r>
          </w:p>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szCs w:val="20"/>
              </w:rPr>
              <w:t>P=0.8544</w:t>
            </w:r>
          </w:p>
        </w:tc>
      </w:tr>
      <w:tr w:rsidR="00D31EBA" w:rsidRPr="00060B29" w:rsidTr="0027037A">
        <w:trPr>
          <w:trHeight w:val="20"/>
        </w:trPr>
        <w:tc>
          <w:tcPr>
            <w:tcW w:w="1152" w:type="pct"/>
            <w:tcBorders>
              <w:top w:val="single" w:sz="4" w:space="0" w:color="auto"/>
              <w:left w:val="single" w:sz="4" w:space="0" w:color="auto"/>
              <w:bottom w:val="doub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the whole trial (Part A+B) up to DBL1</w:t>
            </w:r>
          </w:p>
        </w:tc>
        <w:tc>
          <w:tcPr>
            <w:tcW w:w="925" w:type="pct"/>
            <w:tcBorders>
              <w:top w:val="single" w:sz="4" w:space="0" w:color="auto"/>
              <w:left w:val="single" w:sz="4" w:space="0" w:color="auto"/>
              <w:bottom w:val="doub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szCs w:val="20"/>
              </w:rPr>
              <w:t xml:space="preserve">8.1 (27/332), </w:t>
            </w:r>
            <w:r w:rsidRPr="00060B29">
              <w:rPr>
                <w:rFonts w:ascii="Arial Narrow" w:eastAsiaTheme="majorEastAsia" w:hAnsi="Arial Narrow" w:cs="Times New Roman"/>
                <w:bCs/>
                <w:sz w:val="20"/>
                <w:szCs w:val="20"/>
              </w:rPr>
              <w:t>466.3</w:t>
            </w:r>
          </w:p>
        </w:tc>
        <w:tc>
          <w:tcPr>
            <w:tcW w:w="1000" w:type="pct"/>
            <w:tcBorders>
              <w:top w:val="single" w:sz="4" w:space="0" w:color="auto"/>
              <w:left w:val="single" w:sz="4" w:space="0" w:color="auto"/>
              <w:bottom w:val="doub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szCs w:val="20"/>
              </w:rPr>
              <w:t>11.5 (38/331), 465.2</w:t>
            </w:r>
          </w:p>
        </w:tc>
        <w:tc>
          <w:tcPr>
            <w:tcW w:w="924" w:type="pct"/>
            <w:tcBorders>
              <w:top w:val="single" w:sz="4" w:space="0" w:color="auto"/>
              <w:left w:val="single" w:sz="4" w:space="0" w:color="auto"/>
              <w:bottom w:val="doub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−3.3 (−7.9, 1.2)</w:t>
            </w:r>
          </w:p>
        </w:tc>
        <w:tc>
          <w:tcPr>
            <w:tcW w:w="999" w:type="pct"/>
            <w:tcBorders>
              <w:top w:val="single" w:sz="4" w:space="0" w:color="auto"/>
              <w:left w:val="single" w:sz="4" w:space="0" w:color="auto"/>
              <w:bottom w:val="doub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0.70 (0.43, 1.15)</w:t>
            </w:r>
          </w:p>
          <w:p w:rsidR="00D31EBA" w:rsidRPr="00060B29" w:rsidRDefault="00D31EBA" w:rsidP="00B15687">
            <w:pPr>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rPr>
              <w:t>P=0.1620</w:t>
            </w:r>
          </w:p>
        </w:tc>
      </w:tr>
      <w:tr w:rsidR="00D31EBA" w:rsidRPr="00060B29" w:rsidTr="0027037A">
        <w:trPr>
          <w:trHeight w:val="20"/>
        </w:trPr>
        <w:tc>
          <w:tcPr>
            <w:tcW w:w="5000" w:type="pct"/>
            <w:gridSpan w:val="5"/>
            <w:tcBorders>
              <w:top w:val="doub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First acute ILD exacerbation</w:t>
            </w:r>
          </w:p>
        </w:tc>
      </w:tr>
      <w:tr w:rsidR="00D31EBA" w:rsidRPr="00060B29"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52 weeks</w:t>
            </w:r>
          </w:p>
        </w:tc>
        <w:tc>
          <w:tcPr>
            <w:tcW w:w="925" w:type="pct"/>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4.8 (16/332), 324.8</w:t>
            </w:r>
          </w:p>
        </w:tc>
        <w:tc>
          <w:tcPr>
            <w:tcW w:w="1000" w:type="pct"/>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6.6 (22/331), 319.6</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Cs/>
                <w:i/>
                <w:iCs/>
                <w:sz w:val="20"/>
              </w:rPr>
            </w:pPr>
            <w:r w:rsidRPr="00060B29">
              <w:rPr>
                <w:rFonts w:ascii="Arial Narrow" w:eastAsiaTheme="majorEastAsia" w:hAnsi="Arial Narrow" w:cstheme="majorBidi"/>
                <w:bCs/>
                <w:i/>
                <w:iCs/>
                <w:sz w:val="20"/>
              </w:rPr>
              <w:t>−1.8 (−5.4, 1.7)</w:t>
            </w:r>
          </w:p>
        </w:tc>
        <w:tc>
          <w:tcPr>
            <w:tcW w:w="999" w:type="pct"/>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0.72 (0.38, 1.37)</w:t>
            </w:r>
          </w:p>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P=0.3095</w:t>
            </w:r>
          </w:p>
        </w:tc>
      </w:tr>
      <w:tr w:rsidR="00D31EBA" w:rsidRPr="00060B29" w:rsidTr="0027037A">
        <w:trPr>
          <w:trHeight w:val="20"/>
        </w:trPr>
        <w:tc>
          <w:tcPr>
            <w:tcW w:w="1152" w:type="pct"/>
            <w:tcBorders>
              <w:top w:val="single" w:sz="4" w:space="0" w:color="auto"/>
              <w:left w:val="single" w:sz="4" w:space="0" w:color="auto"/>
              <w:bottom w:val="doub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the whole trial (Part A+B) up to DBL1</w:t>
            </w:r>
          </w:p>
        </w:tc>
        <w:tc>
          <w:tcPr>
            <w:tcW w:w="925" w:type="pct"/>
            <w:tcBorders>
              <w:bottom w:val="double" w:sz="4" w:space="0" w:color="auto"/>
            </w:tcBorders>
            <w:shd w:val="clear" w:color="auto" w:fill="auto"/>
            <w:vAlign w:val="center"/>
          </w:tcPr>
          <w:p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rPr>
              <w:t>6.9 (23/332), 456.4</w:t>
            </w:r>
          </w:p>
        </w:tc>
        <w:tc>
          <w:tcPr>
            <w:tcW w:w="1000" w:type="pct"/>
            <w:tcBorders>
              <w:bottom w:val="double" w:sz="4" w:space="0" w:color="auto"/>
            </w:tcBorders>
            <w:shd w:val="clear" w:color="auto" w:fill="auto"/>
            <w:vAlign w:val="center"/>
          </w:tcPr>
          <w:p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rPr>
              <w:t>9.7 (32/331), 447.2</w:t>
            </w:r>
          </w:p>
        </w:tc>
        <w:tc>
          <w:tcPr>
            <w:tcW w:w="924" w:type="pct"/>
            <w:tcBorders>
              <w:top w:val="single" w:sz="4" w:space="0" w:color="auto"/>
              <w:left w:val="single" w:sz="4" w:space="0" w:color="auto"/>
              <w:bottom w:val="doub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i/>
                <w:iCs/>
                <w:sz w:val="20"/>
              </w:rPr>
              <w:t>−2.7 (−6.9, 1.5)</w:t>
            </w:r>
          </w:p>
        </w:tc>
        <w:tc>
          <w:tcPr>
            <w:tcW w:w="999" w:type="pct"/>
            <w:tcBorders>
              <w:bottom w:val="doub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Cs/>
                <w:sz w:val="20"/>
                <w:szCs w:val="20"/>
              </w:rPr>
            </w:pPr>
            <w:r w:rsidRPr="00060B29">
              <w:rPr>
                <w:rFonts w:ascii="Arial Narrow" w:eastAsiaTheme="majorEastAsia" w:hAnsi="Arial Narrow" w:cstheme="majorBidi"/>
                <w:bCs/>
                <w:sz w:val="20"/>
              </w:rPr>
              <w:t>0.71 (0.41, 1.21)</w:t>
            </w:r>
          </w:p>
        </w:tc>
      </w:tr>
      <w:tr w:rsidR="00D31EBA" w:rsidRPr="00060B29" w:rsidTr="0027037A">
        <w:trPr>
          <w:trHeight w:val="20"/>
        </w:trPr>
        <w:tc>
          <w:tcPr>
            <w:tcW w:w="5000" w:type="pct"/>
            <w:gridSpan w:val="5"/>
            <w:tcBorders>
              <w:top w:val="doub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 xml:space="preserve">Progression (≥10% absolute decline in </w:t>
            </w:r>
            <w:r w:rsidR="00583167" w:rsidRPr="00060B29">
              <w:rPr>
                <w:rFonts w:ascii="Arial Narrow" w:eastAsiaTheme="majorEastAsia" w:hAnsi="Arial Narrow" w:cs="Times New Roman"/>
                <w:b/>
                <w:sz w:val="20"/>
              </w:rPr>
              <w:t>FVC%Pred</w:t>
            </w:r>
            <w:r w:rsidRPr="00060B29">
              <w:rPr>
                <w:rFonts w:ascii="Arial Narrow" w:eastAsiaTheme="majorEastAsia" w:hAnsi="Arial Narrow" w:cs="Times New Roman"/>
                <w:b/>
                <w:sz w:val="20"/>
              </w:rPr>
              <w:t>)</w:t>
            </w:r>
          </w:p>
        </w:tc>
      </w:tr>
      <w:tr w:rsidR="00D31EBA" w:rsidRPr="00060B29"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52 weeks</w:t>
            </w:r>
          </w:p>
        </w:tc>
        <w:tc>
          <w:tcPr>
            <w:tcW w:w="925" w:type="pct"/>
            <w:tcBorders>
              <w:top w:val="single" w:sz="4" w:space="0" w:color="auto"/>
              <w:bottom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22.0 (73/332)</w:t>
            </w:r>
          </w:p>
        </w:tc>
        <w:tc>
          <w:tcPr>
            <w:tcW w:w="1000" w:type="pct"/>
            <w:tcBorders>
              <w:top w:val="single" w:sz="4" w:space="0" w:color="auto"/>
              <w:bottom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34.7 (115/331)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−12.8 (−19.5, −6.0)</w:t>
            </w:r>
          </w:p>
        </w:tc>
        <w:tc>
          <w:tcPr>
            <w:tcW w:w="999" w:type="pct"/>
            <w:tcBorders>
              <w:top w:val="single" w:sz="4" w:space="0" w:color="auto"/>
              <w:bottom w:val="single" w:sz="4" w:space="0" w:color="auto"/>
            </w:tcBorders>
            <w:vAlign w:val="center"/>
          </w:tcPr>
          <w:p w:rsidR="00D31EBA" w:rsidRPr="00060B29" w:rsidRDefault="00D31EBA" w:rsidP="00B15687">
            <w:pPr>
              <w:jc w:val="center"/>
              <w:rPr>
                <w:rFonts w:ascii="Arial Narrow" w:eastAsiaTheme="majorEastAsia" w:hAnsi="Arial Narrow" w:cstheme="majorBidi"/>
                <w:b/>
                <w:sz w:val="20"/>
              </w:rPr>
            </w:pPr>
            <w:r w:rsidRPr="00060B29">
              <w:rPr>
                <w:rFonts w:ascii="Arial Narrow" w:eastAsiaTheme="majorEastAsia" w:hAnsi="Arial Narrow" w:cstheme="majorBidi"/>
                <w:b/>
                <w:sz w:val="20"/>
              </w:rPr>
              <w:t>0.60 (0.45, 0.80)</w:t>
            </w:r>
          </w:p>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
                <w:sz w:val="20"/>
              </w:rPr>
              <w:t>P</w:t>
            </w:r>
            <w:r w:rsidRPr="00060B29">
              <w:rPr>
                <w:rFonts w:ascii="Arial Narrow" w:eastAsiaTheme="majorEastAsia" w:hAnsi="Arial Narrow" w:cstheme="majorBidi"/>
                <w:b/>
                <w:sz w:val="20"/>
                <w:vertAlign w:val="superscript"/>
              </w:rPr>
              <w:t>~</w:t>
            </w:r>
            <w:r w:rsidRPr="00060B29">
              <w:rPr>
                <w:rFonts w:ascii="Arial Narrow" w:eastAsiaTheme="majorEastAsia" w:hAnsi="Arial Narrow" w:cstheme="majorBidi"/>
                <w:b/>
                <w:sz w:val="20"/>
              </w:rPr>
              <w:t>=0.0005</w:t>
            </w:r>
          </w:p>
        </w:tc>
      </w:tr>
      <w:tr w:rsidR="00D31EBA" w:rsidRPr="00060B29" w:rsidTr="0027037A">
        <w:trPr>
          <w:trHeight w:val="20"/>
        </w:trPr>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Over the whole trial (Part A+B) up to DBL1</w:t>
            </w:r>
          </w:p>
        </w:tc>
        <w:tc>
          <w:tcPr>
            <w:tcW w:w="925"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rPr>
              <w:t>30.4 (101/332)</w:t>
            </w:r>
          </w:p>
        </w:tc>
        <w:tc>
          <w:tcPr>
            <w:tcW w:w="1000"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Cs/>
                <w:sz w:val="20"/>
                <w:szCs w:val="20"/>
              </w:rPr>
            </w:pPr>
            <w:r w:rsidRPr="00060B29">
              <w:rPr>
                <w:rFonts w:ascii="Arial Narrow" w:eastAsiaTheme="majorEastAsia" w:hAnsi="Arial Narrow" w:cstheme="majorBidi"/>
                <w:bCs/>
                <w:sz w:val="20"/>
              </w:rPr>
              <w:t>42.9 (142/331)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center"/>
              <w:rPr>
                <w:rFonts w:ascii="Arial Narrow" w:eastAsiaTheme="majorEastAsia" w:hAnsi="Arial Narrow" w:cstheme="majorBidi"/>
                <w:b/>
                <w:sz w:val="20"/>
              </w:rPr>
            </w:pPr>
            <w:r w:rsidRPr="00060B29">
              <w:rPr>
                <w:rFonts w:ascii="Arial Narrow" w:eastAsiaTheme="majorEastAsia" w:hAnsi="Arial Narrow" w:cstheme="majorBidi"/>
                <w:b/>
                <w:i/>
                <w:iCs/>
                <w:sz w:val="20"/>
              </w:rPr>
              <w:t>−12.5 (−19.8, −5.2)</w:t>
            </w:r>
          </w:p>
        </w:tc>
        <w:tc>
          <w:tcPr>
            <w:tcW w:w="99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szCs w:val="20"/>
              </w:rPr>
            </w:pPr>
            <w:r w:rsidRPr="00060B29">
              <w:rPr>
                <w:rFonts w:ascii="Arial Narrow" w:eastAsiaTheme="majorEastAsia" w:hAnsi="Arial Narrow" w:cstheme="majorBidi"/>
                <w:b/>
                <w:sz w:val="20"/>
              </w:rPr>
              <w:t>0.65 (0.50, 0.84)</w:t>
            </w:r>
          </w:p>
        </w:tc>
      </w:tr>
    </w:tbl>
    <w:tbl>
      <w:tblPr>
        <w:tblW w:w="5000" w:type="pct"/>
        <w:tblCellMar>
          <w:left w:w="28" w:type="dxa"/>
          <w:right w:w="28" w:type="dxa"/>
        </w:tblCellMar>
        <w:tblLook w:val="04A0" w:firstRow="1" w:lastRow="0" w:firstColumn="1" w:lastColumn="0" w:noHBand="0" w:noVBand="1"/>
      </w:tblPr>
      <w:tblGrid>
        <w:gridCol w:w="2213"/>
        <w:gridCol w:w="972"/>
        <w:gridCol w:w="972"/>
        <w:gridCol w:w="1387"/>
        <w:gridCol w:w="974"/>
        <w:gridCol w:w="972"/>
        <w:gridCol w:w="1526"/>
      </w:tblGrid>
      <w:tr w:rsidR="00D31EBA" w:rsidRPr="00060B29" w:rsidTr="00F345C8">
        <w:trPr>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bookmarkEnd w:id="28"/>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Harms (over 52 weeks)</w:t>
            </w:r>
          </w:p>
        </w:tc>
      </w:tr>
      <w:tr w:rsidR="00D31EBA" w:rsidRPr="00060B29" w:rsidTr="00F345C8">
        <w:trPr>
          <w:trHeight w:val="70"/>
          <w:tblHeader/>
        </w:trPr>
        <w:tc>
          <w:tcPr>
            <w:tcW w:w="12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imes New Roman"/>
                <w:b/>
                <w:sz w:val="20"/>
              </w:rPr>
            </w:pP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n/N</w:t>
            </w:r>
          </w:p>
        </w:tc>
        <w:tc>
          <w:tcPr>
            <w:tcW w:w="539" w:type="pct"/>
            <w:vMerge w:val="restar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n/N</w:t>
            </w:r>
          </w:p>
        </w:tc>
        <w:tc>
          <w:tcPr>
            <w:tcW w:w="769" w:type="pct"/>
            <w:vMerge w:val="restar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RR</w:t>
            </w:r>
            <w:r w:rsidR="00BA656E" w:rsidRPr="00060B29">
              <w:rPr>
                <w:rFonts w:ascii="Arial Narrow" w:eastAsiaTheme="majorEastAsia" w:hAnsi="Arial Narrow" w:cs="Times New Roman"/>
                <w:b/>
                <w:sz w:val="20"/>
                <w:vertAlign w:val="superscript"/>
              </w:rPr>
              <w:t>a</w:t>
            </w:r>
          </w:p>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(95% CI)</w:t>
            </w:r>
          </w:p>
        </w:tc>
        <w:tc>
          <w:tcPr>
            <w:tcW w:w="1079" w:type="pct"/>
            <w:gridSpan w:val="2"/>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Event rate/100 patients</w:t>
            </w:r>
          </w:p>
        </w:tc>
        <w:tc>
          <w:tcPr>
            <w:tcW w:w="846" w:type="pct"/>
            <w:vMerge w:val="restar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RD</w:t>
            </w:r>
            <w:r w:rsidR="00BA656E" w:rsidRPr="00060B29">
              <w:rPr>
                <w:rFonts w:ascii="Arial Narrow" w:eastAsiaTheme="majorEastAsia" w:hAnsi="Arial Narrow" w:cs="Times New Roman"/>
                <w:b/>
                <w:sz w:val="20"/>
                <w:vertAlign w:val="superscript"/>
              </w:rPr>
              <w:t>a</w:t>
            </w:r>
          </w:p>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 (95% CI)</w:t>
            </w:r>
          </w:p>
        </w:tc>
      </w:tr>
      <w:tr w:rsidR="00D31EBA" w:rsidRPr="00060B29" w:rsidTr="00F345C8">
        <w:trPr>
          <w:trHeight w:val="390"/>
          <w:tblHeader/>
        </w:trPr>
        <w:tc>
          <w:tcPr>
            <w:tcW w:w="12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imes New Roman"/>
                <w:b/>
                <w:sz w:val="20"/>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left"/>
              <w:rPr>
                <w:rFonts w:ascii="Arial Narrow" w:eastAsiaTheme="majorEastAsia" w:hAnsi="Arial Narrow" w:cs="Times New Roman"/>
                <w:b/>
                <w:sz w:val="20"/>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left"/>
              <w:rPr>
                <w:rFonts w:ascii="Arial Narrow" w:eastAsiaTheme="majorEastAsia" w:hAnsi="Arial Narrow" w:cs="Times New Roman"/>
                <w:b/>
                <w:sz w:val="20"/>
              </w:rPr>
            </w:pPr>
          </w:p>
        </w:tc>
        <w:tc>
          <w:tcPr>
            <w:tcW w:w="769" w:type="pct"/>
            <w:vMerge/>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left"/>
              <w:rPr>
                <w:rFonts w:ascii="Arial Narrow" w:eastAsiaTheme="majorEastAsia" w:hAnsi="Arial Narrow" w:cs="Times New Roman"/>
                <w:b/>
                <w:sz w:val="20"/>
              </w:rPr>
            </w:pPr>
          </w:p>
        </w:tc>
        <w:tc>
          <w:tcPr>
            <w:tcW w:w="540"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imes New Roman"/>
                <w:b/>
                <w:sz w:val="20"/>
              </w:rPr>
            </w:pPr>
            <w:r w:rsidRPr="00060B29">
              <w:rPr>
                <w:rFonts w:ascii="Arial Narrow" w:eastAsiaTheme="majorEastAsia" w:hAnsi="Arial Narrow" w:cs="Times New Roman"/>
                <w:b/>
                <w:sz w:val="20"/>
              </w:rPr>
              <w:t>PBO</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w:t>
            </w:r>
            <w:r w:rsidR="00686339" w:rsidRPr="00060B29">
              <w:rPr>
                <w:rFonts w:ascii="Arial Narrow" w:eastAsiaTheme="majorEastAsia" w:hAnsi="Arial Narrow" w:cs="Times New Roman"/>
                <w:b/>
                <w:sz w:val="20"/>
              </w:rPr>
              <w:t xml:space="preserve"> </w:t>
            </w:r>
            <w:r w:rsidRPr="00060B29">
              <w:rPr>
                <w:rFonts w:ascii="Arial Narrow" w:eastAsiaTheme="majorEastAsia" w:hAnsi="Arial Narrow" w:cs="Times New Roman"/>
                <w:b/>
                <w:sz w:val="20"/>
              </w:rPr>
              <w:t>BSC</w:t>
            </w:r>
          </w:p>
        </w:tc>
        <w:tc>
          <w:tcPr>
            <w:tcW w:w="846" w:type="pct"/>
            <w:vMerge/>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left"/>
              <w:rPr>
                <w:rFonts w:ascii="Arial Narrow" w:eastAsiaTheme="majorEastAsia" w:hAnsi="Arial Narrow" w:cs="Times New Roman"/>
                <w:b/>
                <w:sz w:val="20"/>
              </w:rPr>
            </w:pPr>
          </w:p>
        </w:tc>
      </w:tr>
      <w:tr w:rsidR="00D31EBA" w:rsidRPr="00060B29" w:rsidTr="0027037A">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rPr>
                <w:rFonts w:ascii="Arial Narrow" w:eastAsiaTheme="majorEastAsia" w:hAnsi="Arial Narrow" w:cs="Times New Roman"/>
                <w:b/>
                <w:sz w:val="20"/>
              </w:rPr>
            </w:pPr>
            <w:r w:rsidRPr="00060B29">
              <w:rPr>
                <w:rFonts w:ascii="Arial Narrow" w:eastAsiaTheme="majorEastAsia" w:hAnsi="Arial Narrow" w:cs="Times New Roman"/>
                <w:b/>
                <w:sz w:val="20"/>
              </w:rPr>
              <w:t xml:space="preserve">Serious adverse event </w:t>
            </w:r>
          </w:p>
        </w:tc>
      </w:tr>
      <w:tr w:rsidR="00D31EBA" w:rsidRPr="00060B29"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Acute respiratory failure</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10/332</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2/331</w:t>
            </w:r>
          </w:p>
        </w:tc>
        <w:tc>
          <w:tcPr>
            <w:tcW w:w="76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4.98 (1.10, 22.58)</w:t>
            </w:r>
          </w:p>
        </w:tc>
        <w:tc>
          <w:tcPr>
            <w:tcW w:w="540"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3.0</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0.6</w:t>
            </w:r>
          </w:p>
        </w:tc>
        <w:tc>
          <w:tcPr>
            <w:tcW w:w="846"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2.4 (0.4, 4.4)</w:t>
            </w:r>
          </w:p>
        </w:tc>
      </w:tr>
      <w:tr w:rsidR="00D31EBA" w:rsidRPr="00060B29"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Drug-induced liver injury</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6/332</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0/331</w:t>
            </w:r>
          </w:p>
        </w:tc>
        <w:tc>
          <w:tcPr>
            <w:tcW w:w="76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p>
        </w:tc>
        <w:tc>
          <w:tcPr>
            <w:tcW w:w="540"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0.0</w:t>
            </w:r>
          </w:p>
        </w:tc>
        <w:tc>
          <w:tcPr>
            <w:tcW w:w="846"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1.8 (0.4, 3.2)</w:t>
            </w:r>
          </w:p>
        </w:tc>
      </w:tr>
      <w:tr w:rsidR="00D31EBA" w:rsidRPr="00060B29" w:rsidTr="0027037A">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imes New Roman"/>
                <w:b/>
                <w:sz w:val="20"/>
              </w:rPr>
            </w:pPr>
            <w:r w:rsidRPr="00060B29">
              <w:rPr>
                <w:rFonts w:ascii="Arial Narrow" w:eastAsiaTheme="majorEastAsia" w:hAnsi="Arial Narrow" w:cs="Times New Roman"/>
                <w:b/>
                <w:sz w:val="20"/>
              </w:rPr>
              <w:t>Adverse event (AE)</w:t>
            </w:r>
          </w:p>
        </w:tc>
      </w:tr>
      <w:tr w:rsidR="00D31EBA" w:rsidRPr="00060B29"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Any AE</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317/332</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296/331</w:t>
            </w:r>
          </w:p>
        </w:tc>
        <w:tc>
          <w:tcPr>
            <w:tcW w:w="76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
                <w:sz w:val="20"/>
              </w:rPr>
              <w:t>1.07 (1.02, 1.12)</w:t>
            </w:r>
          </w:p>
        </w:tc>
        <w:tc>
          <w:tcPr>
            <w:tcW w:w="540"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95.5</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89.4</w:t>
            </w:r>
          </w:p>
        </w:tc>
        <w:tc>
          <w:tcPr>
            <w:tcW w:w="846"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6.1 (2.1, 10.1)</w:t>
            </w:r>
          </w:p>
        </w:tc>
      </w:tr>
      <w:tr w:rsidR="00D31EBA" w:rsidRPr="00060B29"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keepLines/>
              <w:jc w:val="left"/>
              <w:rPr>
                <w:rFonts w:ascii="Arial Narrow" w:eastAsiaTheme="majorEastAsia" w:hAnsi="Arial Narrow" w:cstheme="majorBidi"/>
                <w:bCs/>
                <w:sz w:val="20"/>
              </w:rPr>
            </w:pPr>
            <w:r w:rsidRPr="00060B29">
              <w:rPr>
                <w:rFonts w:ascii="Arial Narrow" w:eastAsiaTheme="majorEastAsia" w:hAnsi="Arial Narrow" w:cstheme="majorBidi"/>
                <w:bCs/>
                <w:sz w:val="20"/>
              </w:rPr>
              <w:t>Investigator-defined drug-related AEs</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262/332</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126/331</w:t>
            </w:r>
          </w:p>
        </w:tc>
        <w:tc>
          <w:tcPr>
            <w:tcW w:w="76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2.07 (1.79, 2.40)</w:t>
            </w:r>
          </w:p>
        </w:tc>
        <w:tc>
          <w:tcPr>
            <w:tcW w:w="540"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78.9</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38.1</w:t>
            </w:r>
          </w:p>
        </w:tc>
        <w:tc>
          <w:tcPr>
            <w:tcW w:w="846"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keepLines/>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40.8 (34.0, 47.7)</w:t>
            </w:r>
          </w:p>
        </w:tc>
      </w:tr>
      <w:tr w:rsidR="00D31EBA" w:rsidRPr="00060B29"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AEs leading to premature and permanent discontinuation of trial medication</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65/332</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34/331</w:t>
            </w:r>
          </w:p>
        </w:tc>
        <w:tc>
          <w:tcPr>
            <w:tcW w:w="76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sz w:val="20"/>
              </w:rPr>
            </w:pPr>
            <w:r w:rsidRPr="00060B29">
              <w:rPr>
                <w:rFonts w:ascii="Arial Narrow" w:eastAsiaTheme="majorEastAsia" w:hAnsi="Arial Narrow" w:cstheme="majorBidi"/>
                <w:b/>
                <w:sz w:val="20"/>
              </w:rPr>
              <w:t>1.91 (1.30, 2.80)</w:t>
            </w:r>
          </w:p>
        </w:tc>
        <w:tc>
          <w:tcPr>
            <w:tcW w:w="540"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19.6</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10.3</w:t>
            </w:r>
          </w:p>
        </w:tc>
        <w:tc>
          <w:tcPr>
            <w:tcW w:w="846"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9.3 (3.9, 14.7)</w:t>
            </w:r>
          </w:p>
        </w:tc>
      </w:tr>
      <w:tr w:rsidR="00D31EBA" w:rsidRPr="00060B29"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AESIs^</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16/332</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5/331</w:t>
            </w:r>
          </w:p>
        </w:tc>
        <w:tc>
          <w:tcPr>
            <w:tcW w:w="76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3.19 (1.18, 8.61)</w:t>
            </w:r>
          </w:p>
        </w:tc>
        <w:tc>
          <w:tcPr>
            <w:tcW w:w="540"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4.8</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1.5</w:t>
            </w:r>
          </w:p>
        </w:tc>
        <w:tc>
          <w:tcPr>
            <w:tcW w:w="846"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3.3 (0.7, 6.0)</w:t>
            </w:r>
          </w:p>
        </w:tc>
      </w:tr>
      <w:tr w:rsidR="00D31EBA" w:rsidRPr="00060B29"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Other significant AEs</w:t>
            </w:r>
            <w:r w:rsidRPr="00060B29">
              <w:rPr>
                <w:rFonts w:ascii="Arial Narrow" w:eastAsiaTheme="majorEastAsia" w:hAnsi="Arial Narrow" w:cstheme="majorBidi"/>
                <w:bCs/>
                <w:sz w:val="20"/>
                <w:vertAlign w:val="superscript"/>
              </w:rPr>
              <w:t>#</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131/332</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19/331</w:t>
            </w:r>
          </w:p>
        </w:tc>
        <w:tc>
          <w:tcPr>
            <w:tcW w:w="769" w:type="pct"/>
            <w:tcBorders>
              <w:bottom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6.87 (4.35, 10.85)</w:t>
            </w:r>
          </w:p>
        </w:tc>
        <w:tc>
          <w:tcPr>
            <w:tcW w:w="540"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39.5</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5.7</w:t>
            </w:r>
          </w:p>
        </w:tc>
        <w:tc>
          <w:tcPr>
            <w:tcW w:w="846"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33.7 (27.9, 39.5)</w:t>
            </w:r>
          </w:p>
        </w:tc>
      </w:tr>
      <w:tr w:rsidR="00D31EBA" w:rsidRPr="00060B29" w:rsidTr="0027037A">
        <w:tc>
          <w:tcPr>
            <w:tcW w:w="1228" w:type="pct"/>
            <w:tcBorders>
              <w:top w:val="single" w:sz="4" w:space="0" w:color="auto"/>
              <w:left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Gastrointestinal disorders</w:t>
            </w:r>
          </w:p>
        </w:tc>
        <w:tc>
          <w:tcPr>
            <w:tcW w:w="53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268/332</w:t>
            </w:r>
          </w:p>
        </w:tc>
        <w:tc>
          <w:tcPr>
            <w:tcW w:w="53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149/331</w:t>
            </w:r>
          </w:p>
        </w:tc>
        <w:tc>
          <w:tcPr>
            <w:tcW w:w="76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1.79 (1.57, 2.04)</w:t>
            </w:r>
          </w:p>
        </w:tc>
        <w:tc>
          <w:tcPr>
            <w:tcW w:w="540"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80.7</w:t>
            </w:r>
          </w:p>
        </w:tc>
        <w:tc>
          <w:tcPr>
            <w:tcW w:w="53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45.0</w:t>
            </w:r>
          </w:p>
        </w:tc>
        <w:tc>
          <w:tcPr>
            <w:tcW w:w="846"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35.7 (28.9, 42.5)</w:t>
            </w:r>
          </w:p>
        </w:tc>
      </w:tr>
      <w:tr w:rsidR="00D31EBA" w:rsidRPr="00060B29" w:rsidTr="0027037A">
        <w:tc>
          <w:tcPr>
            <w:tcW w:w="1228" w:type="pct"/>
            <w:tcBorders>
              <w:left w:val="single" w:sz="4" w:space="0" w:color="auto"/>
              <w:right w:val="single" w:sz="4" w:space="0" w:color="auto"/>
            </w:tcBorders>
            <w:shd w:val="clear" w:color="auto" w:fill="auto"/>
            <w:vAlign w:val="center"/>
          </w:tcPr>
          <w:p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Diarrhoea</w:t>
            </w:r>
          </w:p>
        </w:tc>
        <w:tc>
          <w:tcPr>
            <w:tcW w:w="53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222/332</w:t>
            </w:r>
          </w:p>
        </w:tc>
        <w:tc>
          <w:tcPr>
            <w:tcW w:w="53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79/23.9</w:t>
            </w:r>
          </w:p>
        </w:tc>
        <w:tc>
          <w:tcPr>
            <w:tcW w:w="76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2.80 (2.28, 3.45)</w:t>
            </w:r>
          </w:p>
        </w:tc>
        <w:tc>
          <w:tcPr>
            <w:tcW w:w="540"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66.9</w:t>
            </w:r>
          </w:p>
        </w:tc>
        <w:tc>
          <w:tcPr>
            <w:tcW w:w="53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23.9</w:t>
            </w:r>
          </w:p>
        </w:tc>
        <w:tc>
          <w:tcPr>
            <w:tcW w:w="846"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43.0 (36.2, 49.8)</w:t>
            </w:r>
          </w:p>
        </w:tc>
      </w:tr>
      <w:tr w:rsidR="00D31EBA" w:rsidRPr="00060B29" w:rsidTr="0027037A">
        <w:tc>
          <w:tcPr>
            <w:tcW w:w="1228" w:type="pct"/>
            <w:tcBorders>
              <w:left w:val="single" w:sz="4" w:space="0" w:color="auto"/>
              <w:right w:val="single" w:sz="4" w:space="0" w:color="auto"/>
            </w:tcBorders>
            <w:shd w:val="clear" w:color="auto" w:fill="auto"/>
            <w:vAlign w:val="center"/>
          </w:tcPr>
          <w:p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Nausea</w:t>
            </w:r>
          </w:p>
        </w:tc>
        <w:tc>
          <w:tcPr>
            <w:tcW w:w="53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96/332</w:t>
            </w:r>
          </w:p>
        </w:tc>
        <w:tc>
          <w:tcPr>
            <w:tcW w:w="53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31/331</w:t>
            </w:r>
          </w:p>
        </w:tc>
        <w:tc>
          <w:tcPr>
            <w:tcW w:w="76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3.09 (2.12, 4.49)</w:t>
            </w:r>
          </w:p>
        </w:tc>
        <w:tc>
          <w:tcPr>
            <w:tcW w:w="540"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28.9</w:t>
            </w:r>
          </w:p>
        </w:tc>
        <w:tc>
          <w:tcPr>
            <w:tcW w:w="53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9.4</w:t>
            </w:r>
          </w:p>
        </w:tc>
        <w:tc>
          <w:tcPr>
            <w:tcW w:w="846"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19.6 (13.8, 25.3)</w:t>
            </w:r>
          </w:p>
        </w:tc>
      </w:tr>
      <w:tr w:rsidR="00D31EBA" w:rsidRPr="00060B29" w:rsidTr="0027037A">
        <w:tc>
          <w:tcPr>
            <w:tcW w:w="1228" w:type="pct"/>
            <w:tcBorders>
              <w:left w:val="single" w:sz="4" w:space="0" w:color="auto"/>
              <w:bottom w:val="single" w:sz="4" w:space="0" w:color="auto"/>
              <w:right w:val="single" w:sz="4" w:space="0" w:color="auto"/>
            </w:tcBorders>
            <w:shd w:val="clear" w:color="auto" w:fill="auto"/>
            <w:vAlign w:val="center"/>
          </w:tcPr>
          <w:p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Abdominal pain</w:t>
            </w:r>
          </w:p>
        </w:tc>
        <w:tc>
          <w:tcPr>
            <w:tcW w:w="53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30/332</w:t>
            </w:r>
          </w:p>
        </w:tc>
        <w:tc>
          <w:tcPr>
            <w:tcW w:w="53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6/331</w:t>
            </w:r>
          </w:p>
        </w:tc>
        <w:tc>
          <w:tcPr>
            <w:tcW w:w="76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4.98 (2.10, 11.82)</w:t>
            </w:r>
          </w:p>
        </w:tc>
        <w:tc>
          <w:tcPr>
            <w:tcW w:w="540"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9.0</w:t>
            </w:r>
          </w:p>
        </w:tc>
        <w:tc>
          <w:tcPr>
            <w:tcW w:w="53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1.8</w:t>
            </w:r>
          </w:p>
        </w:tc>
        <w:tc>
          <w:tcPr>
            <w:tcW w:w="846"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7.2 (3.8, 10.6)</w:t>
            </w:r>
          </w:p>
        </w:tc>
      </w:tr>
      <w:tr w:rsidR="00D31EBA" w:rsidRPr="00060B29" w:rsidTr="0027037A">
        <w:tc>
          <w:tcPr>
            <w:tcW w:w="1228" w:type="pct"/>
            <w:tcBorders>
              <w:top w:val="single" w:sz="4" w:space="0" w:color="auto"/>
              <w:left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Investigations</w:t>
            </w:r>
          </w:p>
        </w:tc>
        <w:tc>
          <w:tcPr>
            <w:tcW w:w="53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114/332</w:t>
            </w:r>
          </w:p>
        </w:tc>
        <w:tc>
          <w:tcPr>
            <w:tcW w:w="53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56/331</w:t>
            </w:r>
          </w:p>
        </w:tc>
        <w:tc>
          <w:tcPr>
            <w:tcW w:w="76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2.03 (1.53, 2.69)</w:t>
            </w:r>
          </w:p>
        </w:tc>
        <w:tc>
          <w:tcPr>
            <w:tcW w:w="540"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34.3</w:t>
            </w:r>
          </w:p>
        </w:tc>
        <w:tc>
          <w:tcPr>
            <w:tcW w:w="53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16.9</w:t>
            </w:r>
          </w:p>
        </w:tc>
        <w:tc>
          <w:tcPr>
            <w:tcW w:w="846"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17.4 (10.9, 23.9)</w:t>
            </w:r>
          </w:p>
        </w:tc>
      </w:tr>
      <w:tr w:rsidR="00D31EBA" w:rsidRPr="00060B29" w:rsidTr="0027037A">
        <w:tc>
          <w:tcPr>
            <w:tcW w:w="1228" w:type="pct"/>
            <w:tcBorders>
              <w:left w:val="single" w:sz="4" w:space="0" w:color="auto"/>
              <w:right w:val="single" w:sz="4" w:space="0" w:color="auto"/>
            </w:tcBorders>
            <w:shd w:val="clear" w:color="auto" w:fill="auto"/>
            <w:vAlign w:val="center"/>
          </w:tcPr>
          <w:p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ALT increased</w:t>
            </w:r>
          </w:p>
        </w:tc>
        <w:tc>
          <w:tcPr>
            <w:tcW w:w="53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43/332</w:t>
            </w:r>
          </w:p>
        </w:tc>
        <w:tc>
          <w:tcPr>
            <w:tcW w:w="53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12/331</w:t>
            </w:r>
          </w:p>
        </w:tc>
        <w:tc>
          <w:tcPr>
            <w:tcW w:w="769" w:type="pct"/>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3.57 (1.92, 6.65)</w:t>
            </w:r>
          </w:p>
        </w:tc>
        <w:tc>
          <w:tcPr>
            <w:tcW w:w="540"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13.0</w:t>
            </w:r>
          </w:p>
        </w:tc>
        <w:tc>
          <w:tcPr>
            <w:tcW w:w="539"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3.6</w:t>
            </w:r>
          </w:p>
        </w:tc>
        <w:tc>
          <w:tcPr>
            <w:tcW w:w="846" w:type="pct"/>
            <w:tcBorders>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9.3 (5.2, 13.5)</w:t>
            </w:r>
          </w:p>
        </w:tc>
      </w:tr>
      <w:tr w:rsidR="00D31EBA" w:rsidRPr="00060B29" w:rsidTr="0027037A">
        <w:tc>
          <w:tcPr>
            <w:tcW w:w="1228" w:type="pct"/>
            <w:tcBorders>
              <w:left w:val="single" w:sz="4" w:space="0" w:color="auto"/>
              <w:bottom w:val="single" w:sz="4" w:space="0" w:color="auto"/>
              <w:right w:val="single" w:sz="4" w:space="0" w:color="auto"/>
            </w:tcBorders>
            <w:shd w:val="clear" w:color="auto" w:fill="auto"/>
            <w:vAlign w:val="center"/>
          </w:tcPr>
          <w:p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AST increased</w:t>
            </w:r>
          </w:p>
        </w:tc>
        <w:tc>
          <w:tcPr>
            <w:tcW w:w="53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38/332</w:t>
            </w:r>
          </w:p>
        </w:tc>
        <w:tc>
          <w:tcPr>
            <w:tcW w:w="53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12/331</w:t>
            </w:r>
          </w:p>
        </w:tc>
        <w:tc>
          <w:tcPr>
            <w:tcW w:w="769" w:type="pct"/>
            <w:tcBorders>
              <w:bottom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3.16 (1.68, 5.93)</w:t>
            </w:r>
          </w:p>
        </w:tc>
        <w:tc>
          <w:tcPr>
            <w:tcW w:w="540"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11.4</w:t>
            </w:r>
          </w:p>
        </w:tc>
        <w:tc>
          <w:tcPr>
            <w:tcW w:w="53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3.6</w:t>
            </w:r>
          </w:p>
        </w:tc>
        <w:tc>
          <w:tcPr>
            <w:tcW w:w="846"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7.8 (3.8, 11.8)</w:t>
            </w:r>
          </w:p>
        </w:tc>
      </w:tr>
      <w:tr w:rsidR="00D31EBA" w:rsidRPr="00060B29" w:rsidTr="0027037A">
        <w:tc>
          <w:tcPr>
            <w:tcW w:w="1228" w:type="pct"/>
            <w:tcBorders>
              <w:top w:val="single" w:sz="4" w:space="0" w:color="auto"/>
              <w:left w:val="single" w:sz="4" w:space="0" w:color="auto"/>
              <w:bottom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Decreased appetite</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48/332</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17 (5.1)</w:t>
            </w:r>
          </w:p>
        </w:tc>
        <w:tc>
          <w:tcPr>
            <w:tcW w:w="76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2.82 (1.65, 4.79)</w:t>
            </w:r>
          </w:p>
        </w:tc>
        <w:tc>
          <w:tcPr>
            <w:tcW w:w="540"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14.5</w:t>
            </w:r>
          </w:p>
        </w:tc>
        <w:tc>
          <w:tcPr>
            <w:tcW w:w="539"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5.1</w:t>
            </w:r>
          </w:p>
        </w:tc>
        <w:tc>
          <w:tcPr>
            <w:tcW w:w="846" w:type="pct"/>
            <w:tcBorders>
              <w:top w:val="single" w:sz="4" w:space="0" w:color="auto"/>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9.3 (4.9, 13.8)</w:t>
            </w:r>
          </w:p>
        </w:tc>
      </w:tr>
      <w:tr w:rsidR="00D31EBA" w:rsidRPr="00060B29" w:rsidTr="0027037A">
        <w:tc>
          <w:tcPr>
            <w:tcW w:w="1228" w:type="pct"/>
            <w:tcBorders>
              <w:top w:val="single" w:sz="4" w:space="0" w:color="auto"/>
              <w:left w:val="single" w:sz="4" w:space="0" w:color="auto"/>
              <w:right w:val="single" w:sz="4" w:space="0" w:color="auto"/>
            </w:tcBorders>
            <w:shd w:val="clear" w:color="auto" w:fill="auto"/>
            <w:vAlign w:val="center"/>
          </w:tcPr>
          <w:p w:rsidR="00D31EBA" w:rsidRPr="00060B29" w:rsidRDefault="00D31EBA" w:rsidP="00B15687">
            <w:pPr>
              <w:jc w:val="left"/>
              <w:rPr>
                <w:rFonts w:ascii="Arial Narrow" w:eastAsiaTheme="majorEastAsia" w:hAnsi="Arial Narrow" w:cstheme="majorBidi"/>
                <w:bCs/>
                <w:sz w:val="20"/>
              </w:rPr>
            </w:pPr>
            <w:r w:rsidRPr="00060B29">
              <w:rPr>
                <w:rFonts w:ascii="Arial Narrow" w:eastAsiaTheme="majorEastAsia" w:hAnsi="Arial Narrow" w:cstheme="majorBidi"/>
                <w:bCs/>
                <w:sz w:val="20"/>
              </w:rPr>
              <w:t>Hepatobiliary disorders</w:t>
            </w:r>
          </w:p>
        </w:tc>
        <w:tc>
          <w:tcPr>
            <w:tcW w:w="53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38 (11.4)</w:t>
            </w:r>
          </w:p>
        </w:tc>
        <w:tc>
          <w:tcPr>
            <w:tcW w:w="53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10 (3.0)</w:t>
            </w:r>
          </w:p>
        </w:tc>
        <w:tc>
          <w:tcPr>
            <w:tcW w:w="76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3.79 (1.92, 7.48)</w:t>
            </w:r>
          </w:p>
        </w:tc>
        <w:tc>
          <w:tcPr>
            <w:tcW w:w="540"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11.4</w:t>
            </w:r>
          </w:p>
        </w:tc>
        <w:tc>
          <w:tcPr>
            <w:tcW w:w="539"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3.0</w:t>
            </w:r>
          </w:p>
        </w:tc>
        <w:tc>
          <w:tcPr>
            <w:tcW w:w="846" w:type="pct"/>
            <w:tcBorders>
              <w:top w:val="single" w:sz="4" w:space="0" w:color="auto"/>
              <w:left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8.4 (4.5, 12.3)</w:t>
            </w:r>
          </w:p>
        </w:tc>
      </w:tr>
      <w:tr w:rsidR="00D31EBA" w:rsidRPr="00060B29" w:rsidTr="0027037A">
        <w:tc>
          <w:tcPr>
            <w:tcW w:w="1228" w:type="pct"/>
            <w:tcBorders>
              <w:left w:val="single" w:sz="4" w:space="0" w:color="auto"/>
              <w:bottom w:val="single" w:sz="4" w:space="0" w:color="auto"/>
              <w:right w:val="single" w:sz="4" w:space="0" w:color="auto"/>
            </w:tcBorders>
            <w:shd w:val="clear" w:color="auto" w:fill="auto"/>
            <w:vAlign w:val="center"/>
          </w:tcPr>
          <w:p w:rsidR="00D31EBA" w:rsidRPr="00060B29" w:rsidRDefault="00D31EBA" w:rsidP="00B15687">
            <w:pPr>
              <w:ind w:left="170"/>
              <w:jc w:val="left"/>
              <w:rPr>
                <w:rFonts w:ascii="Arial Narrow" w:eastAsiaTheme="majorEastAsia" w:hAnsi="Arial Narrow" w:cstheme="majorBidi"/>
                <w:bCs/>
                <w:sz w:val="20"/>
              </w:rPr>
            </w:pPr>
            <w:r w:rsidRPr="00060B29">
              <w:rPr>
                <w:rFonts w:ascii="Arial Narrow" w:eastAsiaTheme="majorEastAsia" w:hAnsi="Arial Narrow" w:cstheme="majorBidi"/>
                <w:bCs/>
                <w:sz w:val="20"/>
              </w:rPr>
              <w:t>Hepatic function abnormal</w:t>
            </w:r>
          </w:p>
        </w:tc>
        <w:tc>
          <w:tcPr>
            <w:tcW w:w="53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19 (5.7)</w:t>
            </w:r>
          </w:p>
        </w:tc>
        <w:tc>
          <w:tcPr>
            <w:tcW w:w="53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3 (0.9)</w:t>
            </w:r>
          </w:p>
        </w:tc>
        <w:tc>
          <w:tcPr>
            <w:tcW w:w="76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6.31 (1.89, 21.13)</w:t>
            </w:r>
          </w:p>
        </w:tc>
        <w:tc>
          <w:tcPr>
            <w:tcW w:w="540"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5.7</w:t>
            </w:r>
          </w:p>
        </w:tc>
        <w:tc>
          <w:tcPr>
            <w:tcW w:w="539"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Cs/>
                <w:sz w:val="20"/>
              </w:rPr>
            </w:pPr>
            <w:r w:rsidRPr="00060B29">
              <w:rPr>
                <w:rFonts w:ascii="Arial Narrow" w:eastAsiaTheme="majorEastAsia" w:hAnsi="Arial Narrow" w:cstheme="majorBidi"/>
                <w:bCs/>
                <w:sz w:val="20"/>
              </w:rPr>
              <w:t>0.9</w:t>
            </w:r>
          </w:p>
        </w:tc>
        <w:tc>
          <w:tcPr>
            <w:tcW w:w="846" w:type="pct"/>
            <w:tcBorders>
              <w:left w:val="single" w:sz="4" w:space="0" w:color="auto"/>
              <w:bottom w:val="single" w:sz="4" w:space="0" w:color="auto"/>
              <w:right w:val="single" w:sz="4" w:space="0" w:color="auto"/>
            </w:tcBorders>
            <w:vAlign w:val="center"/>
          </w:tcPr>
          <w:p w:rsidR="00D31EBA" w:rsidRPr="00060B29" w:rsidRDefault="00D31EBA" w:rsidP="00B15687">
            <w:pPr>
              <w:jc w:val="center"/>
              <w:rPr>
                <w:rFonts w:ascii="Arial Narrow" w:eastAsiaTheme="majorEastAsia" w:hAnsi="Arial Narrow" w:cstheme="majorBidi"/>
                <w:b/>
                <w:i/>
                <w:iCs/>
                <w:sz w:val="20"/>
              </w:rPr>
            </w:pPr>
            <w:r w:rsidRPr="00060B29">
              <w:rPr>
                <w:rFonts w:ascii="Arial Narrow" w:eastAsiaTheme="majorEastAsia" w:hAnsi="Arial Narrow" w:cstheme="majorBidi"/>
                <w:b/>
                <w:i/>
                <w:iCs/>
                <w:sz w:val="20"/>
              </w:rPr>
              <w:t>4.8 (2.1, 7.5)</w:t>
            </w:r>
          </w:p>
        </w:tc>
      </w:tr>
    </w:tbl>
    <w:p w:rsidR="00D31EBA" w:rsidRPr="00060B29" w:rsidRDefault="00D31EBA" w:rsidP="00B15687">
      <w:pPr>
        <w:pStyle w:val="TableFigureFooter"/>
        <w:rPr>
          <w:sz w:val="20"/>
        </w:rPr>
      </w:pPr>
      <w:r w:rsidRPr="00060B29">
        <w:t>Source: Table 12.1.2.1:1, p311 in the Clinical Trial Report Main analysis (Document No: c26471552-02), Trial 1199.247, November 2019.</w:t>
      </w:r>
    </w:p>
    <w:p w:rsidR="00D31EBA" w:rsidRPr="00060B29" w:rsidRDefault="00D31EBA" w:rsidP="00B15687">
      <w:pPr>
        <w:pStyle w:val="TableFigureFooter"/>
      </w:pPr>
      <w:r w:rsidRPr="00060B29">
        <w:t xml:space="preserve">AE=adverse event; AESI=adverse event of special interest; ALT=alanine aminotransferase; AST=aspartate aminotransferase; BSC=best supportive care; FVC=forced vital capacity; </w:t>
      </w:r>
      <w:r w:rsidR="00566829" w:rsidRPr="00060B29">
        <w:t xml:space="preserve">FVC%Pred= forced vital capacity % predicted; </w:t>
      </w:r>
      <w:r w:rsidRPr="00060B29">
        <w:t>HR=hazard ratio; OR=odds ratio; PBO=placebo; pt-yr=patient-year; RD=risk difference; RR=risk ratio</w:t>
      </w:r>
    </w:p>
    <w:p w:rsidR="00D31EBA" w:rsidRPr="00060B29" w:rsidRDefault="00D31EBA" w:rsidP="00B15687">
      <w:pPr>
        <w:pStyle w:val="TableFigureFooter"/>
      </w:pPr>
      <w:r w:rsidRPr="00060B29">
        <w:t>* Based on a random coefficient regression with fixed effects for treatment, HRCT pattern (for the overall population only), and baseline FVC (mL), and including treatment-by-time and baseline-by-time interactions. The within-patient errors were modelled by an unstructured variance-covariance matrix.</w:t>
      </w:r>
    </w:p>
    <w:p w:rsidR="00D31EBA" w:rsidRPr="00060B29" w:rsidRDefault="00D31EBA" w:rsidP="00B15687">
      <w:pPr>
        <w:pStyle w:val="TableFigureFooter"/>
      </w:pPr>
      <w:r w:rsidRPr="00060B29">
        <w:rPr>
          <w:vertAlign w:val="superscript"/>
        </w:rPr>
        <w:t>†</w:t>
      </w:r>
      <w:r w:rsidRPr="00060B29">
        <w:t xml:space="preserve"> Based on a logistic regression model with continuous covariate baseline </w:t>
      </w:r>
      <w:r w:rsidR="00583167" w:rsidRPr="00060B29">
        <w:t>FVC%Pred</w:t>
      </w:r>
      <w:r w:rsidRPr="00060B29">
        <w:t xml:space="preserve"> and binary covariate HRCT pattern (for the overall population only).</w:t>
      </w:r>
    </w:p>
    <w:p w:rsidR="00D31EBA" w:rsidRPr="00060B29" w:rsidRDefault="00D31EBA" w:rsidP="00B15687">
      <w:pPr>
        <w:pStyle w:val="TableFigureFooter"/>
        <w:rPr>
          <w:rFonts w:eastAsia="Calibri"/>
        </w:rPr>
      </w:pPr>
      <w:r w:rsidRPr="00060B29">
        <w:rPr>
          <w:rFonts w:eastAsia="Calibri"/>
        </w:rPr>
        <w:t>^ AESI relates to any specific AE identified at the project level as being of particular concern for prospective safety monitoring and safety assessment within this trial. Protocol-specified AESIs included gastrointestinal perforation and hepatic injury.</w:t>
      </w:r>
    </w:p>
    <w:p w:rsidR="00D31EBA" w:rsidRPr="00060B29" w:rsidRDefault="00D31EBA" w:rsidP="00B15687">
      <w:pPr>
        <w:pStyle w:val="TableFigureFooter"/>
        <w:rPr>
          <w:rFonts w:eastAsia="Calibri"/>
        </w:rPr>
      </w:pPr>
      <w:r w:rsidRPr="00060B29">
        <w:rPr>
          <w:rFonts w:eastAsia="Calibri"/>
          <w:vertAlign w:val="superscript"/>
        </w:rPr>
        <w:t>#</w:t>
      </w:r>
      <w:r w:rsidRPr="00060B29">
        <w:rPr>
          <w:rFonts w:eastAsia="Calibri"/>
        </w:rPr>
        <w:t xml:space="preserve"> Non-serious AEs that led to dose reduction or premature discontinuation of trial medication.</w:t>
      </w:r>
    </w:p>
    <w:p w:rsidR="00D31EBA" w:rsidRPr="00060B29" w:rsidRDefault="00D31EBA" w:rsidP="00B15687">
      <w:pPr>
        <w:pStyle w:val="TableFigureFooter"/>
      </w:pPr>
      <w:r w:rsidRPr="00060B29">
        <w:t xml:space="preserve">Data in </w:t>
      </w:r>
      <w:r w:rsidRPr="00060B29">
        <w:rPr>
          <w:b/>
          <w:bCs/>
        </w:rPr>
        <w:t>bold</w:t>
      </w:r>
      <w:r w:rsidRPr="00060B29">
        <w:t xml:space="preserve"> indicate reaching statistical significance.</w:t>
      </w:r>
    </w:p>
    <w:p w:rsidR="00D31EBA" w:rsidRPr="00060B29" w:rsidRDefault="00070CB0" w:rsidP="00B15687">
      <w:pPr>
        <w:pStyle w:val="TableFigureFooter"/>
      </w:pPr>
      <w:r w:rsidRPr="00060B29">
        <w:rPr>
          <w:b/>
          <w:i/>
          <w:iCs/>
          <w:vertAlign w:val="superscript"/>
        </w:rPr>
        <w:t xml:space="preserve">a </w:t>
      </w:r>
      <w:r w:rsidR="00D31EBA" w:rsidRPr="00060B29">
        <w:t>data prepared during the evaluation. Comparative data were not provided in the submission.</w:t>
      </w:r>
    </w:p>
    <w:p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snapToGrid w:val="0"/>
        </w:rPr>
        <w:t xml:space="preserve">On the basis of </w:t>
      </w:r>
      <w:r w:rsidR="001C4AED" w:rsidRPr="00060B29">
        <w:rPr>
          <w:rFonts w:asciiTheme="minorHAnsi" w:hAnsiTheme="minorHAnsi"/>
          <w:snapToGrid w:val="0"/>
        </w:rPr>
        <w:t xml:space="preserve">the </w:t>
      </w:r>
      <w:r w:rsidRPr="00060B29">
        <w:rPr>
          <w:rFonts w:asciiTheme="minorHAnsi" w:hAnsiTheme="minorHAnsi"/>
          <w:snapToGrid w:val="0"/>
        </w:rPr>
        <w:t xml:space="preserve">direct evidence presented by the submission, </w:t>
      </w:r>
      <w:r w:rsidR="001C4AED" w:rsidRPr="00060B29">
        <w:rPr>
          <w:rFonts w:asciiTheme="minorHAnsi" w:hAnsiTheme="minorHAnsi"/>
          <w:snapToGrid w:val="0"/>
        </w:rPr>
        <w:t xml:space="preserve">treatment with </w:t>
      </w:r>
      <w:r w:rsidRPr="00060B29">
        <w:rPr>
          <w:rFonts w:asciiTheme="minorHAnsi" w:hAnsiTheme="minorHAnsi"/>
          <w:snapToGrid w:val="0"/>
        </w:rPr>
        <w:t xml:space="preserve">nintedanib </w:t>
      </w:r>
      <w:r w:rsidR="001C4AED" w:rsidRPr="00060B29">
        <w:rPr>
          <w:rFonts w:asciiTheme="minorHAnsi" w:hAnsiTheme="minorHAnsi"/>
          <w:snapToGrid w:val="0"/>
        </w:rPr>
        <w:t xml:space="preserve">compared with </w:t>
      </w:r>
      <w:r w:rsidRPr="00060B29">
        <w:rPr>
          <w:rFonts w:asciiTheme="minorHAnsi" w:hAnsiTheme="minorHAnsi"/>
          <w:snapToGrid w:val="0"/>
        </w:rPr>
        <w:t xml:space="preserve">placebo + </w:t>
      </w:r>
      <w:r w:rsidR="00EE5F1F" w:rsidRPr="00060B29">
        <w:rPr>
          <w:rFonts w:asciiTheme="minorHAnsi" w:hAnsiTheme="minorHAnsi"/>
          <w:snapToGrid w:val="0"/>
        </w:rPr>
        <w:t>BSC</w:t>
      </w:r>
      <w:r w:rsidRPr="00060B29">
        <w:rPr>
          <w:rFonts w:asciiTheme="minorHAnsi" w:hAnsiTheme="minorHAnsi"/>
          <w:snapToGrid w:val="0"/>
        </w:rPr>
        <w:t xml:space="preserve"> resulted in:</w:t>
      </w:r>
    </w:p>
    <w:p w:rsidR="00D31EBA" w:rsidRPr="00060B29" w:rsidRDefault="00D31EBA" w:rsidP="00B15687">
      <w:pPr>
        <w:numPr>
          <w:ilvl w:val="0"/>
          <w:numId w:val="3"/>
        </w:numPr>
        <w:spacing w:after="120"/>
        <w:rPr>
          <w:rFonts w:asciiTheme="minorHAnsi" w:hAnsiTheme="minorHAnsi"/>
          <w:snapToGrid w:val="0"/>
        </w:rPr>
      </w:pPr>
      <w:r w:rsidRPr="00060B29">
        <w:rPr>
          <w:rFonts w:asciiTheme="minorHAnsi" w:hAnsiTheme="minorHAnsi"/>
          <w:snapToGrid w:val="0"/>
        </w:rPr>
        <w:t>A</w:t>
      </w:r>
      <w:r w:rsidR="001C4AED" w:rsidRPr="00060B29">
        <w:rPr>
          <w:rFonts w:asciiTheme="minorHAnsi" w:hAnsiTheme="minorHAnsi"/>
          <w:snapToGrid w:val="0"/>
        </w:rPr>
        <w:t>n a</w:t>
      </w:r>
      <w:r w:rsidRPr="00060B29">
        <w:rPr>
          <w:rFonts w:asciiTheme="minorHAnsi" w:hAnsiTheme="minorHAnsi"/>
          <w:snapToGrid w:val="0"/>
        </w:rPr>
        <w:t>pproximate 107 mL/year reduction in the rate of decline in forced vital capacity (FVC</w:t>
      </w:r>
      <w:r w:rsidR="001C4AED" w:rsidRPr="00060B29">
        <w:rPr>
          <w:rFonts w:asciiTheme="minorHAnsi" w:hAnsiTheme="minorHAnsi"/>
          <w:snapToGrid w:val="0"/>
        </w:rPr>
        <w:t>, measure of lung function</w:t>
      </w:r>
      <w:r w:rsidRPr="00060B29">
        <w:rPr>
          <w:rFonts w:asciiTheme="minorHAnsi" w:hAnsiTheme="minorHAnsi"/>
          <w:snapToGrid w:val="0"/>
        </w:rPr>
        <w:t xml:space="preserve">) over 52 weeks of treatment exposure. </w:t>
      </w:r>
    </w:p>
    <w:p w:rsidR="00D31EBA" w:rsidRPr="00060B29" w:rsidRDefault="00D31EBA" w:rsidP="00B15687">
      <w:pPr>
        <w:numPr>
          <w:ilvl w:val="1"/>
          <w:numId w:val="1"/>
        </w:numPr>
        <w:spacing w:after="120"/>
        <w:rPr>
          <w:rFonts w:asciiTheme="minorHAnsi" w:hAnsiTheme="minorHAnsi"/>
          <w:snapToGrid w:val="0"/>
        </w:rPr>
      </w:pPr>
      <w:r w:rsidRPr="00060B29">
        <w:rPr>
          <w:rFonts w:asciiTheme="minorHAnsi" w:hAnsiTheme="minorHAnsi"/>
          <w:snapToGrid w:val="0"/>
        </w:rPr>
        <w:t xml:space="preserve">On the basis of </w:t>
      </w:r>
      <w:r w:rsidR="001C4AED" w:rsidRPr="00060B29">
        <w:rPr>
          <w:rFonts w:asciiTheme="minorHAnsi" w:hAnsiTheme="minorHAnsi"/>
          <w:snapToGrid w:val="0"/>
        </w:rPr>
        <w:t xml:space="preserve">the </w:t>
      </w:r>
      <w:r w:rsidRPr="00060B29">
        <w:rPr>
          <w:rFonts w:asciiTheme="minorHAnsi" w:hAnsiTheme="minorHAnsi"/>
          <w:snapToGrid w:val="0"/>
        </w:rPr>
        <w:t xml:space="preserve">direct evidence presented by the submission, for every 100 patients treated with nintedanib in comparison with placebo </w:t>
      </w:r>
      <w:r w:rsidR="00EE5F1F" w:rsidRPr="00060B29">
        <w:rPr>
          <w:rFonts w:asciiTheme="minorHAnsi" w:hAnsiTheme="minorHAnsi"/>
          <w:snapToGrid w:val="0"/>
        </w:rPr>
        <w:t xml:space="preserve">+ BSC </w:t>
      </w:r>
      <w:r w:rsidRPr="00060B29">
        <w:rPr>
          <w:rFonts w:asciiTheme="minorHAnsi" w:hAnsiTheme="minorHAnsi"/>
          <w:snapToGrid w:val="0"/>
        </w:rPr>
        <w:t>over 52 weeks of exposure:</w:t>
      </w:r>
    </w:p>
    <w:p w:rsidR="00D31EBA" w:rsidRPr="00060B29" w:rsidRDefault="00D31EBA"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1</w:t>
      </w:r>
      <w:r w:rsidR="00EE5F1F" w:rsidRPr="00060B29">
        <w:rPr>
          <w:rFonts w:asciiTheme="minorHAnsi" w:hAnsiTheme="minorHAnsi"/>
          <w:snapToGrid w:val="0"/>
        </w:rPr>
        <w:t>1</w:t>
      </w:r>
      <w:r w:rsidRPr="00060B29">
        <w:rPr>
          <w:rFonts w:asciiTheme="minorHAnsi" w:hAnsiTheme="minorHAnsi"/>
          <w:snapToGrid w:val="0"/>
        </w:rPr>
        <w:t xml:space="preserve"> fewer patients would have declined by </w:t>
      </w:r>
      <w:r w:rsidR="00EE5F1F" w:rsidRPr="00060B29">
        <w:rPr>
          <w:rFonts w:asciiTheme="minorHAnsi" w:hAnsiTheme="minorHAnsi"/>
          <w:snapToGrid w:val="0"/>
        </w:rPr>
        <w:t>5</w:t>
      </w:r>
      <w:r w:rsidRPr="00060B29">
        <w:rPr>
          <w:rFonts w:asciiTheme="minorHAnsi" w:hAnsiTheme="minorHAnsi"/>
          <w:snapToGrid w:val="0"/>
        </w:rPr>
        <w:t xml:space="preserve">% or more in the predicted value of forced vital capacity. </w:t>
      </w:r>
      <w:r w:rsidR="00E655DE" w:rsidRPr="00060B29">
        <w:rPr>
          <w:rFonts w:asciiTheme="minorHAnsi" w:hAnsiTheme="minorHAnsi"/>
          <w:snapToGrid w:val="0"/>
        </w:rPr>
        <w:t>A change of 3.12% was considered clinically meaningful by the submission.</w:t>
      </w:r>
    </w:p>
    <w:p w:rsidR="00D31EBA" w:rsidRPr="00060B29" w:rsidRDefault="00D31EBA"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eight fewer patients would have declined by 10% in the predicted value of forced vital capacity.</w:t>
      </w:r>
      <w:r w:rsidR="00EE5F1F" w:rsidRPr="00060B29">
        <w:rPr>
          <w:rFonts w:asciiTheme="minorHAnsi" w:hAnsiTheme="minorHAnsi"/>
          <w:snapToGrid w:val="0"/>
        </w:rPr>
        <w:t xml:space="preserve"> </w:t>
      </w:r>
    </w:p>
    <w:p w:rsidR="00C452C1" w:rsidRPr="00060B29" w:rsidRDefault="00C452C1" w:rsidP="00B15687">
      <w:pPr>
        <w:numPr>
          <w:ilvl w:val="0"/>
          <w:numId w:val="3"/>
        </w:numPr>
        <w:spacing w:after="120"/>
        <w:rPr>
          <w:rFonts w:asciiTheme="minorHAnsi" w:hAnsiTheme="minorHAnsi"/>
          <w:snapToGrid w:val="0"/>
        </w:rPr>
      </w:pPr>
      <w:r w:rsidRPr="00060B29">
        <w:rPr>
          <w:rFonts w:asciiTheme="minorHAnsi" w:hAnsiTheme="minorHAnsi"/>
          <w:snapToGrid w:val="0"/>
        </w:rPr>
        <w:t xml:space="preserve">Approximately two additional patients would experience acute respiratory failure as a </w:t>
      </w:r>
      <w:r w:rsidR="001C4AED" w:rsidRPr="00060B29">
        <w:rPr>
          <w:rFonts w:asciiTheme="minorHAnsi" w:hAnsiTheme="minorHAnsi"/>
          <w:snapToGrid w:val="0"/>
        </w:rPr>
        <w:t>serious adverse event</w:t>
      </w:r>
      <w:r w:rsidRPr="00060B29">
        <w:rPr>
          <w:rFonts w:asciiTheme="minorHAnsi" w:hAnsiTheme="minorHAnsi"/>
          <w:snapToGrid w:val="0"/>
        </w:rPr>
        <w:t>.</w:t>
      </w:r>
    </w:p>
    <w:p w:rsidR="00C452C1" w:rsidRPr="00060B29" w:rsidRDefault="00C452C1" w:rsidP="00B15687">
      <w:pPr>
        <w:numPr>
          <w:ilvl w:val="0"/>
          <w:numId w:val="3"/>
        </w:numPr>
        <w:spacing w:after="120"/>
        <w:rPr>
          <w:rFonts w:asciiTheme="minorHAnsi" w:hAnsiTheme="minorHAnsi"/>
          <w:snapToGrid w:val="0"/>
        </w:rPr>
      </w:pPr>
      <w:r w:rsidRPr="00060B29">
        <w:rPr>
          <w:rFonts w:asciiTheme="minorHAnsi" w:hAnsiTheme="minorHAnsi"/>
          <w:snapToGrid w:val="0"/>
        </w:rPr>
        <w:t xml:space="preserve">Approximately </w:t>
      </w:r>
      <w:r w:rsidR="006F60B1" w:rsidRPr="00060B29">
        <w:rPr>
          <w:rFonts w:asciiTheme="minorHAnsi" w:hAnsiTheme="minorHAnsi"/>
          <w:snapToGrid w:val="0"/>
        </w:rPr>
        <w:t>two</w:t>
      </w:r>
      <w:r w:rsidRPr="00060B29">
        <w:rPr>
          <w:rFonts w:asciiTheme="minorHAnsi" w:hAnsiTheme="minorHAnsi"/>
          <w:snapToGrid w:val="0"/>
        </w:rPr>
        <w:t xml:space="preserve"> additional patient</w:t>
      </w:r>
      <w:r w:rsidR="00086151" w:rsidRPr="00060B29">
        <w:rPr>
          <w:rFonts w:asciiTheme="minorHAnsi" w:hAnsiTheme="minorHAnsi"/>
          <w:snapToGrid w:val="0"/>
        </w:rPr>
        <w:t>s</w:t>
      </w:r>
      <w:r w:rsidRPr="00060B29">
        <w:rPr>
          <w:rFonts w:asciiTheme="minorHAnsi" w:hAnsiTheme="minorHAnsi"/>
          <w:snapToGrid w:val="0"/>
        </w:rPr>
        <w:t xml:space="preserve"> would experience drug-induced liver injury as a </w:t>
      </w:r>
      <w:r w:rsidR="001C4AED" w:rsidRPr="00060B29">
        <w:rPr>
          <w:rFonts w:asciiTheme="minorHAnsi" w:hAnsiTheme="minorHAnsi"/>
          <w:snapToGrid w:val="0"/>
        </w:rPr>
        <w:t>serious adverse event</w:t>
      </w:r>
      <w:r w:rsidRPr="00060B29">
        <w:rPr>
          <w:rFonts w:asciiTheme="minorHAnsi" w:hAnsiTheme="minorHAnsi"/>
          <w:snapToGrid w:val="0"/>
        </w:rPr>
        <w:t>.</w:t>
      </w:r>
    </w:p>
    <w:p w:rsidR="00C452C1" w:rsidRPr="00060B29" w:rsidRDefault="00C452C1"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six additional patients would experience any adverse event.</w:t>
      </w:r>
    </w:p>
    <w:p w:rsidR="00D31EBA" w:rsidRPr="00060B29" w:rsidRDefault="00D31EBA"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40 additional patients would experience drug-related adverse events.</w:t>
      </w:r>
    </w:p>
    <w:p w:rsidR="00C452C1" w:rsidRPr="00060B29" w:rsidRDefault="00C452C1"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three additional patients would experience adverse events of particular concern for prospective safety monitoring and safety assessment including gastrointestinal perforation and hepatic injury.</w:t>
      </w:r>
    </w:p>
    <w:p w:rsidR="00D31EBA" w:rsidRPr="00060B29" w:rsidRDefault="00D31EBA" w:rsidP="00B15687">
      <w:pPr>
        <w:numPr>
          <w:ilvl w:val="0"/>
          <w:numId w:val="3"/>
        </w:numPr>
        <w:spacing w:after="120"/>
        <w:rPr>
          <w:rFonts w:asciiTheme="minorHAnsi" w:hAnsiTheme="minorHAnsi"/>
          <w:snapToGrid w:val="0"/>
        </w:rPr>
      </w:pPr>
      <w:r w:rsidRPr="00060B29">
        <w:rPr>
          <w:rFonts w:asciiTheme="minorHAnsi" w:hAnsiTheme="minorHAnsi"/>
          <w:snapToGrid w:val="0"/>
        </w:rPr>
        <w:t>Approximately 35 additional patients would experience gastrointestinal disorders. In particular, diarrhoea, roughly nausea, and abdominal pain.</w:t>
      </w:r>
    </w:p>
    <w:p w:rsidR="00D31EBA" w:rsidRPr="00060B29" w:rsidRDefault="00D31EBA" w:rsidP="00B15687">
      <w:pPr>
        <w:pStyle w:val="4-SubsectionHeading"/>
        <w:keepNext w:val="0"/>
      </w:pPr>
      <w:bookmarkStart w:id="29" w:name="_Toc22897644"/>
      <w:bookmarkStart w:id="30" w:name="_Toc58872439"/>
      <w:r w:rsidRPr="00060B29">
        <w:t>Clinical claim</w:t>
      </w:r>
      <w:bookmarkEnd w:id="29"/>
      <w:bookmarkEnd w:id="30"/>
    </w:p>
    <w:p w:rsidR="00796D00" w:rsidRPr="00060B29" w:rsidRDefault="00D31EBA" w:rsidP="00B15687">
      <w:pPr>
        <w:numPr>
          <w:ilvl w:val="1"/>
          <w:numId w:val="1"/>
        </w:numPr>
        <w:spacing w:after="120"/>
        <w:rPr>
          <w:rFonts w:asciiTheme="minorHAnsi" w:eastAsia="Calibri" w:hAnsiTheme="minorHAnsi"/>
          <w:iCs/>
          <w:snapToGrid w:val="0"/>
        </w:rPr>
      </w:pPr>
      <w:r w:rsidRPr="00060B29">
        <w:rPr>
          <w:rFonts w:asciiTheme="minorHAnsi" w:eastAsia="Calibri" w:hAnsiTheme="minorHAnsi"/>
          <w:snapToGrid w:val="0"/>
        </w:rPr>
        <w:t>The submission described nintedanib as superior in terms of effectiveness compared to placebo</w:t>
      </w:r>
      <w:r w:rsidR="006F4D6B" w:rsidRPr="00060B29">
        <w:rPr>
          <w:rFonts w:asciiTheme="minorHAnsi" w:eastAsia="Calibri" w:hAnsiTheme="minorHAnsi"/>
          <w:snapToGrid w:val="0"/>
        </w:rPr>
        <w:t xml:space="preserve"> + BSC</w:t>
      </w:r>
      <w:r w:rsidRPr="00060B29">
        <w:rPr>
          <w:rFonts w:asciiTheme="minorHAnsi" w:eastAsia="Calibri" w:hAnsiTheme="minorHAnsi"/>
          <w:snapToGrid w:val="0"/>
        </w:rPr>
        <w:t xml:space="preserve">. </w:t>
      </w:r>
      <w:r w:rsidR="00796D00" w:rsidRPr="00060B29">
        <w:rPr>
          <w:rFonts w:asciiTheme="minorHAnsi" w:eastAsia="Calibri" w:hAnsiTheme="minorHAnsi"/>
          <w:iCs/>
          <w:snapToGrid w:val="0"/>
        </w:rPr>
        <w:t xml:space="preserve">The claim of superior comparative effectiveness was based on a statistically significant slower </w:t>
      </w:r>
      <w:r w:rsidR="006971A2" w:rsidRPr="00060B29">
        <w:rPr>
          <w:rFonts w:asciiTheme="minorHAnsi" w:eastAsia="Calibri" w:hAnsiTheme="minorHAnsi"/>
          <w:iCs/>
          <w:snapToGrid w:val="0"/>
        </w:rPr>
        <w:t xml:space="preserve">decline in </w:t>
      </w:r>
      <w:r w:rsidR="00796D00" w:rsidRPr="00060B29">
        <w:rPr>
          <w:rFonts w:asciiTheme="minorHAnsi" w:eastAsia="Calibri" w:hAnsiTheme="minorHAnsi"/>
          <w:iCs/>
          <w:snapToGrid w:val="0"/>
        </w:rPr>
        <w:t xml:space="preserve">FVC </w:t>
      </w:r>
      <w:r w:rsidR="00796D00" w:rsidRPr="00060B29">
        <w:rPr>
          <w:rFonts w:asciiTheme="minorHAnsi" w:eastAsia="Calibri" w:hAnsiTheme="minorHAnsi"/>
          <w:bCs/>
          <w:iCs/>
          <w:snapToGrid w:val="0"/>
        </w:rPr>
        <w:t>(p&lt;0.0001</w:t>
      </w:r>
      <w:r w:rsidR="00796D00" w:rsidRPr="00060B29">
        <w:rPr>
          <w:rFonts w:asciiTheme="minorHAnsi" w:eastAsia="Calibri" w:hAnsiTheme="minorHAnsi"/>
          <w:iCs/>
          <w:snapToGrid w:val="0"/>
        </w:rPr>
        <w:t xml:space="preserve">), and </w:t>
      </w:r>
      <w:r w:rsidR="00F77D66" w:rsidRPr="00060B29">
        <w:rPr>
          <w:rFonts w:asciiTheme="minorHAnsi" w:eastAsia="Calibri" w:hAnsiTheme="minorHAnsi"/>
          <w:iCs/>
          <w:snapToGrid w:val="0"/>
        </w:rPr>
        <w:t xml:space="preserve">a statistically </w:t>
      </w:r>
      <w:r w:rsidR="00796D00" w:rsidRPr="00060B29">
        <w:rPr>
          <w:rFonts w:asciiTheme="minorHAnsi" w:eastAsia="Calibri" w:hAnsiTheme="minorHAnsi"/>
          <w:iCs/>
          <w:snapToGrid w:val="0"/>
        </w:rPr>
        <w:t xml:space="preserve">significantly lower risk of progression (≥10% absolute decline in </w:t>
      </w:r>
      <w:r w:rsidR="00583167" w:rsidRPr="00060B29">
        <w:rPr>
          <w:rFonts w:asciiTheme="minorHAnsi" w:eastAsia="Calibri" w:hAnsiTheme="minorHAnsi"/>
          <w:iCs/>
          <w:snapToGrid w:val="0"/>
        </w:rPr>
        <w:t>FVC%Pred</w:t>
      </w:r>
      <w:r w:rsidR="00796D00" w:rsidRPr="00060B29">
        <w:rPr>
          <w:rFonts w:asciiTheme="minorHAnsi" w:eastAsia="Calibri" w:hAnsiTheme="minorHAnsi"/>
          <w:iCs/>
          <w:snapToGrid w:val="0"/>
        </w:rPr>
        <w:t>) (</w:t>
      </w:r>
      <w:r w:rsidR="00796D00" w:rsidRPr="00060B29">
        <w:rPr>
          <w:rFonts w:asciiTheme="minorHAnsi" w:eastAsia="Calibri" w:hAnsiTheme="minorHAnsi"/>
          <w:bCs/>
          <w:iCs/>
          <w:snapToGrid w:val="0"/>
        </w:rPr>
        <w:t>p=0.0005</w:t>
      </w:r>
      <w:r w:rsidR="00796D00" w:rsidRPr="00060B29">
        <w:rPr>
          <w:rFonts w:asciiTheme="minorHAnsi" w:eastAsia="Calibri" w:hAnsiTheme="minorHAnsi"/>
          <w:iCs/>
          <w:snapToGrid w:val="0"/>
        </w:rPr>
        <w:t>) for nintedanib over 52 weeks when compared to placebo + BSC. However, there was no statistically significant difference in overall survival or quality of life (K-BILD total score, p=0.1115) between nintedanib and placebo + BSC over 52 weeks (p=0.8544)</w:t>
      </w:r>
      <w:r w:rsidR="00060B29" w:rsidRPr="00060B29">
        <w:rPr>
          <w:rFonts w:asciiTheme="minorHAnsi" w:eastAsia="Calibri" w:hAnsiTheme="minorHAnsi"/>
          <w:iCs/>
          <w:snapToGrid w:val="0"/>
        </w:rPr>
        <w:t xml:space="preserve">. </w:t>
      </w:r>
      <w:r w:rsidR="00462B0B" w:rsidRPr="00060B29">
        <w:rPr>
          <w:rFonts w:asciiTheme="minorHAnsi" w:eastAsia="Calibri" w:hAnsiTheme="minorHAnsi"/>
          <w:iCs/>
          <w:snapToGrid w:val="0"/>
        </w:rPr>
        <w:t xml:space="preserve">The ESC considered that the claim of superior comparative effectiveness was reasonable based on decline in FVC and FVC%Pred. </w:t>
      </w:r>
    </w:p>
    <w:p w:rsidR="0042134E" w:rsidRPr="00060B29" w:rsidRDefault="008A4F47" w:rsidP="00B15687">
      <w:pPr>
        <w:numPr>
          <w:ilvl w:val="1"/>
          <w:numId w:val="1"/>
        </w:numPr>
        <w:spacing w:after="120"/>
        <w:rPr>
          <w:rFonts w:asciiTheme="minorHAnsi" w:eastAsia="Calibri" w:hAnsiTheme="minorHAnsi"/>
          <w:iCs/>
          <w:snapToGrid w:val="0"/>
        </w:rPr>
      </w:pPr>
      <w:r w:rsidRPr="00060B29">
        <w:rPr>
          <w:iCs/>
        </w:rPr>
        <w:t xml:space="preserve">The submission did not formally consider the </w:t>
      </w:r>
      <w:r w:rsidR="00FE3F99" w:rsidRPr="00060B29">
        <w:rPr>
          <w:iCs/>
        </w:rPr>
        <w:t xml:space="preserve">requirements outlined in the </w:t>
      </w:r>
      <w:r w:rsidRPr="00060B29">
        <w:rPr>
          <w:iCs/>
        </w:rPr>
        <w:t xml:space="preserve">PBAC guidelines </w:t>
      </w:r>
      <w:r w:rsidR="00FE3F99" w:rsidRPr="00060B29">
        <w:rPr>
          <w:iCs/>
        </w:rPr>
        <w:t xml:space="preserve">for </w:t>
      </w:r>
      <w:r w:rsidRPr="00060B29">
        <w:rPr>
          <w:iCs/>
        </w:rPr>
        <w:t>linking proposed surrogate measures to target clinical outcomes.</w:t>
      </w:r>
      <w:r w:rsidR="00FC15DB">
        <w:rPr>
          <w:iCs/>
        </w:rPr>
        <w:t xml:space="preserve"> </w:t>
      </w:r>
      <w:r w:rsidR="000D7E27">
        <w:rPr>
          <w:iCs/>
        </w:rPr>
        <w:t>T</w:t>
      </w:r>
      <w:r w:rsidR="0042134E" w:rsidRPr="00060B29">
        <w:rPr>
          <w:iCs/>
        </w:rPr>
        <w:t>he ACM considered that a decrease in FVC correlates to an increase in mortality rates and that this is an appropriate marker for surrogate endpoints.</w:t>
      </w:r>
      <w:r w:rsidRPr="00060B29">
        <w:rPr>
          <w:iCs/>
        </w:rPr>
        <w:t xml:space="preserve"> The economic model use</w:t>
      </w:r>
      <w:r w:rsidR="009822A7" w:rsidRPr="00060B29">
        <w:rPr>
          <w:iCs/>
        </w:rPr>
        <w:t>d</w:t>
      </w:r>
      <w:r w:rsidRPr="00060B29">
        <w:rPr>
          <w:iCs/>
        </w:rPr>
        <w:t xml:space="preserve"> overall survival Kapan-Meier data from the INBUILD trial, which </w:t>
      </w:r>
      <w:r w:rsidR="009822A7" w:rsidRPr="00060B29">
        <w:rPr>
          <w:iCs/>
        </w:rPr>
        <w:t>was</w:t>
      </w:r>
      <w:r w:rsidRPr="00060B29">
        <w:rPr>
          <w:iCs/>
        </w:rPr>
        <w:t xml:space="preserve"> subsequently extrapolated despite not being statistically significant. The economic model also </w:t>
      </w:r>
      <w:r w:rsidR="00D259FF" w:rsidRPr="00060B29">
        <w:rPr>
          <w:iCs/>
        </w:rPr>
        <w:t>predict</w:t>
      </w:r>
      <w:r w:rsidR="009822A7" w:rsidRPr="00060B29">
        <w:rPr>
          <w:iCs/>
        </w:rPr>
        <w:t>ed</w:t>
      </w:r>
      <w:r w:rsidR="00D259FF" w:rsidRPr="00060B29">
        <w:rPr>
          <w:iCs/>
        </w:rPr>
        <w:t xml:space="preserve"> utilities using </w:t>
      </w:r>
      <w:r w:rsidR="009822A7" w:rsidRPr="00060B29">
        <w:rPr>
          <w:iCs/>
        </w:rPr>
        <w:t>data from the INBUILD trial,</w:t>
      </w:r>
      <w:r w:rsidR="00D259FF" w:rsidRPr="00060B29">
        <w:rPr>
          <w:iCs/>
        </w:rPr>
        <w:t xml:space="preserve"> including FVC</w:t>
      </w:r>
      <w:r w:rsidR="009F4C87" w:rsidRPr="00060B29">
        <w:rPr>
          <w:iCs/>
        </w:rPr>
        <w:t>%Pred</w:t>
      </w:r>
      <w:r w:rsidR="00D259FF" w:rsidRPr="00060B29">
        <w:rPr>
          <w:iCs/>
        </w:rPr>
        <w:t xml:space="preserve"> and acute ILD exacerbation</w:t>
      </w:r>
      <w:r w:rsidR="009822A7" w:rsidRPr="00060B29">
        <w:rPr>
          <w:iCs/>
        </w:rPr>
        <w:t>.</w:t>
      </w:r>
    </w:p>
    <w:p w:rsidR="00D31EBA" w:rsidRPr="00060B29" w:rsidRDefault="00D31EBA" w:rsidP="00B15687">
      <w:pPr>
        <w:pStyle w:val="3-BodyText"/>
        <w:rPr>
          <w:rFonts w:eastAsia="Calibri"/>
        </w:rPr>
      </w:pPr>
      <w:r w:rsidRPr="00060B29">
        <w:rPr>
          <w:rFonts w:eastAsia="Calibri"/>
        </w:rPr>
        <w:t>The submission described nintedanib as non-inferior in terms of safety compared to placebo</w:t>
      </w:r>
      <w:r w:rsidR="006F4D6B" w:rsidRPr="00060B29">
        <w:rPr>
          <w:rFonts w:eastAsia="Calibri"/>
        </w:rPr>
        <w:t xml:space="preserve"> + BSC</w:t>
      </w:r>
      <w:r w:rsidRPr="00060B29">
        <w:rPr>
          <w:rFonts w:eastAsia="Calibri"/>
        </w:rPr>
        <w:t>. This claim was not adequately supported. Significantly more patients on nintedanib than placebo</w:t>
      </w:r>
      <w:r w:rsidR="00796D00" w:rsidRPr="00060B29">
        <w:rPr>
          <w:rFonts w:eastAsia="Calibri"/>
        </w:rPr>
        <w:t xml:space="preserve"> </w:t>
      </w:r>
      <w:r w:rsidRPr="00060B29">
        <w:rPr>
          <w:rFonts w:eastAsia="Calibri"/>
        </w:rPr>
        <w:t>+</w:t>
      </w:r>
      <w:r w:rsidR="00796D00" w:rsidRPr="00060B29">
        <w:rPr>
          <w:rFonts w:eastAsia="Calibri"/>
        </w:rPr>
        <w:t xml:space="preserve"> </w:t>
      </w:r>
      <w:r w:rsidRPr="00060B29">
        <w:rPr>
          <w:rFonts w:eastAsia="Calibri"/>
        </w:rPr>
        <w:t xml:space="preserve">BSC experienced acute respiratory failure SAE, </w:t>
      </w:r>
      <w:r w:rsidR="0074381F" w:rsidRPr="00060B29">
        <w:rPr>
          <w:rFonts w:eastAsia="Calibri"/>
        </w:rPr>
        <w:t xml:space="preserve">drug-induced liver injury SAE, </w:t>
      </w:r>
      <w:r w:rsidRPr="00060B29">
        <w:rPr>
          <w:rFonts w:eastAsia="Calibri"/>
        </w:rPr>
        <w:t xml:space="preserve">investigator-defined drug-related AEs, </w:t>
      </w:r>
      <w:r w:rsidR="008F2EAA" w:rsidRPr="00060B29">
        <w:rPr>
          <w:rFonts w:eastAsia="Calibri"/>
        </w:rPr>
        <w:t xml:space="preserve">and </w:t>
      </w:r>
      <w:r w:rsidRPr="00060B29">
        <w:rPr>
          <w:rFonts w:eastAsia="Calibri"/>
        </w:rPr>
        <w:t xml:space="preserve">gastrointestinal </w:t>
      </w:r>
      <w:r w:rsidR="002D457B" w:rsidRPr="00060B29">
        <w:rPr>
          <w:rFonts w:eastAsia="Calibri"/>
        </w:rPr>
        <w:t xml:space="preserve">disorders </w:t>
      </w:r>
      <w:r w:rsidRPr="00060B29">
        <w:rPr>
          <w:rFonts w:eastAsia="Calibri"/>
        </w:rPr>
        <w:t>(diarrhoea, nausea, abdominal pain).</w:t>
      </w:r>
      <w:r w:rsidR="00E81839" w:rsidRPr="00060B29">
        <w:rPr>
          <w:rFonts w:eastAsia="Calibri"/>
        </w:rPr>
        <w:t xml:space="preserve"> </w:t>
      </w:r>
      <w:r w:rsidR="00ED555E" w:rsidRPr="00060B29">
        <w:rPr>
          <w:rFonts w:eastAsia="Calibri"/>
        </w:rPr>
        <w:t>The PSCR noted that the rate of acute respiratory failure and drug-induced liver injury was low in bo</w:t>
      </w:r>
      <w:r w:rsidR="009B163B" w:rsidRPr="00060B29">
        <w:rPr>
          <w:rFonts w:eastAsia="Calibri"/>
        </w:rPr>
        <w:t xml:space="preserve">th treatment arms </w:t>
      </w:r>
      <w:r w:rsidR="00E679FE" w:rsidRPr="00060B29">
        <w:rPr>
          <w:rFonts w:eastAsia="Calibri"/>
        </w:rPr>
        <w:t>and</w:t>
      </w:r>
      <w:r w:rsidR="00ED555E" w:rsidRPr="00060B29">
        <w:rPr>
          <w:rFonts w:eastAsia="Calibri"/>
        </w:rPr>
        <w:t xml:space="preserve"> </w:t>
      </w:r>
      <w:r w:rsidR="009B163B" w:rsidRPr="00060B29">
        <w:rPr>
          <w:rFonts w:eastAsia="Calibri"/>
        </w:rPr>
        <w:t xml:space="preserve">the difference in </w:t>
      </w:r>
      <w:r w:rsidR="00ED555E" w:rsidRPr="00060B29">
        <w:rPr>
          <w:rFonts w:eastAsia="Calibri"/>
        </w:rPr>
        <w:t>rates of drug-induced liver injury</w:t>
      </w:r>
      <w:r w:rsidR="00E679FE" w:rsidRPr="00060B29">
        <w:rPr>
          <w:rFonts w:eastAsia="Calibri"/>
        </w:rPr>
        <w:t xml:space="preserve"> was not statistically significant between arms. The PSCR acknowledged that the risk of gastrointestinal disorders was higher with nintedanib treatment</w:t>
      </w:r>
      <w:r w:rsidR="00C11D5B" w:rsidRPr="00060B29">
        <w:rPr>
          <w:rFonts w:eastAsia="Calibri"/>
        </w:rPr>
        <w:t>,</w:t>
      </w:r>
      <w:r w:rsidR="00E679FE" w:rsidRPr="00060B29">
        <w:rPr>
          <w:rFonts w:eastAsia="Calibri"/>
        </w:rPr>
        <w:t xml:space="preserve"> however</w:t>
      </w:r>
      <w:r w:rsidR="009B163B" w:rsidRPr="00060B29">
        <w:rPr>
          <w:rFonts w:eastAsia="Calibri"/>
        </w:rPr>
        <w:t xml:space="preserve"> noted</w:t>
      </w:r>
      <w:r w:rsidR="00E679FE" w:rsidRPr="00060B29">
        <w:rPr>
          <w:rFonts w:eastAsia="Calibri"/>
        </w:rPr>
        <w:t xml:space="preserve"> </w:t>
      </w:r>
      <w:r w:rsidR="009B163B" w:rsidRPr="00060B29">
        <w:rPr>
          <w:rFonts w:eastAsia="Calibri"/>
        </w:rPr>
        <w:t>these are known adverse</w:t>
      </w:r>
      <w:r w:rsidR="00C11D5B" w:rsidRPr="00060B29">
        <w:rPr>
          <w:rFonts w:eastAsia="Calibri"/>
        </w:rPr>
        <w:t xml:space="preserve"> effects</w:t>
      </w:r>
      <w:r w:rsidR="009B163B" w:rsidRPr="00060B29">
        <w:rPr>
          <w:rFonts w:eastAsia="Calibri"/>
        </w:rPr>
        <w:t xml:space="preserve"> </w:t>
      </w:r>
      <w:r w:rsidR="00C11D5B" w:rsidRPr="00060B29">
        <w:rPr>
          <w:rFonts w:eastAsia="Calibri"/>
        </w:rPr>
        <w:t>and, for</w:t>
      </w:r>
      <w:r w:rsidR="00123156" w:rsidRPr="00060B29">
        <w:rPr>
          <w:rFonts w:eastAsia="Calibri"/>
        </w:rPr>
        <w:t xml:space="preserve"> most patients, diarrhoea was of mild to moderate intensity and resolved without permanent dose reduction or premature discontinuation of trial medication. The PSCR noted that analysis of post-market authorisation data suggest that rates of diarrhoea appear lower in clinical practice with most cases reported to be non-serious of mild to moderate severity. The PSCR considered that overall, the safety profile of nintedanib in PF-ILD patients comprised risks that were manageable or occurred at a low frequency.</w:t>
      </w:r>
      <w:r w:rsidR="00F340EF" w:rsidRPr="00060B29">
        <w:rPr>
          <w:rFonts w:eastAsia="Calibri"/>
        </w:rPr>
        <w:t xml:space="preserve"> T</w:t>
      </w:r>
      <w:r w:rsidR="00A8514B" w:rsidRPr="00060B29">
        <w:rPr>
          <w:rFonts w:eastAsia="Calibri"/>
        </w:rPr>
        <w:t xml:space="preserve">he ESC considered that while AEs associated with nintedanib were generally manageable, the claim of non-inferior safety compared to </w:t>
      </w:r>
      <w:r w:rsidR="00F7455B" w:rsidRPr="00060B29">
        <w:rPr>
          <w:rFonts w:eastAsia="Calibri"/>
        </w:rPr>
        <w:t xml:space="preserve">placebo + BSC was not supported given the higher incidence of AEs in the nintedanib arm. </w:t>
      </w:r>
    </w:p>
    <w:p w:rsidR="00D31EBA" w:rsidRPr="00060B29" w:rsidRDefault="00D31EBA" w:rsidP="00B15687">
      <w:pPr>
        <w:numPr>
          <w:ilvl w:val="1"/>
          <w:numId w:val="1"/>
        </w:numPr>
        <w:spacing w:after="120"/>
        <w:rPr>
          <w:rFonts w:asciiTheme="minorHAnsi" w:eastAsia="Calibri" w:hAnsiTheme="minorHAnsi"/>
          <w:snapToGrid w:val="0"/>
        </w:rPr>
      </w:pPr>
      <w:r w:rsidRPr="00060B29">
        <w:rPr>
          <w:rFonts w:asciiTheme="minorHAnsi" w:eastAsia="Calibri" w:hAnsiTheme="minorHAnsi"/>
          <w:snapToGrid w:val="0"/>
        </w:rPr>
        <w:t>The previous submissions of nintedanib for IPF claimed that nintedanib was inferior in safety compared with placebo</w:t>
      </w:r>
      <w:r w:rsidR="006F4D6B" w:rsidRPr="00060B29">
        <w:rPr>
          <w:rFonts w:asciiTheme="minorHAnsi" w:eastAsia="Calibri" w:hAnsiTheme="minorHAnsi"/>
          <w:snapToGrid w:val="0"/>
        </w:rPr>
        <w:t xml:space="preserve"> + BSC</w:t>
      </w:r>
      <w:r w:rsidRPr="00060B29">
        <w:rPr>
          <w:rFonts w:asciiTheme="minorHAnsi" w:eastAsia="Calibri" w:hAnsiTheme="minorHAnsi"/>
          <w:snapToGrid w:val="0"/>
        </w:rPr>
        <w:t xml:space="preserve">. </w:t>
      </w:r>
    </w:p>
    <w:p w:rsidR="00336498" w:rsidRPr="00060B29" w:rsidRDefault="000D4EA1" w:rsidP="00B15687">
      <w:pPr>
        <w:numPr>
          <w:ilvl w:val="1"/>
          <w:numId w:val="1"/>
        </w:numPr>
        <w:spacing w:after="120"/>
        <w:rPr>
          <w:rFonts w:asciiTheme="minorHAnsi" w:eastAsia="Calibri" w:hAnsiTheme="minorHAnsi"/>
          <w:snapToGrid w:val="0"/>
        </w:rPr>
      </w:pPr>
      <w:r w:rsidRPr="00060B29">
        <w:t xml:space="preserve">The PBAC considered that the claim of superior comparative effectiveness was adequately supported in terms of </w:t>
      </w:r>
      <w:r w:rsidR="00F33352" w:rsidRPr="00060B29">
        <w:t>decline</w:t>
      </w:r>
      <w:r w:rsidRPr="00060B29">
        <w:t xml:space="preserve"> in FVC and FVC%Pred over 52 weeks.</w:t>
      </w:r>
      <w:r w:rsidR="00F33352" w:rsidRPr="00060B29">
        <w:t xml:space="preserve"> </w:t>
      </w:r>
    </w:p>
    <w:p w:rsidR="00F33352" w:rsidRPr="00060B29" w:rsidRDefault="00672435" w:rsidP="00B15687">
      <w:pPr>
        <w:pStyle w:val="3-BodyText"/>
        <w:rPr>
          <w:rFonts w:eastAsia="Calibri"/>
        </w:rPr>
      </w:pPr>
      <w:r w:rsidRPr="00060B29">
        <w:rPr>
          <w:rFonts w:eastAsia="Calibri"/>
        </w:rPr>
        <w:t xml:space="preserve">The PBAC </w:t>
      </w:r>
      <w:r w:rsidR="00263371" w:rsidRPr="00060B29">
        <w:rPr>
          <w:rFonts w:eastAsia="Calibri"/>
        </w:rPr>
        <w:t xml:space="preserve">considered that the claim of non-inferior safety </w:t>
      </w:r>
      <w:r w:rsidR="001C4D4E" w:rsidRPr="00060B29">
        <w:rPr>
          <w:rFonts w:eastAsia="Calibri"/>
        </w:rPr>
        <w:t>was not adequately supported</w:t>
      </w:r>
      <w:r w:rsidR="00E42DC3">
        <w:rPr>
          <w:rFonts w:eastAsia="Calibri"/>
        </w:rPr>
        <w:t>,</w:t>
      </w:r>
      <w:r w:rsidR="001C4D4E" w:rsidRPr="00060B29">
        <w:rPr>
          <w:rFonts w:eastAsia="Calibri"/>
        </w:rPr>
        <w:t xml:space="preserve"> noting that significantly more patients in</w:t>
      </w:r>
      <w:r w:rsidR="00334656">
        <w:rPr>
          <w:rFonts w:eastAsia="Calibri"/>
        </w:rPr>
        <w:t xml:space="preserve"> the</w:t>
      </w:r>
      <w:r w:rsidR="001C4D4E" w:rsidRPr="00060B29">
        <w:rPr>
          <w:rFonts w:eastAsia="Calibri"/>
        </w:rPr>
        <w:t xml:space="preserve"> nintedanib arm had investigator-defined drug-related AEs (78.9% vs. 38.1%) than the placebo + BSC arm of the INBUILD trial. </w:t>
      </w:r>
      <w:r w:rsidR="006F2A6E">
        <w:rPr>
          <w:rFonts w:eastAsia="Calibri"/>
        </w:rPr>
        <w:t xml:space="preserve">The PBAC also noted that gastrointestinal adverse events and some SAEs were significantly higher in the nintedanib arm compared to the placebo + BSC arm. The PBAC considered that the substantial rate of discontinuation in the nintedanib arm compared </w:t>
      </w:r>
      <w:r w:rsidR="006F2A6E" w:rsidRPr="006F2A6E">
        <w:rPr>
          <w:rFonts w:eastAsia="Calibri"/>
        </w:rPr>
        <w:t xml:space="preserve">to the placebo + BSC </w:t>
      </w:r>
      <w:r w:rsidR="006F2A6E">
        <w:rPr>
          <w:rFonts w:eastAsia="Calibri"/>
        </w:rPr>
        <w:t>arm</w:t>
      </w:r>
      <w:r w:rsidR="006F2A6E" w:rsidRPr="006F2A6E">
        <w:rPr>
          <w:rFonts w:eastAsia="Calibri"/>
        </w:rPr>
        <w:t xml:space="preserve"> at 52 weeks (19.6% vs. 10.3%)</w:t>
      </w:r>
      <w:r w:rsidR="00E42DC3">
        <w:rPr>
          <w:rFonts w:eastAsia="Calibri"/>
        </w:rPr>
        <w:t xml:space="preserve"> </w:t>
      </w:r>
      <w:r w:rsidR="00E40B9D">
        <w:rPr>
          <w:rFonts w:eastAsia="Calibri"/>
        </w:rPr>
        <w:t xml:space="preserve">would largely be due to gastrointestinal adverse events. </w:t>
      </w:r>
    </w:p>
    <w:p w:rsidR="00D31EBA" w:rsidRPr="00060B29" w:rsidRDefault="00D31EBA" w:rsidP="00B15687">
      <w:pPr>
        <w:pStyle w:val="4-SubsectionHeading"/>
        <w:keepNext w:val="0"/>
      </w:pPr>
      <w:bookmarkStart w:id="31" w:name="_Toc22897645"/>
      <w:bookmarkStart w:id="32" w:name="_Toc58872440"/>
      <w:r w:rsidRPr="00060B29">
        <w:t>Economic analysis</w:t>
      </w:r>
      <w:bookmarkEnd w:id="31"/>
      <w:bookmarkEnd w:id="32"/>
      <w:r w:rsidRPr="00060B29">
        <w:t xml:space="preserve"> </w:t>
      </w:r>
    </w:p>
    <w:p w:rsidR="00F9662D" w:rsidRPr="00060B29" w:rsidRDefault="00F9662D" w:rsidP="00B15687">
      <w:pPr>
        <w:pStyle w:val="3-BodyText"/>
        <w:rPr>
          <w:rFonts w:eastAsia="Calibri"/>
        </w:rPr>
      </w:pPr>
      <w:r w:rsidRPr="00060B29">
        <w:t xml:space="preserve">The submission presented a stepped economic evaluation based on a direct randomised trial (INBUILD) and implemented a modelled economic evaluation using microsimulation. </w:t>
      </w:r>
      <w:r w:rsidRPr="00060B29">
        <w:rPr>
          <w:rFonts w:eastAsia="Calibri"/>
        </w:rPr>
        <w:t xml:space="preserve">Table </w:t>
      </w:r>
      <w:r w:rsidR="00AA77DD" w:rsidRPr="00060B29">
        <w:rPr>
          <w:rFonts w:eastAsia="Calibri"/>
        </w:rPr>
        <w:t>9</w:t>
      </w:r>
      <w:r w:rsidRPr="00060B29">
        <w:rPr>
          <w:rFonts w:eastAsia="Calibri"/>
        </w:rPr>
        <w:t xml:space="preserve"> summarises the key components of the economic evaluation.</w:t>
      </w:r>
    </w:p>
    <w:p w:rsidR="00CA3D0E" w:rsidRPr="00060B29" w:rsidRDefault="00BA1E2B" w:rsidP="00B15687">
      <w:pPr>
        <w:pStyle w:val="3-BodyText"/>
        <w:rPr>
          <w:iCs/>
        </w:rPr>
      </w:pPr>
      <w:r w:rsidRPr="00060B29">
        <w:t>Overall survival</w:t>
      </w:r>
      <w:r w:rsidR="00A3357C" w:rsidRPr="00060B29">
        <w:t xml:space="preserve"> was modelled separately from </w:t>
      </w:r>
      <w:r w:rsidRPr="00060B29">
        <w:t xml:space="preserve">acute ILD </w:t>
      </w:r>
      <w:r w:rsidR="00A3357C" w:rsidRPr="00060B29">
        <w:t xml:space="preserve">exacerbations and FVC. </w:t>
      </w:r>
      <w:r w:rsidRPr="00060B29">
        <w:t xml:space="preserve">Kaplan-Meier overall survival data and acute ILD exacerbations data were used, </w:t>
      </w:r>
      <w:r w:rsidR="003E7BC4" w:rsidRPr="00060B29">
        <w:t>which was</w:t>
      </w:r>
      <w:r w:rsidRPr="00060B29">
        <w:t xml:space="preserve"> then extrapolated. </w:t>
      </w:r>
      <w:r w:rsidR="00A3357C" w:rsidRPr="00060B29">
        <w:t>FVC</w:t>
      </w:r>
      <w:r w:rsidR="00013E82" w:rsidRPr="00060B29">
        <w:t>%Pred</w:t>
      </w:r>
      <w:r w:rsidR="00A3357C" w:rsidRPr="00060B29">
        <w:t xml:space="preserve"> was modelled using a </w:t>
      </w:r>
      <w:r w:rsidR="00013E82" w:rsidRPr="00060B29">
        <w:t xml:space="preserve">separate (independent) </w:t>
      </w:r>
      <w:r w:rsidR="00A3357C" w:rsidRPr="00060B29">
        <w:t>linear mixed-effect regression</w:t>
      </w:r>
      <w:r w:rsidRPr="00060B29">
        <w:t xml:space="preserve"> </w:t>
      </w:r>
      <w:r w:rsidR="00013E82" w:rsidRPr="00060B29">
        <w:t>model</w:t>
      </w:r>
      <w:r w:rsidR="00802628" w:rsidRPr="00060B29">
        <w:t xml:space="preserve">, which was based on </w:t>
      </w:r>
      <w:r w:rsidR="00802628" w:rsidRPr="00060B29">
        <w:rPr>
          <w:szCs w:val="22"/>
          <w:lang w:eastAsia="en-US"/>
        </w:rPr>
        <w:t>a post-hoc analysis of the individual patient data from the INBUILD trial</w:t>
      </w:r>
      <w:r w:rsidR="003E7BC4" w:rsidRPr="00060B29">
        <w:t xml:space="preserve"> </w:t>
      </w:r>
      <w:r w:rsidR="00802628" w:rsidRPr="00060B29">
        <w:t xml:space="preserve">and </w:t>
      </w:r>
      <w:r w:rsidR="003E7BC4" w:rsidRPr="00060B29">
        <w:t>using several parameters, including acute ILD exacerbation</w:t>
      </w:r>
      <w:r w:rsidR="00060B29" w:rsidRPr="00060B29">
        <w:t xml:space="preserve">. </w:t>
      </w:r>
      <w:r w:rsidR="00A96C52" w:rsidRPr="00060B29">
        <w:rPr>
          <w:iCs/>
        </w:rPr>
        <w:t xml:space="preserve">The ESC noted that acute exacerbations are known to result in death or </w:t>
      </w:r>
      <w:r w:rsidR="00DE6AED" w:rsidRPr="00060B29">
        <w:rPr>
          <w:iCs/>
        </w:rPr>
        <w:t>reduction in FVC</w:t>
      </w:r>
      <w:r w:rsidR="00480E6E" w:rsidRPr="00060B29">
        <w:rPr>
          <w:iCs/>
        </w:rPr>
        <w:t>,</w:t>
      </w:r>
      <w:r w:rsidR="00DE6AED" w:rsidRPr="00060B29">
        <w:rPr>
          <w:iCs/>
        </w:rPr>
        <w:t xml:space="preserve"> which would likely reduce survival overall. </w:t>
      </w:r>
      <w:r w:rsidR="00AE5A30" w:rsidRPr="00060B29">
        <w:rPr>
          <w:iCs/>
        </w:rPr>
        <w:t>The PBAC noted the model indirectly links acute exacerbations to mortality in the model via FVC%Pred in that acute exacerbations reduces FVC%Pred, which then results in mortality if the lung function declines to an unsustainable level (i.e. FVC%Pred ≤ 40%).</w:t>
      </w:r>
    </w:p>
    <w:p w:rsidR="00E0090D" w:rsidRDefault="00E0090D">
      <w:pPr>
        <w:jc w:val="left"/>
        <w:rPr>
          <w:rFonts w:ascii="Arial Narrow" w:hAnsi="Arial Narrow" w:cs="Times New Roman"/>
          <w:b/>
          <w:bCs/>
          <w:sz w:val="20"/>
          <w:lang w:eastAsia="en-US"/>
        </w:rPr>
      </w:pPr>
      <w:r>
        <w:rPr>
          <w:rFonts w:ascii="Arial Narrow" w:hAnsi="Arial Narrow" w:cs="Times New Roman"/>
          <w:b/>
          <w:bCs/>
          <w:sz w:val="20"/>
          <w:lang w:eastAsia="en-US"/>
        </w:rPr>
        <w:br w:type="page"/>
      </w:r>
    </w:p>
    <w:p w:rsidR="00F9662D" w:rsidRPr="00060B29" w:rsidRDefault="00F9662D" w:rsidP="00B15687">
      <w:pPr>
        <w:jc w:val="left"/>
        <w:rPr>
          <w:rFonts w:ascii="Arial Narrow" w:hAnsi="Arial Narrow" w:cs="Times New Roman"/>
          <w:b/>
          <w:bCs/>
          <w:sz w:val="20"/>
          <w:lang w:eastAsia="en-US"/>
        </w:rPr>
      </w:pPr>
      <w:r w:rsidRPr="00060B29">
        <w:rPr>
          <w:rFonts w:ascii="Arial Narrow" w:hAnsi="Arial Narrow" w:cs="Times New Roman"/>
          <w:b/>
          <w:bCs/>
          <w:sz w:val="20"/>
          <w:lang w:eastAsia="en-US"/>
        </w:rPr>
        <w:t xml:space="preserve">Table </w:t>
      </w:r>
      <w:r w:rsidR="00AA77DD" w:rsidRPr="00060B29">
        <w:rPr>
          <w:rFonts w:ascii="Arial Narrow" w:hAnsi="Arial Narrow" w:cs="Times New Roman"/>
          <w:b/>
          <w:bCs/>
          <w:sz w:val="20"/>
          <w:lang w:eastAsia="en-US"/>
        </w:rPr>
        <w:t>9</w:t>
      </w:r>
      <w:r w:rsidRPr="00060B29">
        <w:rPr>
          <w:rFonts w:ascii="Arial Narrow" w:hAnsi="Arial Narrow" w:cs="Times New Roman"/>
          <w:b/>
          <w:bCs/>
          <w:sz w:val="20"/>
          <w:lang w:eastAsia="en-US"/>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7602"/>
      </w:tblGrid>
      <w:tr w:rsidR="00F9662D" w:rsidRPr="00060B29" w:rsidTr="00783451">
        <w:trPr>
          <w:tblHeader/>
        </w:trPr>
        <w:tc>
          <w:tcPr>
            <w:tcW w:w="784" w:type="pct"/>
            <w:vAlign w:val="center"/>
          </w:tcPr>
          <w:p w:rsidR="00F9662D" w:rsidRPr="00060B29" w:rsidRDefault="00F9662D" w:rsidP="00B15687">
            <w:pPr>
              <w:jc w:val="left"/>
              <w:rPr>
                <w:rFonts w:ascii="Arial Narrow" w:hAnsi="Arial Narrow" w:cs="Times New Roman"/>
                <w:b/>
                <w:sz w:val="20"/>
                <w:lang w:eastAsia="en-US"/>
              </w:rPr>
            </w:pPr>
            <w:r w:rsidRPr="00060B29">
              <w:rPr>
                <w:rFonts w:ascii="Arial Narrow" w:hAnsi="Arial Narrow" w:cs="Times New Roman"/>
                <w:b/>
                <w:sz w:val="20"/>
                <w:lang w:eastAsia="en-US"/>
              </w:rPr>
              <w:t>Component</w:t>
            </w:r>
          </w:p>
        </w:tc>
        <w:tc>
          <w:tcPr>
            <w:tcW w:w="4216" w:type="pct"/>
          </w:tcPr>
          <w:p w:rsidR="00F9662D" w:rsidRPr="00060B29" w:rsidRDefault="00F9662D" w:rsidP="00B15687">
            <w:pPr>
              <w:jc w:val="left"/>
              <w:rPr>
                <w:rFonts w:ascii="Arial Narrow" w:hAnsi="Arial Narrow" w:cs="Times New Roman"/>
                <w:b/>
                <w:sz w:val="20"/>
                <w:lang w:eastAsia="en-US"/>
              </w:rPr>
            </w:pPr>
            <w:r w:rsidRPr="00060B29">
              <w:rPr>
                <w:rFonts w:ascii="Arial Narrow" w:hAnsi="Arial Narrow" w:cs="Times New Roman"/>
                <w:b/>
                <w:sz w:val="20"/>
                <w:lang w:eastAsia="en-US"/>
              </w:rPr>
              <w:t>Summary</w:t>
            </w:r>
          </w:p>
        </w:tc>
      </w:tr>
      <w:tr w:rsidR="00F9662D" w:rsidRPr="00060B29" w:rsidTr="00783451">
        <w:tc>
          <w:tcPr>
            <w:tcW w:w="784" w:type="pct"/>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Type of analysis</w:t>
            </w:r>
          </w:p>
        </w:tc>
        <w:tc>
          <w:tcPr>
            <w:tcW w:w="4216" w:type="pct"/>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Stepped economic evaluation</w:t>
            </w:r>
          </w:p>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Steps 1 to 3: Cost-effectiveness analysis (</w:t>
            </w:r>
            <w:r w:rsidR="003B4758" w:rsidRPr="00060B29">
              <w:rPr>
                <w:rFonts w:ascii="Arial Narrow" w:hAnsi="Arial Narrow" w:cs="Times New Roman"/>
                <w:bCs/>
                <w:sz w:val="20"/>
                <w:lang w:eastAsia="en-US"/>
              </w:rPr>
              <w:t>LYG</w:t>
            </w:r>
            <w:r w:rsidRPr="00060B29">
              <w:rPr>
                <w:rFonts w:ascii="Arial Narrow" w:hAnsi="Arial Narrow" w:cs="Times New Roman"/>
                <w:bCs/>
                <w:sz w:val="20"/>
                <w:lang w:eastAsia="en-US"/>
              </w:rPr>
              <w:t xml:space="preserve"> as the outcome)</w:t>
            </w:r>
          </w:p>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Step 4: Cost-utility analysis (QALYs gained as the outcome)</w:t>
            </w:r>
          </w:p>
          <w:p w:rsidR="00F9662D" w:rsidRPr="00060B29" w:rsidRDefault="00F9662D" w:rsidP="00B15687">
            <w:pPr>
              <w:jc w:val="left"/>
              <w:rPr>
                <w:rFonts w:ascii="Arial Narrow" w:hAnsi="Arial Narrow" w:cs="Times New Roman"/>
                <w:bCs/>
                <w:sz w:val="20"/>
                <w:lang w:eastAsia="en-US"/>
              </w:rPr>
            </w:pPr>
          </w:p>
        </w:tc>
      </w:tr>
      <w:tr w:rsidR="00F9662D" w:rsidRPr="00060B29" w:rsidTr="00783451">
        <w:trPr>
          <w:trHeight w:val="864"/>
        </w:trPr>
        <w:tc>
          <w:tcPr>
            <w:tcW w:w="784" w:type="pct"/>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Time horizon</w:t>
            </w:r>
          </w:p>
        </w:tc>
        <w:tc>
          <w:tcPr>
            <w:tcW w:w="4216" w:type="pct"/>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15 years in the base case analysis;</w:t>
            </w:r>
          </w:p>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25 months for within-trial economic evaluation (step 1)</w:t>
            </w:r>
          </w:p>
          <w:p w:rsidR="00F9662D" w:rsidRPr="00060B29" w:rsidRDefault="00F9662D" w:rsidP="00B15687">
            <w:pPr>
              <w:jc w:val="left"/>
              <w:rPr>
                <w:rFonts w:ascii="Arial Narrow" w:hAnsi="Arial Narrow" w:cs="Times New Roman"/>
                <w:bCs/>
                <w:sz w:val="20"/>
                <w:lang w:eastAsia="en-US"/>
              </w:rPr>
            </w:pPr>
          </w:p>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 xml:space="preserve">At the end of trial follow-up 90% of patients treated with nintedanib and 73% treated with placebo </w:t>
            </w:r>
            <w:r w:rsidR="006F4D6B" w:rsidRPr="00060B29">
              <w:rPr>
                <w:rFonts w:ascii="Arial Narrow" w:hAnsi="Arial Narrow" w:cs="Times New Roman"/>
                <w:bCs/>
                <w:sz w:val="20"/>
                <w:lang w:eastAsia="en-US"/>
              </w:rPr>
              <w:t xml:space="preserve">+ BSC </w:t>
            </w:r>
            <w:r w:rsidRPr="00060B29">
              <w:rPr>
                <w:rFonts w:ascii="Arial Narrow" w:hAnsi="Arial Narrow" w:cs="Times New Roman"/>
                <w:bCs/>
                <w:sz w:val="20"/>
                <w:lang w:eastAsia="en-US"/>
              </w:rPr>
              <w:t>remained free of acute exacerbations; 86% of patients treated with nintedanib and 81% treated with placebo</w:t>
            </w:r>
            <w:r w:rsidR="006F4D6B" w:rsidRPr="00060B29">
              <w:rPr>
                <w:rFonts w:ascii="Arial Narrow" w:hAnsi="Arial Narrow" w:cs="Times New Roman"/>
                <w:bCs/>
                <w:sz w:val="20"/>
                <w:lang w:eastAsia="en-US"/>
              </w:rPr>
              <w:t xml:space="preserve"> + BSC</w:t>
            </w:r>
            <w:r w:rsidRPr="00060B29">
              <w:rPr>
                <w:rFonts w:ascii="Arial Narrow" w:hAnsi="Arial Narrow" w:cs="Times New Roman"/>
                <w:bCs/>
                <w:sz w:val="20"/>
                <w:lang w:eastAsia="en-US"/>
              </w:rPr>
              <w:t xml:space="preserve"> still survived; and 66% of patients treated with nintedanib and 71% treated with placebo</w:t>
            </w:r>
            <w:r w:rsidR="006F4D6B" w:rsidRPr="00060B29">
              <w:rPr>
                <w:rFonts w:ascii="Arial Narrow" w:hAnsi="Arial Narrow" w:cs="Times New Roman"/>
                <w:bCs/>
                <w:sz w:val="20"/>
                <w:lang w:eastAsia="en-US"/>
              </w:rPr>
              <w:t xml:space="preserve"> + BSC</w:t>
            </w:r>
            <w:r w:rsidRPr="00060B29">
              <w:rPr>
                <w:rFonts w:ascii="Arial Narrow" w:hAnsi="Arial Narrow" w:cs="Times New Roman"/>
                <w:bCs/>
                <w:sz w:val="20"/>
                <w:lang w:eastAsia="en-US"/>
              </w:rPr>
              <w:t xml:space="preserve"> continued treatment.</w:t>
            </w:r>
          </w:p>
          <w:p w:rsidR="00F9662D" w:rsidRPr="00060B29" w:rsidRDefault="00F9662D" w:rsidP="00B15687">
            <w:pPr>
              <w:jc w:val="left"/>
              <w:rPr>
                <w:rFonts w:ascii="Arial Narrow" w:hAnsi="Arial Narrow" w:cs="Times New Roman"/>
                <w:bCs/>
                <w:sz w:val="20"/>
                <w:lang w:eastAsia="en-US"/>
              </w:rPr>
            </w:pPr>
          </w:p>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The ICER was sensitive to time horizon</w:t>
            </w:r>
            <w:r w:rsidR="00895E82" w:rsidRPr="00060B29">
              <w:rPr>
                <w:rFonts w:ascii="Arial Narrow" w:hAnsi="Arial Narrow" w:cs="Times New Roman"/>
                <w:bCs/>
                <w:sz w:val="20"/>
                <w:lang w:eastAsia="en-US"/>
              </w:rPr>
              <w:t>s</w:t>
            </w:r>
            <w:r w:rsidRPr="00060B29">
              <w:rPr>
                <w:rFonts w:ascii="Arial Narrow" w:hAnsi="Arial Narrow" w:cs="Times New Roman"/>
                <w:bCs/>
                <w:sz w:val="20"/>
                <w:lang w:eastAsia="en-US"/>
              </w:rPr>
              <w:t xml:space="preserve"> less than 10 years.</w:t>
            </w:r>
          </w:p>
          <w:p w:rsidR="00F9662D" w:rsidRPr="00060B29" w:rsidRDefault="00F9662D" w:rsidP="00B15687">
            <w:pPr>
              <w:jc w:val="left"/>
              <w:rPr>
                <w:rFonts w:ascii="Arial Narrow" w:hAnsi="Arial Narrow" w:cs="Times New Roman"/>
                <w:bCs/>
                <w:sz w:val="20"/>
                <w:lang w:eastAsia="en-US"/>
              </w:rPr>
            </w:pPr>
          </w:p>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 xml:space="preserve">The submission for IPF considered by the PBAC in 2016 applied a 10-year time horizon. </w:t>
            </w:r>
          </w:p>
        </w:tc>
      </w:tr>
      <w:tr w:rsidR="00F9662D" w:rsidRPr="00060B29" w:rsidTr="00783451">
        <w:trPr>
          <w:trHeight w:val="58"/>
        </w:trPr>
        <w:tc>
          <w:tcPr>
            <w:tcW w:w="784" w:type="pct"/>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Methods used to generate results</w:t>
            </w:r>
          </w:p>
        </w:tc>
        <w:tc>
          <w:tcPr>
            <w:tcW w:w="4216" w:type="pct"/>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Microsimulation</w:t>
            </w:r>
          </w:p>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The use of a microsimulation is reasonable, given the availability of patient-level data from the INBUILD trial and the impact of the past number of acute exacerbations experienced on FVC%Pred and mortality</w:t>
            </w:r>
            <w:r w:rsidR="00895E82" w:rsidRPr="00060B29">
              <w:rPr>
                <w:rFonts w:ascii="Arial Narrow" w:hAnsi="Arial Narrow" w:cs="Times New Roman"/>
                <w:bCs/>
                <w:sz w:val="20"/>
                <w:lang w:eastAsia="en-US"/>
              </w:rPr>
              <w:t xml:space="preserve"> (thus needing a Markov model to have memory)</w:t>
            </w:r>
            <w:r w:rsidRPr="00060B29">
              <w:rPr>
                <w:rFonts w:ascii="Arial Narrow" w:hAnsi="Arial Narrow" w:cs="Times New Roman"/>
                <w:bCs/>
                <w:sz w:val="20"/>
                <w:lang w:eastAsia="en-US"/>
              </w:rPr>
              <w:t>.</w:t>
            </w:r>
          </w:p>
          <w:p w:rsidR="00F9662D" w:rsidRPr="00060B29" w:rsidRDefault="00F9662D" w:rsidP="00B15687">
            <w:pPr>
              <w:jc w:val="left"/>
              <w:rPr>
                <w:rFonts w:ascii="Arial Narrow" w:hAnsi="Arial Narrow" w:cs="Times New Roman"/>
                <w:bCs/>
                <w:iCs/>
                <w:sz w:val="20"/>
                <w:lang w:eastAsia="en-US"/>
              </w:rPr>
            </w:pPr>
          </w:p>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iCs/>
                <w:sz w:val="20"/>
                <w:lang w:eastAsia="en-US"/>
              </w:rPr>
              <w:t>For each patient, a random value for each baseline characteristic</w:t>
            </w:r>
            <w:r w:rsidRPr="00060B29">
              <w:rPr>
                <w:rFonts w:ascii="Arial Narrow" w:hAnsi="Arial Narrow" w:cs="Times New Roman"/>
                <w:bCs/>
                <w:iCs/>
                <w:sz w:val="20"/>
                <w:vertAlign w:val="superscript"/>
                <w:lang w:eastAsia="en-US"/>
              </w:rPr>
              <w:footnoteReference w:id="8"/>
            </w:r>
            <w:r w:rsidRPr="00060B29">
              <w:rPr>
                <w:rFonts w:ascii="Arial Narrow" w:hAnsi="Arial Narrow" w:cs="Times New Roman"/>
                <w:bCs/>
                <w:iCs/>
                <w:sz w:val="20"/>
                <w:lang w:eastAsia="en-US"/>
              </w:rPr>
              <w:t xml:space="preserve"> from “a normal distribution with a mean and standard deviation that corresponds to that observed in INBUILD” was drawn. </w:t>
            </w:r>
            <w:r w:rsidRPr="00060B29">
              <w:rPr>
                <w:rFonts w:ascii="Arial Narrow" w:hAnsi="Arial Narrow" w:cs="Times New Roman"/>
                <w:bCs/>
                <w:sz w:val="20"/>
                <w:lang w:eastAsia="en-US"/>
              </w:rPr>
              <w:t>Assuming normal distribution may not be appropriate for all parameters, including for utility, which is likely to have a highly negatively skewed distribution.</w:t>
            </w:r>
          </w:p>
          <w:p w:rsidR="00F9662D" w:rsidRPr="00060B29" w:rsidRDefault="00F9662D" w:rsidP="00B15687">
            <w:pPr>
              <w:jc w:val="left"/>
              <w:rPr>
                <w:rFonts w:ascii="Arial Narrow" w:hAnsi="Arial Narrow" w:cs="Times New Roman"/>
                <w:bCs/>
                <w:sz w:val="20"/>
                <w:lang w:eastAsia="en-US"/>
              </w:rPr>
            </w:pPr>
          </w:p>
          <w:p w:rsidR="00F9662D" w:rsidRPr="00060B29" w:rsidRDefault="00F9662D" w:rsidP="00B15687">
            <w:pPr>
              <w:jc w:val="left"/>
              <w:rPr>
                <w:rFonts w:ascii="Arial Narrow" w:hAnsi="Arial Narrow" w:cs="Times New Roman"/>
                <w:bCs/>
                <w:i/>
                <w:sz w:val="20"/>
                <w:lang w:eastAsia="en-US"/>
              </w:rPr>
            </w:pPr>
            <w:r w:rsidRPr="00060B29">
              <w:rPr>
                <w:rFonts w:ascii="Arial Narrow" w:hAnsi="Arial Narrow" w:cs="Times New Roman"/>
                <w:bCs/>
                <w:sz w:val="20"/>
                <w:lang w:eastAsia="en-US"/>
              </w:rPr>
              <w:t xml:space="preserve">If the patient experienced an acute exacerbation, they were assumed to experience a permanent drop in FVC%pred and a temporary (1 cycle) drop in utility values regardless of the treatment. </w:t>
            </w:r>
          </w:p>
        </w:tc>
      </w:tr>
      <w:tr w:rsidR="00F9662D" w:rsidRPr="00060B29" w:rsidTr="00783451">
        <w:trPr>
          <w:trHeight w:val="750"/>
        </w:trPr>
        <w:tc>
          <w:tcPr>
            <w:tcW w:w="784" w:type="pct"/>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Health states</w:t>
            </w:r>
          </w:p>
        </w:tc>
        <w:tc>
          <w:tcPr>
            <w:tcW w:w="4216" w:type="pct"/>
          </w:tcPr>
          <w:p w:rsidR="00F9662D" w:rsidRPr="00060B29" w:rsidRDefault="00F9662D" w:rsidP="00B15687">
            <w:pPr>
              <w:jc w:val="left"/>
              <w:rPr>
                <w:rFonts w:ascii="Arial Narrow" w:eastAsia="Calibri" w:hAnsi="Arial Narrow" w:cs="Times New Roman"/>
                <w:bCs/>
                <w:sz w:val="20"/>
                <w:lang w:eastAsia="en-US"/>
              </w:rPr>
            </w:pPr>
            <w:r w:rsidRPr="00060B29">
              <w:rPr>
                <w:rFonts w:ascii="Arial Narrow" w:eastAsia="Calibri" w:hAnsi="Arial Narrow" w:cs="Times New Roman"/>
                <w:bCs/>
                <w:sz w:val="20"/>
                <w:lang w:eastAsia="en-US"/>
              </w:rPr>
              <w:t>1. Alive with or without acute exacerbation</w:t>
            </w:r>
          </w:p>
          <w:p w:rsidR="00F9662D" w:rsidRPr="00060B29" w:rsidRDefault="00F9662D" w:rsidP="00B15687">
            <w:pPr>
              <w:jc w:val="left"/>
              <w:rPr>
                <w:rFonts w:ascii="Arial Narrow" w:eastAsia="Calibri" w:hAnsi="Arial Narrow" w:cs="Times New Roman"/>
                <w:bCs/>
                <w:sz w:val="20"/>
                <w:lang w:eastAsia="en-US"/>
              </w:rPr>
            </w:pPr>
            <w:r w:rsidRPr="00060B29">
              <w:rPr>
                <w:rFonts w:ascii="Arial Narrow" w:eastAsia="Calibri" w:hAnsi="Arial Narrow" w:cs="Times New Roman"/>
                <w:bCs/>
                <w:sz w:val="20"/>
                <w:lang w:eastAsia="en-US"/>
              </w:rPr>
              <w:t>2. Alive with or without lung transplantation</w:t>
            </w:r>
          </w:p>
          <w:p w:rsidR="00F9662D" w:rsidRPr="00060B29" w:rsidRDefault="00F9662D" w:rsidP="00B15687">
            <w:pPr>
              <w:jc w:val="left"/>
              <w:rPr>
                <w:rFonts w:ascii="Arial Narrow" w:eastAsia="Calibri" w:hAnsi="Arial Narrow" w:cs="Times New Roman"/>
                <w:bCs/>
                <w:sz w:val="20"/>
                <w:lang w:eastAsia="en-US"/>
              </w:rPr>
            </w:pPr>
            <w:r w:rsidRPr="00060B29">
              <w:rPr>
                <w:rFonts w:ascii="Arial Narrow" w:eastAsia="Calibri" w:hAnsi="Arial Narrow" w:cs="Times New Roman"/>
                <w:bCs/>
                <w:sz w:val="20"/>
                <w:lang w:eastAsia="en-US"/>
              </w:rPr>
              <w:t>3. Dead</w:t>
            </w:r>
          </w:p>
          <w:p w:rsidR="005C734A" w:rsidRPr="00060B29" w:rsidRDefault="005C734A" w:rsidP="00B15687">
            <w:pPr>
              <w:jc w:val="left"/>
              <w:rPr>
                <w:rFonts w:ascii="Arial Narrow" w:eastAsia="Calibri" w:hAnsi="Arial Narrow" w:cs="Times New Roman"/>
                <w:bCs/>
                <w:sz w:val="20"/>
                <w:lang w:eastAsia="en-US"/>
              </w:rPr>
            </w:pPr>
          </w:p>
          <w:p w:rsidR="00F9662D" w:rsidRPr="00060B29" w:rsidRDefault="00F9662D" w:rsidP="00B15687">
            <w:pPr>
              <w:jc w:val="left"/>
              <w:rPr>
                <w:rFonts w:ascii="Arial Narrow" w:hAnsi="Arial Narrow" w:cs="Times New Roman"/>
                <w:bCs/>
                <w:sz w:val="20"/>
                <w:szCs w:val="20"/>
                <w:lang w:eastAsia="en-US"/>
              </w:rPr>
            </w:pPr>
            <w:r w:rsidRPr="00060B29">
              <w:rPr>
                <w:rFonts w:ascii="Arial Narrow" w:hAnsi="Arial Narrow" w:cs="Times New Roman"/>
                <w:bCs/>
                <w:sz w:val="20"/>
                <w:szCs w:val="20"/>
                <w:lang w:eastAsia="en-US"/>
              </w:rPr>
              <w:t xml:space="preserve">The selection of these health states is reasonable. The selected health states </w:t>
            </w:r>
            <w:r w:rsidR="00AA64AB" w:rsidRPr="00060B29">
              <w:rPr>
                <w:rFonts w:ascii="Arial Narrow" w:hAnsi="Arial Narrow" w:cs="Times New Roman"/>
                <w:bCs/>
                <w:sz w:val="20"/>
                <w:szCs w:val="20"/>
                <w:lang w:eastAsia="en-US"/>
              </w:rPr>
              <w:t>were</w:t>
            </w:r>
            <w:r w:rsidRPr="00060B29">
              <w:rPr>
                <w:rFonts w:ascii="Arial Narrow" w:hAnsi="Arial Narrow" w:cs="Times New Roman"/>
                <w:bCs/>
                <w:sz w:val="20"/>
                <w:szCs w:val="20"/>
                <w:lang w:eastAsia="en-US"/>
              </w:rPr>
              <w:t xml:space="preserve"> similar to the previous submission for pirfenidone for the treatment of patients with IPF. In that submission, the selected health states were: ‘PFS’, ‘progression’, ‘lung transplant’ and ‘death’ (paragraph 6.27, pirfenidone, PSD, November 2015 PBAC meeting).</w:t>
            </w:r>
          </w:p>
        </w:tc>
      </w:tr>
      <w:tr w:rsidR="00F9662D" w:rsidRPr="00060B29" w:rsidTr="00783451">
        <w:tc>
          <w:tcPr>
            <w:tcW w:w="784" w:type="pct"/>
            <w:tcBorders>
              <w:bottom w:val="single" w:sz="4" w:space="0" w:color="auto"/>
            </w:tcBorders>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Cycle length</w:t>
            </w:r>
          </w:p>
        </w:tc>
        <w:tc>
          <w:tcPr>
            <w:tcW w:w="4216" w:type="pct"/>
            <w:tcBorders>
              <w:bottom w:val="single" w:sz="4" w:space="0" w:color="auto"/>
            </w:tcBorders>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1 month</w:t>
            </w:r>
          </w:p>
          <w:p w:rsidR="00F9662D" w:rsidRPr="00060B29" w:rsidRDefault="00F9662D" w:rsidP="00B15687">
            <w:pPr>
              <w:jc w:val="left"/>
              <w:rPr>
                <w:rFonts w:ascii="Arial Narrow" w:hAnsi="Arial Narrow" w:cs="Times New Roman"/>
                <w:bCs/>
                <w:sz w:val="20"/>
                <w:lang w:eastAsia="en-US"/>
              </w:rPr>
            </w:pPr>
          </w:p>
        </w:tc>
      </w:tr>
      <w:tr w:rsidR="00F9662D" w:rsidRPr="00060B29" w:rsidTr="00895361">
        <w:tc>
          <w:tcPr>
            <w:tcW w:w="784" w:type="pct"/>
            <w:vAlign w:val="center"/>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Transition probabilities</w:t>
            </w:r>
          </w:p>
        </w:tc>
        <w:tc>
          <w:tcPr>
            <w:tcW w:w="4216" w:type="pct"/>
          </w:tcPr>
          <w:p w:rsidR="00802628" w:rsidRPr="00060B29" w:rsidRDefault="00F9662D"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Transition probabilities for all modelled events, except lung transplantation, were derived from a post-hoc analysis of the individual patient data from the INBUILD trial.</w:t>
            </w:r>
          </w:p>
          <w:p w:rsidR="00802628" w:rsidRPr="00060B29" w:rsidRDefault="00802628" w:rsidP="00B15687">
            <w:pPr>
              <w:jc w:val="left"/>
              <w:rPr>
                <w:rFonts w:ascii="Arial Narrow" w:hAnsi="Arial Narrow"/>
                <w:bCs/>
                <w:snapToGrid w:val="0"/>
                <w:sz w:val="20"/>
                <w:szCs w:val="20"/>
                <w:lang w:eastAsia="en-US"/>
              </w:rPr>
            </w:pPr>
          </w:p>
          <w:p w:rsidR="003E7BC4" w:rsidRPr="00060B29" w:rsidRDefault="00F77D66"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A s</w:t>
            </w:r>
            <w:r w:rsidR="00ED76F7" w:rsidRPr="00060B29">
              <w:rPr>
                <w:rFonts w:ascii="Arial Narrow" w:hAnsi="Arial Narrow"/>
                <w:bCs/>
                <w:snapToGrid w:val="0"/>
                <w:sz w:val="20"/>
                <w:szCs w:val="20"/>
                <w:lang w:eastAsia="en-US"/>
              </w:rPr>
              <w:t>eparate (independent) linear mixed-effects regression model was used to model FVC%Pred</w:t>
            </w:r>
            <w:r w:rsidR="003E7BC4" w:rsidRPr="00060B29">
              <w:rPr>
                <w:rFonts w:ascii="Arial Narrow" w:hAnsi="Arial Narrow"/>
                <w:bCs/>
                <w:snapToGrid w:val="0"/>
                <w:sz w:val="20"/>
                <w:szCs w:val="20"/>
                <w:lang w:eastAsia="en-US"/>
              </w:rPr>
              <w:t xml:space="preserve"> using several parameters, including acute ILD exacerbation</w:t>
            </w:r>
            <w:r w:rsidR="00ED76F7" w:rsidRPr="00060B29">
              <w:rPr>
                <w:rFonts w:ascii="Arial Narrow" w:hAnsi="Arial Narrow"/>
                <w:bCs/>
                <w:snapToGrid w:val="0"/>
                <w:sz w:val="20"/>
                <w:szCs w:val="20"/>
                <w:lang w:eastAsia="en-US"/>
              </w:rPr>
              <w:t>.</w:t>
            </w:r>
          </w:p>
          <w:p w:rsidR="003E7BC4" w:rsidRPr="00060B29" w:rsidRDefault="003E7BC4" w:rsidP="00B15687">
            <w:pPr>
              <w:jc w:val="left"/>
              <w:rPr>
                <w:rFonts w:ascii="Arial Narrow" w:hAnsi="Arial Narrow"/>
                <w:bCs/>
                <w:snapToGrid w:val="0"/>
                <w:sz w:val="20"/>
                <w:szCs w:val="20"/>
                <w:lang w:eastAsia="en-US"/>
              </w:rPr>
            </w:pPr>
          </w:p>
          <w:p w:rsidR="00F9662D" w:rsidRPr="00060B29" w:rsidRDefault="003E7BC4"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Kaplan-Meier overall survival data and acute ILD exacerbations data were used up to 17.2 months, which was then extrapolated.</w:t>
            </w:r>
            <w:r w:rsidR="00F9662D" w:rsidRPr="00060B29">
              <w:rPr>
                <w:rFonts w:ascii="Arial Narrow" w:hAnsi="Arial Narrow"/>
                <w:bCs/>
                <w:snapToGrid w:val="0"/>
                <w:sz w:val="20"/>
                <w:szCs w:val="20"/>
                <w:lang w:eastAsia="en-US"/>
              </w:rPr>
              <w:t xml:space="preserve"> The submission fitted parametric functions to the following parameters:</w:t>
            </w:r>
          </w:p>
          <w:p w:rsidR="00F9662D" w:rsidRPr="00060B29" w:rsidRDefault="00F9662D"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-Acute exacerbations: Exponential</w:t>
            </w:r>
          </w:p>
          <w:p w:rsidR="00F9662D" w:rsidRPr="00060B29" w:rsidRDefault="00F9662D"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-OS: Independent Weibull</w:t>
            </w:r>
          </w:p>
          <w:p w:rsidR="00F9662D" w:rsidRPr="00060B29" w:rsidRDefault="00F9662D"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-Time to treatment discontinuation: Exponential</w:t>
            </w:r>
          </w:p>
          <w:p w:rsidR="00F9662D" w:rsidRPr="00060B29" w:rsidRDefault="00F9662D" w:rsidP="00B15687">
            <w:pPr>
              <w:jc w:val="left"/>
              <w:rPr>
                <w:rFonts w:ascii="Arial Narrow" w:hAnsi="Arial Narrow"/>
                <w:bCs/>
                <w:snapToGrid w:val="0"/>
                <w:sz w:val="20"/>
                <w:szCs w:val="20"/>
                <w:lang w:eastAsia="en-US"/>
              </w:rPr>
            </w:pPr>
          </w:p>
          <w:p w:rsidR="00F9662D" w:rsidRPr="00060B29" w:rsidRDefault="00F9662D" w:rsidP="00B15687">
            <w:pPr>
              <w:jc w:val="left"/>
              <w:rPr>
                <w:rFonts w:ascii="Arial Narrow" w:hAnsi="Arial Narrow"/>
                <w:bCs/>
                <w:snapToGrid w:val="0"/>
                <w:sz w:val="20"/>
                <w:szCs w:val="20"/>
                <w:lang w:eastAsia="en-US"/>
              </w:rPr>
            </w:pPr>
            <w:r w:rsidRPr="00060B29">
              <w:rPr>
                <w:rFonts w:ascii="Arial Narrow" w:hAnsi="Arial Narrow"/>
                <w:bCs/>
                <w:snapToGrid w:val="0"/>
                <w:sz w:val="20"/>
                <w:szCs w:val="20"/>
                <w:lang w:eastAsia="en-US"/>
              </w:rPr>
              <w:t xml:space="preserve">The choice of extrapolation functions was reasonable. The ICER was not sensitive to the choice of extrapolation function for acute exacerbations or time to treatment discontinuation, but was sensitive to the choice of extrapolation function for </w:t>
            </w:r>
            <w:r w:rsidR="00553E9B" w:rsidRPr="00060B29">
              <w:rPr>
                <w:rFonts w:ascii="Arial Narrow" w:hAnsi="Arial Narrow"/>
                <w:bCs/>
                <w:snapToGrid w:val="0"/>
                <w:sz w:val="20"/>
                <w:szCs w:val="20"/>
                <w:lang w:eastAsia="en-US"/>
              </w:rPr>
              <w:t>OS</w:t>
            </w:r>
            <w:r w:rsidRPr="00060B29">
              <w:rPr>
                <w:rFonts w:ascii="Arial Narrow" w:hAnsi="Arial Narrow"/>
                <w:bCs/>
                <w:snapToGrid w:val="0"/>
                <w:sz w:val="20"/>
                <w:szCs w:val="20"/>
                <w:lang w:eastAsia="en-US"/>
              </w:rPr>
              <w:t xml:space="preserve">. </w:t>
            </w:r>
          </w:p>
          <w:p w:rsidR="00F9662D" w:rsidRPr="00060B29" w:rsidRDefault="00F9662D" w:rsidP="00B15687">
            <w:pPr>
              <w:jc w:val="left"/>
              <w:rPr>
                <w:rFonts w:ascii="Arial Narrow" w:hAnsi="Arial Narrow"/>
                <w:bCs/>
                <w:i/>
                <w:snapToGrid w:val="0"/>
                <w:sz w:val="20"/>
                <w:szCs w:val="22"/>
                <w:lang w:eastAsia="en-US"/>
              </w:rPr>
            </w:pPr>
          </w:p>
          <w:p w:rsidR="00F9662D" w:rsidRPr="00060B29" w:rsidRDefault="00F9662D" w:rsidP="00B15687">
            <w:pPr>
              <w:jc w:val="left"/>
              <w:rPr>
                <w:rFonts w:ascii="Arial Narrow" w:hAnsi="Arial Narrow"/>
                <w:bCs/>
                <w:snapToGrid w:val="0"/>
                <w:sz w:val="20"/>
                <w:szCs w:val="22"/>
                <w:lang w:eastAsia="en-US"/>
              </w:rPr>
            </w:pPr>
            <w:r w:rsidRPr="00060B29">
              <w:rPr>
                <w:rFonts w:ascii="Arial Narrow" w:hAnsi="Arial Narrow"/>
                <w:bCs/>
                <w:snapToGrid w:val="0"/>
                <w:sz w:val="20"/>
                <w:szCs w:val="22"/>
                <w:lang w:eastAsia="en-US"/>
              </w:rPr>
              <w:t>Discontinuation rates in the INBUILD trial, especially in the nintedanib treatment arm, were substantial. The long-term benefit</w:t>
            </w:r>
            <w:r w:rsidR="00ED76F7" w:rsidRPr="00060B29">
              <w:rPr>
                <w:rFonts w:ascii="Arial Narrow" w:hAnsi="Arial Narrow"/>
                <w:bCs/>
                <w:snapToGrid w:val="0"/>
                <w:sz w:val="20"/>
                <w:szCs w:val="22"/>
                <w:lang w:eastAsia="en-US"/>
              </w:rPr>
              <w:t xml:space="preserve"> in terms of OS and acute exacerbations</w:t>
            </w:r>
            <w:r w:rsidRPr="00060B29">
              <w:rPr>
                <w:rFonts w:ascii="Arial Narrow" w:hAnsi="Arial Narrow"/>
                <w:bCs/>
                <w:snapToGrid w:val="0"/>
                <w:sz w:val="20"/>
                <w:szCs w:val="22"/>
                <w:lang w:eastAsia="en-US"/>
              </w:rPr>
              <w:t xml:space="preserve"> from nintedanib and placebo</w:t>
            </w:r>
            <w:r w:rsidR="006F4D6B" w:rsidRPr="00060B29">
              <w:rPr>
                <w:rFonts w:ascii="Arial Narrow" w:hAnsi="Arial Narrow"/>
                <w:bCs/>
                <w:snapToGrid w:val="0"/>
                <w:sz w:val="20"/>
                <w:szCs w:val="22"/>
                <w:lang w:eastAsia="en-US"/>
              </w:rPr>
              <w:t xml:space="preserve"> + BSC</w:t>
            </w:r>
            <w:r w:rsidRPr="00060B29">
              <w:rPr>
                <w:rFonts w:ascii="Arial Narrow" w:hAnsi="Arial Narrow"/>
                <w:bCs/>
                <w:snapToGrid w:val="0"/>
                <w:sz w:val="20"/>
                <w:szCs w:val="22"/>
                <w:lang w:eastAsia="en-US"/>
              </w:rPr>
              <w:t xml:space="preserve"> may converge in the long run given high discontinuation rates. The ICER was sensitive to </w:t>
            </w:r>
            <w:r w:rsidR="00ED76F7" w:rsidRPr="00060B29">
              <w:rPr>
                <w:rFonts w:ascii="Arial Narrow" w:hAnsi="Arial Narrow"/>
                <w:bCs/>
                <w:snapToGrid w:val="0"/>
                <w:sz w:val="20"/>
                <w:szCs w:val="22"/>
                <w:lang w:eastAsia="en-US"/>
              </w:rPr>
              <w:t>OS</w:t>
            </w:r>
            <w:r w:rsidR="003C0F0C" w:rsidRPr="00060B29">
              <w:rPr>
                <w:rFonts w:ascii="Arial Narrow" w:hAnsi="Arial Narrow"/>
                <w:bCs/>
                <w:snapToGrid w:val="0"/>
                <w:sz w:val="20"/>
                <w:szCs w:val="22"/>
                <w:lang w:eastAsia="en-US"/>
              </w:rPr>
              <w:t xml:space="preserve"> </w:t>
            </w:r>
            <w:r w:rsidR="00A22721">
              <w:rPr>
                <w:rFonts w:ascii="Arial Narrow" w:hAnsi="Arial Narrow"/>
                <w:bCs/>
                <w:snapToGrid w:val="0"/>
                <w:sz w:val="20"/>
                <w:szCs w:val="22"/>
                <w:lang w:eastAsia="en-US"/>
              </w:rPr>
              <w:t>curves</w:t>
            </w:r>
            <w:r w:rsidRPr="00060B29">
              <w:rPr>
                <w:rFonts w:ascii="Arial Narrow" w:hAnsi="Arial Narrow"/>
                <w:bCs/>
                <w:snapToGrid w:val="0"/>
                <w:sz w:val="20"/>
                <w:szCs w:val="22"/>
                <w:lang w:eastAsia="en-US"/>
              </w:rPr>
              <w:t xml:space="preserve"> </w:t>
            </w:r>
            <w:r w:rsidR="00ED76F7" w:rsidRPr="00060B29">
              <w:rPr>
                <w:rFonts w:ascii="Arial Narrow" w:hAnsi="Arial Narrow"/>
                <w:bCs/>
                <w:snapToGrid w:val="0"/>
                <w:sz w:val="20"/>
                <w:szCs w:val="22"/>
                <w:lang w:eastAsia="en-US"/>
              </w:rPr>
              <w:t>converging</w:t>
            </w:r>
            <w:r w:rsidRPr="00060B29">
              <w:rPr>
                <w:rFonts w:ascii="Arial Narrow" w:hAnsi="Arial Narrow"/>
                <w:bCs/>
                <w:snapToGrid w:val="0"/>
                <w:sz w:val="20"/>
                <w:szCs w:val="22"/>
                <w:lang w:eastAsia="en-US"/>
              </w:rPr>
              <w:t>.</w:t>
            </w:r>
          </w:p>
          <w:p w:rsidR="00F9662D" w:rsidRPr="00060B29" w:rsidRDefault="00F9662D" w:rsidP="00B15687">
            <w:pPr>
              <w:jc w:val="left"/>
              <w:rPr>
                <w:rFonts w:ascii="Arial Narrow" w:hAnsi="Arial Narrow"/>
                <w:bCs/>
                <w:snapToGrid w:val="0"/>
                <w:sz w:val="20"/>
                <w:szCs w:val="20"/>
                <w:lang w:eastAsia="en-US"/>
              </w:rPr>
            </w:pPr>
          </w:p>
          <w:p w:rsidR="00F9662D" w:rsidRPr="00060B29" w:rsidRDefault="00F9662D" w:rsidP="00B15687">
            <w:pPr>
              <w:jc w:val="left"/>
              <w:rPr>
                <w:rFonts w:ascii="Arial Narrow" w:hAnsi="Arial Narrow"/>
                <w:bCs/>
                <w:snapToGrid w:val="0"/>
                <w:sz w:val="20"/>
                <w:szCs w:val="20"/>
                <w:lang w:eastAsia="en-US"/>
              </w:rPr>
            </w:pPr>
          </w:p>
          <w:p w:rsidR="00F9662D" w:rsidRPr="00060B29" w:rsidRDefault="00F9662D" w:rsidP="00B15687">
            <w:pPr>
              <w:jc w:val="left"/>
              <w:rPr>
                <w:rFonts w:ascii="Arial Narrow" w:hAnsi="Arial Narrow"/>
                <w:bCs/>
                <w:snapToGrid w:val="0"/>
                <w:sz w:val="20"/>
                <w:szCs w:val="20"/>
                <w:lang w:eastAsia="en-US"/>
              </w:rPr>
            </w:pPr>
          </w:p>
          <w:p w:rsidR="00A86A83" w:rsidRPr="00060B29" w:rsidRDefault="00F9662D" w:rsidP="00B15687">
            <w:pPr>
              <w:jc w:val="left"/>
              <w:rPr>
                <w:rFonts w:ascii="Arial Narrow" w:hAnsi="Arial Narrow"/>
                <w:bCs/>
                <w:iCs/>
                <w:snapToGrid w:val="0"/>
                <w:sz w:val="20"/>
                <w:szCs w:val="20"/>
                <w:lang w:eastAsia="en-US"/>
              </w:rPr>
            </w:pPr>
            <w:r w:rsidRPr="00060B29">
              <w:rPr>
                <w:rFonts w:ascii="Arial Narrow" w:hAnsi="Arial Narrow"/>
                <w:bCs/>
                <w:snapToGrid w:val="0"/>
                <w:sz w:val="20"/>
                <w:szCs w:val="20"/>
                <w:lang w:eastAsia="en-US"/>
              </w:rPr>
              <w:t>AEs (diarrhoea, nausea and vomiting) were based on the proportions observed over 52 weeks in the INBUILD trial. The PBAC previously</w:t>
            </w:r>
            <w:r w:rsidR="00862197" w:rsidRPr="00060B29">
              <w:rPr>
                <w:rFonts w:ascii="Arial Narrow" w:hAnsi="Arial Narrow"/>
                <w:bCs/>
                <w:snapToGrid w:val="0"/>
                <w:sz w:val="20"/>
                <w:szCs w:val="20"/>
                <w:lang w:eastAsia="en-US"/>
              </w:rPr>
              <w:t xml:space="preserve"> noted these AEs were associated with nintedanib treatment in its previous consideration of nintedanib for IPF.</w:t>
            </w:r>
            <w:r w:rsidR="00D4557A" w:rsidRPr="00060B29">
              <w:rPr>
                <w:rFonts w:ascii="Arial Narrow" w:hAnsi="Arial Narrow"/>
                <w:bCs/>
                <w:snapToGrid w:val="0"/>
                <w:sz w:val="20"/>
                <w:szCs w:val="20"/>
                <w:lang w:eastAsia="en-US"/>
              </w:rPr>
              <w:t xml:space="preserve"> </w:t>
            </w:r>
            <w:r w:rsidR="00A86A83" w:rsidRPr="00060B29">
              <w:rPr>
                <w:rFonts w:ascii="Arial Narrow" w:hAnsi="Arial Narrow"/>
                <w:bCs/>
                <w:iCs/>
                <w:snapToGrid w:val="0"/>
                <w:sz w:val="20"/>
                <w:szCs w:val="20"/>
                <w:lang w:eastAsia="en-US"/>
              </w:rPr>
              <w:t xml:space="preserve">Nintedanib treatment was associated with a greater risk of acute respiratory failure </w:t>
            </w:r>
            <w:r w:rsidR="00E63545" w:rsidRPr="00060B29">
              <w:rPr>
                <w:rFonts w:ascii="Arial Narrow" w:hAnsi="Arial Narrow"/>
                <w:bCs/>
                <w:iCs/>
                <w:snapToGrid w:val="0"/>
                <w:sz w:val="20"/>
                <w:szCs w:val="20"/>
                <w:lang w:eastAsia="en-US"/>
              </w:rPr>
              <w:t xml:space="preserve">SAE </w:t>
            </w:r>
            <w:r w:rsidR="00A86A83" w:rsidRPr="00060B29">
              <w:rPr>
                <w:rFonts w:ascii="Arial Narrow" w:hAnsi="Arial Narrow"/>
                <w:bCs/>
                <w:iCs/>
                <w:snapToGrid w:val="0"/>
                <w:sz w:val="20"/>
                <w:szCs w:val="20"/>
                <w:lang w:eastAsia="en-US"/>
              </w:rPr>
              <w:t>(3.0% versus 0.6%, RR = 4.98, 95% CI 1.10</w:t>
            </w:r>
            <w:r w:rsidR="0097467F" w:rsidRPr="00060B29">
              <w:rPr>
                <w:rFonts w:ascii="Arial Narrow" w:hAnsi="Arial Narrow"/>
                <w:bCs/>
                <w:iCs/>
                <w:snapToGrid w:val="0"/>
                <w:sz w:val="20"/>
                <w:szCs w:val="20"/>
                <w:lang w:eastAsia="en-US"/>
              </w:rPr>
              <w:t xml:space="preserve">, </w:t>
            </w:r>
            <w:r w:rsidR="00A86A83" w:rsidRPr="00060B29">
              <w:rPr>
                <w:rFonts w:ascii="Arial Narrow" w:hAnsi="Arial Narrow"/>
                <w:bCs/>
                <w:iCs/>
                <w:snapToGrid w:val="0"/>
                <w:sz w:val="20"/>
                <w:szCs w:val="20"/>
                <w:lang w:eastAsia="en-US"/>
              </w:rPr>
              <w:t xml:space="preserve">22.58) and </w:t>
            </w:r>
            <w:r w:rsidR="00E63545" w:rsidRPr="00060B29">
              <w:rPr>
                <w:rFonts w:ascii="Arial Narrow" w:hAnsi="Arial Narrow"/>
                <w:bCs/>
                <w:iCs/>
                <w:snapToGrid w:val="0"/>
                <w:sz w:val="20"/>
                <w:szCs w:val="20"/>
                <w:lang w:eastAsia="en-US"/>
              </w:rPr>
              <w:t xml:space="preserve">drug-induced liver injury SAE </w:t>
            </w:r>
            <w:r w:rsidR="00A86A83" w:rsidRPr="00060B29">
              <w:rPr>
                <w:rFonts w:ascii="Arial Narrow" w:hAnsi="Arial Narrow"/>
                <w:bCs/>
                <w:iCs/>
                <w:snapToGrid w:val="0"/>
                <w:sz w:val="20"/>
                <w:szCs w:val="20"/>
                <w:lang w:eastAsia="en-US"/>
              </w:rPr>
              <w:t>(</w:t>
            </w:r>
            <w:r w:rsidR="00E63545" w:rsidRPr="00060B29">
              <w:rPr>
                <w:rFonts w:ascii="Arial Narrow" w:hAnsi="Arial Narrow"/>
                <w:bCs/>
                <w:iCs/>
                <w:snapToGrid w:val="0"/>
                <w:sz w:val="20"/>
                <w:szCs w:val="20"/>
                <w:lang w:eastAsia="en-US"/>
              </w:rPr>
              <w:t>1.8</w:t>
            </w:r>
            <w:r w:rsidR="00A86A83" w:rsidRPr="00060B29">
              <w:rPr>
                <w:rFonts w:ascii="Arial Narrow" w:hAnsi="Arial Narrow"/>
                <w:bCs/>
                <w:iCs/>
                <w:snapToGrid w:val="0"/>
                <w:sz w:val="20"/>
                <w:szCs w:val="20"/>
                <w:lang w:eastAsia="en-US"/>
              </w:rPr>
              <w:t>% versus 0%, R</w:t>
            </w:r>
            <w:r w:rsidR="00E63545" w:rsidRPr="00060B29">
              <w:rPr>
                <w:rFonts w:ascii="Arial Narrow" w:hAnsi="Arial Narrow"/>
                <w:bCs/>
                <w:iCs/>
                <w:snapToGrid w:val="0"/>
                <w:sz w:val="20"/>
                <w:szCs w:val="20"/>
                <w:lang w:eastAsia="en-US"/>
              </w:rPr>
              <w:t>D</w:t>
            </w:r>
            <w:r w:rsidR="00A86A83" w:rsidRPr="00060B29">
              <w:rPr>
                <w:rFonts w:ascii="Arial Narrow" w:hAnsi="Arial Narrow"/>
                <w:bCs/>
                <w:iCs/>
                <w:snapToGrid w:val="0"/>
                <w:sz w:val="20"/>
                <w:szCs w:val="20"/>
                <w:lang w:eastAsia="en-US"/>
              </w:rPr>
              <w:t>=</w:t>
            </w:r>
            <w:r w:rsidR="00E63545" w:rsidRPr="00060B29">
              <w:rPr>
                <w:rFonts w:ascii="Arial Narrow" w:hAnsi="Arial Narrow"/>
                <w:bCs/>
                <w:iCs/>
                <w:snapToGrid w:val="0"/>
                <w:sz w:val="20"/>
                <w:szCs w:val="20"/>
                <w:lang w:eastAsia="en-US"/>
              </w:rPr>
              <w:t>0.02</w:t>
            </w:r>
            <w:r w:rsidR="00A86A83" w:rsidRPr="00060B29">
              <w:rPr>
                <w:rFonts w:ascii="Arial Narrow" w:hAnsi="Arial Narrow"/>
                <w:bCs/>
                <w:iCs/>
                <w:snapToGrid w:val="0"/>
                <w:sz w:val="20"/>
                <w:szCs w:val="20"/>
                <w:lang w:eastAsia="en-US"/>
              </w:rPr>
              <w:t xml:space="preserve">, 95% CI </w:t>
            </w:r>
            <w:r w:rsidR="00E63545" w:rsidRPr="00060B29">
              <w:rPr>
                <w:rFonts w:ascii="Arial Narrow" w:hAnsi="Arial Narrow"/>
                <w:bCs/>
                <w:iCs/>
                <w:snapToGrid w:val="0"/>
                <w:sz w:val="20"/>
                <w:szCs w:val="20"/>
                <w:lang w:eastAsia="en-US"/>
              </w:rPr>
              <w:t>0.00</w:t>
            </w:r>
            <w:r w:rsidR="0097467F" w:rsidRPr="00060B29">
              <w:rPr>
                <w:rFonts w:ascii="Arial Narrow" w:hAnsi="Arial Narrow"/>
                <w:bCs/>
                <w:iCs/>
                <w:snapToGrid w:val="0"/>
                <w:sz w:val="20"/>
                <w:szCs w:val="20"/>
                <w:lang w:eastAsia="en-US"/>
              </w:rPr>
              <w:t>,</w:t>
            </w:r>
            <w:r w:rsidR="00A86A83" w:rsidRPr="00060B29">
              <w:rPr>
                <w:rFonts w:ascii="Arial Narrow" w:hAnsi="Arial Narrow"/>
                <w:bCs/>
                <w:iCs/>
                <w:snapToGrid w:val="0"/>
                <w:sz w:val="20"/>
                <w:szCs w:val="20"/>
                <w:lang w:eastAsia="en-US"/>
              </w:rPr>
              <w:t xml:space="preserve"> </w:t>
            </w:r>
            <w:r w:rsidR="00E63545" w:rsidRPr="00060B29">
              <w:rPr>
                <w:rFonts w:ascii="Arial Narrow" w:hAnsi="Arial Narrow"/>
                <w:bCs/>
                <w:iCs/>
                <w:snapToGrid w:val="0"/>
                <w:sz w:val="20"/>
                <w:szCs w:val="20"/>
                <w:lang w:eastAsia="en-US"/>
              </w:rPr>
              <w:t>0.03</w:t>
            </w:r>
            <w:r w:rsidR="00A86A83" w:rsidRPr="00060B29">
              <w:rPr>
                <w:rFonts w:ascii="Arial Narrow" w:hAnsi="Arial Narrow"/>
                <w:bCs/>
                <w:iCs/>
                <w:snapToGrid w:val="0"/>
                <w:sz w:val="20"/>
                <w:szCs w:val="20"/>
                <w:lang w:eastAsia="en-US"/>
              </w:rPr>
              <w:t>) in the INBUILD trial, when compared to placebo</w:t>
            </w:r>
            <w:r w:rsidR="006F4D6B" w:rsidRPr="00060B29">
              <w:rPr>
                <w:rFonts w:ascii="Arial Narrow" w:hAnsi="Arial Narrow"/>
                <w:bCs/>
                <w:iCs/>
                <w:snapToGrid w:val="0"/>
                <w:sz w:val="20"/>
                <w:szCs w:val="20"/>
                <w:lang w:eastAsia="en-US"/>
              </w:rPr>
              <w:t xml:space="preserve"> + BSC</w:t>
            </w:r>
            <w:r w:rsidR="00A86A83" w:rsidRPr="00060B29">
              <w:rPr>
                <w:rFonts w:ascii="Arial Narrow" w:hAnsi="Arial Narrow"/>
                <w:bCs/>
                <w:iCs/>
                <w:snapToGrid w:val="0"/>
                <w:sz w:val="20"/>
                <w:szCs w:val="20"/>
                <w:lang w:eastAsia="en-US"/>
              </w:rPr>
              <w:t>. The submission did not consider these SAEs in the economic model. The impact of these omissions is not clear.</w:t>
            </w:r>
          </w:p>
          <w:p w:rsidR="00F9662D" w:rsidRPr="00060B29" w:rsidRDefault="00F9662D" w:rsidP="00B15687">
            <w:pPr>
              <w:jc w:val="left"/>
              <w:rPr>
                <w:rFonts w:ascii="Arial Narrow" w:hAnsi="Arial Narrow"/>
                <w:bCs/>
                <w:i/>
                <w:snapToGrid w:val="0"/>
                <w:sz w:val="20"/>
                <w:szCs w:val="20"/>
                <w:lang w:eastAsia="en-US"/>
              </w:rPr>
            </w:pPr>
          </w:p>
          <w:p w:rsidR="00F9662D" w:rsidRPr="00060B29" w:rsidRDefault="00F9662D" w:rsidP="00B15687">
            <w:pPr>
              <w:jc w:val="left"/>
              <w:rPr>
                <w:rFonts w:ascii="Arial Narrow" w:hAnsi="Arial Narrow"/>
                <w:bCs/>
                <w:i/>
                <w:snapToGrid w:val="0"/>
                <w:sz w:val="20"/>
                <w:szCs w:val="20"/>
                <w:lang w:eastAsia="en-US"/>
              </w:rPr>
            </w:pPr>
            <w:r w:rsidRPr="00060B29">
              <w:rPr>
                <w:rFonts w:ascii="Arial Narrow" w:hAnsi="Arial Narrow"/>
                <w:bCs/>
                <w:snapToGrid w:val="0"/>
                <w:sz w:val="20"/>
                <w:szCs w:val="20"/>
                <w:lang w:eastAsia="en-US"/>
              </w:rPr>
              <w:t xml:space="preserve">Background mortality was not considered. </w:t>
            </w:r>
            <w:r w:rsidRPr="00060B29">
              <w:rPr>
                <w:rFonts w:ascii="Arial Narrow" w:hAnsi="Arial Narrow"/>
                <w:bCs/>
                <w:i/>
                <w:snapToGrid w:val="0"/>
                <w:sz w:val="20"/>
                <w:szCs w:val="20"/>
                <w:lang w:eastAsia="en-US"/>
              </w:rPr>
              <w:t>This is not appropriate</w:t>
            </w:r>
            <w:r w:rsidRPr="00060B29">
              <w:rPr>
                <w:rFonts w:ascii="Arial Narrow" w:hAnsi="Arial Narrow"/>
                <w:bCs/>
                <w:snapToGrid w:val="0"/>
                <w:sz w:val="20"/>
                <w:szCs w:val="20"/>
                <w:lang w:eastAsia="en-US"/>
              </w:rPr>
              <w:t>.</w:t>
            </w:r>
          </w:p>
        </w:tc>
      </w:tr>
      <w:tr w:rsidR="00F9662D" w:rsidRPr="00060B29" w:rsidTr="00783451">
        <w:tc>
          <w:tcPr>
            <w:tcW w:w="784" w:type="pct"/>
            <w:tcBorders>
              <w:top w:val="single" w:sz="4" w:space="0" w:color="auto"/>
              <w:left w:val="single" w:sz="4" w:space="0" w:color="auto"/>
              <w:bottom w:val="single" w:sz="4" w:space="0" w:color="auto"/>
            </w:tcBorders>
            <w:vAlign w:val="center"/>
          </w:tcPr>
          <w:p w:rsidR="00F9662D" w:rsidRPr="00060B29" w:rsidRDefault="00F9662D" w:rsidP="00B15687">
            <w:pPr>
              <w:jc w:val="left"/>
              <w:rPr>
                <w:rFonts w:ascii="Arial Narrow" w:hAnsi="Arial Narrow" w:cs="Times New Roman"/>
                <w:bCs/>
                <w:sz w:val="20"/>
                <w:lang w:eastAsia="en-US"/>
              </w:rPr>
            </w:pPr>
            <w:r w:rsidRPr="00060B29">
              <w:rPr>
                <w:rFonts w:ascii="Arial Narrow" w:hAnsi="Arial Narrow" w:cs="Times New Roman"/>
                <w:bCs/>
                <w:sz w:val="20"/>
                <w:lang w:eastAsia="en-US"/>
              </w:rPr>
              <w:t>Utilities</w:t>
            </w:r>
          </w:p>
        </w:tc>
        <w:tc>
          <w:tcPr>
            <w:tcW w:w="4216" w:type="pct"/>
            <w:tcBorders>
              <w:top w:val="single" w:sz="4" w:space="0" w:color="auto"/>
              <w:bottom w:val="single" w:sz="4" w:space="0" w:color="auto"/>
            </w:tcBorders>
          </w:tcPr>
          <w:p w:rsidR="00F9662D" w:rsidRPr="00060B29" w:rsidRDefault="00F9662D" w:rsidP="00B15687">
            <w:pPr>
              <w:jc w:val="left"/>
              <w:rPr>
                <w:rFonts w:ascii="Arial Narrow" w:hAnsi="Arial Narrow" w:cs="Times New Roman"/>
                <w:bCs/>
                <w:snapToGrid w:val="0"/>
                <w:sz w:val="20"/>
                <w:lang w:eastAsia="en-US"/>
              </w:rPr>
            </w:pPr>
            <w:r w:rsidRPr="00060B29">
              <w:rPr>
                <w:rFonts w:ascii="Arial Narrow" w:hAnsi="Arial Narrow" w:cs="Times New Roman"/>
                <w:bCs/>
                <w:snapToGrid w:val="0"/>
                <w:sz w:val="20"/>
                <w:lang w:eastAsia="en-US"/>
              </w:rPr>
              <w:t>Utilities associated health state and acute exacerbation event (dis)utilities: Post-hoc regression analysis of the individual EQ-5D (converted to EQ-5D-3L) data from the INBUILD trial. Parameters were selected adopting backwards stepwise regression with a p-value cut-off of 0.05.</w:t>
            </w:r>
            <w:r w:rsidR="009F4C87" w:rsidRPr="00060B29">
              <w:rPr>
                <w:rFonts w:ascii="Arial Narrow" w:hAnsi="Arial Narrow" w:cs="Times New Roman"/>
                <w:bCs/>
                <w:snapToGrid w:val="0"/>
                <w:sz w:val="20"/>
                <w:lang w:eastAsia="en-US"/>
              </w:rPr>
              <w:t xml:space="preserve"> Parameters included FVC%Pred and acute ILD exacerbation.</w:t>
            </w:r>
            <w:r w:rsidRPr="00060B29">
              <w:rPr>
                <w:rFonts w:ascii="Arial Narrow" w:hAnsi="Arial Narrow" w:cs="Times New Roman"/>
                <w:bCs/>
                <w:snapToGrid w:val="0"/>
                <w:sz w:val="20"/>
                <w:lang w:eastAsia="en-US"/>
              </w:rPr>
              <w:t xml:space="preserve"> The use of trial-based (dis)utilities is appropriate. However, the methodology adopted to select the covariates for the regression analysis </w:t>
            </w:r>
            <w:r w:rsidR="00BD57B8">
              <w:rPr>
                <w:rFonts w:ascii="Arial Narrow" w:hAnsi="Arial Narrow" w:cs="Times New Roman"/>
                <w:bCs/>
                <w:snapToGrid w:val="0"/>
                <w:sz w:val="20"/>
                <w:lang w:eastAsia="en-US"/>
              </w:rPr>
              <w:t>wa</w:t>
            </w:r>
            <w:r w:rsidR="006E224A" w:rsidRPr="00060B29">
              <w:rPr>
                <w:rFonts w:ascii="Arial Narrow" w:hAnsi="Arial Narrow" w:cs="Times New Roman"/>
                <w:bCs/>
                <w:snapToGrid w:val="0"/>
                <w:sz w:val="20"/>
                <w:lang w:eastAsia="en-US"/>
              </w:rPr>
              <w:t xml:space="preserve">s </w:t>
            </w:r>
            <w:r w:rsidRPr="00060B29">
              <w:rPr>
                <w:rFonts w:ascii="Arial Narrow" w:hAnsi="Arial Narrow" w:cs="Times New Roman"/>
                <w:bCs/>
                <w:snapToGrid w:val="0"/>
                <w:sz w:val="20"/>
                <w:lang w:eastAsia="en-US"/>
              </w:rPr>
              <w:t>not reasonable.</w:t>
            </w:r>
            <w:r w:rsidRPr="00060B29">
              <w:rPr>
                <w:rFonts w:ascii="Arial Narrow" w:hAnsi="Arial Narrow"/>
                <w:bCs/>
                <w:snapToGrid w:val="0"/>
                <w:sz w:val="20"/>
                <w:lang w:eastAsia="en-US"/>
              </w:rPr>
              <w:t xml:space="preserve"> </w:t>
            </w:r>
            <w:r w:rsidRPr="00060B29">
              <w:rPr>
                <w:rFonts w:ascii="Arial Narrow" w:hAnsi="Arial Narrow" w:cs="Times New Roman"/>
                <w:bCs/>
                <w:snapToGrid w:val="0"/>
                <w:sz w:val="20"/>
                <w:lang w:eastAsia="en-US"/>
              </w:rPr>
              <w:t xml:space="preserve">For example, the diarrhoeal status could have been retained in the final regression </w:t>
            </w:r>
            <w:r w:rsidR="00ED76F7" w:rsidRPr="00060B29">
              <w:rPr>
                <w:rFonts w:ascii="Arial Narrow" w:hAnsi="Arial Narrow" w:cs="Times New Roman"/>
                <w:bCs/>
                <w:snapToGrid w:val="0"/>
                <w:sz w:val="20"/>
                <w:lang w:eastAsia="en-US"/>
              </w:rPr>
              <w:t>model</w:t>
            </w:r>
            <w:r w:rsidRPr="00060B29">
              <w:rPr>
                <w:rFonts w:ascii="Arial Narrow" w:hAnsi="Arial Narrow" w:cs="Times New Roman"/>
                <w:bCs/>
                <w:snapToGrid w:val="0"/>
                <w:sz w:val="20"/>
                <w:lang w:eastAsia="en-US"/>
              </w:rPr>
              <w:t xml:space="preserve"> even though p-value exceeded 0.05, given its high prevalence for a more extended period and its likely negative impact on utilities.</w:t>
            </w:r>
          </w:p>
          <w:p w:rsidR="00F9662D" w:rsidRPr="00060B29" w:rsidRDefault="00F9662D" w:rsidP="00B15687">
            <w:pPr>
              <w:jc w:val="left"/>
              <w:rPr>
                <w:rFonts w:ascii="Arial Narrow" w:hAnsi="Arial Narrow" w:cs="Times New Roman"/>
                <w:bCs/>
                <w:snapToGrid w:val="0"/>
                <w:sz w:val="20"/>
                <w:lang w:eastAsia="en-US"/>
              </w:rPr>
            </w:pPr>
          </w:p>
          <w:p w:rsidR="00F9662D" w:rsidRPr="00060B29" w:rsidRDefault="00F9662D" w:rsidP="00B15687">
            <w:pPr>
              <w:jc w:val="left"/>
              <w:rPr>
                <w:rFonts w:ascii="Arial Narrow" w:hAnsi="Arial Narrow" w:cs="Times New Roman"/>
                <w:bCs/>
                <w:snapToGrid w:val="0"/>
                <w:sz w:val="20"/>
                <w:lang w:eastAsia="en-US"/>
              </w:rPr>
            </w:pPr>
            <w:r w:rsidRPr="00060B29">
              <w:rPr>
                <w:rFonts w:ascii="Arial Narrow" w:hAnsi="Arial Narrow" w:cs="Times New Roman"/>
                <w:bCs/>
                <w:snapToGrid w:val="0"/>
                <w:sz w:val="20"/>
                <w:lang w:eastAsia="en-US"/>
              </w:rPr>
              <w:t>Disutilities associated with AEs: Disutilities associated with gastrointestinal AEs from nintedanib for the treatment of IPF were used as a proxy for that experienced by nintedanib treated patients with PF-ILD. This is reasonable, given the similar mechanism for IPF and PF-ILD. Sensitivity analysis conducted during the evaluation found that the ICER was not sensitive to the disutility value assumed in the model.</w:t>
            </w:r>
            <w:r w:rsidRPr="00060B29">
              <w:rPr>
                <w:rFonts w:ascii="Arial Narrow" w:hAnsi="Arial Narrow" w:cs="Times New Roman"/>
                <w:bCs/>
                <w:i/>
                <w:snapToGrid w:val="0"/>
                <w:sz w:val="20"/>
                <w:lang w:eastAsia="en-US"/>
              </w:rPr>
              <w:t xml:space="preserve"> </w:t>
            </w:r>
          </w:p>
        </w:tc>
      </w:tr>
    </w:tbl>
    <w:p w:rsidR="00603F47" w:rsidRPr="00060B29" w:rsidRDefault="00603F47" w:rsidP="00B15687">
      <w:pPr>
        <w:rPr>
          <w:rFonts w:ascii="Arial Narrow" w:hAnsi="Arial Narrow"/>
          <w:snapToGrid w:val="0"/>
          <w:sz w:val="18"/>
          <w:szCs w:val="22"/>
          <w:lang w:eastAsia="en-US"/>
        </w:rPr>
      </w:pPr>
      <w:r w:rsidRPr="00060B29">
        <w:rPr>
          <w:rFonts w:ascii="Arial Narrow" w:hAnsi="Arial Narrow"/>
          <w:snapToGrid w:val="0"/>
          <w:sz w:val="18"/>
          <w:szCs w:val="22"/>
          <w:lang w:eastAsia="en-US"/>
        </w:rPr>
        <w:t>Source: Table 3.1, p140 of the submission and Table 3.1 of the commentary</w:t>
      </w:r>
    </w:p>
    <w:p w:rsidR="00ED11D0" w:rsidRPr="00060B29" w:rsidRDefault="00ED11D0" w:rsidP="00B15687">
      <w:pPr>
        <w:rPr>
          <w:rFonts w:ascii="Arial Narrow" w:hAnsi="Arial Narrow"/>
          <w:snapToGrid w:val="0"/>
          <w:sz w:val="18"/>
          <w:szCs w:val="22"/>
          <w:lang w:eastAsia="en-US"/>
        </w:rPr>
      </w:pPr>
      <w:r w:rsidRPr="00060B29">
        <w:rPr>
          <w:rFonts w:ascii="Arial Narrow" w:hAnsi="Arial Narrow"/>
          <w:snapToGrid w:val="0"/>
          <w:sz w:val="18"/>
          <w:szCs w:val="22"/>
          <w:lang w:eastAsia="en-US"/>
        </w:rPr>
        <w:t xml:space="preserve">AE= Adverse Event, FVC= Forced Vital Capacity, FVC%Pred= Forced Vital Capacity </w:t>
      </w:r>
      <w:r w:rsidR="00566829" w:rsidRPr="00060B29">
        <w:rPr>
          <w:rFonts w:ascii="Arial Narrow" w:hAnsi="Arial Narrow"/>
          <w:snapToGrid w:val="0"/>
          <w:sz w:val="18"/>
          <w:szCs w:val="22"/>
          <w:lang w:eastAsia="en-US"/>
        </w:rPr>
        <w:t>%</w:t>
      </w:r>
      <w:r w:rsidRPr="00060B29">
        <w:rPr>
          <w:rFonts w:ascii="Arial Narrow" w:hAnsi="Arial Narrow"/>
          <w:snapToGrid w:val="0"/>
          <w:sz w:val="18"/>
          <w:szCs w:val="22"/>
          <w:lang w:eastAsia="en-US"/>
        </w:rPr>
        <w:t xml:space="preserve"> Predicted, IPF= Idiopathic Pulmonary Fibrosis, LYG= Life years gained, OS= Overall Survival, PFS= Progression-free Survival, PF-ILD= Progressive Fibrosing Interstitial Lung Disease, QALY= Quality Adjusted Life Year, SAE: Serious Adverse Event</w:t>
      </w:r>
    </w:p>
    <w:p w:rsidR="00F9662D" w:rsidRPr="00060B29" w:rsidRDefault="00F9662D" w:rsidP="00B15687">
      <w:pPr>
        <w:rPr>
          <w:rFonts w:cs="Times New Roman"/>
          <w:lang w:eastAsia="en-US"/>
        </w:rPr>
      </w:pPr>
    </w:p>
    <w:p w:rsidR="003B45D8" w:rsidRPr="00060B29" w:rsidRDefault="003B45D8" w:rsidP="00FD38BF">
      <w:pPr>
        <w:pStyle w:val="3-BodyText"/>
        <w:keepNext/>
        <w:rPr>
          <w:i/>
          <w:lang w:eastAsia="en-US"/>
        </w:rPr>
      </w:pPr>
      <w:r w:rsidRPr="00060B29">
        <w:rPr>
          <w:lang w:eastAsia="en-US"/>
        </w:rPr>
        <w:t xml:space="preserve"> </w:t>
      </w:r>
      <w:r w:rsidRPr="00060B29">
        <w:rPr>
          <w:rFonts w:eastAsia="Calibri" w:cs="Times New Roman"/>
          <w:szCs w:val="22"/>
          <w:lang w:eastAsia="en-US"/>
        </w:rPr>
        <w:t xml:space="preserve">Table 10 presents the key drivers of the economic model. </w:t>
      </w:r>
    </w:p>
    <w:p w:rsidR="003B45D8" w:rsidRPr="00060B29" w:rsidRDefault="003B45D8" w:rsidP="00FD38BF">
      <w:pPr>
        <w:keepNext/>
        <w:jc w:val="left"/>
        <w:rPr>
          <w:rFonts w:ascii="Arial Narrow" w:hAnsi="Arial Narrow" w:cs="Times New Roman"/>
          <w:b/>
          <w:bCs/>
          <w:sz w:val="20"/>
          <w:lang w:eastAsia="en-US"/>
        </w:rPr>
      </w:pPr>
      <w:r w:rsidRPr="00060B29">
        <w:rPr>
          <w:rFonts w:ascii="Arial Narrow" w:hAnsi="Arial Narrow" w:cs="Times New Roman"/>
          <w:b/>
          <w:bCs/>
          <w:sz w:val="20"/>
          <w:lang w:eastAsia="en-US"/>
        </w:rPr>
        <w:t>Table 10: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46"/>
        <w:gridCol w:w="5485"/>
        <w:gridCol w:w="585"/>
      </w:tblGrid>
      <w:tr w:rsidR="003B45D8" w:rsidRPr="00060B29" w:rsidTr="004D6464">
        <w:trPr>
          <w:tblHeader/>
        </w:trPr>
        <w:tc>
          <w:tcPr>
            <w:tcW w:w="1634" w:type="pct"/>
            <w:shd w:val="clear" w:color="auto" w:fill="auto"/>
            <w:vAlign w:val="center"/>
          </w:tcPr>
          <w:p w:rsidR="003B45D8" w:rsidRPr="00060B29" w:rsidRDefault="003B45D8" w:rsidP="00FD38BF">
            <w:pPr>
              <w:keepNext/>
              <w:jc w:val="left"/>
              <w:rPr>
                <w:rFonts w:ascii="Arial Narrow" w:hAnsi="Arial Narrow" w:cs="Times New Roman"/>
                <w:b/>
                <w:i/>
                <w:sz w:val="20"/>
                <w:lang w:eastAsia="en-US"/>
              </w:rPr>
            </w:pPr>
            <w:r w:rsidRPr="00060B29">
              <w:rPr>
                <w:rFonts w:ascii="Arial Narrow" w:hAnsi="Arial Narrow" w:cs="Times New Roman"/>
                <w:b/>
                <w:i/>
                <w:sz w:val="20"/>
                <w:lang w:eastAsia="en-US"/>
              </w:rPr>
              <w:t>Description</w:t>
            </w:r>
          </w:p>
        </w:tc>
        <w:tc>
          <w:tcPr>
            <w:tcW w:w="3042" w:type="pct"/>
            <w:tcBorders>
              <w:bottom w:val="single" w:sz="4" w:space="0" w:color="auto"/>
            </w:tcBorders>
            <w:shd w:val="clear" w:color="auto" w:fill="auto"/>
            <w:vAlign w:val="center"/>
          </w:tcPr>
          <w:p w:rsidR="003B45D8" w:rsidRPr="00060B29" w:rsidRDefault="003B45D8" w:rsidP="00FD38BF">
            <w:pPr>
              <w:keepNext/>
              <w:jc w:val="left"/>
              <w:rPr>
                <w:rFonts w:ascii="Arial Narrow" w:hAnsi="Arial Narrow" w:cs="Times New Roman"/>
                <w:b/>
                <w:i/>
                <w:sz w:val="20"/>
                <w:lang w:eastAsia="en-US"/>
              </w:rPr>
            </w:pPr>
            <w:r w:rsidRPr="00060B29">
              <w:rPr>
                <w:rFonts w:ascii="Arial Narrow" w:hAnsi="Arial Narrow" w:cs="Times New Roman"/>
                <w:b/>
                <w:i/>
                <w:sz w:val="20"/>
                <w:lang w:eastAsia="en-US"/>
              </w:rPr>
              <w:t>Method/Value</w:t>
            </w:r>
          </w:p>
        </w:tc>
        <w:tc>
          <w:tcPr>
            <w:tcW w:w="324" w:type="pct"/>
            <w:tcBorders>
              <w:bottom w:val="single" w:sz="4" w:space="0" w:color="auto"/>
            </w:tcBorders>
            <w:shd w:val="clear" w:color="auto" w:fill="auto"/>
            <w:vAlign w:val="center"/>
          </w:tcPr>
          <w:p w:rsidR="003B45D8" w:rsidRPr="00060B29" w:rsidRDefault="003B45D8" w:rsidP="00FD38BF">
            <w:pPr>
              <w:keepNext/>
              <w:jc w:val="left"/>
              <w:rPr>
                <w:rFonts w:ascii="Arial Narrow" w:hAnsi="Arial Narrow" w:cs="Times New Roman"/>
                <w:b/>
                <w:i/>
                <w:sz w:val="20"/>
                <w:lang w:eastAsia="en-US"/>
              </w:rPr>
            </w:pPr>
            <w:r w:rsidRPr="00060B29">
              <w:rPr>
                <w:rFonts w:ascii="Arial Narrow" w:hAnsi="Arial Narrow" w:cs="Times New Roman"/>
                <w:b/>
                <w:i/>
                <w:sz w:val="20"/>
                <w:lang w:eastAsia="en-US"/>
              </w:rPr>
              <w:t>Impact</w:t>
            </w:r>
          </w:p>
        </w:tc>
      </w:tr>
      <w:tr w:rsidR="003B45D8" w:rsidRPr="00060B29" w:rsidTr="004D6464">
        <w:trPr>
          <w:tblHeader/>
        </w:trPr>
        <w:tc>
          <w:tcPr>
            <w:tcW w:w="1634" w:type="pct"/>
            <w:shd w:val="clear" w:color="auto" w:fill="auto"/>
            <w:vAlign w:val="center"/>
          </w:tcPr>
          <w:p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Time horizon</w:t>
            </w:r>
          </w:p>
        </w:tc>
        <w:tc>
          <w:tcPr>
            <w:tcW w:w="3042" w:type="pct"/>
            <w:tcBorders>
              <w:bottom w:val="single" w:sz="4" w:space="0" w:color="auto"/>
            </w:tcBorders>
            <w:shd w:val="clear" w:color="auto" w:fill="auto"/>
            <w:vAlign w:val="center"/>
          </w:tcPr>
          <w:p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iCs/>
                <w:sz w:val="20"/>
                <w:lang w:eastAsia="en-US"/>
              </w:rPr>
              <w:t xml:space="preserve">15 years in the base case. </w:t>
            </w:r>
            <w:r w:rsidRPr="00060B29">
              <w:rPr>
                <w:rFonts w:ascii="Arial Narrow" w:hAnsi="Arial Narrow" w:cs="Calibri"/>
                <w:bCs/>
                <w:iCs/>
                <w:sz w:val="20"/>
                <w:lang w:eastAsia="en-US"/>
              </w:rPr>
              <w:t>The</w:t>
            </w:r>
            <w:r w:rsidRPr="00060B29">
              <w:rPr>
                <w:rFonts w:ascii="Arial Narrow" w:hAnsi="Arial Narrow" w:cs="Calibri"/>
                <w:bCs/>
                <w:sz w:val="20"/>
                <w:lang w:eastAsia="en-US"/>
              </w:rPr>
              <w:t xml:space="preserve"> ICER was sensitive to time horizon</w:t>
            </w:r>
            <w:r w:rsidR="00895E82" w:rsidRPr="00060B29">
              <w:rPr>
                <w:rFonts w:ascii="Arial Narrow" w:hAnsi="Arial Narrow" w:cs="Calibri"/>
                <w:bCs/>
                <w:sz w:val="20"/>
                <w:lang w:eastAsia="en-US"/>
              </w:rPr>
              <w:t>s</w:t>
            </w:r>
            <w:r w:rsidRPr="00060B29">
              <w:rPr>
                <w:rFonts w:ascii="Arial Narrow" w:hAnsi="Arial Narrow" w:cs="Calibri"/>
                <w:bCs/>
                <w:sz w:val="20"/>
                <w:lang w:eastAsia="en-US"/>
              </w:rPr>
              <w:t xml:space="preserve"> less than 10 years</w:t>
            </w:r>
            <w:r w:rsidR="00060B29" w:rsidRPr="00060B29">
              <w:rPr>
                <w:rFonts w:ascii="Arial Narrow" w:hAnsi="Arial Narrow" w:cs="Calibri"/>
                <w:bCs/>
                <w:sz w:val="20"/>
                <w:lang w:eastAsia="en-US"/>
              </w:rPr>
              <w:t xml:space="preserve">. </w:t>
            </w:r>
            <w:r w:rsidRPr="00060B29">
              <w:rPr>
                <w:rFonts w:ascii="Arial Narrow" w:hAnsi="Arial Narrow" w:cs="Times New Roman"/>
                <w:bCs/>
                <w:sz w:val="20"/>
                <w:lang w:eastAsia="en-US"/>
              </w:rPr>
              <w:t xml:space="preserve"> </w:t>
            </w:r>
          </w:p>
        </w:tc>
        <w:tc>
          <w:tcPr>
            <w:tcW w:w="324" w:type="pct"/>
            <w:tcBorders>
              <w:bottom w:val="single" w:sz="4" w:space="0" w:color="auto"/>
            </w:tcBorders>
            <w:shd w:val="clear" w:color="auto" w:fill="auto"/>
            <w:vAlign w:val="center"/>
          </w:tcPr>
          <w:p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High</w:t>
            </w:r>
          </w:p>
        </w:tc>
      </w:tr>
      <w:tr w:rsidR="004D6464" w:rsidRPr="00060B29" w:rsidTr="004D6464">
        <w:trPr>
          <w:tblHeader/>
        </w:trPr>
        <w:tc>
          <w:tcPr>
            <w:tcW w:w="1634" w:type="pct"/>
            <w:shd w:val="clear" w:color="auto" w:fill="auto"/>
            <w:vAlign w:val="center"/>
          </w:tcPr>
          <w:p w:rsidR="004D6464" w:rsidRPr="00060B29" w:rsidRDefault="004D6464"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Extrapolation of non-significant OS</w:t>
            </w:r>
          </w:p>
        </w:tc>
        <w:tc>
          <w:tcPr>
            <w:tcW w:w="3042" w:type="pct"/>
            <w:tcBorders>
              <w:bottom w:val="single" w:sz="4" w:space="0" w:color="auto"/>
            </w:tcBorders>
            <w:shd w:val="clear" w:color="auto" w:fill="auto"/>
            <w:vAlign w:val="center"/>
          </w:tcPr>
          <w:p w:rsidR="004D6464" w:rsidRPr="00060B29" w:rsidRDefault="004D6464" w:rsidP="00FD38BF">
            <w:pPr>
              <w:keepNext/>
              <w:jc w:val="left"/>
              <w:rPr>
                <w:rFonts w:ascii="Arial Narrow" w:hAnsi="Arial Narrow" w:cs="Times New Roman"/>
                <w:bCs/>
                <w:iCs/>
                <w:sz w:val="20"/>
                <w:lang w:eastAsia="en-US"/>
              </w:rPr>
            </w:pPr>
            <w:r w:rsidRPr="00060B29">
              <w:rPr>
                <w:rFonts w:ascii="Arial Narrow" w:hAnsi="Arial Narrow" w:cs="Calibri"/>
                <w:bCs/>
                <w:sz w:val="20"/>
                <w:lang w:eastAsia="en-US"/>
              </w:rPr>
              <w:t xml:space="preserve">There was no statistically significant difference in overall survival (OS) (p=0.8544) between nintedanib and placebo + BSC over 52 weeks in the INBUILD trial. </w:t>
            </w:r>
          </w:p>
        </w:tc>
        <w:tc>
          <w:tcPr>
            <w:tcW w:w="324" w:type="pct"/>
            <w:tcBorders>
              <w:bottom w:val="single" w:sz="4" w:space="0" w:color="auto"/>
            </w:tcBorders>
            <w:shd w:val="clear" w:color="auto" w:fill="auto"/>
            <w:vAlign w:val="center"/>
          </w:tcPr>
          <w:p w:rsidR="004D6464" w:rsidRPr="00060B29" w:rsidRDefault="004D6464"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High</w:t>
            </w:r>
          </w:p>
        </w:tc>
      </w:tr>
      <w:tr w:rsidR="003B45D8" w:rsidRPr="00060B29" w:rsidTr="004D6464">
        <w:trPr>
          <w:trHeight w:val="70"/>
        </w:trPr>
        <w:tc>
          <w:tcPr>
            <w:tcW w:w="1634" w:type="pct"/>
            <w:shd w:val="clear" w:color="auto" w:fill="auto"/>
            <w:vAlign w:val="center"/>
          </w:tcPr>
          <w:p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Extrapolation</w:t>
            </w:r>
          </w:p>
        </w:tc>
        <w:tc>
          <w:tcPr>
            <w:tcW w:w="3042" w:type="pct"/>
            <w:shd w:val="clear" w:color="auto" w:fill="auto"/>
            <w:vAlign w:val="center"/>
          </w:tcPr>
          <w:p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Calibri"/>
                <w:bCs/>
                <w:sz w:val="20"/>
                <w:lang w:eastAsia="en-US"/>
              </w:rPr>
              <w:t>OS was extrapolated using a Weibull function in the base case. The ICER was sensitive to the choice of extrapolation functions.</w:t>
            </w:r>
          </w:p>
        </w:tc>
        <w:tc>
          <w:tcPr>
            <w:tcW w:w="324" w:type="pct"/>
            <w:shd w:val="clear" w:color="auto" w:fill="auto"/>
            <w:vAlign w:val="center"/>
          </w:tcPr>
          <w:p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Calibri"/>
                <w:bCs/>
                <w:sz w:val="20"/>
                <w:lang w:eastAsia="en-US"/>
              </w:rPr>
              <w:t>High</w:t>
            </w:r>
          </w:p>
        </w:tc>
      </w:tr>
      <w:tr w:rsidR="003B45D8" w:rsidRPr="00060B29" w:rsidTr="004D6464">
        <w:tc>
          <w:tcPr>
            <w:tcW w:w="1634" w:type="pct"/>
            <w:shd w:val="clear" w:color="auto" w:fill="auto"/>
            <w:vAlign w:val="center"/>
          </w:tcPr>
          <w:p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 xml:space="preserve">Regression function used to model FVC%Pred </w:t>
            </w:r>
          </w:p>
        </w:tc>
        <w:tc>
          <w:tcPr>
            <w:tcW w:w="3042" w:type="pct"/>
            <w:shd w:val="clear" w:color="auto" w:fill="auto"/>
            <w:vAlign w:val="center"/>
          </w:tcPr>
          <w:p w:rsidR="003B45D8" w:rsidRPr="00060B29" w:rsidRDefault="00D30E00" w:rsidP="00FD38BF">
            <w:pPr>
              <w:keepNext/>
              <w:jc w:val="left"/>
              <w:rPr>
                <w:rFonts w:ascii="Arial Narrow" w:hAnsi="Arial Narrow" w:cs="Calibri"/>
                <w:bCs/>
                <w:sz w:val="20"/>
                <w:lang w:eastAsia="en-US"/>
              </w:rPr>
            </w:pPr>
            <w:r w:rsidRPr="00060B29">
              <w:rPr>
                <w:rFonts w:ascii="Arial Narrow" w:hAnsi="Arial Narrow" w:cs="Calibri"/>
                <w:bCs/>
                <w:sz w:val="20"/>
                <w:lang w:eastAsia="en-US"/>
              </w:rPr>
              <w:t>A s</w:t>
            </w:r>
            <w:r w:rsidR="003B45D8" w:rsidRPr="00060B29">
              <w:rPr>
                <w:rFonts w:ascii="Arial Narrow" w:hAnsi="Arial Narrow" w:cs="Calibri"/>
                <w:bCs/>
                <w:sz w:val="20"/>
                <w:lang w:eastAsia="en-US"/>
              </w:rPr>
              <w:t>eparate (independent) linear mixed effects regression model in the base case. Using a s</w:t>
            </w:r>
            <w:r w:rsidR="003B45D8" w:rsidRPr="00060B29">
              <w:rPr>
                <w:rFonts w:ascii="Arial Narrow" w:hAnsi="Arial Narrow"/>
                <w:bCs/>
                <w:snapToGrid w:val="0"/>
                <w:sz w:val="20"/>
                <w:lang w:eastAsia="en-US"/>
              </w:rPr>
              <w:t>ingle (</w:t>
            </w:r>
            <w:r w:rsidR="003B45D8" w:rsidRPr="00060B29">
              <w:rPr>
                <w:rFonts w:ascii="Arial Narrow" w:hAnsi="Arial Narrow" w:cs="Calibri"/>
                <w:bCs/>
                <w:sz w:val="20"/>
                <w:lang w:eastAsia="en-US"/>
              </w:rPr>
              <w:t xml:space="preserve">dependent) </w:t>
            </w:r>
            <w:r w:rsidR="003B45D8" w:rsidRPr="00060B29">
              <w:rPr>
                <w:rFonts w:ascii="Arial Narrow" w:hAnsi="Arial Narrow"/>
                <w:bCs/>
                <w:snapToGrid w:val="0"/>
                <w:sz w:val="20"/>
                <w:lang w:eastAsia="en-US"/>
              </w:rPr>
              <w:t xml:space="preserve">regression model </w:t>
            </w:r>
            <w:r w:rsidR="00ED11D0" w:rsidRPr="00060B29">
              <w:rPr>
                <w:rFonts w:ascii="Arial Narrow" w:hAnsi="Arial Narrow"/>
                <w:bCs/>
                <w:snapToGrid w:val="0"/>
                <w:sz w:val="20"/>
                <w:lang w:eastAsia="en-US"/>
              </w:rPr>
              <w:t>for both nintedanib and placebo + BSC</w:t>
            </w:r>
            <w:r w:rsidR="003B45D8" w:rsidRPr="00060B29">
              <w:rPr>
                <w:rFonts w:ascii="Arial Narrow" w:hAnsi="Arial Narrow" w:cs="Calibri"/>
                <w:bCs/>
                <w:sz w:val="20"/>
                <w:lang w:eastAsia="en-US"/>
              </w:rPr>
              <w:t xml:space="preserve"> reduced the ICER. </w:t>
            </w:r>
            <w:r w:rsidR="003B45D8" w:rsidRPr="00060B29">
              <w:rPr>
                <w:rFonts w:ascii="Arial Narrow" w:hAnsi="Arial Narrow"/>
                <w:bCs/>
                <w:snapToGrid w:val="0"/>
                <w:sz w:val="20"/>
                <w:lang w:eastAsia="en-US"/>
              </w:rPr>
              <w:t xml:space="preserve">The base case used an independent </w:t>
            </w:r>
            <w:r w:rsidR="003B45D8" w:rsidRPr="00060B29">
              <w:rPr>
                <w:rFonts w:ascii="Arial Narrow" w:hAnsi="Arial Narrow" w:cs="Calibri"/>
                <w:bCs/>
                <w:sz w:val="20"/>
                <w:lang w:eastAsia="en-US"/>
              </w:rPr>
              <w:t xml:space="preserve">linear mixed effects model </w:t>
            </w:r>
            <w:r w:rsidR="003B45D8" w:rsidRPr="00060B29">
              <w:rPr>
                <w:rFonts w:ascii="Arial Narrow" w:hAnsi="Arial Narrow"/>
                <w:bCs/>
                <w:snapToGrid w:val="0"/>
                <w:sz w:val="20"/>
                <w:lang w:eastAsia="en-US"/>
              </w:rPr>
              <w:t>as the assumption of a constant relative benefit versus placebo</w:t>
            </w:r>
            <w:r w:rsidR="006F4D6B" w:rsidRPr="00060B29">
              <w:rPr>
                <w:rFonts w:ascii="Arial Narrow" w:hAnsi="Arial Narrow"/>
                <w:bCs/>
                <w:snapToGrid w:val="0"/>
                <w:sz w:val="20"/>
                <w:lang w:eastAsia="en-US"/>
              </w:rPr>
              <w:t xml:space="preserve"> + BSC</w:t>
            </w:r>
            <w:r w:rsidR="003B45D8" w:rsidRPr="00060B29">
              <w:rPr>
                <w:rFonts w:ascii="Arial Narrow" w:hAnsi="Arial Narrow"/>
                <w:bCs/>
                <w:snapToGrid w:val="0"/>
                <w:sz w:val="20"/>
                <w:lang w:eastAsia="en-US"/>
              </w:rPr>
              <w:t xml:space="preserve"> may not be reasonable.</w:t>
            </w:r>
          </w:p>
        </w:tc>
        <w:tc>
          <w:tcPr>
            <w:tcW w:w="324" w:type="pct"/>
            <w:shd w:val="clear" w:color="auto" w:fill="auto"/>
            <w:vAlign w:val="center"/>
          </w:tcPr>
          <w:p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Low</w:t>
            </w:r>
          </w:p>
        </w:tc>
      </w:tr>
      <w:tr w:rsidR="003B45D8" w:rsidRPr="00060B29" w:rsidTr="004D6464">
        <w:tc>
          <w:tcPr>
            <w:tcW w:w="1634" w:type="pct"/>
            <w:shd w:val="clear" w:color="auto" w:fill="auto"/>
            <w:vAlign w:val="center"/>
          </w:tcPr>
          <w:p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OS hazard convergence</w:t>
            </w:r>
          </w:p>
        </w:tc>
        <w:tc>
          <w:tcPr>
            <w:tcW w:w="3042" w:type="pct"/>
            <w:shd w:val="clear" w:color="auto" w:fill="auto"/>
            <w:vAlign w:val="center"/>
          </w:tcPr>
          <w:p w:rsidR="003B45D8" w:rsidRPr="00060B29" w:rsidRDefault="003B45D8" w:rsidP="00FD38BF">
            <w:pPr>
              <w:keepNext/>
              <w:jc w:val="left"/>
              <w:rPr>
                <w:rFonts w:ascii="Arial Narrow" w:hAnsi="Arial Narrow" w:cs="Calibri"/>
                <w:bCs/>
                <w:sz w:val="20"/>
                <w:lang w:eastAsia="en-US"/>
              </w:rPr>
            </w:pPr>
            <w:r w:rsidRPr="00060B29">
              <w:rPr>
                <w:rFonts w:ascii="Arial Narrow" w:hAnsi="Arial Narrow" w:cs="Calibri"/>
                <w:bCs/>
                <w:sz w:val="20"/>
                <w:lang w:eastAsia="en-US"/>
              </w:rPr>
              <w:t>No convergence of OS benefit in the base case. Assumed convergence to start at 25 months with full convergence reached at 180 months</w:t>
            </w:r>
            <w:r w:rsidR="00ED11D0" w:rsidRPr="00060B29">
              <w:rPr>
                <w:rFonts w:ascii="Arial Narrow" w:hAnsi="Arial Narrow" w:cs="Calibri"/>
                <w:bCs/>
                <w:sz w:val="20"/>
                <w:lang w:eastAsia="en-US"/>
              </w:rPr>
              <w:t xml:space="preserve"> increased the ICER</w:t>
            </w:r>
            <w:r w:rsidRPr="00060B29">
              <w:rPr>
                <w:rFonts w:ascii="Arial Narrow" w:hAnsi="Arial Narrow" w:cs="Calibri"/>
                <w:bCs/>
                <w:sz w:val="20"/>
                <w:lang w:eastAsia="en-US"/>
              </w:rPr>
              <w:t>.</w:t>
            </w:r>
          </w:p>
        </w:tc>
        <w:tc>
          <w:tcPr>
            <w:tcW w:w="324" w:type="pct"/>
            <w:shd w:val="clear" w:color="auto" w:fill="auto"/>
            <w:vAlign w:val="center"/>
          </w:tcPr>
          <w:p w:rsidR="003B45D8" w:rsidRPr="00060B29" w:rsidRDefault="003B45D8" w:rsidP="00FD38BF">
            <w:pPr>
              <w:keepNext/>
              <w:jc w:val="left"/>
              <w:rPr>
                <w:rFonts w:ascii="Arial Narrow" w:hAnsi="Arial Narrow" w:cs="Times New Roman"/>
                <w:bCs/>
                <w:sz w:val="20"/>
                <w:lang w:eastAsia="en-US"/>
              </w:rPr>
            </w:pPr>
            <w:r w:rsidRPr="00060B29">
              <w:rPr>
                <w:rFonts w:ascii="Arial Narrow" w:hAnsi="Arial Narrow" w:cs="Times New Roman"/>
                <w:bCs/>
                <w:sz w:val="20"/>
                <w:lang w:eastAsia="en-US"/>
              </w:rPr>
              <w:t>High</w:t>
            </w:r>
          </w:p>
        </w:tc>
      </w:tr>
    </w:tbl>
    <w:p w:rsidR="00603F47" w:rsidRPr="00060B29" w:rsidRDefault="00603F47" w:rsidP="00FD38BF">
      <w:pPr>
        <w:pStyle w:val="3-BodyText"/>
        <w:keepNext/>
        <w:numPr>
          <w:ilvl w:val="0"/>
          <w:numId w:val="0"/>
        </w:numPr>
        <w:spacing w:after="0"/>
        <w:rPr>
          <w:iCs/>
          <w:lang w:eastAsia="en-US"/>
        </w:rPr>
      </w:pPr>
      <w:r w:rsidRPr="00060B29">
        <w:rPr>
          <w:rFonts w:ascii="Arial Narrow" w:hAnsi="Arial Narrow"/>
          <w:iCs/>
          <w:sz w:val="18"/>
          <w:szCs w:val="22"/>
          <w:lang w:eastAsia="en-US"/>
        </w:rPr>
        <w:t>Source: compiled during the evaluation</w:t>
      </w:r>
    </w:p>
    <w:p w:rsidR="003B45D8" w:rsidRPr="00060B29" w:rsidRDefault="003B45D8" w:rsidP="00FD38BF">
      <w:pPr>
        <w:pStyle w:val="3-BodyText"/>
        <w:keepNext/>
        <w:numPr>
          <w:ilvl w:val="0"/>
          <w:numId w:val="0"/>
        </w:numPr>
        <w:rPr>
          <w:rFonts w:ascii="Arial Narrow" w:hAnsi="Arial Narrow"/>
          <w:iCs/>
          <w:sz w:val="18"/>
          <w:szCs w:val="22"/>
          <w:lang w:eastAsia="en-US"/>
        </w:rPr>
      </w:pPr>
      <w:r w:rsidRPr="00060B29">
        <w:rPr>
          <w:rFonts w:ascii="Arial Narrow" w:hAnsi="Arial Narrow"/>
          <w:iCs/>
          <w:sz w:val="18"/>
          <w:szCs w:val="22"/>
          <w:lang w:eastAsia="en-US"/>
        </w:rPr>
        <w:t>FVC</w:t>
      </w:r>
      <w:r w:rsidR="004405E4" w:rsidRPr="00060B29">
        <w:rPr>
          <w:rFonts w:ascii="Arial Narrow" w:hAnsi="Arial Narrow"/>
          <w:iCs/>
          <w:sz w:val="18"/>
          <w:szCs w:val="22"/>
          <w:lang w:eastAsia="en-US"/>
        </w:rPr>
        <w:t>=</w:t>
      </w:r>
      <w:r w:rsidRPr="00060B29">
        <w:rPr>
          <w:rFonts w:ascii="Arial Narrow" w:hAnsi="Arial Narrow"/>
          <w:iCs/>
          <w:sz w:val="18"/>
          <w:szCs w:val="22"/>
          <w:lang w:eastAsia="en-US"/>
        </w:rPr>
        <w:t xml:space="preserve"> Forced Volume Capacity, ICER= Incremental cost-effectiveness ratio, OS= Overall survival, QALY= Quality-adjusted life year</w:t>
      </w:r>
    </w:p>
    <w:p w:rsidR="003B45D8" w:rsidRPr="00060B29" w:rsidRDefault="003B45D8" w:rsidP="00B15687">
      <w:pPr>
        <w:pStyle w:val="3-BodyText"/>
        <w:rPr>
          <w:i/>
          <w:lang w:eastAsia="en-US"/>
        </w:rPr>
      </w:pPr>
      <w:r w:rsidRPr="00060B29">
        <w:rPr>
          <w:lang w:eastAsia="en-US"/>
        </w:rPr>
        <w:t>Table 11 shows the results of the stepped analysis.</w:t>
      </w:r>
    </w:p>
    <w:p w:rsidR="00F9662D" w:rsidRPr="00060B29" w:rsidRDefault="00F9662D" w:rsidP="00B15687">
      <w:pPr>
        <w:keepLines/>
        <w:jc w:val="left"/>
        <w:rPr>
          <w:rFonts w:ascii="Arial Narrow" w:hAnsi="Arial Narrow" w:cs="Times New Roman"/>
          <w:b/>
          <w:bCs/>
          <w:snapToGrid w:val="0"/>
          <w:sz w:val="20"/>
          <w:lang w:eastAsia="en-US"/>
        </w:rPr>
      </w:pPr>
      <w:r w:rsidRPr="00060B29">
        <w:rPr>
          <w:rFonts w:ascii="Arial Narrow" w:hAnsi="Arial Narrow" w:cs="Times New Roman"/>
          <w:b/>
          <w:bCs/>
          <w:snapToGrid w:val="0"/>
          <w:sz w:val="20"/>
          <w:lang w:eastAsia="en-US"/>
        </w:rPr>
        <w:t xml:space="preserve">Table </w:t>
      </w:r>
      <w:r w:rsidR="00AA77DD" w:rsidRPr="00060B29">
        <w:rPr>
          <w:rFonts w:ascii="Arial Narrow" w:hAnsi="Arial Narrow" w:cs="Times New Roman"/>
          <w:b/>
          <w:bCs/>
          <w:snapToGrid w:val="0"/>
          <w:sz w:val="20"/>
          <w:lang w:eastAsia="en-US"/>
        </w:rPr>
        <w:t>11</w:t>
      </w:r>
      <w:r w:rsidRPr="00060B29">
        <w:rPr>
          <w:rFonts w:ascii="Arial Narrow" w:hAnsi="Arial Narrow" w:cs="Times New Roman"/>
          <w:b/>
          <w:bCs/>
          <w:snapToGrid w:val="0"/>
          <w:sz w:val="20"/>
          <w:lang w:eastAsia="en-US"/>
        </w:rPr>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85"/>
        <w:gridCol w:w="2384"/>
        <w:gridCol w:w="2234"/>
        <w:gridCol w:w="1713"/>
      </w:tblGrid>
      <w:tr w:rsidR="00DE1A9E" w:rsidRPr="00060B29" w:rsidTr="008F2EAA">
        <w:trPr>
          <w:tblHeader/>
        </w:trPr>
        <w:tc>
          <w:tcPr>
            <w:tcW w:w="1489" w:type="pct"/>
            <w:vAlign w:val="center"/>
          </w:tcPr>
          <w:p w:rsidR="00DE1A9E" w:rsidRPr="00060B29" w:rsidRDefault="00DE1A9E" w:rsidP="00B15687">
            <w:pPr>
              <w:keepLines/>
              <w:jc w:val="left"/>
              <w:rPr>
                <w:rFonts w:ascii="Arial Narrow" w:hAnsi="Arial Narrow" w:cs="Times New Roman"/>
                <w:b/>
                <w:sz w:val="20"/>
                <w:lang w:eastAsia="en-US"/>
              </w:rPr>
            </w:pPr>
            <w:r w:rsidRPr="00060B29">
              <w:rPr>
                <w:rFonts w:ascii="Arial Narrow" w:hAnsi="Arial Narrow" w:cs="Times New Roman"/>
                <w:b/>
                <w:sz w:val="20"/>
                <w:lang w:eastAsia="en-US"/>
              </w:rPr>
              <w:t>Step and component</w:t>
            </w:r>
          </w:p>
        </w:tc>
        <w:tc>
          <w:tcPr>
            <w:tcW w:w="1322" w:type="pct"/>
            <w:vAlign w:val="center"/>
          </w:tcPr>
          <w:p w:rsidR="00DE1A9E" w:rsidRPr="00060B29" w:rsidRDefault="00DE1A9E" w:rsidP="00B15687">
            <w:pPr>
              <w:keepLines/>
              <w:jc w:val="left"/>
              <w:rPr>
                <w:rFonts w:ascii="Arial Narrow" w:hAnsi="Arial Narrow" w:cs="Times New Roman"/>
                <w:b/>
                <w:sz w:val="20"/>
                <w:lang w:eastAsia="en-US"/>
              </w:rPr>
            </w:pPr>
            <w:r w:rsidRPr="00060B29">
              <w:rPr>
                <w:rFonts w:ascii="Arial Narrow" w:hAnsi="Arial Narrow" w:cs="Times New Roman"/>
                <w:b/>
                <w:sz w:val="20"/>
                <w:lang w:eastAsia="en-US"/>
              </w:rPr>
              <w:t>Nintedanib</w:t>
            </w:r>
          </w:p>
        </w:tc>
        <w:tc>
          <w:tcPr>
            <w:tcW w:w="1239" w:type="pct"/>
            <w:vAlign w:val="center"/>
          </w:tcPr>
          <w:p w:rsidR="00DE1A9E" w:rsidRPr="00060B29" w:rsidRDefault="00DE1A9E" w:rsidP="00B15687">
            <w:pPr>
              <w:keepLines/>
              <w:jc w:val="left"/>
              <w:rPr>
                <w:rFonts w:ascii="Arial Narrow" w:hAnsi="Arial Narrow" w:cs="Times New Roman"/>
                <w:b/>
                <w:sz w:val="20"/>
                <w:lang w:eastAsia="en-US"/>
              </w:rPr>
            </w:pPr>
            <w:r w:rsidRPr="00060B29">
              <w:rPr>
                <w:rFonts w:ascii="Arial Narrow" w:hAnsi="Arial Narrow" w:cs="Times New Roman"/>
                <w:b/>
                <w:sz w:val="20"/>
                <w:lang w:eastAsia="en-US"/>
              </w:rPr>
              <w:t>Placebo + BSC</w:t>
            </w:r>
          </w:p>
        </w:tc>
        <w:tc>
          <w:tcPr>
            <w:tcW w:w="950" w:type="pct"/>
            <w:vAlign w:val="center"/>
          </w:tcPr>
          <w:p w:rsidR="00DE1A9E" w:rsidRPr="00060B29" w:rsidRDefault="00DE1A9E" w:rsidP="00B15687">
            <w:pPr>
              <w:keepLines/>
              <w:jc w:val="left"/>
              <w:rPr>
                <w:rFonts w:ascii="Arial Narrow" w:hAnsi="Arial Narrow" w:cs="Times New Roman"/>
                <w:b/>
                <w:sz w:val="20"/>
                <w:lang w:eastAsia="en-US"/>
              </w:rPr>
            </w:pPr>
            <w:r w:rsidRPr="00060B29">
              <w:rPr>
                <w:rFonts w:ascii="Arial Narrow" w:hAnsi="Arial Narrow" w:cs="Times New Roman"/>
                <w:b/>
                <w:sz w:val="20"/>
                <w:lang w:eastAsia="en-US"/>
              </w:rPr>
              <w:t>Increment</w:t>
            </w:r>
          </w:p>
        </w:tc>
      </w:tr>
      <w:tr w:rsidR="00DE1A9E" w:rsidRPr="00060B29" w:rsidTr="008F2EAA">
        <w:tc>
          <w:tcPr>
            <w:tcW w:w="5000" w:type="pct"/>
            <w:gridSpan w:val="4"/>
            <w:vAlign w:val="center"/>
          </w:tcPr>
          <w:p w:rsidR="00DE1A9E" w:rsidRPr="00060B29" w:rsidRDefault="00DE1A9E" w:rsidP="00B15687">
            <w:pPr>
              <w:keepLines/>
              <w:jc w:val="left"/>
              <w:rPr>
                <w:rFonts w:ascii="Arial Narrow" w:hAnsi="Arial Narrow" w:cs="Times New Roman"/>
                <w:b/>
                <w:bCs/>
                <w:snapToGrid w:val="0"/>
                <w:sz w:val="20"/>
                <w:lang w:eastAsia="en-US"/>
              </w:rPr>
            </w:pPr>
            <w:r w:rsidRPr="00060B29">
              <w:rPr>
                <w:rFonts w:ascii="Arial Narrow" w:hAnsi="Arial Narrow" w:cs="Times New Roman"/>
                <w:b/>
                <w:bCs/>
                <w:snapToGrid w:val="0"/>
                <w:sz w:val="20"/>
                <w:lang w:eastAsia="en-US"/>
              </w:rPr>
              <w:t>Step 1: trial-based costs and outcomes, time horizon = 25 months</w:t>
            </w:r>
          </w:p>
        </w:tc>
      </w:tr>
      <w:tr w:rsidR="00DE1A9E" w:rsidRPr="00060B29" w:rsidTr="008F2EAA">
        <w:tc>
          <w:tcPr>
            <w:tcW w:w="1489" w:type="pct"/>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Costs</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DE1A9E" w:rsidRPr="00060B29" w:rsidRDefault="00DE1A9E" w:rsidP="00B15687">
            <w:pPr>
              <w:keepLines/>
              <w:jc w:val="left"/>
              <w:rPr>
                <w:rFonts w:ascii="Arial Narrow" w:hAnsi="Arial Narrow" w:cs="Times New Roman"/>
                <w:bCs/>
                <w:i/>
                <w:sz w:val="20"/>
                <w:lang w:eastAsia="en-US"/>
              </w:rPr>
            </w:pPr>
            <w:r w:rsidRPr="00060B29">
              <w:rPr>
                <w:rFonts w:ascii="Arial Narrow" w:hAnsi="Arial Narrow" w:cs="Times New Roman"/>
                <w:bCs/>
                <w:sz w:val="20"/>
                <w:lang w:eastAsia="en-US"/>
              </w:rPr>
              <w:t>$</w:t>
            </w:r>
            <w:r w:rsidR="006C3A17">
              <w:rPr>
                <w:rFonts w:ascii="Arial Narrow" w:hAnsi="Arial Narrow" w:cs="Times New Roman"/>
                <w:bCs/>
                <w:noProof/>
                <w:color w:val="000000"/>
                <w:sz w:val="20"/>
                <w:highlight w:val="black"/>
                <w:lang w:eastAsia="en-US"/>
              </w:rPr>
              <w:t>'''''''''''''''''</w:t>
            </w:r>
          </w:p>
        </w:tc>
        <w:tc>
          <w:tcPr>
            <w:tcW w:w="1239" w:type="pct"/>
            <w:tcBorders>
              <w:top w:val="single" w:sz="4" w:space="0" w:color="auto"/>
              <w:left w:val="nil"/>
              <w:bottom w:val="single" w:sz="4" w:space="0" w:color="auto"/>
              <w:right w:val="single" w:sz="4" w:space="0" w:color="auto"/>
            </w:tcBorders>
            <w:shd w:val="clear" w:color="auto" w:fill="auto"/>
            <w:vAlign w:val="center"/>
          </w:tcPr>
          <w:p w:rsidR="00DE1A9E" w:rsidRPr="00AC0219" w:rsidRDefault="00DE1A9E" w:rsidP="00AC0219">
            <w:pPr>
              <w:keepLines/>
              <w:jc w:val="left"/>
              <w:rPr>
                <w:rFonts w:ascii="Arial Narrow" w:hAnsi="Arial Narrow" w:cs="Times New Roman"/>
                <w:bCs/>
                <w:sz w:val="20"/>
                <w:vertAlign w:val="superscript"/>
                <w:lang w:eastAsia="en-US"/>
              </w:rPr>
            </w:pPr>
            <w:r w:rsidRPr="00060B29">
              <w:rPr>
                <w:rFonts w:ascii="Arial Narrow" w:hAnsi="Arial Narrow" w:cs="Times New Roman"/>
                <w:bCs/>
                <w:sz w:val="20"/>
                <w:lang w:eastAsia="en-US"/>
              </w:rPr>
              <w:t>$0</w:t>
            </w:r>
          </w:p>
        </w:tc>
        <w:tc>
          <w:tcPr>
            <w:tcW w:w="950" w:type="pct"/>
            <w:tcBorders>
              <w:top w:val="single" w:sz="4" w:space="0" w:color="auto"/>
              <w:left w:val="nil"/>
              <w:bottom w:val="single" w:sz="4" w:space="0" w:color="auto"/>
              <w:right w:val="single" w:sz="4" w:space="0" w:color="auto"/>
            </w:tcBorders>
            <w:shd w:val="clear" w:color="auto" w:fill="auto"/>
            <w:vAlign w:val="center"/>
          </w:tcPr>
          <w:p w:rsidR="00DE1A9E" w:rsidRPr="00060B29" w:rsidRDefault="00DE1A9E" w:rsidP="00B15687">
            <w:pPr>
              <w:keepLines/>
              <w:jc w:val="left"/>
              <w:rPr>
                <w:rFonts w:ascii="Arial Narrow" w:hAnsi="Arial Narrow" w:cs="Times New Roman"/>
                <w:bCs/>
                <w:i/>
                <w:sz w:val="20"/>
                <w:lang w:eastAsia="en-US"/>
              </w:rPr>
            </w:pPr>
            <w:r w:rsidRPr="00060B29">
              <w:rPr>
                <w:rFonts w:ascii="Arial Narrow" w:hAnsi="Arial Narrow" w:cs="Times New Roman"/>
                <w:bCs/>
                <w:sz w:val="20"/>
                <w:lang w:eastAsia="en-US"/>
              </w:rPr>
              <w:t>$</w:t>
            </w:r>
            <w:r w:rsidR="006C3A17">
              <w:rPr>
                <w:rFonts w:ascii="Arial Narrow" w:hAnsi="Arial Narrow" w:cs="Times New Roman"/>
                <w:bCs/>
                <w:noProof/>
                <w:color w:val="000000"/>
                <w:sz w:val="20"/>
                <w:highlight w:val="black"/>
                <w:lang w:eastAsia="en-US"/>
              </w:rPr>
              <w:t>'''''''''''''''</w:t>
            </w:r>
          </w:p>
        </w:tc>
      </w:tr>
      <w:tr w:rsidR="00DE1A9E" w:rsidRPr="00060B29" w:rsidTr="008F2EAA">
        <w:tc>
          <w:tcPr>
            <w:tcW w:w="1489" w:type="pct"/>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LY</w:t>
            </w:r>
          </w:p>
        </w:tc>
        <w:tc>
          <w:tcPr>
            <w:tcW w:w="1322" w:type="pct"/>
            <w:tcBorders>
              <w:top w:val="single" w:sz="4" w:space="0" w:color="auto"/>
              <w:left w:val="nil"/>
              <w:bottom w:val="single" w:sz="4" w:space="0" w:color="auto"/>
              <w:right w:val="single" w:sz="4" w:space="0" w:color="auto"/>
            </w:tcBorders>
            <w:shd w:val="clear" w:color="auto" w:fill="auto"/>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1.82</w:t>
            </w:r>
          </w:p>
        </w:tc>
        <w:tc>
          <w:tcPr>
            <w:tcW w:w="1239" w:type="pct"/>
            <w:tcBorders>
              <w:top w:val="single" w:sz="4" w:space="0" w:color="auto"/>
              <w:left w:val="nil"/>
              <w:bottom w:val="single" w:sz="4" w:space="0" w:color="auto"/>
              <w:right w:val="single" w:sz="4" w:space="0" w:color="auto"/>
            </w:tcBorders>
            <w:shd w:val="clear" w:color="auto" w:fill="auto"/>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1.74</w:t>
            </w:r>
          </w:p>
        </w:tc>
        <w:tc>
          <w:tcPr>
            <w:tcW w:w="950" w:type="pct"/>
            <w:tcBorders>
              <w:top w:val="single" w:sz="4" w:space="0" w:color="auto"/>
              <w:left w:val="nil"/>
              <w:bottom w:val="single" w:sz="4" w:space="0" w:color="auto"/>
              <w:right w:val="single" w:sz="4" w:space="0" w:color="auto"/>
            </w:tcBorders>
            <w:shd w:val="clear" w:color="auto" w:fill="auto"/>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0.08</w:t>
            </w:r>
          </w:p>
        </w:tc>
      </w:tr>
      <w:tr w:rsidR="00DE1A9E" w:rsidRPr="00060B29" w:rsidTr="008F2EAA">
        <w:tc>
          <w:tcPr>
            <w:tcW w:w="4050" w:type="pct"/>
            <w:gridSpan w:val="3"/>
            <w:vAlign w:val="center"/>
          </w:tcPr>
          <w:p w:rsidR="00DE1A9E" w:rsidRPr="00060B29" w:rsidRDefault="00DE1A9E" w:rsidP="00B15687">
            <w:pPr>
              <w:keepLines/>
              <w:jc w:val="left"/>
              <w:rPr>
                <w:rFonts w:ascii="Arial Narrow" w:hAnsi="Arial Narrow" w:cs="Times New Roman"/>
                <w:bCs/>
                <w:snapToGrid w:val="0"/>
                <w:sz w:val="20"/>
                <w:lang w:eastAsia="en-US"/>
              </w:rPr>
            </w:pPr>
            <w:r w:rsidRPr="00060B29">
              <w:rPr>
                <w:rFonts w:ascii="Arial Narrow" w:hAnsi="Arial Narrow" w:cs="Times New Roman"/>
                <w:bCs/>
                <w:sz w:val="20"/>
                <w:lang w:eastAsia="en-US"/>
              </w:rPr>
              <w:t>Incremental cost/extra LY gained (ICER)</w:t>
            </w:r>
          </w:p>
        </w:tc>
        <w:tc>
          <w:tcPr>
            <w:tcW w:w="950" w:type="pct"/>
            <w:vAlign w:val="center"/>
          </w:tcPr>
          <w:p w:rsidR="00FC46FC"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w:t>
            </w:r>
            <w:r w:rsidR="006C3A17">
              <w:rPr>
                <w:rFonts w:ascii="Arial Narrow" w:hAnsi="Arial Narrow" w:cs="Times New Roman"/>
                <w:bCs/>
                <w:noProof/>
                <w:color w:val="000000"/>
                <w:sz w:val="20"/>
                <w:highlight w:val="black"/>
                <w:lang w:eastAsia="en-US"/>
              </w:rPr>
              <w:t>'''''''''''''''''''''</w:t>
            </w:r>
            <w:r w:rsidR="00AC0219">
              <w:rPr>
                <w:rFonts w:ascii="Arial Narrow" w:hAnsi="Arial Narrow" w:cs="Times New Roman"/>
                <w:bCs/>
                <w:sz w:val="20"/>
                <w:vertAlign w:val="superscript"/>
                <w:lang w:eastAsia="en-US"/>
              </w:rPr>
              <w:t>1</w:t>
            </w:r>
          </w:p>
        </w:tc>
      </w:tr>
      <w:tr w:rsidR="00DE1A9E" w:rsidRPr="00060B29" w:rsidTr="008F2EAA">
        <w:tc>
          <w:tcPr>
            <w:tcW w:w="5000" w:type="pct"/>
            <w:gridSpan w:val="4"/>
            <w:vAlign w:val="center"/>
          </w:tcPr>
          <w:p w:rsidR="00DE1A9E" w:rsidRPr="00060B29" w:rsidRDefault="00DE1A9E" w:rsidP="00B15687">
            <w:pPr>
              <w:keepLines/>
              <w:jc w:val="left"/>
              <w:rPr>
                <w:rFonts w:ascii="Arial Narrow" w:hAnsi="Arial Narrow" w:cs="Times New Roman"/>
                <w:b/>
                <w:bCs/>
                <w:snapToGrid w:val="0"/>
                <w:sz w:val="20"/>
                <w:lang w:eastAsia="en-US"/>
              </w:rPr>
            </w:pPr>
            <w:r w:rsidRPr="00060B29">
              <w:rPr>
                <w:rFonts w:ascii="Arial Narrow" w:hAnsi="Arial Narrow" w:cs="Times New Roman"/>
                <w:b/>
                <w:bCs/>
                <w:snapToGrid w:val="0"/>
                <w:sz w:val="20"/>
                <w:lang w:eastAsia="en-US"/>
              </w:rPr>
              <w:t xml:space="preserve">Step 2: </w:t>
            </w:r>
            <w:r w:rsidRPr="00060B29">
              <w:rPr>
                <w:rFonts w:ascii="Arial Narrow" w:hAnsi="Arial Narrow" w:cs="Times New Roman"/>
                <w:b/>
                <w:bCs/>
                <w:sz w:val="20"/>
                <w:lang w:eastAsia="en-US"/>
              </w:rPr>
              <w:t>parametric extrapolation from 17 months over lifetime horizon</w:t>
            </w:r>
            <w:r w:rsidR="00F77D66" w:rsidRPr="00060B29">
              <w:rPr>
                <w:rFonts w:ascii="Arial Narrow" w:hAnsi="Arial Narrow" w:cs="Times New Roman"/>
                <w:b/>
                <w:bCs/>
                <w:sz w:val="20"/>
                <w:lang w:eastAsia="en-US"/>
              </w:rPr>
              <w:t xml:space="preserve"> (15 years)</w:t>
            </w:r>
          </w:p>
        </w:tc>
      </w:tr>
      <w:tr w:rsidR="00DE1A9E" w:rsidRPr="00060B29" w:rsidTr="008F2EAA">
        <w:tc>
          <w:tcPr>
            <w:tcW w:w="1489" w:type="pct"/>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Costs</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rsidR="00DE1A9E" w:rsidRPr="00060B29" w:rsidRDefault="00DE1A9E" w:rsidP="00B15687">
            <w:pPr>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1239" w:type="pct"/>
            <w:tcBorders>
              <w:top w:val="single" w:sz="4" w:space="0" w:color="auto"/>
              <w:left w:val="nil"/>
              <w:bottom w:val="single" w:sz="4" w:space="0" w:color="auto"/>
              <w:right w:val="single" w:sz="4" w:space="0" w:color="auto"/>
            </w:tcBorders>
            <w:shd w:val="clear" w:color="auto" w:fill="auto"/>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w:t>
            </w:r>
          </w:p>
        </w:tc>
        <w:tc>
          <w:tcPr>
            <w:tcW w:w="950" w:type="pct"/>
            <w:tcBorders>
              <w:top w:val="single" w:sz="4" w:space="0" w:color="auto"/>
              <w:left w:val="nil"/>
              <w:bottom w:val="single" w:sz="4" w:space="0" w:color="auto"/>
              <w:right w:val="single" w:sz="4" w:space="0" w:color="auto"/>
            </w:tcBorders>
            <w:shd w:val="clear" w:color="auto" w:fill="auto"/>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r>
      <w:tr w:rsidR="00DE1A9E" w:rsidRPr="00060B29" w:rsidTr="008F2EAA">
        <w:tc>
          <w:tcPr>
            <w:tcW w:w="1489" w:type="pct"/>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LY</w:t>
            </w:r>
          </w:p>
        </w:tc>
        <w:tc>
          <w:tcPr>
            <w:tcW w:w="1322" w:type="pct"/>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3.74</w:t>
            </w:r>
          </w:p>
        </w:tc>
        <w:tc>
          <w:tcPr>
            <w:tcW w:w="1239" w:type="pct"/>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2.63</w:t>
            </w:r>
          </w:p>
        </w:tc>
        <w:tc>
          <w:tcPr>
            <w:tcW w:w="950" w:type="pct"/>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1.11</w:t>
            </w:r>
          </w:p>
        </w:tc>
      </w:tr>
      <w:tr w:rsidR="00DE1A9E" w:rsidRPr="00060B29" w:rsidTr="008F2EAA">
        <w:tc>
          <w:tcPr>
            <w:tcW w:w="4050" w:type="pct"/>
            <w:gridSpan w:val="3"/>
            <w:vAlign w:val="center"/>
          </w:tcPr>
          <w:p w:rsidR="00DE1A9E" w:rsidRPr="00060B29" w:rsidRDefault="00DE1A9E" w:rsidP="00B15687">
            <w:pPr>
              <w:keepLines/>
              <w:jc w:val="left"/>
              <w:rPr>
                <w:rFonts w:ascii="Arial Narrow" w:hAnsi="Arial Narrow" w:cs="Times New Roman"/>
                <w:bCs/>
                <w:snapToGrid w:val="0"/>
                <w:sz w:val="20"/>
                <w:lang w:eastAsia="en-US"/>
              </w:rPr>
            </w:pPr>
            <w:r w:rsidRPr="00060B29">
              <w:rPr>
                <w:rFonts w:ascii="Arial Narrow" w:hAnsi="Arial Narrow" w:cs="Times New Roman"/>
                <w:bCs/>
                <w:sz w:val="20"/>
                <w:lang w:eastAsia="en-US"/>
              </w:rPr>
              <w:t>Incremental cost/extra LY gained</w:t>
            </w:r>
          </w:p>
        </w:tc>
        <w:tc>
          <w:tcPr>
            <w:tcW w:w="950" w:type="pct"/>
          </w:tcPr>
          <w:p w:rsidR="00FC46FC"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w:t>
            </w:r>
            <w:r w:rsidR="006C3A17">
              <w:rPr>
                <w:rFonts w:ascii="Arial Narrow" w:hAnsi="Arial Narrow" w:cs="Times New Roman"/>
                <w:bCs/>
                <w:noProof/>
                <w:color w:val="000000"/>
                <w:sz w:val="20"/>
                <w:highlight w:val="black"/>
                <w:lang w:eastAsia="en-US"/>
              </w:rPr>
              <w:t>''''''''''''''''''</w:t>
            </w:r>
            <w:r w:rsidR="00AC0219">
              <w:rPr>
                <w:rFonts w:ascii="Arial Narrow" w:hAnsi="Arial Narrow" w:cs="Times New Roman"/>
                <w:bCs/>
                <w:sz w:val="20"/>
                <w:vertAlign w:val="superscript"/>
                <w:lang w:eastAsia="en-US"/>
              </w:rPr>
              <w:t>2</w:t>
            </w:r>
          </w:p>
        </w:tc>
      </w:tr>
      <w:tr w:rsidR="00DE1A9E" w:rsidRPr="00060B29" w:rsidTr="008F2EAA">
        <w:tc>
          <w:tcPr>
            <w:tcW w:w="5000" w:type="pct"/>
            <w:gridSpan w:val="4"/>
            <w:vAlign w:val="center"/>
          </w:tcPr>
          <w:p w:rsidR="00DE1A9E" w:rsidRPr="00060B29" w:rsidRDefault="00DE1A9E" w:rsidP="00B15687">
            <w:pPr>
              <w:keepLines/>
              <w:jc w:val="left"/>
              <w:rPr>
                <w:rFonts w:ascii="Arial Narrow" w:hAnsi="Arial Narrow" w:cs="Times New Roman"/>
                <w:b/>
                <w:bCs/>
                <w:snapToGrid w:val="0"/>
                <w:sz w:val="20"/>
                <w:lang w:eastAsia="en-US"/>
              </w:rPr>
            </w:pPr>
            <w:r w:rsidRPr="00060B29">
              <w:rPr>
                <w:rFonts w:ascii="Arial Narrow" w:hAnsi="Arial Narrow" w:cs="Times New Roman"/>
                <w:b/>
                <w:bCs/>
                <w:snapToGrid w:val="0"/>
                <w:sz w:val="20"/>
                <w:lang w:eastAsia="en-US"/>
              </w:rPr>
              <w:t>Step 3 (Step 2 + costs associated with acute exacerbations, disease monitoring and follow-up, management of treatment-related adverse and end of life use of health care resources)</w:t>
            </w:r>
          </w:p>
        </w:tc>
      </w:tr>
      <w:tr w:rsidR="00DE1A9E" w:rsidRPr="00060B29" w:rsidTr="008F2EAA">
        <w:tc>
          <w:tcPr>
            <w:tcW w:w="1489" w:type="pct"/>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Costs</w:t>
            </w:r>
          </w:p>
        </w:tc>
        <w:tc>
          <w:tcPr>
            <w:tcW w:w="1322" w:type="pct"/>
          </w:tcPr>
          <w:p w:rsidR="00DE1A9E" w:rsidRPr="00060B29" w:rsidRDefault="00DE1A9E" w:rsidP="00B15687">
            <w:pPr>
              <w:keepLines/>
              <w:jc w:val="left"/>
              <w:rPr>
                <w:rFonts w:ascii="Arial Narrow" w:hAnsi="Arial Narrow" w:cs="Times New Roman"/>
                <w:bCs/>
                <w:i/>
                <w:sz w:val="20"/>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1239" w:type="pct"/>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szCs w:val="22"/>
                <w:lang w:eastAsia="en-US"/>
              </w:rPr>
              <w:t>$48,113</w:t>
            </w:r>
          </w:p>
        </w:tc>
        <w:tc>
          <w:tcPr>
            <w:tcW w:w="950" w:type="pct"/>
          </w:tcPr>
          <w:p w:rsidR="00DE1A9E" w:rsidRPr="00060B29" w:rsidRDefault="00DE1A9E" w:rsidP="00B15687">
            <w:pPr>
              <w:keepLines/>
              <w:jc w:val="left"/>
              <w:rPr>
                <w:rFonts w:ascii="Arial Narrow" w:hAnsi="Arial Narrow" w:cs="Times New Roman"/>
                <w:bCs/>
                <w:i/>
                <w:sz w:val="20"/>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r>
      <w:tr w:rsidR="00DE1A9E" w:rsidRPr="00060B29" w:rsidTr="008F2EAA">
        <w:tc>
          <w:tcPr>
            <w:tcW w:w="1489" w:type="pct"/>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LY</w:t>
            </w:r>
          </w:p>
        </w:tc>
        <w:tc>
          <w:tcPr>
            <w:tcW w:w="1322" w:type="pct"/>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3.74</w:t>
            </w:r>
          </w:p>
        </w:tc>
        <w:tc>
          <w:tcPr>
            <w:tcW w:w="1239" w:type="pct"/>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2.63</w:t>
            </w:r>
          </w:p>
        </w:tc>
        <w:tc>
          <w:tcPr>
            <w:tcW w:w="950" w:type="pct"/>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1.11</w:t>
            </w:r>
          </w:p>
        </w:tc>
      </w:tr>
      <w:tr w:rsidR="00DE1A9E" w:rsidRPr="00060B29" w:rsidTr="008F2EAA">
        <w:tc>
          <w:tcPr>
            <w:tcW w:w="4050" w:type="pct"/>
            <w:gridSpan w:val="3"/>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Incremental cost/extra LY gained</w:t>
            </w:r>
          </w:p>
        </w:tc>
        <w:tc>
          <w:tcPr>
            <w:tcW w:w="950" w:type="pct"/>
          </w:tcPr>
          <w:p w:rsidR="00FC46FC"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w:t>
            </w:r>
            <w:r w:rsidR="006C3A17">
              <w:rPr>
                <w:rFonts w:ascii="Arial Narrow" w:hAnsi="Arial Narrow" w:cs="Times New Roman"/>
                <w:bCs/>
                <w:noProof/>
                <w:color w:val="000000"/>
                <w:sz w:val="20"/>
                <w:highlight w:val="black"/>
                <w:lang w:eastAsia="en-US"/>
              </w:rPr>
              <w:t>''''''''''''''''''</w:t>
            </w:r>
            <w:r w:rsidR="00AC0219">
              <w:rPr>
                <w:rFonts w:ascii="Arial Narrow" w:hAnsi="Arial Narrow" w:cs="Times New Roman"/>
                <w:bCs/>
                <w:sz w:val="20"/>
                <w:vertAlign w:val="superscript"/>
                <w:lang w:eastAsia="en-US"/>
              </w:rPr>
              <w:t>3</w:t>
            </w:r>
          </w:p>
        </w:tc>
      </w:tr>
      <w:tr w:rsidR="00DE1A9E" w:rsidRPr="00060B29" w:rsidTr="008F2EAA">
        <w:tc>
          <w:tcPr>
            <w:tcW w:w="5000" w:type="pct"/>
            <w:gridSpan w:val="4"/>
            <w:vAlign w:val="center"/>
          </w:tcPr>
          <w:p w:rsidR="00DE1A9E" w:rsidRPr="00060B29" w:rsidRDefault="00DE1A9E" w:rsidP="00B15687">
            <w:pPr>
              <w:keepLines/>
              <w:jc w:val="left"/>
              <w:rPr>
                <w:rFonts w:ascii="Arial Narrow" w:hAnsi="Arial Narrow" w:cs="Times New Roman"/>
                <w:b/>
                <w:bCs/>
                <w:snapToGrid w:val="0"/>
                <w:sz w:val="20"/>
                <w:lang w:eastAsia="en-US"/>
              </w:rPr>
            </w:pPr>
            <w:r w:rsidRPr="00060B29">
              <w:rPr>
                <w:rFonts w:ascii="Arial Narrow" w:hAnsi="Arial Narrow" w:cs="Times New Roman"/>
                <w:b/>
                <w:bCs/>
                <w:snapToGrid w:val="0"/>
                <w:sz w:val="20"/>
                <w:lang w:eastAsia="en-US"/>
              </w:rPr>
              <w:t>Step 4 (LYs in Step 3 converted to QALYs)</w:t>
            </w:r>
          </w:p>
        </w:tc>
      </w:tr>
      <w:tr w:rsidR="00DE1A9E" w:rsidRPr="00060B29" w:rsidTr="008F2EAA">
        <w:tc>
          <w:tcPr>
            <w:tcW w:w="1489" w:type="pct"/>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Costs</w:t>
            </w:r>
          </w:p>
        </w:tc>
        <w:tc>
          <w:tcPr>
            <w:tcW w:w="1322" w:type="pct"/>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1239" w:type="pct"/>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szCs w:val="22"/>
                <w:lang w:eastAsia="en-US"/>
              </w:rPr>
              <w:t>$48,113</w:t>
            </w:r>
          </w:p>
        </w:tc>
        <w:tc>
          <w:tcPr>
            <w:tcW w:w="950" w:type="pct"/>
          </w:tcPr>
          <w:p w:rsidR="00DE1A9E" w:rsidRPr="00060B29" w:rsidRDefault="00DE1A9E" w:rsidP="00B15687">
            <w:pPr>
              <w:keepLines/>
              <w:jc w:val="left"/>
              <w:rPr>
                <w:rFonts w:ascii="Arial Narrow" w:hAnsi="Arial Narrow" w:cs="Times New Roman"/>
                <w:bCs/>
                <w:i/>
                <w:sz w:val="20"/>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r>
      <w:tr w:rsidR="00DE1A9E" w:rsidRPr="00060B29" w:rsidTr="008F2EAA">
        <w:tc>
          <w:tcPr>
            <w:tcW w:w="1489" w:type="pct"/>
            <w:vAlign w:val="center"/>
          </w:tcPr>
          <w:p w:rsidR="00DE1A9E" w:rsidRPr="00060B29" w:rsidRDefault="00DE1A9E" w:rsidP="00B15687">
            <w:pPr>
              <w:keepLines/>
              <w:jc w:val="left"/>
              <w:rPr>
                <w:rFonts w:ascii="Arial Narrow" w:hAnsi="Arial Narrow" w:cs="Times New Roman"/>
                <w:bCs/>
                <w:sz w:val="20"/>
                <w:lang w:eastAsia="en-US"/>
              </w:rPr>
            </w:pPr>
            <w:r w:rsidRPr="00060B29">
              <w:rPr>
                <w:rFonts w:ascii="Arial Narrow" w:hAnsi="Arial Narrow" w:cs="Times New Roman"/>
                <w:bCs/>
                <w:sz w:val="20"/>
                <w:lang w:eastAsia="en-US"/>
              </w:rPr>
              <w:t>QALY</w:t>
            </w:r>
          </w:p>
        </w:tc>
        <w:tc>
          <w:tcPr>
            <w:tcW w:w="1322" w:type="pct"/>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2.41</w:t>
            </w:r>
          </w:p>
        </w:tc>
        <w:tc>
          <w:tcPr>
            <w:tcW w:w="1239" w:type="pct"/>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1.64</w:t>
            </w:r>
          </w:p>
        </w:tc>
        <w:tc>
          <w:tcPr>
            <w:tcW w:w="950" w:type="pct"/>
            <w:vAlign w:val="center"/>
          </w:tcPr>
          <w:p w:rsidR="00DE1A9E" w:rsidRPr="00060B29" w:rsidRDefault="00DE1A9E" w:rsidP="00B15687">
            <w:pPr>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0.77</w:t>
            </w:r>
          </w:p>
        </w:tc>
      </w:tr>
      <w:tr w:rsidR="00DE1A9E" w:rsidRPr="00060B29" w:rsidTr="008F2EAA">
        <w:tc>
          <w:tcPr>
            <w:tcW w:w="4050" w:type="pct"/>
            <w:gridSpan w:val="3"/>
            <w:vAlign w:val="center"/>
          </w:tcPr>
          <w:p w:rsidR="00DE1A9E" w:rsidRPr="00060B29" w:rsidRDefault="00DE1A9E" w:rsidP="00B15687">
            <w:pPr>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Incremental cost/extra QALY gained (base case)</w:t>
            </w:r>
          </w:p>
        </w:tc>
        <w:tc>
          <w:tcPr>
            <w:tcW w:w="950" w:type="pct"/>
          </w:tcPr>
          <w:p w:rsidR="00DE1A9E" w:rsidRPr="00060B29" w:rsidRDefault="00DE1A9E" w:rsidP="00B15687">
            <w:pPr>
              <w:keepLines/>
              <w:jc w:val="left"/>
              <w:rPr>
                <w:rFonts w:ascii="Arial Narrow" w:hAnsi="Arial Narrow" w:cs="Times New Roman"/>
                <w:b/>
                <w:bCs/>
                <w:i/>
                <w:sz w:val="20"/>
                <w:szCs w:val="22"/>
                <w:lang w:eastAsia="en-US"/>
              </w:rPr>
            </w:pPr>
            <w:r w:rsidRPr="00060B29">
              <w:rPr>
                <w:rFonts w:ascii="Arial Narrow" w:hAnsi="Arial Narrow" w:cs="Times New Roman"/>
                <w:b/>
                <w:bCs/>
                <w:sz w:val="20"/>
                <w:szCs w:val="22"/>
                <w:lang w:eastAsia="en-US"/>
              </w:rPr>
              <w:t>$</w:t>
            </w:r>
            <w:r w:rsidR="006C3A17">
              <w:rPr>
                <w:rFonts w:ascii="Arial Narrow" w:hAnsi="Arial Narrow" w:cs="Times New Roman"/>
                <w:b/>
                <w:bCs/>
                <w:noProof/>
                <w:color w:val="000000"/>
                <w:sz w:val="20"/>
                <w:szCs w:val="22"/>
                <w:highlight w:val="black"/>
                <w:lang w:eastAsia="en-US"/>
              </w:rPr>
              <w:t>'''''''''''''</w:t>
            </w:r>
            <w:r w:rsidR="00AC0219">
              <w:rPr>
                <w:rFonts w:ascii="Arial Narrow" w:hAnsi="Arial Narrow" w:cs="Times New Roman"/>
                <w:bCs/>
                <w:sz w:val="20"/>
                <w:vertAlign w:val="superscript"/>
                <w:lang w:eastAsia="en-US"/>
              </w:rPr>
              <w:t>4</w:t>
            </w:r>
          </w:p>
        </w:tc>
      </w:tr>
    </w:tbl>
    <w:p w:rsidR="00603F47" w:rsidRPr="00060B29" w:rsidRDefault="00603F47" w:rsidP="00B15687">
      <w:pPr>
        <w:keepLines/>
        <w:rPr>
          <w:rFonts w:ascii="Arial Narrow" w:hAnsi="Arial Narrow"/>
          <w:snapToGrid w:val="0"/>
          <w:sz w:val="18"/>
          <w:szCs w:val="22"/>
          <w:lang w:eastAsia="en-US"/>
        </w:rPr>
      </w:pPr>
      <w:r w:rsidRPr="00060B29">
        <w:rPr>
          <w:rFonts w:ascii="Arial Narrow" w:hAnsi="Arial Narrow"/>
          <w:snapToGrid w:val="0"/>
          <w:sz w:val="18"/>
          <w:szCs w:val="22"/>
          <w:lang w:eastAsia="en-US"/>
        </w:rPr>
        <w:t xml:space="preserve">Source: Based on Table 3.23, p209 of the submission  </w:t>
      </w:r>
    </w:p>
    <w:p w:rsidR="00DE1A9E" w:rsidRDefault="00DE1A9E" w:rsidP="00215F15">
      <w:pPr>
        <w:keepLines/>
        <w:rPr>
          <w:rFonts w:ascii="Arial Narrow" w:hAnsi="Arial Narrow"/>
          <w:snapToGrid w:val="0"/>
          <w:sz w:val="18"/>
          <w:szCs w:val="22"/>
          <w:lang w:eastAsia="en-US"/>
        </w:rPr>
      </w:pPr>
      <w:r w:rsidRPr="00060B29">
        <w:rPr>
          <w:rFonts w:ascii="Arial Narrow" w:hAnsi="Arial Narrow"/>
          <w:snapToGrid w:val="0"/>
          <w:sz w:val="18"/>
          <w:szCs w:val="22"/>
          <w:lang w:eastAsia="en-US"/>
        </w:rPr>
        <w:t>LY</w:t>
      </w:r>
      <w:r w:rsidR="00603F47" w:rsidRPr="00060B29">
        <w:rPr>
          <w:rFonts w:ascii="Arial Narrow" w:hAnsi="Arial Narrow"/>
          <w:snapToGrid w:val="0"/>
          <w:sz w:val="18"/>
          <w:szCs w:val="22"/>
          <w:lang w:eastAsia="en-US"/>
        </w:rPr>
        <w:t>=</w:t>
      </w:r>
      <w:r w:rsidRPr="00060B29">
        <w:rPr>
          <w:rFonts w:ascii="Arial Narrow" w:hAnsi="Arial Narrow"/>
          <w:snapToGrid w:val="0"/>
          <w:sz w:val="18"/>
          <w:szCs w:val="22"/>
          <w:lang w:eastAsia="en-US"/>
        </w:rPr>
        <w:t xml:space="preserve"> Life Years, QALY= Quality-adjusted Life Year</w:t>
      </w:r>
    </w:p>
    <w:p w:rsidR="00215F15" w:rsidRDefault="00215F15" w:rsidP="00215F15">
      <w:pPr>
        <w:keepLines/>
        <w:rPr>
          <w:rFonts w:ascii="Arial Narrow" w:hAnsi="Arial Narrow"/>
          <w:i/>
          <w:snapToGrid w:val="0"/>
          <w:sz w:val="18"/>
          <w:szCs w:val="22"/>
          <w:lang w:eastAsia="en-US"/>
        </w:rPr>
      </w:pPr>
      <w:r w:rsidRPr="00215F15">
        <w:rPr>
          <w:rFonts w:ascii="Arial Narrow" w:hAnsi="Arial Narrow"/>
          <w:i/>
          <w:snapToGrid w:val="0"/>
          <w:sz w:val="18"/>
          <w:szCs w:val="22"/>
          <w:lang w:eastAsia="en-US"/>
        </w:rPr>
        <w:t xml:space="preserve">The redacted values correspond to the following ranges: </w:t>
      </w:r>
    </w:p>
    <w:p w:rsidR="00215F15" w:rsidRDefault="00AC0219" w:rsidP="00215F15">
      <w:pPr>
        <w:keepLines/>
        <w:rPr>
          <w:rFonts w:ascii="Arial Narrow" w:hAnsi="Arial Narrow"/>
          <w:i/>
          <w:snapToGrid w:val="0"/>
          <w:sz w:val="18"/>
          <w:szCs w:val="22"/>
          <w:lang w:eastAsia="en-US"/>
        </w:rPr>
      </w:pPr>
      <w:r>
        <w:rPr>
          <w:rFonts w:ascii="Arial Narrow" w:hAnsi="Arial Narrow"/>
          <w:i/>
          <w:snapToGrid w:val="0"/>
          <w:sz w:val="18"/>
          <w:szCs w:val="22"/>
          <w:vertAlign w:val="superscript"/>
          <w:lang w:eastAsia="en-US"/>
        </w:rPr>
        <w:t xml:space="preserve">1 </w:t>
      </w:r>
      <w:r w:rsidR="00215F15" w:rsidRPr="00215F15">
        <w:rPr>
          <w:rFonts w:ascii="Arial Narrow" w:hAnsi="Arial Narrow"/>
          <w:i/>
          <w:snapToGrid w:val="0"/>
          <w:sz w:val="18"/>
          <w:szCs w:val="22"/>
          <w:lang w:eastAsia="en-US"/>
        </w:rPr>
        <w:t>$255,000 to &lt; $355,000</w:t>
      </w:r>
    </w:p>
    <w:p w:rsidR="00215F15" w:rsidRDefault="00AC0219" w:rsidP="00215F15">
      <w:pPr>
        <w:keepLines/>
        <w:rPr>
          <w:rFonts w:ascii="Arial Narrow" w:hAnsi="Arial Narrow"/>
          <w:i/>
          <w:snapToGrid w:val="0"/>
          <w:sz w:val="18"/>
          <w:szCs w:val="22"/>
          <w:lang w:eastAsia="en-US"/>
        </w:rPr>
      </w:pPr>
      <w:r>
        <w:rPr>
          <w:rFonts w:ascii="Arial Narrow" w:hAnsi="Arial Narrow"/>
          <w:i/>
          <w:snapToGrid w:val="0"/>
          <w:sz w:val="18"/>
          <w:szCs w:val="22"/>
          <w:vertAlign w:val="superscript"/>
          <w:lang w:eastAsia="en-US"/>
        </w:rPr>
        <w:t xml:space="preserve">2 </w:t>
      </w:r>
      <w:r w:rsidR="00215F15" w:rsidRPr="00215F15">
        <w:rPr>
          <w:rFonts w:ascii="Arial Narrow" w:hAnsi="Arial Narrow"/>
          <w:i/>
          <w:snapToGrid w:val="0"/>
          <w:sz w:val="18"/>
          <w:szCs w:val="22"/>
          <w:lang w:eastAsia="en-US"/>
        </w:rPr>
        <w:t>$35,000 to &lt; $45,000</w:t>
      </w:r>
    </w:p>
    <w:p w:rsidR="00AC0219" w:rsidRPr="00AC0219" w:rsidRDefault="00AC0219" w:rsidP="00AC0219">
      <w:pPr>
        <w:keepLines/>
        <w:rPr>
          <w:rFonts w:ascii="Arial Narrow" w:hAnsi="Arial Narrow"/>
          <w:i/>
          <w:snapToGrid w:val="0"/>
          <w:sz w:val="18"/>
          <w:szCs w:val="22"/>
          <w:lang w:eastAsia="en-US"/>
        </w:rPr>
      </w:pPr>
      <w:r>
        <w:rPr>
          <w:rFonts w:ascii="Arial Narrow" w:hAnsi="Arial Narrow"/>
          <w:i/>
          <w:snapToGrid w:val="0"/>
          <w:sz w:val="18"/>
          <w:szCs w:val="22"/>
          <w:vertAlign w:val="superscript"/>
          <w:lang w:eastAsia="en-US"/>
        </w:rPr>
        <w:t xml:space="preserve">3 </w:t>
      </w:r>
      <w:r w:rsidRPr="00AC0219">
        <w:rPr>
          <w:rFonts w:ascii="Arial Narrow" w:hAnsi="Arial Narrow"/>
          <w:i/>
          <w:snapToGrid w:val="0"/>
          <w:sz w:val="18"/>
          <w:szCs w:val="22"/>
          <w:lang w:eastAsia="en-US"/>
        </w:rPr>
        <w:t>$45,000 to &lt; $55,000</w:t>
      </w:r>
    </w:p>
    <w:p w:rsidR="00AC0219" w:rsidRPr="00215F15" w:rsidRDefault="00AC0219" w:rsidP="00AC0219">
      <w:pPr>
        <w:keepLines/>
        <w:rPr>
          <w:rFonts w:ascii="Arial Narrow" w:hAnsi="Arial Narrow"/>
          <w:i/>
          <w:snapToGrid w:val="0"/>
          <w:sz w:val="18"/>
          <w:szCs w:val="22"/>
          <w:lang w:eastAsia="en-US"/>
        </w:rPr>
      </w:pPr>
      <w:r>
        <w:rPr>
          <w:rFonts w:ascii="Arial Narrow" w:hAnsi="Arial Narrow"/>
          <w:i/>
          <w:snapToGrid w:val="0"/>
          <w:sz w:val="18"/>
          <w:szCs w:val="22"/>
          <w:vertAlign w:val="superscript"/>
          <w:lang w:eastAsia="en-US"/>
        </w:rPr>
        <w:t xml:space="preserve">4 </w:t>
      </w:r>
      <w:r w:rsidRPr="00AC0219">
        <w:rPr>
          <w:rFonts w:ascii="Arial Narrow" w:hAnsi="Arial Narrow"/>
          <w:i/>
          <w:snapToGrid w:val="0"/>
          <w:sz w:val="18"/>
          <w:szCs w:val="22"/>
          <w:lang w:eastAsia="en-US"/>
        </w:rPr>
        <w:t>$55,000 to &lt; $75,000</w:t>
      </w:r>
    </w:p>
    <w:p w:rsidR="00215F15" w:rsidRPr="00060B29" w:rsidRDefault="00215F15" w:rsidP="00B15687">
      <w:pPr>
        <w:keepLines/>
        <w:spacing w:after="120"/>
        <w:contextualSpacing/>
        <w:rPr>
          <w:rFonts w:ascii="Arial Narrow" w:hAnsi="Arial Narrow"/>
          <w:snapToGrid w:val="0"/>
          <w:sz w:val="18"/>
          <w:szCs w:val="22"/>
          <w:lang w:eastAsia="en-US"/>
        </w:rPr>
      </w:pPr>
    </w:p>
    <w:p w:rsidR="00F9662D" w:rsidRPr="00060B29" w:rsidRDefault="00F9662D" w:rsidP="00B15687">
      <w:pPr>
        <w:rPr>
          <w:rFonts w:cs="Times New Roman"/>
          <w:highlight w:val="yellow"/>
          <w:lang w:eastAsia="en-US"/>
        </w:rPr>
      </w:pPr>
    </w:p>
    <w:p w:rsidR="00975110" w:rsidRPr="00060B29" w:rsidRDefault="00975110" w:rsidP="00B15687">
      <w:pPr>
        <w:pStyle w:val="3-BodyText"/>
        <w:rPr>
          <w:lang w:eastAsia="en-US"/>
        </w:rPr>
      </w:pPr>
      <w:r w:rsidRPr="00060B29">
        <w:rPr>
          <w:lang w:eastAsia="en-US"/>
        </w:rPr>
        <w:t xml:space="preserve">In Step 2-4, the model included the </w:t>
      </w:r>
      <w:r w:rsidR="00E102AD" w:rsidRPr="00060B29">
        <w:rPr>
          <w:lang w:eastAsia="en-US"/>
        </w:rPr>
        <w:t>Kaplan-Meier</w:t>
      </w:r>
      <w:r w:rsidRPr="00060B29">
        <w:rPr>
          <w:lang w:eastAsia="en-US"/>
        </w:rPr>
        <w:t xml:space="preserve"> data (up to 25 months), which were extrapolated to a lifetime</w:t>
      </w:r>
      <w:r w:rsidR="00893310" w:rsidRPr="00060B29">
        <w:rPr>
          <w:lang w:eastAsia="en-US"/>
        </w:rPr>
        <w:t xml:space="preserve"> time</w:t>
      </w:r>
      <w:r w:rsidRPr="00060B29">
        <w:rPr>
          <w:lang w:eastAsia="en-US"/>
        </w:rPr>
        <w:t xml:space="preserve"> horizon (15 years). This </w:t>
      </w:r>
      <w:r w:rsidR="00F77D66" w:rsidRPr="00060B29">
        <w:rPr>
          <w:lang w:eastAsia="en-US"/>
        </w:rPr>
        <w:t xml:space="preserve">significantly </w:t>
      </w:r>
      <w:r w:rsidRPr="00060B29">
        <w:rPr>
          <w:lang w:eastAsia="en-US"/>
        </w:rPr>
        <w:t>impact</w:t>
      </w:r>
      <w:r w:rsidR="00F77D66" w:rsidRPr="00060B29">
        <w:rPr>
          <w:lang w:eastAsia="en-US"/>
        </w:rPr>
        <w:t>ed</w:t>
      </w:r>
      <w:r w:rsidRPr="00060B29">
        <w:rPr>
          <w:lang w:eastAsia="en-US"/>
        </w:rPr>
        <w:t xml:space="preserve"> the ICER as the extrapolation increased the incremental life years gained </w:t>
      </w:r>
      <w:r w:rsidR="003B4758" w:rsidRPr="00060B29">
        <w:rPr>
          <w:lang w:eastAsia="en-US"/>
        </w:rPr>
        <w:t xml:space="preserve">(LYG) </w:t>
      </w:r>
      <w:r w:rsidRPr="00060B29">
        <w:rPr>
          <w:lang w:eastAsia="en-US"/>
        </w:rPr>
        <w:t>from 0.08 to 1.11 years.</w:t>
      </w:r>
      <w:r w:rsidR="00257091" w:rsidRPr="00060B29">
        <w:rPr>
          <w:lang w:eastAsia="en-US"/>
        </w:rPr>
        <w:t xml:space="preserve"> The PSCR noted that the overall survival of </w:t>
      </w:r>
      <w:r w:rsidR="00E25FD5" w:rsidRPr="00060B29">
        <w:rPr>
          <w:lang w:eastAsia="en-US"/>
        </w:rPr>
        <w:t xml:space="preserve">patients treated with nintedanib </w:t>
      </w:r>
      <w:r w:rsidR="00CE4C84" w:rsidRPr="00060B29">
        <w:rPr>
          <w:lang w:eastAsia="en-US"/>
        </w:rPr>
        <w:t>and/</w:t>
      </w:r>
      <w:r w:rsidR="00E25FD5" w:rsidRPr="00060B29">
        <w:rPr>
          <w:lang w:eastAsia="en-US"/>
        </w:rPr>
        <w:t>or pirfenidone</w:t>
      </w:r>
      <w:r w:rsidR="00CE4C84" w:rsidRPr="00060B29">
        <w:rPr>
          <w:lang w:eastAsia="en-US"/>
        </w:rPr>
        <w:t xml:space="preserve"> at 10 years</w:t>
      </w:r>
      <w:r w:rsidR="00E25FD5" w:rsidRPr="00060B29">
        <w:rPr>
          <w:lang w:eastAsia="en-US"/>
        </w:rPr>
        <w:t xml:space="preserve"> is between 10% and 20% while the maximum observed survival is approximately 20 years (Guenther et al., 2018). On this basis</w:t>
      </w:r>
      <w:r w:rsidR="006430AF" w:rsidRPr="00060B29">
        <w:rPr>
          <w:lang w:eastAsia="en-US"/>
        </w:rPr>
        <w:t>,</w:t>
      </w:r>
      <w:r w:rsidR="00E25FD5" w:rsidRPr="00060B29">
        <w:rPr>
          <w:lang w:eastAsia="en-US"/>
        </w:rPr>
        <w:t xml:space="preserve"> the PSCR considered that a time horizon of 15 years is reasonable. </w:t>
      </w:r>
      <w:r w:rsidR="0076538F" w:rsidRPr="00060B29">
        <w:rPr>
          <w:lang w:eastAsia="en-US"/>
        </w:rPr>
        <w:t>The ESC considered that the main issue around the time horizon was the extrapolation of</w:t>
      </w:r>
      <w:r w:rsidR="0035612D" w:rsidRPr="00060B29">
        <w:rPr>
          <w:lang w:eastAsia="en-US"/>
        </w:rPr>
        <w:t xml:space="preserve"> a</w:t>
      </w:r>
      <w:r w:rsidR="0076538F" w:rsidRPr="00060B29">
        <w:rPr>
          <w:lang w:eastAsia="en-US"/>
        </w:rPr>
        <w:t xml:space="preserve"> </w:t>
      </w:r>
      <w:r w:rsidR="0035612D" w:rsidRPr="00060B29">
        <w:rPr>
          <w:lang w:eastAsia="en-US"/>
        </w:rPr>
        <w:t>non-significant overall survival benefit over its duration</w:t>
      </w:r>
      <w:r w:rsidR="0009439E" w:rsidRPr="00060B29">
        <w:rPr>
          <w:lang w:eastAsia="en-US"/>
        </w:rPr>
        <w:t>,</w:t>
      </w:r>
      <w:r w:rsidR="0035612D" w:rsidRPr="00060B29">
        <w:rPr>
          <w:lang w:eastAsia="en-US"/>
        </w:rPr>
        <w:t xml:space="preserve"> which adds substantial uncertainty to the model.</w:t>
      </w:r>
      <w:r w:rsidR="009E3BAC" w:rsidRPr="00060B29">
        <w:rPr>
          <w:lang w:eastAsia="en-US"/>
        </w:rPr>
        <w:t xml:space="preserve"> </w:t>
      </w:r>
      <w:r w:rsidR="006626D7" w:rsidRPr="00060B29">
        <w:rPr>
          <w:lang w:eastAsia="en-US"/>
        </w:rPr>
        <w:t xml:space="preserve">The </w:t>
      </w:r>
      <w:r w:rsidR="00F91E37" w:rsidRPr="00060B29">
        <w:rPr>
          <w:lang w:eastAsia="en-US"/>
        </w:rPr>
        <w:t xml:space="preserve">PBAC </w:t>
      </w:r>
      <w:r w:rsidR="006626D7" w:rsidRPr="00060B29">
        <w:rPr>
          <w:lang w:eastAsia="en-US"/>
        </w:rPr>
        <w:t xml:space="preserve">noted that </w:t>
      </w:r>
      <w:r w:rsidR="00896363" w:rsidRPr="00060B29">
        <w:rPr>
          <w:lang w:eastAsia="en-US"/>
        </w:rPr>
        <w:t>the ICER was not sensitive to changes in the time horizon to between 10 and 20 years (see Table 12)</w:t>
      </w:r>
      <w:r w:rsidR="00CD0E25" w:rsidRPr="00060B29">
        <w:rPr>
          <w:lang w:eastAsia="en-US"/>
        </w:rPr>
        <w:t>.</w:t>
      </w:r>
      <w:r w:rsidR="00896363" w:rsidRPr="00060B29">
        <w:rPr>
          <w:lang w:eastAsia="en-US"/>
        </w:rPr>
        <w:t xml:space="preserve"> </w:t>
      </w:r>
    </w:p>
    <w:p w:rsidR="00207205" w:rsidRPr="00060B29" w:rsidRDefault="00207205" w:rsidP="00B15687">
      <w:pPr>
        <w:pStyle w:val="3-BodyText"/>
        <w:rPr>
          <w:lang w:eastAsia="en-US"/>
        </w:rPr>
      </w:pPr>
      <w:r w:rsidRPr="00060B29">
        <w:rPr>
          <w:lang w:eastAsia="en-US"/>
        </w:rPr>
        <w:t>The submission claimed that the slope of the modelled survival curve is virtually identical to that observed in Jo et al. (2017), which supported the selection of the Weibull distribution to extrapolate OS. Jo et al. (2017) used the Australian IPF registry (AIPFR) data consisting of patients using anti-fibrotics (n = 146) and no anti-fibrotics (n= 501). The study included a median follow-up of two years (range 6 months to 4.5 years). At 4.5 years, the OS for no anti-fibrotics was nearly 45% in Jo et al (2017). The ESC noted that</w:t>
      </w:r>
      <w:r w:rsidR="003369DA" w:rsidRPr="00060B29">
        <w:rPr>
          <w:lang w:eastAsia="en-US"/>
        </w:rPr>
        <w:t xml:space="preserve"> in contrast</w:t>
      </w:r>
      <w:r w:rsidRPr="00060B29">
        <w:rPr>
          <w:lang w:eastAsia="en-US"/>
        </w:rPr>
        <w:t xml:space="preserve">, the estimated OS for placebo + BSC in the submission was 10%. </w:t>
      </w:r>
      <w:r w:rsidR="003369DA" w:rsidRPr="00060B29">
        <w:rPr>
          <w:lang w:eastAsia="en-US"/>
        </w:rPr>
        <w:t xml:space="preserve">The ESC noted </w:t>
      </w:r>
      <w:r w:rsidR="005F0B28" w:rsidRPr="00060B29">
        <w:rPr>
          <w:lang w:eastAsia="en-US"/>
        </w:rPr>
        <w:t xml:space="preserve">the </w:t>
      </w:r>
      <w:r w:rsidR="003369DA" w:rsidRPr="00060B29">
        <w:rPr>
          <w:lang w:eastAsia="en-US"/>
        </w:rPr>
        <w:t>AIC and BIC statistics between different p</w:t>
      </w:r>
      <w:r w:rsidR="005F0B28" w:rsidRPr="00060B29">
        <w:rPr>
          <w:lang w:eastAsia="en-US"/>
        </w:rPr>
        <w:t>arametric extrapolations were similar</w:t>
      </w:r>
      <w:r w:rsidR="00301C3E" w:rsidRPr="00060B29">
        <w:rPr>
          <w:lang w:eastAsia="en-US"/>
        </w:rPr>
        <w:t xml:space="preserve"> and considered that the most suitable extrapolation function for OS was not entirely clear. </w:t>
      </w:r>
      <w:r w:rsidR="000451CE" w:rsidRPr="00060B29">
        <w:rPr>
          <w:lang w:eastAsia="en-US"/>
        </w:rPr>
        <w:t xml:space="preserve">Overall, the </w:t>
      </w:r>
      <w:r w:rsidR="00CB0F10" w:rsidRPr="00060B29">
        <w:rPr>
          <w:lang w:eastAsia="en-US"/>
        </w:rPr>
        <w:t>ESC considered it was uncertain whether long term survival is accurately estimated by the economic model.</w:t>
      </w:r>
      <w:r w:rsidR="00334656">
        <w:rPr>
          <w:lang w:eastAsia="en-US"/>
        </w:rPr>
        <w:t xml:space="preserve"> The pre-PBAC Response argued that the modelled OS was comparable </w:t>
      </w:r>
      <w:r w:rsidR="00334656">
        <w:t>with the survival estimates for nintedanib and placebo in the published literature.</w:t>
      </w:r>
    </w:p>
    <w:p w:rsidR="00975110" w:rsidRPr="00060B29" w:rsidRDefault="00975110" w:rsidP="00B15687">
      <w:pPr>
        <w:pStyle w:val="3-BodyText"/>
        <w:rPr>
          <w:lang w:eastAsia="en-US"/>
        </w:rPr>
      </w:pPr>
      <w:r w:rsidRPr="00060B29">
        <w:rPr>
          <w:lang w:eastAsia="en-US"/>
        </w:rPr>
        <w:t xml:space="preserve">The submission performed scenario and univariate sensitivity analyses and the </w:t>
      </w:r>
      <w:r w:rsidR="00931028" w:rsidRPr="00060B29">
        <w:rPr>
          <w:lang w:eastAsia="en-US"/>
        </w:rPr>
        <w:t>results are summarised in Table</w:t>
      </w:r>
      <w:r w:rsidRPr="00060B29">
        <w:rPr>
          <w:lang w:eastAsia="en-US"/>
        </w:rPr>
        <w:t xml:space="preserve"> 12</w:t>
      </w:r>
      <w:r w:rsidR="00931028" w:rsidRPr="00060B29">
        <w:rPr>
          <w:lang w:eastAsia="en-US"/>
        </w:rPr>
        <w:t xml:space="preserve"> </w:t>
      </w:r>
      <w:r w:rsidRPr="00060B29">
        <w:rPr>
          <w:lang w:eastAsia="en-US"/>
        </w:rPr>
        <w:t xml:space="preserve">and Figure </w:t>
      </w:r>
      <w:r w:rsidR="00EE1F5C" w:rsidRPr="00060B29">
        <w:rPr>
          <w:lang w:eastAsia="en-US"/>
        </w:rPr>
        <w:t>5</w:t>
      </w:r>
      <w:r w:rsidRPr="00060B29">
        <w:rPr>
          <w:lang w:eastAsia="en-US"/>
        </w:rPr>
        <w:t>. Overall, the ICER was most sensitive to the assumptions related to OS convergence, the choice of extrapolation function for OS, and the regression method used to model lung function decline (FVC%Pred).</w:t>
      </w:r>
    </w:p>
    <w:p w:rsidR="00652C32" w:rsidRPr="00060B29" w:rsidRDefault="00A44532" w:rsidP="00B15687">
      <w:pPr>
        <w:pStyle w:val="3-BodyText"/>
        <w:rPr>
          <w:lang w:eastAsia="en-US"/>
        </w:rPr>
      </w:pPr>
      <w:r w:rsidRPr="00060B29">
        <w:rPr>
          <w:lang w:eastAsia="en-US"/>
        </w:rPr>
        <w:t xml:space="preserve">The modelled </w:t>
      </w:r>
      <w:r w:rsidR="006574E7" w:rsidRPr="00060B29">
        <w:rPr>
          <w:lang w:eastAsia="en-US"/>
        </w:rPr>
        <w:t>OS estimates</w:t>
      </w:r>
      <w:r w:rsidRPr="00060B29">
        <w:rPr>
          <w:lang w:eastAsia="en-US"/>
        </w:rPr>
        <w:t xml:space="preserve"> for both nintedanib and placebo + BSC included</w:t>
      </w:r>
      <w:r w:rsidR="00652C32" w:rsidRPr="00060B29">
        <w:rPr>
          <w:lang w:eastAsia="en-US"/>
        </w:rPr>
        <w:t xml:space="preserve"> additional mortality resulting from</w:t>
      </w:r>
      <w:r w:rsidR="006574E7" w:rsidRPr="00060B29">
        <w:rPr>
          <w:lang w:eastAsia="en-US"/>
        </w:rPr>
        <w:t xml:space="preserve"> the assumption of</w:t>
      </w:r>
      <w:r w:rsidR="00652C32" w:rsidRPr="00060B29">
        <w:rPr>
          <w:lang w:eastAsia="en-US"/>
        </w:rPr>
        <w:t xml:space="preserve"> deaths occurring when a patient’s FVC%Pred declined to 40</w:t>
      </w:r>
      <w:r w:rsidRPr="00060B29">
        <w:rPr>
          <w:lang w:eastAsia="en-US"/>
        </w:rPr>
        <w:t>% or less (</w:t>
      </w:r>
      <w:r w:rsidR="00EE1F5C" w:rsidRPr="00060B29">
        <w:rPr>
          <w:lang w:eastAsia="en-US"/>
        </w:rPr>
        <w:t>Figure 4</w:t>
      </w:r>
      <w:r w:rsidRPr="00060B29">
        <w:rPr>
          <w:lang w:eastAsia="en-US"/>
        </w:rPr>
        <w:t>)</w:t>
      </w:r>
      <w:r w:rsidR="00652C32" w:rsidRPr="00060B29">
        <w:rPr>
          <w:lang w:eastAsia="en-US"/>
        </w:rPr>
        <w:t xml:space="preserve">. </w:t>
      </w:r>
      <w:r w:rsidR="006574E7" w:rsidRPr="00060B29">
        <w:rPr>
          <w:lang w:eastAsia="en-US"/>
        </w:rPr>
        <w:t>This assumption lowered the survival of the modelled OS estimates</w:t>
      </w:r>
      <w:r w:rsidR="00652C32" w:rsidRPr="00060B29">
        <w:rPr>
          <w:lang w:eastAsia="en-US"/>
        </w:rPr>
        <w:t>. The submission claimed that incorporating the assumption into the model improved the external validity of the modelled OS estimates.</w:t>
      </w:r>
      <w:r w:rsidR="0064149D" w:rsidRPr="00060B29">
        <w:rPr>
          <w:lang w:eastAsia="en-US"/>
        </w:rPr>
        <w:t xml:space="preserve"> As less than 10% of the nintedanib patients survive at 10 years, the assumption of OS convergence at 180 months</w:t>
      </w:r>
      <w:r w:rsidR="00A22721">
        <w:rPr>
          <w:lang w:eastAsia="en-US"/>
        </w:rPr>
        <w:t xml:space="preserve"> (15 years)</w:t>
      </w:r>
      <w:r w:rsidR="0064149D" w:rsidRPr="00060B29">
        <w:rPr>
          <w:lang w:eastAsia="en-US"/>
        </w:rPr>
        <w:t xml:space="preserve"> did not have a substantial impact on the ICER. </w:t>
      </w:r>
    </w:p>
    <w:p w:rsidR="00652C32" w:rsidRPr="00060B29" w:rsidRDefault="00652C32" w:rsidP="00FD38BF">
      <w:pPr>
        <w:keepNext/>
        <w:jc w:val="left"/>
        <w:rPr>
          <w:rFonts w:ascii="Arial Narrow" w:hAnsi="Arial Narrow" w:cs="Times New Roman"/>
          <w:b/>
          <w:bCs/>
          <w:sz w:val="20"/>
          <w:lang w:eastAsia="en-US"/>
        </w:rPr>
      </w:pPr>
      <w:bookmarkStart w:id="33" w:name="_Ref52804872"/>
      <w:bookmarkStart w:id="34" w:name="_Toc55235476"/>
      <w:r w:rsidRPr="00060B29">
        <w:rPr>
          <w:rFonts w:ascii="Arial Narrow" w:hAnsi="Arial Narrow" w:cs="Times New Roman"/>
          <w:b/>
          <w:bCs/>
          <w:sz w:val="20"/>
          <w:lang w:eastAsia="en-US"/>
        </w:rPr>
        <w:t xml:space="preserve">Figure </w:t>
      </w:r>
      <w:bookmarkEnd w:id="33"/>
      <w:r w:rsidR="00EE1F5C" w:rsidRPr="00060B29">
        <w:rPr>
          <w:rFonts w:ascii="Arial Narrow" w:hAnsi="Arial Narrow" w:cs="Times New Roman"/>
          <w:b/>
          <w:bCs/>
          <w:sz w:val="20"/>
          <w:lang w:eastAsia="en-US"/>
        </w:rPr>
        <w:t>4</w:t>
      </w:r>
      <w:r w:rsidRPr="00060B29">
        <w:rPr>
          <w:rFonts w:ascii="Arial Narrow" w:hAnsi="Arial Narrow" w:cs="Times New Roman"/>
          <w:b/>
          <w:bCs/>
          <w:sz w:val="20"/>
          <w:lang w:eastAsia="en-US"/>
        </w:rPr>
        <w:t>: O</w:t>
      </w:r>
      <w:r w:rsidR="00A44532" w:rsidRPr="00060B29">
        <w:rPr>
          <w:rFonts w:ascii="Arial Narrow" w:hAnsi="Arial Narrow" w:cs="Times New Roman"/>
          <w:b/>
          <w:bCs/>
          <w:sz w:val="20"/>
          <w:lang w:eastAsia="en-US"/>
        </w:rPr>
        <w:t xml:space="preserve">verall survival </w:t>
      </w:r>
      <w:r w:rsidRPr="00060B29">
        <w:rPr>
          <w:rFonts w:ascii="Arial Narrow" w:hAnsi="Arial Narrow" w:cs="Times New Roman"/>
          <w:b/>
          <w:bCs/>
          <w:sz w:val="20"/>
          <w:lang w:eastAsia="en-US"/>
        </w:rPr>
        <w:t>modelled with and without FVC%Pred &lt; 40% mortality.</w:t>
      </w:r>
      <w:bookmarkEnd w:id="34"/>
    </w:p>
    <w:p w:rsidR="00652C32" w:rsidRPr="00060B29" w:rsidRDefault="00652C32" w:rsidP="00FD38BF">
      <w:pPr>
        <w:keepNext/>
        <w:jc w:val="left"/>
        <w:rPr>
          <w:rFonts w:ascii="Arial Narrow" w:hAnsi="Arial Narrow" w:cs="Times New Roman"/>
          <w:b/>
          <w:bCs/>
          <w:sz w:val="20"/>
          <w:lang w:eastAsia="en-US"/>
        </w:rPr>
      </w:pPr>
      <w:r w:rsidRPr="00060B29">
        <w:rPr>
          <w:rFonts w:cs="Times New Roman"/>
          <w:b/>
          <w:bCs/>
          <w:noProof/>
          <w:sz w:val="22"/>
          <w:szCs w:val="20"/>
        </w:rPr>
        <w:drawing>
          <wp:inline distT="0" distB="0" distL="0" distR="0" wp14:anchorId="306FF855" wp14:editId="5296AD12">
            <wp:extent cx="5264150" cy="2590443"/>
            <wp:effectExtent l="0" t="0" r="0" b="635"/>
            <wp:docPr id="34" name="Picture 34" title="Figure 4: Overall survival modelled with and without FVC%Pred &lt; 40%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9442" cy="2593047"/>
                    </a:xfrm>
                    <a:prstGeom prst="rect">
                      <a:avLst/>
                    </a:prstGeom>
                    <a:noFill/>
                    <a:ln>
                      <a:noFill/>
                    </a:ln>
                  </pic:spPr>
                </pic:pic>
              </a:graphicData>
            </a:graphic>
          </wp:inline>
        </w:drawing>
      </w:r>
    </w:p>
    <w:p w:rsidR="00A44532" w:rsidRPr="00060B29" w:rsidRDefault="00A44532" w:rsidP="00FD38BF">
      <w:pPr>
        <w:keepNext/>
        <w:spacing w:after="120"/>
        <w:contextualSpacing/>
        <w:rPr>
          <w:rFonts w:ascii="Arial Narrow" w:hAnsi="Arial Narrow"/>
          <w:snapToGrid w:val="0"/>
          <w:sz w:val="18"/>
          <w:szCs w:val="22"/>
          <w:lang w:eastAsia="en-US"/>
        </w:rPr>
      </w:pPr>
      <w:r w:rsidRPr="00060B29">
        <w:rPr>
          <w:rFonts w:ascii="Arial Narrow" w:hAnsi="Arial Narrow"/>
          <w:snapToGrid w:val="0"/>
          <w:sz w:val="18"/>
          <w:szCs w:val="22"/>
          <w:lang w:eastAsia="en-US"/>
        </w:rPr>
        <w:t>Source: Figure 3.17, p205 of the submission</w:t>
      </w:r>
    </w:p>
    <w:p w:rsidR="00A44532" w:rsidRPr="00060B29" w:rsidRDefault="00A44532" w:rsidP="00FD38BF">
      <w:pPr>
        <w:keepNext/>
        <w:spacing w:after="120"/>
        <w:contextualSpacing/>
        <w:rPr>
          <w:rFonts w:ascii="Arial Narrow" w:hAnsi="Arial Narrow"/>
          <w:snapToGrid w:val="0"/>
          <w:sz w:val="18"/>
          <w:szCs w:val="22"/>
          <w:lang w:eastAsia="en-US"/>
        </w:rPr>
      </w:pPr>
      <w:r w:rsidRPr="00060B29">
        <w:rPr>
          <w:rFonts w:ascii="Arial Narrow" w:hAnsi="Arial Narrow"/>
          <w:snapToGrid w:val="0"/>
          <w:sz w:val="18"/>
          <w:szCs w:val="22"/>
          <w:lang w:eastAsia="en-US"/>
        </w:rPr>
        <w:t>FVC%Pred= forced vital capacity % predicted</w:t>
      </w:r>
    </w:p>
    <w:p w:rsidR="008B2811" w:rsidRPr="00060B29" w:rsidRDefault="00975110" w:rsidP="00AC0219">
      <w:pPr>
        <w:pStyle w:val="3-BodyText"/>
        <w:rPr>
          <w:lang w:eastAsia="en-US"/>
        </w:rPr>
      </w:pPr>
      <w:r w:rsidRPr="00060B29">
        <w:rPr>
          <w:lang w:eastAsia="en-US"/>
        </w:rPr>
        <w:t>Sensitivity analys</w:t>
      </w:r>
      <w:r w:rsidR="00D54E77" w:rsidRPr="00060B29">
        <w:rPr>
          <w:lang w:eastAsia="en-US"/>
        </w:rPr>
        <w:t>e</w:t>
      </w:r>
      <w:r w:rsidRPr="00060B29">
        <w:rPr>
          <w:lang w:eastAsia="en-US"/>
        </w:rPr>
        <w:t>s conducted during the evaluation found that the ICER was sensitive to the choice of extrapolation functions</w:t>
      </w:r>
      <w:r w:rsidR="008B2811" w:rsidRPr="00060B29">
        <w:rPr>
          <w:lang w:eastAsia="en-US"/>
        </w:rPr>
        <w:t>, reflecting the short duration that overall survival Kaplan-Meir data was available</w:t>
      </w:r>
      <w:r w:rsidR="00257091" w:rsidRPr="00060B29">
        <w:rPr>
          <w:lang w:eastAsia="en-US"/>
        </w:rPr>
        <w:t xml:space="preserve"> for the trial</w:t>
      </w:r>
      <w:r w:rsidRPr="00060B29">
        <w:rPr>
          <w:lang w:eastAsia="en-US"/>
        </w:rPr>
        <w:t xml:space="preserve">. </w:t>
      </w:r>
      <w:r w:rsidR="009749EB" w:rsidRPr="00060B29">
        <w:rPr>
          <w:lang w:eastAsia="en-US"/>
        </w:rPr>
        <w:t>Applying</w:t>
      </w:r>
      <w:r w:rsidRPr="00060B29">
        <w:rPr>
          <w:lang w:eastAsia="en-US"/>
        </w:rPr>
        <w:t xml:space="preserve"> exponential, Gompertz, log</w:t>
      </w:r>
      <w:r w:rsidR="006D101B" w:rsidRPr="00060B29">
        <w:rPr>
          <w:lang w:eastAsia="en-US"/>
        </w:rPr>
        <w:t>-</w:t>
      </w:r>
      <w:r w:rsidRPr="00060B29">
        <w:rPr>
          <w:lang w:eastAsia="en-US"/>
        </w:rPr>
        <w:t>logistic</w:t>
      </w:r>
      <w:r w:rsidR="00762E46" w:rsidRPr="00060B29">
        <w:rPr>
          <w:lang w:eastAsia="en-US"/>
        </w:rPr>
        <w:t xml:space="preserve"> and</w:t>
      </w:r>
      <w:r w:rsidRPr="00060B29">
        <w:rPr>
          <w:lang w:eastAsia="en-US"/>
        </w:rPr>
        <w:t xml:space="preserve"> lognormal independent functions for both nintedanib and placebo </w:t>
      </w:r>
      <w:r w:rsidR="006F4D6B" w:rsidRPr="00060B29">
        <w:rPr>
          <w:lang w:eastAsia="en-US"/>
        </w:rPr>
        <w:t xml:space="preserve">+ BSC </w:t>
      </w:r>
      <w:r w:rsidRPr="00060B29">
        <w:rPr>
          <w:lang w:eastAsia="en-US"/>
        </w:rPr>
        <w:t xml:space="preserve">increased the ICER to </w:t>
      </w:r>
      <w:r w:rsidR="00AC0219" w:rsidRPr="00AC0219">
        <w:rPr>
          <w:iCs/>
          <w:lang w:eastAsia="en-US"/>
        </w:rPr>
        <w:t>$115,000 to &lt; $135,000</w:t>
      </w:r>
      <w:r w:rsidR="00007927" w:rsidRPr="00060B29">
        <w:rPr>
          <w:szCs w:val="22"/>
          <w:lang w:eastAsia="en-US"/>
        </w:rPr>
        <w:t xml:space="preserve">, </w:t>
      </w:r>
      <w:r w:rsidR="00AC0219">
        <w:rPr>
          <w:szCs w:val="22"/>
          <w:lang w:eastAsia="en-US"/>
        </w:rPr>
        <w:t>$55,000 to &lt; $75,000</w:t>
      </w:r>
      <w:r w:rsidR="00007927" w:rsidRPr="00060B29">
        <w:rPr>
          <w:szCs w:val="22"/>
          <w:lang w:eastAsia="en-US"/>
        </w:rPr>
        <w:t xml:space="preserve">, </w:t>
      </w:r>
      <w:r w:rsidR="00AC0219" w:rsidRPr="00AC0219">
        <w:rPr>
          <w:szCs w:val="22"/>
          <w:lang w:eastAsia="en-US"/>
        </w:rPr>
        <w:t xml:space="preserve">$55,000 to &lt; $75,000 </w:t>
      </w:r>
      <w:r w:rsidR="00007927" w:rsidRPr="00060B29">
        <w:rPr>
          <w:szCs w:val="22"/>
          <w:lang w:eastAsia="en-US"/>
        </w:rPr>
        <w:t xml:space="preserve">and </w:t>
      </w:r>
      <w:r w:rsidR="00AC0219" w:rsidRPr="00AC0219">
        <w:rPr>
          <w:szCs w:val="22"/>
          <w:lang w:eastAsia="en-US"/>
        </w:rPr>
        <w:t>$75,000 to &lt; $95,000</w:t>
      </w:r>
      <w:r w:rsidR="00AC0219">
        <w:rPr>
          <w:szCs w:val="22"/>
          <w:lang w:eastAsia="en-US"/>
        </w:rPr>
        <w:t xml:space="preserve"> </w:t>
      </w:r>
      <w:r w:rsidRPr="00060B29">
        <w:rPr>
          <w:lang w:eastAsia="en-US"/>
        </w:rPr>
        <w:t>per QALY gained, respectively.</w:t>
      </w:r>
      <w:r w:rsidR="00F77D66" w:rsidRPr="00060B29">
        <w:rPr>
          <w:lang w:eastAsia="en-US"/>
        </w:rPr>
        <w:t xml:space="preserve"> </w:t>
      </w:r>
    </w:p>
    <w:p w:rsidR="00B14CCD" w:rsidRPr="00060B29" w:rsidRDefault="00B14CCD" w:rsidP="00AC0219">
      <w:pPr>
        <w:pStyle w:val="3-BodyText"/>
        <w:rPr>
          <w:lang w:eastAsia="en-US"/>
        </w:rPr>
      </w:pPr>
      <w:r w:rsidRPr="00060B29">
        <w:rPr>
          <w:lang w:eastAsia="en-US"/>
        </w:rPr>
        <w:t xml:space="preserve">The ESC considered the base case ICER of </w:t>
      </w:r>
      <w:r w:rsidR="00AC0219">
        <w:rPr>
          <w:lang w:eastAsia="en-US"/>
        </w:rPr>
        <w:t>$55,000 to &lt; $75,000</w:t>
      </w:r>
      <w:r w:rsidRPr="00060B29">
        <w:rPr>
          <w:lang w:eastAsia="en-US"/>
        </w:rPr>
        <w:t>/QALY was uncertain and this uncertainty was largely driven by the uncertainty around the extrapolation of survival outlined above</w:t>
      </w:r>
      <w:r w:rsidR="00060B29" w:rsidRPr="00060B29">
        <w:rPr>
          <w:lang w:eastAsia="en-US"/>
        </w:rPr>
        <w:t xml:space="preserve">. </w:t>
      </w:r>
    </w:p>
    <w:p w:rsidR="00CD0E25" w:rsidRPr="00060B29" w:rsidRDefault="004C376F" w:rsidP="00AC0219">
      <w:pPr>
        <w:pStyle w:val="3-BodyText"/>
        <w:rPr>
          <w:lang w:eastAsia="en-US"/>
        </w:rPr>
      </w:pPr>
      <w:r w:rsidRPr="00060B29">
        <w:rPr>
          <w:lang w:eastAsia="en-US"/>
        </w:rPr>
        <w:t xml:space="preserve">The PSCR provided a sensitivity analysis of the convergence of the acute exacerbations hazard which assumed convergence starts at 25 months and full convergence is reached at 180 months. The PSCR noted that when these changes are made to the economic model, the ICER increases marginally to </w:t>
      </w:r>
      <w:r w:rsidR="00AC0219" w:rsidRPr="00AC0219">
        <w:rPr>
          <w:lang w:eastAsia="en-US"/>
        </w:rPr>
        <w:t>$55,000 t</w:t>
      </w:r>
      <w:r w:rsidR="00AC0219">
        <w:rPr>
          <w:lang w:eastAsia="en-US"/>
        </w:rPr>
        <w:t>o &lt; $75,000</w:t>
      </w:r>
      <w:r w:rsidRPr="00060B29">
        <w:rPr>
          <w:lang w:eastAsia="en-US"/>
        </w:rPr>
        <w:t>/QALY gained.</w:t>
      </w:r>
      <w:r w:rsidR="00521F56">
        <w:rPr>
          <w:lang w:eastAsia="en-US"/>
        </w:rPr>
        <w:t xml:space="preserve"> The PBAC noted convergence of the OS curves over the same period increased the ICER to </w:t>
      </w:r>
      <w:r w:rsidR="00AC0219">
        <w:rPr>
          <w:lang w:eastAsia="en-US"/>
        </w:rPr>
        <w:t>$55,000 to &lt; $75,000</w:t>
      </w:r>
      <w:r w:rsidR="00521F56">
        <w:rPr>
          <w:lang w:eastAsia="en-US"/>
        </w:rPr>
        <w:t xml:space="preserve">/QALY gained. </w:t>
      </w:r>
    </w:p>
    <w:p w:rsidR="00B64215" w:rsidRPr="00060B29" w:rsidRDefault="00B64215" w:rsidP="00B15687">
      <w:pPr>
        <w:pStyle w:val="3-BodyText"/>
        <w:rPr>
          <w:lang w:eastAsia="en-US"/>
        </w:rPr>
      </w:pPr>
      <w:r w:rsidRPr="00060B29">
        <w:rPr>
          <w:lang w:eastAsia="en-US"/>
        </w:rPr>
        <w:t>The PBAC considered</w:t>
      </w:r>
      <w:r w:rsidR="00C94121" w:rsidRPr="00060B29">
        <w:rPr>
          <w:lang w:eastAsia="en-US"/>
        </w:rPr>
        <w:t xml:space="preserve"> that </w:t>
      </w:r>
      <w:r w:rsidRPr="00060B29">
        <w:rPr>
          <w:lang w:eastAsia="en-US"/>
        </w:rPr>
        <w:t>convergence</w:t>
      </w:r>
      <w:r w:rsidR="00C94121" w:rsidRPr="00060B29">
        <w:rPr>
          <w:lang w:eastAsia="en-US"/>
        </w:rPr>
        <w:t xml:space="preserve"> of </w:t>
      </w:r>
      <w:r w:rsidR="00521F56">
        <w:rPr>
          <w:lang w:eastAsia="en-US"/>
        </w:rPr>
        <w:t xml:space="preserve">the </w:t>
      </w:r>
      <w:r w:rsidR="00C94121" w:rsidRPr="00060B29">
        <w:rPr>
          <w:lang w:eastAsia="en-US"/>
        </w:rPr>
        <w:t>OS</w:t>
      </w:r>
      <w:r w:rsidR="00521F56">
        <w:rPr>
          <w:lang w:eastAsia="en-US"/>
        </w:rPr>
        <w:t xml:space="preserve"> curves</w:t>
      </w:r>
      <w:r w:rsidR="00C94121" w:rsidRPr="00060B29">
        <w:rPr>
          <w:lang w:eastAsia="en-US"/>
        </w:rPr>
        <w:t xml:space="preserve"> </w:t>
      </w:r>
      <w:r w:rsidR="00521F56">
        <w:rPr>
          <w:lang w:eastAsia="en-US"/>
        </w:rPr>
        <w:t>was</w:t>
      </w:r>
      <w:r w:rsidR="00C94121" w:rsidRPr="00060B29">
        <w:rPr>
          <w:lang w:eastAsia="en-US"/>
        </w:rPr>
        <w:t xml:space="preserve"> appropriate given the high discontinuation rates among patients treated with nintedanib and given nintedanib does not stop disease progression</w:t>
      </w:r>
      <w:r w:rsidR="00060B29" w:rsidRPr="00060B29">
        <w:rPr>
          <w:lang w:eastAsia="en-US"/>
        </w:rPr>
        <w:t xml:space="preserve">. </w:t>
      </w:r>
    </w:p>
    <w:p w:rsidR="00975110" w:rsidRPr="00060B29" w:rsidRDefault="00F77D66" w:rsidP="00B15687">
      <w:pPr>
        <w:pStyle w:val="3-BodyText"/>
        <w:rPr>
          <w:lang w:eastAsia="en-US"/>
        </w:rPr>
      </w:pPr>
      <w:r w:rsidRPr="00060B29">
        <w:rPr>
          <w:lang w:eastAsia="en-US"/>
        </w:rPr>
        <w:t>Results of the scenario and sensitivity analys</w:t>
      </w:r>
      <w:r w:rsidR="00D54E77" w:rsidRPr="00060B29">
        <w:rPr>
          <w:lang w:eastAsia="en-US"/>
        </w:rPr>
        <w:t>e</w:t>
      </w:r>
      <w:r w:rsidRPr="00060B29">
        <w:rPr>
          <w:lang w:eastAsia="en-US"/>
        </w:rPr>
        <w:t>s are presented in Table 12.</w:t>
      </w:r>
    </w:p>
    <w:p w:rsidR="00F9662D" w:rsidRPr="00060B29" w:rsidRDefault="00F9662D" w:rsidP="00FD38BF">
      <w:pPr>
        <w:keepNext/>
        <w:keepLines/>
        <w:jc w:val="left"/>
        <w:rPr>
          <w:rFonts w:ascii="Arial Narrow" w:eastAsia="Calibri" w:hAnsi="Arial Narrow" w:cs="Times New Roman"/>
          <w:b/>
          <w:bCs/>
          <w:sz w:val="20"/>
          <w:lang w:eastAsia="en-US"/>
        </w:rPr>
      </w:pPr>
      <w:r w:rsidRPr="00060B29">
        <w:rPr>
          <w:rFonts w:ascii="Arial Narrow" w:eastAsia="Calibri" w:hAnsi="Arial Narrow" w:cs="Times New Roman"/>
          <w:b/>
          <w:bCs/>
          <w:sz w:val="20"/>
          <w:lang w:eastAsia="en-US"/>
        </w:rPr>
        <w:t xml:space="preserve">Table </w:t>
      </w:r>
      <w:r w:rsidR="00931028" w:rsidRPr="00060B29">
        <w:rPr>
          <w:rFonts w:ascii="Arial Narrow" w:eastAsia="Calibri" w:hAnsi="Arial Narrow" w:cs="Times New Roman"/>
          <w:b/>
          <w:bCs/>
          <w:sz w:val="20"/>
          <w:lang w:eastAsia="en-US"/>
        </w:rPr>
        <w:t>12</w:t>
      </w:r>
      <w:r w:rsidRPr="00060B29">
        <w:rPr>
          <w:rFonts w:ascii="Arial Narrow" w:eastAsia="Calibri" w:hAnsi="Arial Narrow" w:cs="Times New Roman"/>
          <w:b/>
          <w:bCs/>
          <w:sz w:val="20"/>
          <w:lang w:eastAsia="en-US"/>
        </w:rPr>
        <w:t xml:space="preserve">: Results of </w:t>
      </w:r>
      <w:r w:rsidR="007F4704" w:rsidRPr="00060B29">
        <w:rPr>
          <w:rFonts w:ascii="Arial Narrow" w:eastAsia="Calibri" w:hAnsi="Arial Narrow" w:cs="Times New Roman"/>
          <w:b/>
          <w:bCs/>
          <w:sz w:val="20"/>
          <w:lang w:eastAsia="en-US"/>
        </w:rPr>
        <w:t xml:space="preserve">scenario and </w:t>
      </w:r>
      <w:r w:rsidRPr="00060B29">
        <w:rPr>
          <w:rFonts w:ascii="Arial Narrow" w:eastAsia="Calibri" w:hAnsi="Arial Narrow" w:cs="Times New Roman"/>
          <w:b/>
          <w:bCs/>
          <w:sz w:val="20"/>
          <w:lang w:eastAsia="en-US"/>
        </w:rPr>
        <w:t>univariate sensitivity analyses</w:t>
      </w:r>
    </w:p>
    <w:tbl>
      <w:tblPr>
        <w:tblW w:w="5000" w:type="pct"/>
        <w:tblLook w:val="04A0" w:firstRow="1" w:lastRow="0" w:firstColumn="1" w:lastColumn="0" w:noHBand="0" w:noVBand="1"/>
      </w:tblPr>
      <w:tblGrid>
        <w:gridCol w:w="4393"/>
        <w:gridCol w:w="1700"/>
        <w:gridCol w:w="1417"/>
        <w:gridCol w:w="1506"/>
      </w:tblGrid>
      <w:tr w:rsidR="00DE1A9E" w:rsidRPr="00060B29" w:rsidTr="00DE1A9E">
        <w:trPr>
          <w:tblHeader/>
        </w:trPr>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eastAsia="Calibri" w:hAnsi="Arial Narrow" w:cs="Times New Roman"/>
                <w:b/>
                <w:sz w:val="20"/>
              </w:rPr>
            </w:pP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eastAsia="Calibri" w:hAnsi="Arial Narrow" w:cs="Times New Roman"/>
                <w:b/>
                <w:sz w:val="20"/>
              </w:rPr>
            </w:pPr>
            <w:r w:rsidRPr="00060B29">
              <w:rPr>
                <w:rFonts w:ascii="Arial Narrow" w:eastAsia="Calibri" w:hAnsi="Arial Narrow" w:cs="Times New Roman"/>
                <w:b/>
                <w:sz w:val="20"/>
              </w:rPr>
              <w:t>Incremental cost</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eastAsia="Calibri" w:hAnsi="Arial Narrow" w:cs="Times New Roman"/>
                <w:b/>
                <w:sz w:val="20"/>
              </w:rPr>
            </w:pPr>
            <w:r w:rsidRPr="00060B29">
              <w:rPr>
                <w:rFonts w:ascii="Arial Narrow" w:eastAsia="Calibri" w:hAnsi="Arial Narrow" w:cs="Times New Roman"/>
                <w:b/>
                <w:sz w:val="20"/>
              </w:rPr>
              <w:t>Incremental QALY</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eastAsia="Calibri" w:hAnsi="Arial Narrow" w:cs="Times New Roman"/>
                <w:b/>
                <w:sz w:val="20"/>
              </w:rPr>
            </w:pPr>
            <w:r w:rsidRPr="00060B29">
              <w:rPr>
                <w:rFonts w:ascii="Arial Narrow" w:eastAsia="Calibri" w:hAnsi="Arial Narrow" w:cs="Times New Roman"/>
                <w:b/>
                <w:sz w:val="20"/>
              </w:rPr>
              <w:t>ICER</w:t>
            </w:r>
          </w:p>
        </w:tc>
      </w:tr>
      <w:tr w:rsidR="00DE1A9E" w:rsidRPr="00060B29" w:rsidTr="00DE1A9E">
        <w:trPr>
          <w:trHeight w:val="58"/>
        </w:trPr>
        <w:tc>
          <w:tcPr>
            <w:tcW w:w="2436" w:type="pct"/>
            <w:tcBorders>
              <w:top w:val="single" w:sz="4" w:space="0" w:color="auto"/>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 xml:space="preserve">Base case </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
                <w:bCs/>
                <w:i/>
                <w:sz w:val="20"/>
                <w:szCs w:val="22"/>
                <w:lang w:eastAsia="en-US"/>
              </w:rPr>
            </w:pPr>
            <w:r w:rsidRPr="00060B29">
              <w:rPr>
                <w:rFonts w:ascii="Arial Narrow" w:hAnsi="Arial Narrow" w:cs="Times New Roman"/>
                <w:b/>
                <w:bCs/>
                <w:sz w:val="20"/>
                <w:szCs w:val="22"/>
                <w:lang w:eastAsia="en-US"/>
              </w:rPr>
              <w:t>$</w:t>
            </w:r>
            <w:r w:rsidR="006C3A17">
              <w:rPr>
                <w:rFonts w:ascii="Arial Narrow" w:hAnsi="Arial Narrow" w:cs="Times New Roman"/>
                <w:b/>
                <w:bCs/>
                <w:noProof/>
                <w:color w:val="000000"/>
                <w:sz w:val="20"/>
                <w:szCs w:val="22"/>
                <w:highlight w:val="black"/>
                <w:lang w:eastAsia="en-US"/>
              </w:rPr>
              <w:t>'''''''''''''''</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0.77</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
                <w:bCs/>
                <w:i/>
                <w:sz w:val="20"/>
                <w:szCs w:val="22"/>
                <w:lang w:eastAsia="en-US"/>
              </w:rPr>
            </w:pPr>
            <w:r w:rsidRPr="00060B29">
              <w:rPr>
                <w:rFonts w:ascii="Arial Narrow" w:hAnsi="Arial Narrow" w:cs="Times New Roman"/>
                <w:b/>
                <w:bCs/>
                <w:sz w:val="20"/>
                <w:szCs w:val="22"/>
                <w:lang w:eastAsia="en-US"/>
              </w:rPr>
              <w:t>$</w:t>
            </w:r>
            <w:r w:rsidR="006C3A17">
              <w:rPr>
                <w:rFonts w:ascii="Arial Narrow" w:hAnsi="Arial Narrow" w:cs="Times New Roman"/>
                <w:b/>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rsidTr="008F2EAA">
        <w:trPr>
          <w:trHeight w:val="122"/>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eastAsia="Calibri" w:hAnsi="Arial Narrow" w:cs="Times New Roman"/>
                <w:b/>
                <w:bCs/>
                <w:sz w:val="20"/>
                <w:szCs w:val="22"/>
                <w:lang w:eastAsia="en-US"/>
              </w:rPr>
              <w:t>Regression models</w:t>
            </w:r>
          </w:p>
        </w:tc>
      </w:tr>
      <w:tr w:rsidR="00DE1A9E" w:rsidRPr="00060B29" w:rsidTr="00DE1A9E">
        <w:tc>
          <w:tcPr>
            <w:tcW w:w="2436" w:type="pct"/>
            <w:tcBorders>
              <w:top w:val="single" w:sz="4" w:space="0" w:color="auto"/>
              <w:left w:val="single" w:sz="4" w:space="0" w:color="auto"/>
              <w:right w:val="single" w:sz="4" w:space="0" w:color="auto"/>
            </w:tcBorders>
            <w:shd w:val="clear" w:color="auto" w:fill="auto"/>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Utilities: Fixed effect model</w:t>
            </w:r>
          </w:p>
        </w:tc>
        <w:tc>
          <w:tcPr>
            <w:tcW w:w="943" w:type="pct"/>
            <w:tcBorders>
              <w:top w:val="single" w:sz="4" w:space="0" w:color="auto"/>
              <w:left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single" w:sz="4" w:space="0" w:color="auto"/>
              <w:left w:val="single" w:sz="4" w:space="0" w:color="auto"/>
              <w:right w:val="single" w:sz="4" w:space="0" w:color="auto"/>
            </w:tcBorders>
            <w:shd w:val="clear" w:color="auto" w:fill="auto"/>
            <w:vAlign w:val="center"/>
          </w:tcPr>
          <w:p w:rsidR="00DE1A9E" w:rsidRPr="006E6EA6" w:rsidRDefault="00DE1A9E" w:rsidP="006E6EA6">
            <w:pPr>
              <w:keepNext/>
              <w:keepLines/>
              <w:jc w:val="left"/>
              <w:rPr>
                <w:rFonts w:ascii="Arial Narrow" w:hAnsi="Arial Narrow" w:cs="Times New Roman"/>
                <w:bCs/>
                <w:sz w:val="20"/>
                <w:szCs w:val="22"/>
                <w:vertAlign w:val="superscript"/>
                <w:lang w:eastAsia="en-US"/>
              </w:rPr>
            </w:pPr>
            <w:r w:rsidRPr="00060B29">
              <w:rPr>
                <w:rFonts w:ascii="Arial Narrow" w:hAnsi="Arial Narrow" w:cs="Times New Roman"/>
                <w:bCs/>
                <w:sz w:val="20"/>
                <w:szCs w:val="22"/>
                <w:lang w:eastAsia="en-US"/>
              </w:rPr>
              <w:t>0.77</w:t>
            </w:r>
          </w:p>
        </w:tc>
        <w:tc>
          <w:tcPr>
            <w:tcW w:w="835" w:type="pct"/>
            <w:tcBorders>
              <w:top w:val="single" w:sz="4" w:space="0" w:color="auto"/>
              <w:left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rsidTr="00DE1A9E">
        <w:tc>
          <w:tcPr>
            <w:tcW w:w="2436" w:type="pct"/>
            <w:tcBorders>
              <w:left w:val="single" w:sz="4" w:space="0" w:color="auto"/>
              <w:bottom w:val="single" w:sz="4" w:space="0" w:color="auto"/>
              <w:right w:val="single" w:sz="4" w:space="0" w:color="auto"/>
            </w:tcBorders>
            <w:shd w:val="clear" w:color="auto" w:fill="auto"/>
          </w:tcPr>
          <w:p w:rsidR="00DE1A9E" w:rsidRPr="00060B29" w:rsidRDefault="00DE1A9E" w:rsidP="00FD38BF">
            <w:pPr>
              <w:keepNext/>
              <w:keepLines/>
              <w:jc w:val="left"/>
              <w:rPr>
                <w:rFonts w:ascii="Arial Narrow" w:hAnsi="Arial Narrow" w:cs="Times New Roman"/>
                <w:bCs/>
                <w:sz w:val="20"/>
                <w:szCs w:val="22"/>
                <w:lang w:eastAsia="en-US"/>
              </w:rPr>
            </w:pPr>
          </w:p>
        </w:tc>
        <w:tc>
          <w:tcPr>
            <w:tcW w:w="943" w:type="pct"/>
            <w:tcBorders>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i/>
                <w:sz w:val="20"/>
                <w:szCs w:val="22"/>
                <w:lang w:eastAsia="en-US"/>
              </w:rPr>
            </w:pPr>
          </w:p>
        </w:tc>
        <w:tc>
          <w:tcPr>
            <w:tcW w:w="786" w:type="pct"/>
            <w:tcBorders>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sz w:val="20"/>
                <w:szCs w:val="22"/>
                <w:lang w:eastAsia="en-US"/>
              </w:rPr>
            </w:pPr>
          </w:p>
        </w:tc>
        <w:tc>
          <w:tcPr>
            <w:tcW w:w="835" w:type="pct"/>
            <w:tcBorders>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i/>
                <w:sz w:val="20"/>
                <w:szCs w:val="22"/>
                <w:lang w:eastAsia="en-US"/>
              </w:rPr>
            </w:pPr>
          </w:p>
        </w:tc>
      </w:tr>
      <w:tr w:rsidR="00DE1A9E" w:rsidRPr="00060B29" w:rsidTr="00DE1A9E">
        <w:tc>
          <w:tcPr>
            <w:tcW w:w="2436" w:type="pct"/>
            <w:tcBorders>
              <w:top w:val="single" w:sz="4" w:space="0" w:color="auto"/>
              <w:left w:val="single" w:sz="4" w:space="0" w:color="auto"/>
              <w:right w:val="single" w:sz="4" w:space="0" w:color="auto"/>
            </w:tcBorders>
            <w:shd w:val="clear" w:color="auto" w:fill="auto"/>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Progression (lung function decline): Dependent model</w:t>
            </w:r>
          </w:p>
        </w:tc>
        <w:tc>
          <w:tcPr>
            <w:tcW w:w="943" w:type="pct"/>
            <w:tcBorders>
              <w:top w:val="single" w:sz="4" w:space="0" w:color="auto"/>
              <w:left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single" w:sz="4" w:space="0" w:color="auto"/>
              <w:left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1.51</w:t>
            </w:r>
          </w:p>
        </w:tc>
        <w:tc>
          <w:tcPr>
            <w:tcW w:w="835" w:type="pct"/>
            <w:tcBorders>
              <w:top w:val="single" w:sz="4" w:space="0" w:color="auto"/>
              <w:left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2</w:t>
            </w:r>
          </w:p>
        </w:tc>
      </w:tr>
      <w:tr w:rsidR="00DE1A9E" w:rsidRPr="00060B29" w:rsidTr="00DE1A9E">
        <w:tc>
          <w:tcPr>
            <w:tcW w:w="2436" w:type="pct"/>
            <w:tcBorders>
              <w:left w:val="single" w:sz="4" w:space="0" w:color="auto"/>
              <w:bottom w:val="single" w:sz="4" w:space="0" w:color="auto"/>
              <w:right w:val="single" w:sz="4" w:space="0" w:color="auto"/>
            </w:tcBorders>
            <w:shd w:val="clear" w:color="auto" w:fill="auto"/>
          </w:tcPr>
          <w:p w:rsidR="00DE1A9E" w:rsidRPr="00060B29" w:rsidRDefault="00DE1A9E" w:rsidP="00FD38BF">
            <w:pPr>
              <w:keepNext/>
              <w:keepLines/>
              <w:jc w:val="left"/>
              <w:rPr>
                <w:rFonts w:ascii="Arial Narrow" w:hAnsi="Arial Narrow" w:cs="Times New Roman"/>
                <w:bCs/>
                <w:sz w:val="20"/>
                <w:szCs w:val="22"/>
                <w:lang w:eastAsia="en-US"/>
              </w:rPr>
            </w:pPr>
          </w:p>
        </w:tc>
        <w:tc>
          <w:tcPr>
            <w:tcW w:w="943" w:type="pct"/>
            <w:tcBorders>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i/>
                <w:sz w:val="20"/>
                <w:szCs w:val="22"/>
                <w:lang w:eastAsia="en-US"/>
              </w:rPr>
            </w:pPr>
          </w:p>
        </w:tc>
        <w:tc>
          <w:tcPr>
            <w:tcW w:w="786" w:type="pct"/>
            <w:tcBorders>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sz w:val="20"/>
                <w:szCs w:val="22"/>
                <w:lang w:eastAsia="en-US"/>
              </w:rPr>
            </w:pPr>
          </w:p>
        </w:tc>
        <w:tc>
          <w:tcPr>
            <w:tcW w:w="835" w:type="pct"/>
            <w:tcBorders>
              <w:left w:val="single" w:sz="4" w:space="0" w:color="auto"/>
              <w:bottom w:val="single" w:sz="4" w:space="0" w:color="auto"/>
              <w:right w:val="single" w:sz="4" w:space="0" w:color="auto"/>
            </w:tcBorders>
            <w:shd w:val="clear" w:color="auto" w:fill="auto"/>
            <w:vAlign w:val="center"/>
          </w:tcPr>
          <w:p w:rsidR="00DE1A9E" w:rsidRPr="00060B29" w:rsidRDefault="00DE1A9E" w:rsidP="00FD38BF">
            <w:pPr>
              <w:keepNext/>
              <w:keepLines/>
              <w:jc w:val="left"/>
              <w:rPr>
                <w:rFonts w:ascii="Arial Narrow" w:hAnsi="Arial Narrow" w:cs="Times New Roman"/>
                <w:bCs/>
                <w:i/>
                <w:sz w:val="20"/>
                <w:szCs w:val="22"/>
                <w:lang w:eastAsia="en-US"/>
              </w:rPr>
            </w:pPr>
          </w:p>
        </w:tc>
      </w:tr>
      <w:tr w:rsidR="00DE1A9E" w:rsidRPr="00060B29" w:rsidTr="008F2EA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E1A9E" w:rsidRPr="00060B29" w:rsidRDefault="00DE1A9E" w:rsidP="00FD38BF">
            <w:pPr>
              <w:keepNext/>
              <w:keepLines/>
              <w:jc w:val="left"/>
              <w:rPr>
                <w:rFonts w:ascii="Arial Narrow" w:eastAsia="Calibri" w:hAnsi="Arial Narrow" w:cs="Times New Roman"/>
                <w:b/>
                <w:bCs/>
                <w:sz w:val="20"/>
                <w:szCs w:val="22"/>
                <w:lang w:eastAsia="en-US"/>
              </w:rPr>
            </w:pPr>
            <w:r w:rsidRPr="00060B29">
              <w:rPr>
                <w:rFonts w:ascii="Arial Narrow" w:hAnsi="Arial Narrow" w:cs="Times New Roman"/>
                <w:b/>
                <w:bCs/>
                <w:snapToGrid w:val="0"/>
                <w:sz w:val="20"/>
                <w:szCs w:val="22"/>
                <w:lang w:eastAsia="en-US"/>
              </w:rPr>
              <w:t>Parametric functions – Nintedanib</w:t>
            </w:r>
          </w:p>
        </w:tc>
      </w:tr>
      <w:tr w:rsidR="00DE1A9E" w:rsidRPr="00060B29" w:rsidTr="00DE1A9E">
        <w:tc>
          <w:tcPr>
            <w:tcW w:w="2436" w:type="pct"/>
            <w:tcBorders>
              <w:left w:val="single" w:sz="4" w:space="0" w:color="auto"/>
              <w:bottom w:val="nil"/>
              <w:right w:val="single" w:sz="4" w:space="0" w:color="auto"/>
            </w:tcBorders>
            <w:shd w:val="clear" w:color="auto" w:fill="auto"/>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OS: Convergence (25 - 180 months)</w:t>
            </w:r>
          </w:p>
        </w:tc>
        <w:tc>
          <w:tcPr>
            <w:tcW w:w="943" w:type="pct"/>
            <w:tcBorders>
              <w:left w:val="single" w:sz="4" w:space="0" w:color="auto"/>
              <w:bottom w:val="nil"/>
              <w:right w:val="single" w:sz="4" w:space="0" w:color="auto"/>
            </w:tcBorders>
            <w:shd w:val="clear" w:color="auto" w:fill="auto"/>
            <w:vAlign w:val="center"/>
          </w:tcPr>
          <w:p w:rsidR="003734C3"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left w:val="single" w:sz="4" w:space="0" w:color="auto"/>
              <w:bottom w:val="nil"/>
              <w:right w:val="single" w:sz="4" w:space="0" w:color="auto"/>
            </w:tcBorders>
            <w:shd w:val="clear" w:color="auto" w:fill="auto"/>
            <w:vAlign w:val="center"/>
          </w:tcPr>
          <w:p w:rsidR="003734C3"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0.65</w:t>
            </w:r>
          </w:p>
        </w:tc>
        <w:tc>
          <w:tcPr>
            <w:tcW w:w="835" w:type="pct"/>
            <w:tcBorders>
              <w:left w:val="single" w:sz="4" w:space="0" w:color="auto"/>
              <w:bottom w:val="nil"/>
              <w:right w:val="single" w:sz="4" w:space="0" w:color="auto"/>
            </w:tcBorders>
            <w:shd w:val="clear" w:color="auto" w:fill="auto"/>
            <w:vAlign w:val="center"/>
          </w:tcPr>
          <w:p w:rsidR="003734C3"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rsidTr="00DE1A9E">
        <w:tc>
          <w:tcPr>
            <w:tcW w:w="2436" w:type="pct"/>
            <w:tcBorders>
              <w:top w:val="nil"/>
              <w:left w:val="single" w:sz="4" w:space="0" w:color="auto"/>
              <w:bottom w:val="nil"/>
              <w:right w:val="single" w:sz="4" w:space="0" w:color="auto"/>
            </w:tcBorders>
            <w:shd w:val="clear" w:color="auto" w:fill="auto"/>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OS: Lognormal - full parametric</w:t>
            </w:r>
          </w:p>
        </w:tc>
        <w:tc>
          <w:tcPr>
            <w:tcW w:w="943" w:type="pct"/>
            <w:tcBorders>
              <w:top w:val="nil"/>
              <w:left w:val="single" w:sz="4" w:space="0" w:color="auto"/>
              <w:bottom w:val="nil"/>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nil"/>
              <w:left w:val="single" w:sz="4" w:space="0" w:color="auto"/>
              <w:bottom w:val="nil"/>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0.97</w:t>
            </w:r>
          </w:p>
        </w:tc>
        <w:tc>
          <w:tcPr>
            <w:tcW w:w="835" w:type="pct"/>
            <w:tcBorders>
              <w:top w:val="nil"/>
              <w:left w:val="single" w:sz="4" w:space="0" w:color="auto"/>
              <w:bottom w:val="nil"/>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rsidTr="00DE1A9E">
        <w:tc>
          <w:tcPr>
            <w:tcW w:w="2436" w:type="pct"/>
            <w:tcBorders>
              <w:top w:val="nil"/>
              <w:left w:val="single" w:sz="4" w:space="0" w:color="auto"/>
              <w:bottom w:val="nil"/>
              <w:right w:val="single" w:sz="4" w:space="0" w:color="auto"/>
            </w:tcBorders>
            <w:shd w:val="clear" w:color="auto" w:fill="auto"/>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OS: Log</w:t>
            </w:r>
            <w:r w:rsidR="006D101B" w:rsidRPr="00060B29">
              <w:rPr>
                <w:rFonts w:ascii="Arial Narrow" w:hAnsi="Arial Narrow" w:cs="Times New Roman"/>
                <w:bCs/>
                <w:sz w:val="20"/>
                <w:szCs w:val="22"/>
                <w:lang w:eastAsia="en-US"/>
              </w:rPr>
              <w:t>-</w:t>
            </w:r>
            <w:r w:rsidRPr="00060B29">
              <w:rPr>
                <w:rFonts w:ascii="Arial Narrow" w:hAnsi="Arial Narrow" w:cs="Times New Roman"/>
                <w:bCs/>
                <w:sz w:val="20"/>
                <w:szCs w:val="22"/>
                <w:lang w:eastAsia="en-US"/>
              </w:rPr>
              <w:t>logistic - full parametric</w:t>
            </w:r>
          </w:p>
        </w:tc>
        <w:tc>
          <w:tcPr>
            <w:tcW w:w="943" w:type="pct"/>
            <w:tcBorders>
              <w:top w:val="nil"/>
              <w:left w:val="single" w:sz="4" w:space="0" w:color="auto"/>
              <w:bottom w:val="nil"/>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nil"/>
              <w:left w:val="single" w:sz="4" w:space="0" w:color="auto"/>
              <w:bottom w:val="nil"/>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0.84</w:t>
            </w:r>
          </w:p>
        </w:tc>
        <w:tc>
          <w:tcPr>
            <w:tcW w:w="835" w:type="pct"/>
            <w:tcBorders>
              <w:top w:val="nil"/>
              <w:left w:val="single" w:sz="4" w:space="0" w:color="auto"/>
              <w:bottom w:val="nil"/>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rsidTr="008F2EA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E1A9E" w:rsidRPr="00060B29" w:rsidRDefault="00DE1A9E" w:rsidP="00FD38BF">
            <w:pPr>
              <w:keepNext/>
              <w:keepLines/>
              <w:jc w:val="left"/>
              <w:rPr>
                <w:rFonts w:ascii="Arial Narrow" w:eastAsia="Calibri" w:hAnsi="Arial Narrow" w:cs="Times New Roman"/>
                <w:b/>
                <w:bCs/>
                <w:sz w:val="20"/>
                <w:szCs w:val="22"/>
                <w:lang w:eastAsia="en-US"/>
              </w:rPr>
            </w:pPr>
            <w:r w:rsidRPr="00060B29">
              <w:rPr>
                <w:rFonts w:ascii="Arial Narrow" w:hAnsi="Arial Narrow" w:cs="Times New Roman"/>
                <w:b/>
                <w:bCs/>
                <w:snapToGrid w:val="0"/>
                <w:sz w:val="20"/>
                <w:szCs w:val="22"/>
                <w:lang w:eastAsia="en-US"/>
              </w:rPr>
              <w:t>Parametric functions – Placebo + BSC</w:t>
            </w:r>
          </w:p>
        </w:tc>
      </w:tr>
      <w:tr w:rsidR="00DE1A9E" w:rsidRPr="00060B29" w:rsidTr="00DE1A9E">
        <w:tc>
          <w:tcPr>
            <w:tcW w:w="2436" w:type="pct"/>
            <w:tcBorders>
              <w:left w:val="single" w:sz="4" w:space="0" w:color="auto"/>
              <w:bottom w:val="nil"/>
              <w:right w:val="single" w:sz="4" w:space="0" w:color="auto"/>
            </w:tcBorders>
            <w:shd w:val="clear" w:color="auto" w:fill="auto"/>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OS: Log</w:t>
            </w:r>
            <w:r w:rsidR="006D101B" w:rsidRPr="00060B29">
              <w:rPr>
                <w:rFonts w:ascii="Arial Narrow" w:hAnsi="Arial Narrow" w:cs="Times New Roman"/>
                <w:bCs/>
                <w:sz w:val="20"/>
                <w:szCs w:val="22"/>
                <w:lang w:eastAsia="en-US"/>
              </w:rPr>
              <w:t>-</w:t>
            </w:r>
            <w:r w:rsidRPr="00060B29">
              <w:rPr>
                <w:rFonts w:ascii="Arial Narrow" w:hAnsi="Arial Narrow" w:cs="Times New Roman"/>
                <w:bCs/>
                <w:sz w:val="20"/>
                <w:szCs w:val="22"/>
                <w:lang w:eastAsia="en-US"/>
              </w:rPr>
              <w:t>logistic - full parametric</w:t>
            </w:r>
          </w:p>
        </w:tc>
        <w:tc>
          <w:tcPr>
            <w:tcW w:w="943" w:type="pct"/>
            <w:tcBorders>
              <w:left w:val="single" w:sz="4" w:space="0" w:color="auto"/>
              <w:bottom w:val="nil"/>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left w:val="single" w:sz="4" w:space="0" w:color="auto"/>
              <w:bottom w:val="nil"/>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0.63</w:t>
            </w:r>
          </w:p>
        </w:tc>
        <w:tc>
          <w:tcPr>
            <w:tcW w:w="835" w:type="pct"/>
            <w:tcBorders>
              <w:left w:val="single" w:sz="4" w:space="0" w:color="auto"/>
              <w:bottom w:val="nil"/>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3</w:t>
            </w:r>
          </w:p>
        </w:tc>
      </w:tr>
      <w:tr w:rsidR="00DE1A9E" w:rsidRPr="00060B29" w:rsidTr="00217ED2">
        <w:tc>
          <w:tcPr>
            <w:tcW w:w="2436" w:type="pct"/>
            <w:tcBorders>
              <w:top w:val="nil"/>
              <w:left w:val="single" w:sz="4" w:space="0" w:color="auto"/>
              <w:bottom w:val="single" w:sz="4" w:space="0" w:color="auto"/>
              <w:right w:val="single" w:sz="4" w:space="0" w:color="auto"/>
            </w:tcBorders>
            <w:shd w:val="clear" w:color="auto" w:fill="auto"/>
          </w:tcPr>
          <w:p w:rsidR="00DE1A9E"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 xml:space="preserve">OS: Gompertz - full parametric </w:t>
            </w:r>
          </w:p>
        </w:tc>
        <w:tc>
          <w:tcPr>
            <w:tcW w:w="943" w:type="pct"/>
            <w:tcBorders>
              <w:top w:val="nil"/>
              <w:left w:val="single" w:sz="4" w:space="0" w:color="auto"/>
              <w:bottom w:val="single" w:sz="4" w:space="0" w:color="auto"/>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nil"/>
              <w:left w:val="single" w:sz="4" w:space="0" w:color="auto"/>
              <w:bottom w:val="single" w:sz="4" w:space="0" w:color="auto"/>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1.05</w:t>
            </w:r>
          </w:p>
        </w:tc>
        <w:tc>
          <w:tcPr>
            <w:tcW w:w="835" w:type="pct"/>
            <w:tcBorders>
              <w:top w:val="nil"/>
              <w:left w:val="single" w:sz="4" w:space="0" w:color="auto"/>
              <w:bottom w:val="single" w:sz="4" w:space="0" w:color="auto"/>
              <w:right w:val="single" w:sz="4" w:space="0" w:color="auto"/>
            </w:tcBorders>
            <w:shd w:val="clear" w:color="auto" w:fill="auto"/>
            <w:vAlign w:val="center"/>
          </w:tcPr>
          <w:p w:rsidR="006E2B0F" w:rsidRPr="00060B29" w:rsidRDefault="00DE1A9E" w:rsidP="00FD38BF">
            <w:pPr>
              <w:keepNext/>
              <w:keepLines/>
              <w:jc w:val="left"/>
              <w:rPr>
                <w:rFonts w:ascii="Arial Narrow" w:hAnsi="Arial Narrow" w:cs="Times New Roman"/>
                <w:bCs/>
                <w:i/>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4</w:t>
            </w:r>
          </w:p>
        </w:tc>
      </w:tr>
      <w:tr w:rsidR="00217ED2" w:rsidRPr="00060B29" w:rsidTr="00217ED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17ED2" w:rsidRPr="00060B29" w:rsidRDefault="00217ED2" w:rsidP="00FD38BF">
            <w:pPr>
              <w:keepNext/>
              <w:keepLines/>
              <w:jc w:val="left"/>
              <w:rPr>
                <w:rFonts w:ascii="Arial Narrow" w:hAnsi="Arial Narrow" w:cs="Times New Roman"/>
                <w:bCs/>
                <w:sz w:val="20"/>
                <w:szCs w:val="22"/>
                <w:lang w:eastAsia="en-US"/>
              </w:rPr>
            </w:pPr>
            <w:r w:rsidRPr="00060B29">
              <w:rPr>
                <w:rFonts w:ascii="Arial Narrow" w:hAnsi="Arial Narrow" w:cs="Times New Roman"/>
                <w:b/>
                <w:bCs/>
                <w:sz w:val="20"/>
                <w:szCs w:val="22"/>
                <w:lang w:eastAsia="en-US"/>
              </w:rPr>
              <w:t xml:space="preserve">Time horizon (years) </w:t>
            </w:r>
          </w:p>
        </w:tc>
      </w:tr>
      <w:tr w:rsidR="00217ED2" w:rsidRPr="00060B29" w:rsidTr="000A1BA1">
        <w:trPr>
          <w:trHeight w:val="225"/>
        </w:trPr>
        <w:tc>
          <w:tcPr>
            <w:tcW w:w="2436" w:type="pct"/>
            <w:tcBorders>
              <w:top w:val="single" w:sz="4" w:space="0" w:color="auto"/>
              <w:left w:val="single" w:sz="4" w:space="0" w:color="auto"/>
              <w:bottom w:val="single" w:sz="4" w:space="0" w:color="auto"/>
              <w:right w:val="single" w:sz="4" w:space="0" w:color="auto"/>
            </w:tcBorders>
            <w:shd w:val="clear" w:color="auto" w:fill="auto"/>
          </w:tcPr>
          <w:p w:rsidR="00217ED2" w:rsidRPr="00060B29" w:rsidRDefault="00217ED2"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10</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217ED2" w:rsidRPr="00060B29" w:rsidRDefault="00217ED2"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single" w:sz="4" w:space="0" w:color="auto"/>
              <w:left w:val="single" w:sz="4" w:space="0" w:color="auto"/>
              <w:bottom w:val="single" w:sz="4" w:space="0" w:color="auto"/>
              <w:right w:val="single" w:sz="4" w:space="0" w:color="auto"/>
            </w:tcBorders>
            <w:shd w:val="clear" w:color="auto" w:fill="auto"/>
          </w:tcPr>
          <w:p w:rsidR="00217ED2" w:rsidRPr="00060B29" w:rsidRDefault="00217ED2"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0.74</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217ED2" w:rsidRPr="00060B29" w:rsidRDefault="00217ED2"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0A1BA1" w:rsidRPr="00060B29" w:rsidTr="000A1BA1">
        <w:trPr>
          <w:trHeight w:val="70"/>
        </w:trPr>
        <w:tc>
          <w:tcPr>
            <w:tcW w:w="2436" w:type="pct"/>
            <w:tcBorders>
              <w:top w:val="single" w:sz="4" w:space="0" w:color="auto"/>
              <w:left w:val="single" w:sz="4" w:space="0" w:color="auto"/>
              <w:bottom w:val="single" w:sz="4" w:space="0" w:color="auto"/>
              <w:right w:val="single" w:sz="4" w:space="0" w:color="auto"/>
            </w:tcBorders>
            <w:shd w:val="clear" w:color="auto" w:fill="auto"/>
          </w:tcPr>
          <w:p w:rsidR="000A1BA1" w:rsidRPr="00060B29" w:rsidRDefault="000A1BA1"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20</w:t>
            </w:r>
          </w:p>
        </w:tc>
        <w:tc>
          <w:tcPr>
            <w:tcW w:w="943" w:type="pct"/>
            <w:tcBorders>
              <w:top w:val="nil"/>
              <w:left w:val="single" w:sz="4" w:space="0" w:color="auto"/>
              <w:bottom w:val="single" w:sz="4" w:space="0" w:color="auto"/>
              <w:right w:val="single" w:sz="4" w:space="0" w:color="auto"/>
            </w:tcBorders>
            <w:shd w:val="clear" w:color="auto" w:fill="auto"/>
            <w:vAlign w:val="center"/>
          </w:tcPr>
          <w:p w:rsidR="000A1BA1" w:rsidRPr="00060B29" w:rsidRDefault="000A1BA1"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p>
        </w:tc>
        <w:tc>
          <w:tcPr>
            <w:tcW w:w="786" w:type="pct"/>
            <w:tcBorders>
              <w:top w:val="nil"/>
              <w:left w:val="single" w:sz="4" w:space="0" w:color="auto"/>
              <w:bottom w:val="single" w:sz="4" w:space="0" w:color="auto"/>
              <w:right w:val="single" w:sz="4" w:space="0" w:color="auto"/>
            </w:tcBorders>
            <w:shd w:val="clear" w:color="auto" w:fill="auto"/>
            <w:vAlign w:val="center"/>
          </w:tcPr>
          <w:p w:rsidR="000A1BA1" w:rsidRPr="00060B29" w:rsidRDefault="000A1BA1"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0.77</w:t>
            </w:r>
          </w:p>
        </w:tc>
        <w:tc>
          <w:tcPr>
            <w:tcW w:w="835" w:type="pct"/>
            <w:tcBorders>
              <w:top w:val="nil"/>
              <w:left w:val="single" w:sz="4" w:space="0" w:color="auto"/>
              <w:bottom w:val="single" w:sz="4" w:space="0" w:color="auto"/>
              <w:right w:val="single" w:sz="4" w:space="0" w:color="auto"/>
            </w:tcBorders>
            <w:shd w:val="clear" w:color="auto" w:fill="auto"/>
            <w:vAlign w:val="center"/>
          </w:tcPr>
          <w:p w:rsidR="000A1BA1" w:rsidRPr="00060B29" w:rsidRDefault="000A1BA1" w:rsidP="00FD38BF">
            <w:pPr>
              <w:keepNext/>
              <w:keepLines/>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rsidTr="00217ED2">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Sensitivity analyses conducted during evaluation</w:t>
            </w:r>
          </w:p>
        </w:tc>
      </w:tr>
      <w:tr w:rsidR="00DE1A9E" w:rsidRPr="00060B29" w:rsidTr="008F2EA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Extrapolation functions- OS (independent model)</w:t>
            </w:r>
            <w:r w:rsidRPr="00060B29">
              <w:rPr>
                <w:rFonts w:ascii="Arial Narrow" w:hAnsi="Arial Narrow" w:cs="Times New Roman"/>
                <w:b/>
                <w:bCs/>
                <w:sz w:val="20"/>
                <w:szCs w:val="22"/>
                <w:vertAlign w:val="superscript"/>
                <w:lang w:eastAsia="en-US"/>
              </w:rPr>
              <w:t>a</w:t>
            </w:r>
          </w:p>
        </w:tc>
      </w:tr>
      <w:tr w:rsidR="00DE1A9E" w:rsidRPr="00060B29" w:rsidTr="00DE1A9E">
        <w:tc>
          <w:tcPr>
            <w:tcW w:w="4165"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Exponential (both nintedanib and placebo + BSC)</w:t>
            </w:r>
          </w:p>
        </w:tc>
        <w:tc>
          <w:tcPr>
            <w:tcW w:w="835" w:type="pct"/>
            <w:tcBorders>
              <w:top w:val="single" w:sz="4" w:space="0" w:color="auto"/>
              <w:left w:val="nil"/>
              <w:bottom w:val="single" w:sz="4" w:space="0" w:color="auto"/>
              <w:right w:val="single" w:sz="4" w:space="0" w:color="auto"/>
            </w:tcBorders>
            <w:shd w:val="clear" w:color="auto" w:fill="auto"/>
            <w:vAlign w:val="bottom"/>
          </w:tcPr>
          <w:p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5</w:t>
            </w:r>
          </w:p>
        </w:tc>
      </w:tr>
      <w:tr w:rsidR="00DE1A9E" w:rsidRPr="00060B29" w:rsidTr="00DE1A9E">
        <w:tc>
          <w:tcPr>
            <w:tcW w:w="4165" w:type="pct"/>
            <w:gridSpan w:val="3"/>
            <w:tcBorders>
              <w:top w:val="nil"/>
              <w:left w:val="single" w:sz="4" w:space="0" w:color="auto"/>
              <w:bottom w:val="single" w:sz="4" w:space="0" w:color="auto"/>
              <w:right w:val="single" w:sz="4" w:space="0" w:color="auto"/>
            </w:tcBorders>
            <w:shd w:val="clear" w:color="auto" w:fill="auto"/>
            <w:vAlign w:val="bottom"/>
          </w:tcPr>
          <w:p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Gompertz (both nintedanib and placebo + BSC</w:t>
            </w:r>
          </w:p>
        </w:tc>
        <w:tc>
          <w:tcPr>
            <w:tcW w:w="835" w:type="pct"/>
            <w:tcBorders>
              <w:top w:val="nil"/>
              <w:left w:val="nil"/>
              <w:bottom w:val="single" w:sz="4" w:space="0" w:color="auto"/>
              <w:right w:val="single" w:sz="4" w:space="0" w:color="auto"/>
            </w:tcBorders>
            <w:shd w:val="clear" w:color="auto" w:fill="auto"/>
            <w:vAlign w:val="bottom"/>
          </w:tcPr>
          <w:p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rsidTr="00DE1A9E">
        <w:tc>
          <w:tcPr>
            <w:tcW w:w="4165" w:type="pct"/>
            <w:gridSpan w:val="3"/>
            <w:tcBorders>
              <w:top w:val="nil"/>
              <w:left w:val="single" w:sz="4" w:space="0" w:color="auto"/>
              <w:bottom w:val="single" w:sz="4" w:space="0" w:color="auto"/>
              <w:right w:val="single" w:sz="4" w:space="0" w:color="auto"/>
            </w:tcBorders>
            <w:shd w:val="clear" w:color="auto" w:fill="auto"/>
            <w:vAlign w:val="bottom"/>
          </w:tcPr>
          <w:p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Log</w:t>
            </w:r>
            <w:r w:rsidR="006D101B" w:rsidRPr="00060B29">
              <w:rPr>
                <w:rFonts w:ascii="Arial Narrow" w:hAnsi="Arial Narrow" w:cs="Times New Roman"/>
                <w:bCs/>
                <w:sz w:val="20"/>
                <w:szCs w:val="22"/>
                <w:lang w:eastAsia="en-US"/>
              </w:rPr>
              <w:t>-</w:t>
            </w:r>
            <w:r w:rsidRPr="00060B29">
              <w:rPr>
                <w:rFonts w:ascii="Arial Narrow" w:hAnsi="Arial Narrow" w:cs="Times New Roman"/>
                <w:bCs/>
                <w:sz w:val="20"/>
                <w:szCs w:val="22"/>
                <w:lang w:eastAsia="en-US"/>
              </w:rPr>
              <w:t>logistic (both nintedanib and placebo + BSC)</w:t>
            </w:r>
          </w:p>
        </w:tc>
        <w:tc>
          <w:tcPr>
            <w:tcW w:w="835" w:type="pct"/>
            <w:tcBorders>
              <w:top w:val="nil"/>
              <w:left w:val="nil"/>
              <w:bottom w:val="single" w:sz="4" w:space="0" w:color="auto"/>
              <w:right w:val="single" w:sz="4" w:space="0" w:color="auto"/>
            </w:tcBorders>
            <w:shd w:val="clear" w:color="auto" w:fill="auto"/>
            <w:vAlign w:val="bottom"/>
          </w:tcPr>
          <w:p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rsidTr="00DE1A9E">
        <w:tc>
          <w:tcPr>
            <w:tcW w:w="4165" w:type="pct"/>
            <w:gridSpan w:val="3"/>
            <w:tcBorders>
              <w:top w:val="nil"/>
              <w:left w:val="single" w:sz="4" w:space="0" w:color="auto"/>
              <w:bottom w:val="single" w:sz="4" w:space="0" w:color="auto"/>
              <w:right w:val="single" w:sz="4" w:space="0" w:color="auto"/>
            </w:tcBorders>
            <w:shd w:val="clear" w:color="auto" w:fill="auto"/>
            <w:vAlign w:val="bottom"/>
          </w:tcPr>
          <w:p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Lognormal (both nintedanib and placebo + BSC)</w:t>
            </w:r>
          </w:p>
        </w:tc>
        <w:tc>
          <w:tcPr>
            <w:tcW w:w="835" w:type="pct"/>
            <w:tcBorders>
              <w:top w:val="nil"/>
              <w:left w:val="nil"/>
              <w:bottom w:val="single" w:sz="4" w:space="0" w:color="auto"/>
              <w:right w:val="single" w:sz="4" w:space="0" w:color="auto"/>
            </w:tcBorders>
            <w:shd w:val="clear" w:color="auto" w:fill="auto"/>
            <w:vAlign w:val="bottom"/>
          </w:tcPr>
          <w:p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3</w:t>
            </w:r>
          </w:p>
        </w:tc>
      </w:tr>
      <w:tr w:rsidR="00DE1A9E" w:rsidRPr="00060B29" w:rsidTr="00DE1A9E">
        <w:tc>
          <w:tcPr>
            <w:tcW w:w="4165" w:type="pct"/>
            <w:gridSpan w:val="3"/>
            <w:tcBorders>
              <w:top w:val="nil"/>
              <w:left w:val="single" w:sz="4" w:space="0" w:color="auto"/>
              <w:bottom w:val="single" w:sz="4" w:space="0" w:color="auto"/>
              <w:right w:val="single" w:sz="4" w:space="0" w:color="auto"/>
            </w:tcBorders>
            <w:shd w:val="clear" w:color="auto" w:fill="auto"/>
            <w:vAlign w:val="bottom"/>
          </w:tcPr>
          <w:p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Weibull (base case) (both nintedanib and placebo + BSC)</w:t>
            </w:r>
          </w:p>
        </w:tc>
        <w:tc>
          <w:tcPr>
            <w:tcW w:w="835" w:type="pct"/>
            <w:tcBorders>
              <w:top w:val="nil"/>
              <w:left w:val="nil"/>
              <w:bottom w:val="single" w:sz="4" w:space="0" w:color="auto"/>
              <w:right w:val="single" w:sz="4" w:space="0" w:color="auto"/>
            </w:tcBorders>
            <w:shd w:val="clear" w:color="auto" w:fill="auto"/>
            <w:vAlign w:val="bottom"/>
          </w:tcPr>
          <w:p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rsidTr="00DE1A9E">
        <w:tc>
          <w:tcPr>
            <w:tcW w:w="4165" w:type="pct"/>
            <w:gridSpan w:val="3"/>
            <w:tcBorders>
              <w:top w:val="nil"/>
              <w:left w:val="single" w:sz="4" w:space="0" w:color="auto"/>
              <w:bottom w:val="single" w:sz="4" w:space="0" w:color="auto"/>
              <w:right w:val="single" w:sz="4" w:space="0" w:color="auto"/>
            </w:tcBorders>
            <w:shd w:val="clear" w:color="auto" w:fill="auto"/>
            <w:vAlign w:val="bottom"/>
          </w:tcPr>
          <w:p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Weibull_BSA (both nintedanib and placebo + BSC)</w:t>
            </w:r>
          </w:p>
        </w:tc>
        <w:tc>
          <w:tcPr>
            <w:tcW w:w="835" w:type="pct"/>
            <w:tcBorders>
              <w:top w:val="nil"/>
              <w:left w:val="nil"/>
              <w:bottom w:val="single" w:sz="4" w:space="0" w:color="auto"/>
              <w:right w:val="single" w:sz="4" w:space="0" w:color="auto"/>
            </w:tcBorders>
            <w:shd w:val="clear" w:color="auto" w:fill="auto"/>
            <w:vAlign w:val="bottom"/>
          </w:tcPr>
          <w:p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szCs w:val="22"/>
                <w:highlight w:val="black"/>
                <w:lang w:eastAsia="en-US"/>
              </w:rPr>
              <w:t>''''''''''''''''</w:t>
            </w:r>
            <w:r w:rsidR="006E6EA6">
              <w:rPr>
                <w:rFonts w:ascii="Arial Narrow" w:hAnsi="Arial Narrow" w:cs="Times New Roman"/>
                <w:bCs/>
                <w:sz w:val="20"/>
                <w:szCs w:val="22"/>
                <w:vertAlign w:val="superscript"/>
                <w:lang w:eastAsia="en-US"/>
              </w:rPr>
              <w:t>1</w:t>
            </w:r>
          </w:p>
        </w:tc>
      </w:tr>
      <w:tr w:rsidR="00DE1A9E" w:rsidRPr="00060B29" w:rsidTr="008F2EAA">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DE1A9E" w:rsidRPr="00060B29" w:rsidRDefault="00DE1A9E" w:rsidP="00FD38BF">
            <w:pPr>
              <w:keepNext/>
              <w:keepLines/>
              <w:jc w:val="left"/>
              <w:rPr>
                <w:rFonts w:ascii="Arial Narrow" w:hAnsi="Arial Narrow" w:cs="Times New Roman"/>
                <w:b/>
                <w:bCs/>
                <w:sz w:val="20"/>
                <w:szCs w:val="22"/>
                <w:lang w:eastAsia="en-US"/>
              </w:rPr>
            </w:pPr>
            <w:r w:rsidRPr="00060B29">
              <w:rPr>
                <w:rFonts w:ascii="Arial Narrow" w:hAnsi="Arial Narrow" w:cs="Times New Roman"/>
                <w:b/>
                <w:bCs/>
                <w:sz w:val="20"/>
                <w:szCs w:val="22"/>
                <w:lang w:eastAsia="en-US"/>
              </w:rPr>
              <w:t>Time horizon (years)</w:t>
            </w:r>
          </w:p>
        </w:tc>
      </w:tr>
      <w:tr w:rsidR="00DE1A9E" w:rsidRPr="00060B29" w:rsidTr="00DE1A9E">
        <w:tc>
          <w:tcPr>
            <w:tcW w:w="4165" w:type="pct"/>
            <w:gridSpan w:val="3"/>
            <w:tcBorders>
              <w:top w:val="single" w:sz="4" w:space="0" w:color="auto"/>
              <w:left w:val="single" w:sz="4" w:space="0" w:color="auto"/>
              <w:bottom w:val="single" w:sz="4" w:space="0" w:color="auto"/>
              <w:right w:val="single" w:sz="4" w:space="0" w:color="auto"/>
            </w:tcBorders>
            <w:shd w:val="clear" w:color="auto" w:fill="auto"/>
          </w:tcPr>
          <w:p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2</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highlight w:val="black"/>
                <w:lang w:eastAsia="en-US"/>
              </w:rPr>
              <w:t>'''''''''''''''''''''</w:t>
            </w:r>
            <w:r w:rsidR="006E6EA6">
              <w:rPr>
                <w:rFonts w:ascii="Arial Narrow" w:hAnsi="Arial Narrow" w:cs="Times New Roman"/>
                <w:bCs/>
                <w:sz w:val="20"/>
                <w:szCs w:val="22"/>
                <w:vertAlign w:val="superscript"/>
                <w:lang w:eastAsia="en-US"/>
              </w:rPr>
              <w:t>6</w:t>
            </w:r>
          </w:p>
        </w:tc>
      </w:tr>
      <w:tr w:rsidR="00DE1A9E" w:rsidRPr="00060B29" w:rsidTr="00DE1A9E">
        <w:tc>
          <w:tcPr>
            <w:tcW w:w="4165" w:type="pct"/>
            <w:gridSpan w:val="3"/>
            <w:tcBorders>
              <w:top w:val="single" w:sz="4" w:space="0" w:color="auto"/>
              <w:left w:val="single" w:sz="4" w:space="0" w:color="auto"/>
              <w:bottom w:val="single" w:sz="4" w:space="0" w:color="auto"/>
              <w:right w:val="single" w:sz="4" w:space="0" w:color="auto"/>
            </w:tcBorders>
            <w:shd w:val="clear" w:color="auto" w:fill="auto"/>
          </w:tcPr>
          <w:p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3</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highlight w:val="black"/>
                <w:lang w:eastAsia="en-US"/>
              </w:rPr>
              <w:t>'''''''''''''''''''''</w:t>
            </w:r>
            <w:r w:rsidR="006E6EA6">
              <w:rPr>
                <w:rFonts w:ascii="Arial Narrow" w:hAnsi="Arial Narrow" w:cs="Times New Roman"/>
                <w:bCs/>
                <w:sz w:val="20"/>
                <w:szCs w:val="22"/>
                <w:vertAlign w:val="superscript"/>
                <w:lang w:eastAsia="en-US"/>
              </w:rPr>
              <w:t>5</w:t>
            </w:r>
          </w:p>
        </w:tc>
      </w:tr>
      <w:tr w:rsidR="00DE1A9E" w:rsidRPr="00060B29" w:rsidTr="00DE1A9E">
        <w:tc>
          <w:tcPr>
            <w:tcW w:w="4165" w:type="pct"/>
            <w:gridSpan w:val="3"/>
            <w:tcBorders>
              <w:top w:val="single" w:sz="4" w:space="0" w:color="auto"/>
              <w:left w:val="single" w:sz="4" w:space="0" w:color="auto"/>
              <w:bottom w:val="single" w:sz="4" w:space="0" w:color="auto"/>
              <w:right w:val="single" w:sz="4" w:space="0" w:color="auto"/>
            </w:tcBorders>
            <w:shd w:val="clear" w:color="auto" w:fill="auto"/>
          </w:tcPr>
          <w:p w:rsidR="00DE1A9E" w:rsidRPr="00060B29" w:rsidRDefault="00DE1A9E" w:rsidP="00FD38BF">
            <w:pPr>
              <w:keepNext/>
              <w:keepLines/>
              <w:ind w:left="720"/>
              <w:jc w:val="left"/>
              <w:rPr>
                <w:rFonts w:ascii="Arial Narrow" w:hAnsi="Arial Narrow" w:cs="Times New Roman"/>
                <w:bCs/>
                <w:sz w:val="20"/>
                <w:szCs w:val="22"/>
                <w:lang w:eastAsia="en-US"/>
              </w:rPr>
            </w:pPr>
            <w:r w:rsidRPr="00060B29">
              <w:rPr>
                <w:rFonts w:ascii="Arial Narrow" w:hAnsi="Arial Narrow" w:cs="Times New Roman"/>
                <w:bCs/>
                <w:sz w:val="20"/>
                <w:szCs w:val="22"/>
                <w:lang w:eastAsia="en-US"/>
              </w:rPr>
              <w:t>5</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DE1A9E" w:rsidRPr="006C3A17" w:rsidRDefault="00DE1A9E" w:rsidP="00FD38BF">
            <w:pPr>
              <w:keepNext/>
              <w:keepLines/>
              <w:jc w:val="left"/>
              <w:rPr>
                <w:rFonts w:ascii="Arial Narrow" w:hAnsi="Arial Narrow" w:cs="Times New Roman"/>
                <w:bCs/>
                <w:sz w:val="20"/>
                <w:szCs w:val="22"/>
                <w:lang w:eastAsia="en-US"/>
              </w:rPr>
            </w:pPr>
            <w:r w:rsidRPr="006E6EA6">
              <w:rPr>
                <w:rFonts w:ascii="Arial Narrow" w:hAnsi="Arial Narrow" w:cs="Times New Roman"/>
                <w:bCs/>
                <w:sz w:val="20"/>
                <w:szCs w:val="22"/>
                <w:lang w:eastAsia="en-US"/>
              </w:rPr>
              <w:t>$</w:t>
            </w:r>
            <w:r w:rsidR="006C3A17">
              <w:rPr>
                <w:rFonts w:ascii="Arial Narrow" w:hAnsi="Arial Narrow" w:cs="Times New Roman"/>
                <w:bCs/>
                <w:noProof/>
                <w:color w:val="000000"/>
                <w:sz w:val="20"/>
                <w:highlight w:val="black"/>
                <w:lang w:eastAsia="en-US"/>
              </w:rPr>
              <w:t>'''''''''''''''''</w:t>
            </w:r>
            <w:r w:rsidR="006E6EA6">
              <w:rPr>
                <w:rFonts w:ascii="Arial Narrow" w:hAnsi="Arial Narrow" w:cs="Times New Roman"/>
                <w:bCs/>
                <w:sz w:val="20"/>
                <w:szCs w:val="22"/>
                <w:vertAlign w:val="superscript"/>
                <w:lang w:eastAsia="en-US"/>
              </w:rPr>
              <w:t>3</w:t>
            </w:r>
          </w:p>
        </w:tc>
      </w:tr>
    </w:tbl>
    <w:p w:rsidR="00E3257F" w:rsidRPr="00FD38BF" w:rsidRDefault="00E3257F" w:rsidP="00FD38BF">
      <w:pPr>
        <w:keepNext/>
        <w:keepLines/>
        <w:rPr>
          <w:rFonts w:ascii="Arial Narrow" w:hAnsi="Arial Narrow"/>
          <w:snapToGrid w:val="0"/>
          <w:sz w:val="18"/>
          <w:szCs w:val="18"/>
          <w:lang w:eastAsia="en-US"/>
        </w:rPr>
      </w:pPr>
      <w:r w:rsidRPr="00FD38BF">
        <w:rPr>
          <w:rFonts w:ascii="Arial Narrow" w:hAnsi="Arial Narrow" w:cs="Times New Roman"/>
          <w:bCs/>
          <w:sz w:val="20"/>
          <w:szCs w:val="22"/>
          <w:vertAlign w:val="superscript"/>
          <w:lang w:eastAsia="en-US"/>
        </w:rPr>
        <w:t xml:space="preserve">a </w:t>
      </w:r>
      <w:r w:rsidRPr="00FD38BF">
        <w:rPr>
          <w:rFonts w:ascii="Arial Narrow" w:hAnsi="Arial Narrow"/>
          <w:snapToGrid w:val="0"/>
          <w:sz w:val="18"/>
          <w:szCs w:val="18"/>
          <w:lang w:eastAsia="en-US"/>
        </w:rPr>
        <w:t>The baseline ICER was based on</w:t>
      </w:r>
      <w:r w:rsidR="000E1A5F" w:rsidRPr="00FD38BF">
        <w:rPr>
          <w:rFonts w:ascii="Arial Narrow" w:hAnsi="Arial Narrow"/>
          <w:snapToGrid w:val="0"/>
          <w:sz w:val="18"/>
          <w:szCs w:val="18"/>
          <w:lang w:eastAsia="en-US"/>
        </w:rPr>
        <w:t xml:space="preserve"> assumption that</w:t>
      </w:r>
      <w:r w:rsidRPr="00FD38BF">
        <w:rPr>
          <w:rFonts w:ascii="Arial Narrow" w:hAnsi="Arial Narrow"/>
          <w:snapToGrid w:val="0"/>
          <w:sz w:val="18"/>
          <w:szCs w:val="18"/>
          <w:lang w:eastAsia="en-US"/>
        </w:rPr>
        <w:t xml:space="preserve"> </w:t>
      </w:r>
      <w:r w:rsidR="000E1A5F" w:rsidRPr="00FD38BF">
        <w:rPr>
          <w:rFonts w:ascii="Arial Narrow" w:hAnsi="Arial Narrow"/>
          <w:snapToGrid w:val="0"/>
          <w:sz w:val="18"/>
          <w:szCs w:val="18"/>
          <w:lang w:eastAsia="en-US"/>
        </w:rPr>
        <w:t>FVC%Pred≤40% would lead to death.</w:t>
      </w:r>
    </w:p>
    <w:p w:rsidR="00DE1A9E" w:rsidRDefault="00DE1A9E" w:rsidP="00FD38BF">
      <w:pPr>
        <w:keepNext/>
        <w:keepLines/>
        <w:rPr>
          <w:rFonts w:ascii="Arial Narrow" w:hAnsi="Arial Narrow"/>
          <w:snapToGrid w:val="0"/>
          <w:sz w:val="18"/>
          <w:szCs w:val="18"/>
          <w:lang w:eastAsia="en-US"/>
        </w:rPr>
      </w:pPr>
      <w:r w:rsidRPr="00FD38BF">
        <w:rPr>
          <w:rFonts w:ascii="Arial Narrow" w:hAnsi="Arial Narrow" w:cs="Times New Roman"/>
          <w:bCs/>
          <w:sz w:val="18"/>
          <w:szCs w:val="18"/>
          <w:lang w:eastAsia="en-US"/>
        </w:rPr>
        <w:t xml:space="preserve">BSA= Bayesian Survival Analysis, </w:t>
      </w:r>
      <w:r w:rsidR="00566829" w:rsidRPr="00FD38BF">
        <w:rPr>
          <w:rFonts w:ascii="Arial Narrow" w:hAnsi="Arial Narrow" w:cs="Times New Roman"/>
          <w:bCs/>
          <w:sz w:val="18"/>
          <w:szCs w:val="18"/>
          <w:lang w:eastAsia="en-US"/>
        </w:rPr>
        <w:t xml:space="preserve">FVC%Pred= forced vital capacity % predicted; </w:t>
      </w:r>
      <w:r w:rsidRPr="00FD38BF">
        <w:rPr>
          <w:rFonts w:ascii="Arial Narrow" w:hAnsi="Arial Narrow" w:cs="Times New Roman"/>
          <w:bCs/>
          <w:sz w:val="18"/>
          <w:szCs w:val="18"/>
          <w:lang w:eastAsia="en-US"/>
        </w:rPr>
        <w:t>GI</w:t>
      </w:r>
      <w:r w:rsidR="00566829" w:rsidRPr="00FD38BF">
        <w:rPr>
          <w:rFonts w:ascii="Arial Narrow" w:hAnsi="Arial Narrow" w:cs="Times New Roman"/>
          <w:bCs/>
          <w:sz w:val="18"/>
          <w:szCs w:val="18"/>
          <w:lang w:eastAsia="en-US"/>
        </w:rPr>
        <w:t>=</w:t>
      </w:r>
      <w:r w:rsidRPr="00FD38BF">
        <w:rPr>
          <w:rFonts w:ascii="Arial Narrow" w:hAnsi="Arial Narrow" w:cs="Times New Roman"/>
          <w:bCs/>
          <w:sz w:val="18"/>
          <w:szCs w:val="18"/>
          <w:lang w:eastAsia="en-US"/>
        </w:rPr>
        <w:t xml:space="preserve"> Gastrointestinal, ICER= Incremental Cost-effectiveness Ratio, MB</w:t>
      </w:r>
      <w:r w:rsidRPr="00FD38BF">
        <w:rPr>
          <w:rFonts w:ascii="Arial Narrow" w:hAnsi="Arial Narrow"/>
          <w:snapToGrid w:val="0"/>
          <w:sz w:val="18"/>
          <w:szCs w:val="18"/>
          <w:lang w:eastAsia="en-US"/>
        </w:rPr>
        <w:t>S= Medical Benefits Schedule, OS= Overall Survival, TTD: Time to Discontinuation, QALY= Quality-adjusted Life Year</w:t>
      </w:r>
    </w:p>
    <w:p w:rsidR="006E6EA6" w:rsidRPr="009868C4" w:rsidRDefault="006E6EA6" w:rsidP="006E6EA6">
      <w:pPr>
        <w:pStyle w:val="TableFigureFooter"/>
        <w:spacing w:after="0"/>
        <w:contextualSpacing w:val="0"/>
      </w:pPr>
      <w:r w:rsidRPr="009868C4">
        <w:rPr>
          <w:i/>
        </w:rPr>
        <w:t>The redacted values correspond to the following ranges</w:t>
      </w:r>
      <w:r>
        <w:rPr>
          <w:i/>
        </w:rPr>
        <w:t xml:space="preserve">: </w:t>
      </w:r>
    </w:p>
    <w:p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1 </w:t>
      </w:r>
      <w:r w:rsidRPr="006E6EA6">
        <w:rPr>
          <w:rFonts w:ascii="Arial Narrow" w:hAnsi="Arial Narrow"/>
          <w:i/>
          <w:snapToGrid w:val="0"/>
          <w:sz w:val="18"/>
          <w:szCs w:val="18"/>
          <w:lang w:eastAsia="en-US"/>
        </w:rPr>
        <w:t>$55,000 to &lt; $75,000</w:t>
      </w:r>
    </w:p>
    <w:p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2 </w:t>
      </w:r>
      <w:r w:rsidRPr="006E6EA6">
        <w:rPr>
          <w:rFonts w:ascii="Arial Narrow" w:hAnsi="Arial Narrow"/>
          <w:i/>
          <w:snapToGrid w:val="0"/>
          <w:sz w:val="18"/>
          <w:szCs w:val="18"/>
          <w:lang w:eastAsia="en-US"/>
        </w:rPr>
        <w:t>$25,000 to &lt; $35,000</w:t>
      </w:r>
    </w:p>
    <w:p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3 </w:t>
      </w:r>
      <w:r w:rsidRPr="006E6EA6">
        <w:rPr>
          <w:rFonts w:ascii="Arial Narrow" w:hAnsi="Arial Narrow"/>
          <w:i/>
          <w:snapToGrid w:val="0"/>
          <w:sz w:val="18"/>
          <w:szCs w:val="18"/>
          <w:lang w:eastAsia="en-US"/>
        </w:rPr>
        <w:t>$75,000 to &lt; $95,000</w:t>
      </w:r>
    </w:p>
    <w:p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4 </w:t>
      </w:r>
      <w:r w:rsidRPr="006E6EA6">
        <w:rPr>
          <w:rFonts w:ascii="Arial Narrow" w:hAnsi="Arial Narrow"/>
          <w:i/>
          <w:snapToGrid w:val="0"/>
          <w:sz w:val="18"/>
          <w:szCs w:val="18"/>
          <w:lang w:eastAsia="en-US"/>
        </w:rPr>
        <w:t>$45,000 to &lt; $55,000</w:t>
      </w:r>
    </w:p>
    <w:p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5 </w:t>
      </w:r>
      <w:r w:rsidRPr="006E6EA6">
        <w:rPr>
          <w:rFonts w:ascii="Arial Narrow" w:hAnsi="Arial Narrow"/>
          <w:i/>
          <w:snapToGrid w:val="0"/>
          <w:sz w:val="18"/>
          <w:szCs w:val="18"/>
          <w:lang w:eastAsia="en-US"/>
        </w:rPr>
        <w:t>$115,000 to &lt; $135,000</w:t>
      </w:r>
    </w:p>
    <w:p w:rsidR="006E6EA6" w:rsidRPr="006E6EA6" w:rsidRDefault="006E6EA6" w:rsidP="00FD38BF">
      <w:pPr>
        <w:keepNext/>
        <w:keepLines/>
        <w:rPr>
          <w:rFonts w:ascii="Arial Narrow" w:hAnsi="Arial Narrow"/>
          <w:i/>
          <w:snapToGrid w:val="0"/>
          <w:sz w:val="18"/>
          <w:szCs w:val="18"/>
          <w:lang w:eastAsia="en-US"/>
        </w:rPr>
      </w:pPr>
      <w:r>
        <w:rPr>
          <w:rFonts w:ascii="Arial Narrow" w:hAnsi="Arial Narrow"/>
          <w:i/>
          <w:snapToGrid w:val="0"/>
          <w:sz w:val="18"/>
          <w:szCs w:val="18"/>
          <w:vertAlign w:val="superscript"/>
          <w:lang w:eastAsia="en-US"/>
        </w:rPr>
        <w:t xml:space="preserve">6 </w:t>
      </w:r>
      <w:r w:rsidRPr="006E6EA6">
        <w:rPr>
          <w:rFonts w:ascii="Arial Narrow" w:hAnsi="Arial Narrow"/>
          <w:i/>
          <w:snapToGrid w:val="0"/>
          <w:sz w:val="18"/>
          <w:szCs w:val="18"/>
          <w:lang w:eastAsia="en-US"/>
        </w:rPr>
        <w:t>$155,000 to &lt; $255,000</w:t>
      </w:r>
    </w:p>
    <w:p w:rsidR="00123C5D" w:rsidRPr="00060B29" w:rsidRDefault="00931028" w:rsidP="00B15687">
      <w:pPr>
        <w:pStyle w:val="4-SubsectionHeading"/>
        <w:keepNext w:val="0"/>
      </w:pPr>
      <w:bookmarkStart w:id="35" w:name="_Toc22897646"/>
      <w:bookmarkStart w:id="36" w:name="_Toc58872441"/>
      <w:bookmarkStart w:id="37" w:name="_Hlk58381761"/>
      <w:r w:rsidRPr="00060B29">
        <w:t>Drug cost/patient/</w:t>
      </w:r>
      <w:r w:rsidR="00123C5D" w:rsidRPr="00060B29">
        <w:t>year</w:t>
      </w:r>
      <w:bookmarkEnd w:id="35"/>
      <w:bookmarkEnd w:id="36"/>
    </w:p>
    <w:p w:rsidR="000F5B3D" w:rsidRPr="00060B29" w:rsidRDefault="00507C45" w:rsidP="00B15687">
      <w:pPr>
        <w:pStyle w:val="3-BodyText"/>
        <w:rPr>
          <w:i/>
          <w:iCs/>
        </w:rPr>
      </w:pPr>
      <w:r w:rsidRPr="00060B29">
        <w:t>The drug cost per patient per year is presented in Table 13. The proposed price for nintedanib is $</w:t>
      </w:r>
      <w:r w:rsidR="006C3A17">
        <w:rPr>
          <w:noProof/>
          <w:color w:val="000000"/>
          <w:highlight w:val="black"/>
        </w:rPr>
        <w:t>'''''''''''</w:t>
      </w:r>
      <w:r w:rsidRPr="00060B29">
        <w:t xml:space="preserve"> per day or $</w:t>
      </w:r>
      <w:r w:rsidR="006C3A17">
        <w:rPr>
          <w:noProof/>
          <w:color w:val="000000"/>
          <w:highlight w:val="black"/>
        </w:rPr>
        <w:t>''''''''''''''''</w:t>
      </w:r>
      <w:r w:rsidRPr="00060B29">
        <w:t xml:space="preserve"> per</w:t>
      </w:r>
      <w:r w:rsidR="004F56A2">
        <w:t xml:space="preserve"> 30 days</w:t>
      </w:r>
      <w:r w:rsidR="00A96814" w:rsidRPr="00060B29">
        <w:t xml:space="preserve">, resulting in </w:t>
      </w:r>
      <w:r w:rsidR="000B6C64" w:rsidRPr="00060B29">
        <w:t xml:space="preserve">a cost of </w:t>
      </w:r>
      <w:r w:rsidR="00A96814" w:rsidRPr="00060B29">
        <w:t>$</w:t>
      </w:r>
      <w:r w:rsidR="006C3A17">
        <w:rPr>
          <w:noProof/>
          <w:color w:val="000000"/>
          <w:highlight w:val="black"/>
        </w:rPr>
        <w:t>''''''''''''''</w:t>
      </w:r>
      <w:r w:rsidR="00A96814" w:rsidRPr="00060B29">
        <w:t xml:space="preserve"> per patient per year.</w:t>
      </w:r>
      <w:r w:rsidRPr="00060B29">
        <w:t xml:space="preserve"> The patients start treatment with </w:t>
      </w:r>
      <w:r w:rsidR="00893310" w:rsidRPr="00060B29">
        <w:t>150</w:t>
      </w:r>
      <w:r w:rsidRPr="00060B29">
        <w:t xml:space="preserve"> mg </w:t>
      </w:r>
      <w:r w:rsidR="000B6C64" w:rsidRPr="00060B29">
        <w:t>twice/day</w:t>
      </w:r>
      <w:r w:rsidR="00F77D66" w:rsidRPr="00060B29">
        <w:t>,</w:t>
      </w:r>
      <w:r w:rsidRPr="00060B29">
        <w:t xml:space="preserve"> but this </w:t>
      </w:r>
      <w:r w:rsidR="00F77D66" w:rsidRPr="00060B29">
        <w:t>may be</w:t>
      </w:r>
      <w:r w:rsidRPr="00060B29">
        <w:t xml:space="preserve"> reduced to 100 mg </w:t>
      </w:r>
      <w:r w:rsidR="000B6C64" w:rsidRPr="00060B29">
        <w:t>twice/day</w:t>
      </w:r>
      <w:r w:rsidRPr="00060B29">
        <w:t xml:space="preserve"> or interrupted temporarily to manage adverse events.</w:t>
      </w:r>
      <w:r w:rsidR="0012728A" w:rsidRPr="00060B29">
        <w:t xml:space="preserve"> </w:t>
      </w:r>
    </w:p>
    <w:bookmarkEnd w:id="37"/>
    <w:p w:rsidR="00931028" w:rsidRPr="00060B29" w:rsidRDefault="00931028" w:rsidP="00FD38BF">
      <w:pPr>
        <w:keepNext/>
        <w:jc w:val="left"/>
        <w:rPr>
          <w:rFonts w:ascii="Arial Narrow" w:eastAsiaTheme="majorEastAsia" w:hAnsi="Arial Narrow" w:cstheme="majorBidi"/>
          <w:b/>
          <w:bCs/>
          <w:sz w:val="20"/>
        </w:rPr>
      </w:pPr>
      <w:r w:rsidRPr="00060B29">
        <w:rPr>
          <w:rFonts w:ascii="Arial Narrow" w:eastAsiaTheme="majorEastAsia" w:hAnsi="Arial Narrow" w:cstheme="majorBidi"/>
          <w:b/>
          <w:bCs/>
          <w:sz w:val="20"/>
        </w:rPr>
        <w:t>T</w:t>
      </w:r>
      <w:r w:rsidR="00507C45" w:rsidRPr="00060B29">
        <w:rPr>
          <w:rFonts w:ascii="Arial Narrow" w:eastAsiaTheme="majorEastAsia" w:hAnsi="Arial Narrow" w:cstheme="majorBidi"/>
          <w:b/>
          <w:bCs/>
          <w:sz w:val="20"/>
        </w:rPr>
        <w:t>able 13</w:t>
      </w:r>
      <w:r w:rsidRPr="00060B29">
        <w:rPr>
          <w:rFonts w:ascii="Arial Narrow" w:eastAsiaTheme="majorEastAsia" w:hAnsi="Arial Narrow" w:cstheme="majorBidi"/>
          <w:b/>
          <w:bCs/>
          <w:sz w:val="20"/>
        </w:rPr>
        <w:t xml:space="preserve">: Drug cost per patient for </w:t>
      </w:r>
      <w:r w:rsidR="00C03CAA" w:rsidRPr="00060B29">
        <w:rPr>
          <w:rFonts w:ascii="Arial Narrow" w:eastAsiaTheme="majorEastAsia" w:hAnsi="Arial Narrow" w:cstheme="majorBidi"/>
          <w:b/>
          <w:bCs/>
          <w:sz w:val="20"/>
        </w:rPr>
        <w:t>ninteda</w:t>
      </w:r>
      <w:r w:rsidRPr="00060B29">
        <w:rPr>
          <w:rFonts w:ascii="Arial Narrow" w:eastAsiaTheme="majorEastAsia" w:hAnsi="Arial Narrow" w:cstheme="majorBidi"/>
          <w:b/>
          <w:bCs/>
          <w:sz w:val="20"/>
        </w:rPr>
        <w:t xml:space="preserve">nib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30"/>
        <w:gridCol w:w="2162"/>
        <w:gridCol w:w="2158"/>
        <w:gridCol w:w="2166"/>
      </w:tblGrid>
      <w:tr w:rsidR="00A7181F" w:rsidRPr="00060B29" w:rsidTr="00A7181F">
        <w:trPr>
          <w:cantSplit/>
          <w:tblHeader/>
        </w:trPr>
        <w:tc>
          <w:tcPr>
            <w:tcW w:w="1403" w:type="pct"/>
            <w:shd w:val="clear" w:color="auto" w:fill="auto"/>
            <w:vAlign w:val="center"/>
          </w:tcPr>
          <w:p w:rsidR="00A7181F" w:rsidRPr="00060B29" w:rsidRDefault="00A7181F" w:rsidP="00FD38BF">
            <w:pPr>
              <w:keepNext/>
              <w:jc w:val="center"/>
              <w:rPr>
                <w:rFonts w:ascii="Arial Narrow" w:eastAsiaTheme="majorEastAsia" w:hAnsi="Arial Narrow" w:cs="Times New Roman"/>
                <w:b/>
                <w:sz w:val="20"/>
              </w:rPr>
            </w:pPr>
          </w:p>
        </w:tc>
        <w:tc>
          <w:tcPr>
            <w:tcW w:w="1199" w:type="pct"/>
            <w:shd w:val="clear" w:color="auto" w:fill="auto"/>
            <w:vAlign w:val="center"/>
          </w:tcPr>
          <w:p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Trial dose and duration</w:t>
            </w:r>
          </w:p>
        </w:tc>
        <w:tc>
          <w:tcPr>
            <w:tcW w:w="1197" w:type="pct"/>
            <w:shd w:val="clear" w:color="auto" w:fill="auto"/>
            <w:vAlign w:val="center"/>
          </w:tcPr>
          <w:p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Model</w:t>
            </w:r>
          </w:p>
        </w:tc>
        <w:tc>
          <w:tcPr>
            <w:tcW w:w="1201" w:type="pct"/>
            <w:shd w:val="clear" w:color="auto" w:fill="auto"/>
            <w:vAlign w:val="center"/>
          </w:tcPr>
          <w:p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Nintedanib</w:t>
            </w:r>
          </w:p>
          <w:p w:rsidR="00A7181F" w:rsidRPr="00060B29" w:rsidRDefault="00A7181F" w:rsidP="00FD38BF">
            <w:pPr>
              <w:keepNext/>
              <w:jc w:val="center"/>
              <w:rPr>
                <w:rFonts w:ascii="Arial Narrow" w:eastAsiaTheme="majorEastAsia" w:hAnsi="Arial Narrow" w:cs="Times New Roman"/>
                <w:b/>
                <w:sz w:val="20"/>
              </w:rPr>
            </w:pPr>
            <w:r w:rsidRPr="00060B29">
              <w:rPr>
                <w:rFonts w:ascii="Arial Narrow" w:eastAsiaTheme="majorEastAsia" w:hAnsi="Arial Narrow" w:cs="Times New Roman"/>
                <w:b/>
                <w:sz w:val="20"/>
              </w:rPr>
              <w:t>Financial estimates</w:t>
            </w:r>
          </w:p>
        </w:tc>
      </w:tr>
      <w:tr w:rsidR="00A7181F" w:rsidRPr="00060B29" w:rsidTr="00A7181F">
        <w:trPr>
          <w:cantSplit/>
        </w:trPr>
        <w:tc>
          <w:tcPr>
            <w:tcW w:w="1403" w:type="pct"/>
            <w:shd w:val="clear" w:color="auto" w:fill="auto"/>
            <w:vAlign w:val="center"/>
          </w:tcPr>
          <w:p w:rsidR="00A7181F" w:rsidRPr="00060B29" w:rsidRDefault="00A7181F" w:rsidP="00FD38BF">
            <w:pPr>
              <w:keepNext/>
              <w:jc w:val="left"/>
              <w:rPr>
                <w:rFonts w:ascii="Arial Narrow" w:eastAsiaTheme="majorEastAsia" w:hAnsi="Arial Narrow" w:cstheme="majorBidi"/>
                <w:bCs/>
                <w:sz w:val="20"/>
              </w:rPr>
            </w:pPr>
            <w:r w:rsidRPr="00060B29">
              <w:rPr>
                <w:rFonts w:ascii="Arial Narrow" w:eastAsiaTheme="majorEastAsia" w:hAnsi="Arial Narrow" w:cstheme="majorBidi"/>
                <w:bCs/>
                <w:sz w:val="20"/>
              </w:rPr>
              <w:t>Mean dose</w:t>
            </w:r>
          </w:p>
        </w:tc>
        <w:tc>
          <w:tcPr>
            <w:tcW w:w="1199" w:type="pct"/>
            <w:shd w:val="clear" w:color="auto" w:fill="auto"/>
            <w:vAlign w:val="center"/>
          </w:tcPr>
          <w:p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138.81 mg bid/day</w:t>
            </w:r>
            <w:r w:rsidRPr="00060B29">
              <w:rPr>
                <w:rFonts w:ascii="Arial Narrow" w:eastAsiaTheme="majorEastAsia" w:hAnsi="Arial Narrow" w:cstheme="majorBidi"/>
                <w:bCs/>
                <w:sz w:val="20"/>
                <w:vertAlign w:val="superscript"/>
              </w:rPr>
              <w:t>a</w:t>
            </w:r>
          </w:p>
        </w:tc>
        <w:tc>
          <w:tcPr>
            <w:tcW w:w="1197" w:type="pct"/>
            <w:shd w:val="clear" w:color="auto" w:fill="auto"/>
            <w:vAlign w:val="center"/>
          </w:tcPr>
          <w:p w:rsidR="00A7181F" w:rsidRPr="00060B29" w:rsidRDefault="00A7181F" w:rsidP="00FD38BF">
            <w:pPr>
              <w:keepNext/>
              <w:jc w:val="center"/>
              <w:rPr>
                <w:rFonts w:ascii="Arial Narrow" w:eastAsiaTheme="majorEastAsia" w:hAnsi="Arial Narrow" w:cstheme="majorBidi"/>
                <w:b/>
                <w:bCs/>
                <w:sz w:val="20"/>
              </w:rPr>
            </w:pPr>
            <w:r w:rsidRPr="00060B29">
              <w:rPr>
                <w:rFonts w:ascii="Arial Narrow" w:eastAsiaTheme="majorEastAsia" w:hAnsi="Arial Narrow" w:cstheme="majorBidi"/>
                <w:bCs/>
                <w:sz w:val="20"/>
              </w:rPr>
              <w:t>138.81 mg bd/day</w:t>
            </w:r>
          </w:p>
        </w:tc>
        <w:tc>
          <w:tcPr>
            <w:tcW w:w="1201" w:type="pct"/>
            <w:shd w:val="clear" w:color="auto" w:fill="auto"/>
            <w:vAlign w:val="center"/>
          </w:tcPr>
          <w:p w:rsidR="00A7181F" w:rsidRPr="00060B29" w:rsidRDefault="00A7181F" w:rsidP="00FD38BF">
            <w:pPr>
              <w:keepNext/>
              <w:jc w:val="center"/>
              <w:rPr>
                <w:rFonts w:ascii="Arial Narrow" w:eastAsiaTheme="majorEastAsia" w:hAnsi="Arial Narrow" w:cstheme="majorBidi"/>
                <w:b/>
                <w:bCs/>
                <w:sz w:val="20"/>
              </w:rPr>
            </w:pPr>
            <w:r w:rsidRPr="00060B29">
              <w:rPr>
                <w:rFonts w:ascii="Arial Narrow" w:eastAsiaTheme="majorEastAsia" w:hAnsi="Arial Narrow" w:cstheme="majorBidi"/>
                <w:bCs/>
                <w:sz w:val="20"/>
              </w:rPr>
              <w:t>138.81 mg bid/day</w:t>
            </w:r>
          </w:p>
        </w:tc>
      </w:tr>
      <w:tr w:rsidR="00A7181F" w:rsidRPr="00060B29" w:rsidTr="00A7181F">
        <w:trPr>
          <w:cantSplit/>
        </w:trPr>
        <w:tc>
          <w:tcPr>
            <w:tcW w:w="1403" w:type="pct"/>
            <w:shd w:val="clear" w:color="auto" w:fill="auto"/>
            <w:vAlign w:val="center"/>
          </w:tcPr>
          <w:p w:rsidR="00A7181F" w:rsidRPr="00060B29" w:rsidRDefault="00A7181F" w:rsidP="00FD38BF">
            <w:pPr>
              <w:keepNext/>
              <w:jc w:val="left"/>
              <w:rPr>
                <w:rFonts w:ascii="Arial Narrow" w:eastAsiaTheme="majorEastAsia" w:hAnsi="Arial Narrow" w:cstheme="majorBidi"/>
                <w:bCs/>
                <w:sz w:val="20"/>
              </w:rPr>
            </w:pPr>
            <w:r w:rsidRPr="00060B29">
              <w:rPr>
                <w:rFonts w:ascii="Arial Narrow" w:eastAsiaTheme="majorEastAsia" w:hAnsi="Arial Narrow" w:cstheme="majorBidi"/>
                <w:bCs/>
                <w:sz w:val="20"/>
              </w:rPr>
              <w:t>Mean duration</w:t>
            </w:r>
          </w:p>
        </w:tc>
        <w:tc>
          <w:tcPr>
            <w:tcW w:w="1199" w:type="pct"/>
            <w:shd w:val="clear" w:color="auto" w:fill="auto"/>
            <w:vAlign w:val="center"/>
          </w:tcPr>
          <w:p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1 year</w:t>
            </w:r>
          </w:p>
        </w:tc>
        <w:tc>
          <w:tcPr>
            <w:tcW w:w="1197" w:type="pct"/>
            <w:shd w:val="clear" w:color="auto" w:fill="auto"/>
            <w:vAlign w:val="center"/>
          </w:tcPr>
          <w:p w:rsidR="00A7181F" w:rsidRPr="00060B29" w:rsidRDefault="00A7181F" w:rsidP="00FD38BF">
            <w:pPr>
              <w:keepNext/>
              <w:jc w:val="center"/>
              <w:rPr>
                <w:rFonts w:ascii="Arial Narrow" w:eastAsiaTheme="majorEastAsia" w:hAnsi="Arial Narrow" w:cstheme="majorBidi"/>
                <w:b/>
                <w:bCs/>
                <w:sz w:val="20"/>
              </w:rPr>
            </w:pPr>
            <w:r w:rsidRPr="00060B29">
              <w:rPr>
                <w:rFonts w:ascii="Arial Narrow" w:eastAsiaTheme="majorEastAsia" w:hAnsi="Arial Narrow" w:cstheme="majorBidi"/>
                <w:bCs/>
                <w:sz w:val="20"/>
              </w:rPr>
              <w:t>1 year</w:t>
            </w:r>
          </w:p>
        </w:tc>
        <w:tc>
          <w:tcPr>
            <w:tcW w:w="1201" w:type="pct"/>
            <w:shd w:val="clear" w:color="auto" w:fill="auto"/>
            <w:vAlign w:val="center"/>
          </w:tcPr>
          <w:p w:rsidR="00A7181F" w:rsidRPr="00060B29" w:rsidRDefault="00A7181F" w:rsidP="00FD38BF">
            <w:pPr>
              <w:keepNext/>
              <w:jc w:val="center"/>
              <w:rPr>
                <w:rFonts w:ascii="Arial Narrow" w:eastAsiaTheme="majorEastAsia" w:hAnsi="Arial Narrow" w:cstheme="majorBidi"/>
                <w:b/>
                <w:bCs/>
                <w:sz w:val="20"/>
              </w:rPr>
            </w:pPr>
            <w:r w:rsidRPr="00060B29">
              <w:rPr>
                <w:rFonts w:ascii="Arial Narrow" w:eastAsiaTheme="majorEastAsia" w:hAnsi="Arial Narrow" w:cstheme="majorBidi"/>
                <w:bCs/>
                <w:sz w:val="20"/>
              </w:rPr>
              <w:t>1 year</w:t>
            </w:r>
          </w:p>
        </w:tc>
      </w:tr>
      <w:tr w:rsidR="00A7181F" w:rsidRPr="00060B29" w:rsidTr="00A7181F">
        <w:trPr>
          <w:cantSplit/>
        </w:trPr>
        <w:tc>
          <w:tcPr>
            <w:tcW w:w="1403" w:type="pct"/>
            <w:shd w:val="clear" w:color="auto" w:fill="auto"/>
            <w:vAlign w:val="center"/>
          </w:tcPr>
          <w:p w:rsidR="00A7181F" w:rsidRPr="00060B29" w:rsidRDefault="00A7181F" w:rsidP="00FD38BF">
            <w:pPr>
              <w:keepNext/>
              <w:jc w:val="left"/>
              <w:rPr>
                <w:rFonts w:ascii="Arial Narrow" w:eastAsiaTheme="majorEastAsia" w:hAnsi="Arial Narrow" w:cstheme="majorBidi"/>
                <w:bCs/>
                <w:sz w:val="20"/>
              </w:rPr>
            </w:pPr>
            <w:r w:rsidRPr="00060B29">
              <w:rPr>
                <w:rFonts w:ascii="Arial Narrow" w:eastAsiaTheme="majorEastAsia" w:hAnsi="Arial Narrow" w:cstheme="majorBidi"/>
                <w:bCs/>
                <w:sz w:val="20"/>
              </w:rPr>
              <w:t>Cost/patient/month (cycle)</w:t>
            </w:r>
          </w:p>
        </w:tc>
        <w:tc>
          <w:tcPr>
            <w:tcW w:w="1199" w:type="pct"/>
            <w:shd w:val="clear" w:color="auto" w:fill="auto"/>
            <w:vAlign w:val="center"/>
          </w:tcPr>
          <w:p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r w:rsidRPr="00060B29">
              <w:rPr>
                <w:rFonts w:ascii="Arial Narrow" w:eastAsiaTheme="majorEastAsia" w:hAnsi="Arial Narrow" w:cstheme="majorBidi"/>
                <w:bCs/>
                <w:sz w:val="20"/>
                <w:vertAlign w:val="superscript"/>
              </w:rPr>
              <w:t>b</w:t>
            </w:r>
          </w:p>
          <w:p w:rsidR="00A7181F" w:rsidRPr="00060B29" w:rsidRDefault="00A7181F" w:rsidP="00FD38BF">
            <w:pPr>
              <w:keepNext/>
              <w:jc w:val="center"/>
              <w:rPr>
                <w:rFonts w:ascii="Arial Narrow" w:eastAsiaTheme="majorEastAsia" w:hAnsi="Arial Narrow" w:cstheme="majorBidi"/>
                <w:bCs/>
                <w:i/>
                <w:sz w:val="20"/>
              </w:rPr>
            </w:pPr>
          </w:p>
        </w:tc>
        <w:tc>
          <w:tcPr>
            <w:tcW w:w="1197" w:type="pct"/>
            <w:shd w:val="clear" w:color="auto" w:fill="auto"/>
            <w:vAlign w:val="center"/>
          </w:tcPr>
          <w:p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p>
          <w:p w:rsidR="00A7181F" w:rsidRPr="00060B29" w:rsidRDefault="00A7181F" w:rsidP="00FD38BF">
            <w:pPr>
              <w:keepNext/>
              <w:jc w:val="center"/>
              <w:rPr>
                <w:rFonts w:ascii="Arial Narrow" w:eastAsiaTheme="majorEastAsia" w:hAnsi="Arial Narrow" w:cstheme="majorBidi"/>
                <w:bCs/>
                <w:i/>
                <w:sz w:val="20"/>
              </w:rPr>
            </w:pPr>
          </w:p>
        </w:tc>
        <w:tc>
          <w:tcPr>
            <w:tcW w:w="1201" w:type="pct"/>
            <w:shd w:val="clear" w:color="auto" w:fill="auto"/>
            <w:vAlign w:val="center"/>
          </w:tcPr>
          <w:p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p>
          <w:p w:rsidR="00A7181F" w:rsidRPr="00060B29" w:rsidRDefault="00A7181F" w:rsidP="00FD38BF">
            <w:pPr>
              <w:keepNext/>
              <w:jc w:val="center"/>
              <w:rPr>
                <w:rFonts w:ascii="Arial Narrow" w:eastAsiaTheme="majorEastAsia" w:hAnsi="Arial Narrow" w:cstheme="majorBidi"/>
                <w:bCs/>
                <w:i/>
                <w:sz w:val="20"/>
              </w:rPr>
            </w:pPr>
          </w:p>
        </w:tc>
      </w:tr>
      <w:tr w:rsidR="00A7181F" w:rsidRPr="00060B29" w:rsidTr="00A7181F">
        <w:trPr>
          <w:cantSplit/>
        </w:trPr>
        <w:tc>
          <w:tcPr>
            <w:tcW w:w="1403" w:type="pct"/>
            <w:shd w:val="clear" w:color="auto" w:fill="auto"/>
            <w:vAlign w:val="center"/>
          </w:tcPr>
          <w:p w:rsidR="00A7181F" w:rsidRPr="00060B29" w:rsidRDefault="00A7181F" w:rsidP="00FD38BF">
            <w:pPr>
              <w:keepNext/>
              <w:jc w:val="left"/>
              <w:rPr>
                <w:rFonts w:ascii="Arial Narrow" w:eastAsiaTheme="majorEastAsia" w:hAnsi="Arial Narrow" w:cstheme="majorBidi"/>
                <w:bCs/>
                <w:sz w:val="20"/>
              </w:rPr>
            </w:pPr>
            <w:r w:rsidRPr="00060B29">
              <w:rPr>
                <w:rFonts w:ascii="Arial Narrow" w:eastAsiaTheme="majorEastAsia" w:hAnsi="Arial Narrow" w:cstheme="majorBidi"/>
                <w:bCs/>
                <w:sz w:val="20"/>
              </w:rPr>
              <w:t>Cost/patient/year</w:t>
            </w:r>
          </w:p>
        </w:tc>
        <w:tc>
          <w:tcPr>
            <w:tcW w:w="1199" w:type="pct"/>
            <w:shd w:val="clear" w:color="auto" w:fill="auto"/>
            <w:vAlign w:val="center"/>
          </w:tcPr>
          <w:p w:rsidR="00A7181F" w:rsidRPr="00060B29" w:rsidRDefault="00A7181F" w:rsidP="00FD38BF">
            <w:pPr>
              <w:keepNext/>
              <w:jc w:val="center"/>
              <w:rPr>
                <w:rFonts w:ascii="Arial Narrow" w:eastAsiaTheme="majorEastAsia" w:hAnsi="Arial Narrow" w:cstheme="majorBidi"/>
                <w:bCs/>
                <w:sz w:val="20"/>
                <w:vertAlign w:val="superscript"/>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r w:rsidRPr="00060B29">
              <w:rPr>
                <w:rFonts w:ascii="Arial Narrow" w:eastAsiaTheme="majorEastAsia" w:hAnsi="Arial Narrow" w:cstheme="majorBidi"/>
                <w:bCs/>
                <w:sz w:val="20"/>
                <w:vertAlign w:val="superscript"/>
              </w:rPr>
              <w:t>c</w:t>
            </w:r>
          </w:p>
          <w:p w:rsidR="00A7181F" w:rsidRPr="00060B29" w:rsidRDefault="00A7181F" w:rsidP="00FD38BF">
            <w:pPr>
              <w:keepNext/>
              <w:jc w:val="center"/>
              <w:rPr>
                <w:rFonts w:ascii="Arial Narrow" w:eastAsiaTheme="majorEastAsia" w:hAnsi="Arial Narrow" w:cstheme="majorBidi"/>
                <w:bCs/>
                <w:i/>
                <w:sz w:val="20"/>
              </w:rPr>
            </w:pPr>
          </w:p>
        </w:tc>
        <w:tc>
          <w:tcPr>
            <w:tcW w:w="1197" w:type="pct"/>
            <w:shd w:val="clear" w:color="auto" w:fill="auto"/>
            <w:vAlign w:val="center"/>
          </w:tcPr>
          <w:p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p>
          <w:p w:rsidR="00A7181F" w:rsidRPr="00060B29" w:rsidRDefault="00A7181F" w:rsidP="00FD38BF">
            <w:pPr>
              <w:keepNext/>
              <w:jc w:val="center"/>
              <w:rPr>
                <w:rFonts w:ascii="Arial Narrow" w:eastAsiaTheme="majorEastAsia" w:hAnsi="Arial Narrow" w:cstheme="majorBidi"/>
                <w:bCs/>
                <w:sz w:val="20"/>
              </w:rPr>
            </w:pPr>
          </w:p>
        </w:tc>
        <w:tc>
          <w:tcPr>
            <w:tcW w:w="1201" w:type="pct"/>
            <w:shd w:val="clear" w:color="auto" w:fill="auto"/>
            <w:vAlign w:val="center"/>
          </w:tcPr>
          <w:p w:rsidR="00A7181F" w:rsidRPr="00060B29" w:rsidRDefault="00A7181F" w:rsidP="00FD38BF">
            <w:pPr>
              <w:keepNext/>
              <w:jc w:val="center"/>
              <w:rPr>
                <w:rFonts w:ascii="Arial Narrow" w:eastAsiaTheme="majorEastAsia" w:hAnsi="Arial Narrow" w:cstheme="majorBidi"/>
                <w:bCs/>
                <w:sz w:val="20"/>
              </w:rPr>
            </w:pPr>
            <w:r w:rsidRPr="00060B29">
              <w:rPr>
                <w:rFonts w:ascii="Arial Narrow" w:eastAsiaTheme="majorEastAsia" w:hAnsi="Arial Narrow" w:cstheme="majorBidi"/>
                <w:bCs/>
                <w:sz w:val="20"/>
              </w:rPr>
              <w:t>$</w:t>
            </w:r>
            <w:r w:rsidR="006C3A17">
              <w:rPr>
                <w:rFonts w:ascii="Arial Narrow" w:eastAsiaTheme="majorEastAsia" w:hAnsi="Arial Narrow" w:cstheme="majorBidi"/>
                <w:bCs/>
                <w:noProof/>
                <w:color w:val="000000"/>
                <w:sz w:val="20"/>
                <w:highlight w:val="black"/>
              </w:rPr>
              <w:t>''''''''''''''''</w:t>
            </w:r>
          </w:p>
          <w:p w:rsidR="00A7181F" w:rsidRPr="00060B29" w:rsidRDefault="00A7181F" w:rsidP="00FD38BF">
            <w:pPr>
              <w:keepNext/>
              <w:jc w:val="center"/>
              <w:rPr>
                <w:rFonts w:ascii="Arial Narrow" w:eastAsiaTheme="majorEastAsia" w:hAnsi="Arial Narrow" w:cstheme="majorBidi"/>
                <w:bCs/>
                <w:sz w:val="20"/>
              </w:rPr>
            </w:pPr>
          </w:p>
        </w:tc>
      </w:tr>
    </w:tbl>
    <w:p w:rsidR="006E6488" w:rsidRPr="00060B29" w:rsidRDefault="004405E4" w:rsidP="00FD38BF">
      <w:pPr>
        <w:keepNext/>
        <w:spacing w:after="120"/>
        <w:contextualSpacing/>
        <w:rPr>
          <w:rFonts w:ascii="Arial Narrow" w:hAnsi="Arial Narrow"/>
          <w:snapToGrid w:val="0"/>
          <w:sz w:val="18"/>
          <w:szCs w:val="22"/>
        </w:rPr>
      </w:pPr>
      <w:r w:rsidRPr="00060B29">
        <w:rPr>
          <w:rFonts w:ascii="Arial Narrow" w:hAnsi="Arial Narrow"/>
          <w:snapToGrid w:val="0"/>
          <w:sz w:val="18"/>
          <w:szCs w:val="22"/>
        </w:rPr>
        <w:t>Source: Table 3.14, p194 of the submission; p208 of the submission</w:t>
      </w:r>
      <w:r w:rsidR="0012728A" w:rsidRPr="00060B29">
        <w:rPr>
          <w:rFonts w:ascii="Arial Narrow" w:hAnsi="Arial Narrow"/>
          <w:snapToGrid w:val="0"/>
          <w:sz w:val="18"/>
          <w:szCs w:val="22"/>
        </w:rPr>
        <w:t xml:space="preserve">. </w:t>
      </w:r>
    </w:p>
    <w:p w:rsidR="00931028" w:rsidRPr="00060B29" w:rsidRDefault="00931028" w:rsidP="00FD38BF">
      <w:pPr>
        <w:keepNext/>
        <w:spacing w:after="120"/>
        <w:contextualSpacing/>
        <w:rPr>
          <w:rFonts w:ascii="Arial Narrow" w:hAnsi="Arial Narrow"/>
          <w:snapToGrid w:val="0"/>
          <w:sz w:val="18"/>
          <w:szCs w:val="22"/>
        </w:rPr>
      </w:pPr>
      <w:r w:rsidRPr="00060B29">
        <w:rPr>
          <w:rFonts w:ascii="Arial Narrow" w:hAnsi="Arial Narrow"/>
          <w:snapToGrid w:val="0"/>
          <w:sz w:val="18"/>
          <w:szCs w:val="22"/>
          <w:vertAlign w:val="superscript"/>
        </w:rPr>
        <w:t>a</w:t>
      </w:r>
      <w:r w:rsidRPr="00060B29">
        <w:rPr>
          <w:rFonts w:ascii="Arial Narrow" w:hAnsi="Arial Narrow"/>
          <w:snapToGrid w:val="0"/>
          <w:sz w:val="18"/>
          <w:szCs w:val="22"/>
        </w:rPr>
        <w:t>150 mg x 77.62% + 100 mg x 22.38%; The proportions (77.62% and 22.38% for 150 mg and 100mg respectively) were estimated based on the INBUILD trial.</w:t>
      </w:r>
    </w:p>
    <w:p w:rsidR="00931028" w:rsidRPr="00060B29" w:rsidRDefault="00931028" w:rsidP="00FD38BF">
      <w:pPr>
        <w:keepNext/>
        <w:spacing w:after="120"/>
        <w:contextualSpacing/>
        <w:rPr>
          <w:rFonts w:ascii="Arial Narrow" w:hAnsi="Arial Narrow"/>
          <w:snapToGrid w:val="0"/>
          <w:sz w:val="18"/>
          <w:szCs w:val="22"/>
        </w:rPr>
      </w:pPr>
      <w:r w:rsidRPr="00060B29">
        <w:rPr>
          <w:rFonts w:ascii="Arial Narrow" w:hAnsi="Arial Narrow"/>
          <w:snapToGrid w:val="0"/>
          <w:sz w:val="18"/>
          <w:szCs w:val="22"/>
          <w:vertAlign w:val="superscript"/>
        </w:rPr>
        <w:t>b</w:t>
      </w:r>
      <w:r w:rsidRPr="00060B29">
        <w:rPr>
          <w:rFonts w:ascii="Arial Narrow" w:hAnsi="Arial Narrow"/>
          <w:snapToGrid w:val="0"/>
          <w:sz w:val="18"/>
          <w:szCs w:val="22"/>
        </w:rPr>
        <w:t>$</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x 77.62% +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x 22.38%; where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and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were DPMQs (effective prices).</w:t>
      </w:r>
    </w:p>
    <w:p w:rsidR="0012728A" w:rsidRPr="00060B29" w:rsidRDefault="00931028" w:rsidP="00FD38BF">
      <w:pPr>
        <w:keepNext/>
        <w:spacing w:after="120"/>
        <w:contextualSpacing/>
        <w:rPr>
          <w:rFonts w:ascii="Arial Narrow" w:hAnsi="Arial Narrow"/>
          <w:snapToGrid w:val="0"/>
          <w:sz w:val="18"/>
          <w:szCs w:val="22"/>
        </w:rPr>
      </w:pPr>
      <w:r w:rsidRPr="00060B29">
        <w:rPr>
          <w:rFonts w:ascii="Arial Narrow" w:hAnsi="Arial Narrow"/>
          <w:snapToGrid w:val="0"/>
          <w:sz w:val="18"/>
          <w:szCs w:val="22"/>
          <w:vertAlign w:val="superscript"/>
        </w:rPr>
        <w:t>c</w:t>
      </w:r>
      <w:r w:rsidRPr="00060B29">
        <w:rPr>
          <w:rFonts w:ascii="Arial Narrow" w:hAnsi="Arial Narrow"/>
          <w:snapToGrid w:val="0"/>
          <w:sz w:val="18"/>
          <w:szCs w:val="22"/>
        </w:rPr>
        <w:t>22.38% x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+ 77.62% x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where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w:t>
      </w:r>
      <w:r w:rsidR="007B3F4B" w:rsidRPr="00060B29">
        <w:rPr>
          <w:rFonts w:ascii="Arial Narrow" w:hAnsi="Arial Narrow"/>
          <w:snapToGrid w:val="0"/>
          <w:sz w:val="18"/>
          <w:szCs w:val="22"/>
        </w:rPr>
        <w:t>$</w:t>
      </w:r>
      <w:r w:rsidR="006C3A17">
        <w:rPr>
          <w:rFonts w:ascii="Arial Narrow" w:hAnsi="Arial Narrow"/>
          <w:noProof/>
          <w:snapToGrid w:val="0"/>
          <w:color w:val="000000"/>
          <w:sz w:val="18"/>
          <w:szCs w:val="22"/>
          <w:highlight w:val="black"/>
        </w:rPr>
        <w:t>''''''''''''''''''''</w:t>
      </w:r>
      <w:r w:rsidR="007B3F4B" w:rsidRPr="00060B29">
        <w:rPr>
          <w:rFonts w:ascii="Arial Narrow" w:hAnsi="Arial Narrow"/>
          <w:snapToGrid w:val="0"/>
          <w:sz w:val="18"/>
          <w:szCs w:val="22"/>
        </w:rPr>
        <w:t xml:space="preserve"> x [365.25/(60/2)]</w:t>
      </w:r>
      <w:r w:rsidRPr="00060B29">
        <w:rPr>
          <w:rFonts w:ascii="Arial Narrow" w:hAnsi="Arial Narrow"/>
          <w:snapToGrid w:val="0"/>
          <w:sz w:val="18"/>
          <w:szCs w:val="22"/>
        </w:rPr>
        <w:t xml:space="preserve"> and $</w:t>
      </w:r>
      <w:r w:rsidR="006C3A17">
        <w:rPr>
          <w:rFonts w:ascii="Arial Narrow" w:hAnsi="Arial Narrow"/>
          <w:noProof/>
          <w:snapToGrid w:val="0"/>
          <w:color w:val="000000"/>
          <w:sz w:val="18"/>
          <w:szCs w:val="22"/>
          <w:highlight w:val="black"/>
        </w:rPr>
        <w:t>''''''''''''''''''</w:t>
      </w:r>
      <w:r w:rsidRPr="00060B29">
        <w:rPr>
          <w:rFonts w:ascii="Arial Narrow" w:hAnsi="Arial Narrow"/>
          <w:snapToGrid w:val="0"/>
          <w:sz w:val="18"/>
          <w:szCs w:val="22"/>
        </w:rPr>
        <w:t xml:space="preserve">= </w:t>
      </w:r>
      <w:r w:rsidR="007B3F4B" w:rsidRPr="00060B29">
        <w:rPr>
          <w:rFonts w:ascii="Arial Narrow" w:hAnsi="Arial Narrow"/>
          <w:snapToGrid w:val="0"/>
          <w:sz w:val="18"/>
          <w:szCs w:val="22"/>
        </w:rPr>
        <w:t>$</w:t>
      </w:r>
      <w:r w:rsidR="006C3A17">
        <w:rPr>
          <w:rFonts w:ascii="Arial Narrow" w:hAnsi="Arial Narrow"/>
          <w:noProof/>
          <w:snapToGrid w:val="0"/>
          <w:color w:val="000000"/>
          <w:sz w:val="18"/>
          <w:szCs w:val="22"/>
          <w:highlight w:val="black"/>
        </w:rPr>
        <w:t>'''''''''''''''''''''''</w:t>
      </w:r>
      <w:r w:rsidR="007B3F4B" w:rsidRPr="00060B29">
        <w:rPr>
          <w:rFonts w:ascii="Arial Narrow" w:hAnsi="Arial Narrow"/>
          <w:snapToGrid w:val="0"/>
          <w:sz w:val="18"/>
          <w:szCs w:val="22"/>
        </w:rPr>
        <w:t xml:space="preserve"> x [365.25/(60/2)]</w:t>
      </w:r>
      <w:r w:rsidRPr="00060B29">
        <w:rPr>
          <w:rFonts w:ascii="Arial Narrow" w:hAnsi="Arial Narrow"/>
          <w:snapToGrid w:val="0"/>
          <w:sz w:val="18"/>
          <w:szCs w:val="22"/>
        </w:rPr>
        <w:t>; Number of capsules =60.</w:t>
      </w:r>
    </w:p>
    <w:p w:rsidR="00123C5D" w:rsidRPr="00060B29" w:rsidRDefault="00123C5D" w:rsidP="00B15687">
      <w:pPr>
        <w:pStyle w:val="4-SubsectionHeading"/>
        <w:keepNext w:val="0"/>
      </w:pPr>
      <w:bookmarkStart w:id="38" w:name="_Toc22897647"/>
      <w:bookmarkStart w:id="39" w:name="_Toc58872442"/>
      <w:r w:rsidRPr="00060B29">
        <w:t>Estimated PBS usage &amp; financial implications</w:t>
      </w:r>
      <w:bookmarkEnd w:id="38"/>
      <w:bookmarkEnd w:id="39"/>
    </w:p>
    <w:p w:rsidR="00123C5D" w:rsidRPr="00060B29" w:rsidRDefault="005742CF" w:rsidP="00B15687">
      <w:pPr>
        <w:pStyle w:val="3-BodyText"/>
      </w:pPr>
      <w:bookmarkStart w:id="40" w:name="_Hlk50110924"/>
      <w:r w:rsidRPr="00060B29">
        <w:t xml:space="preserve">The </w:t>
      </w:r>
      <w:bookmarkEnd w:id="40"/>
      <w:r w:rsidR="007702DD" w:rsidRPr="00060B29">
        <w:t xml:space="preserve">submission was considered by DUSC. </w:t>
      </w:r>
    </w:p>
    <w:p w:rsidR="00481296" w:rsidRPr="00895361" w:rsidRDefault="00530FBD" w:rsidP="00B15687">
      <w:pPr>
        <w:pStyle w:val="3-BodyText"/>
      </w:pPr>
      <w:r w:rsidRPr="00060B29">
        <w:t xml:space="preserve">The submission used an epidemiological approach to estimate the utilisation and financial implications associated with the requested PBS listing of nintedanib for </w:t>
      </w:r>
      <w:r w:rsidR="00481296">
        <w:t>PF-ILD</w:t>
      </w:r>
      <w:r w:rsidRPr="00060B29">
        <w:t>.</w:t>
      </w:r>
      <w:r w:rsidR="00481296" w:rsidRPr="00481296">
        <w:t xml:space="preserve"> </w:t>
      </w:r>
    </w:p>
    <w:p w:rsidR="00481296" w:rsidRPr="00123C5D" w:rsidRDefault="00481296" w:rsidP="00B15687">
      <w:pPr>
        <w:pStyle w:val="3-BodyText"/>
      </w:pPr>
      <w:r w:rsidRPr="00895361">
        <w:t xml:space="preserve">Table 14 outlines the sources of data used to calculate the financial impact as </w:t>
      </w:r>
      <w:r w:rsidRPr="00123C5D">
        <w:t>described in the</w:t>
      </w:r>
      <w:r>
        <w:t xml:space="preserve"> </w:t>
      </w:r>
      <w:r w:rsidRPr="00123C5D">
        <w:t>submission.</w:t>
      </w:r>
    </w:p>
    <w:p w:rsidR="00481296" w:rsidRPr="00123C5D" w:rsidRDefault="00481296" w:rsidP="00FD38BF">
      <w:pPr>
        <w:keepNext/>
        <w:jc w:val="left"/>
        <w:rPr>
          <w:rFonts w:ascii="Arial Narrow" w:eastAsiaTheme="majorEastAsia" w:hAnsi="Arial Narrow" w:cstheme="majorBidi"/>
          <w:b/>
          <w:bCs/>
          <w:sz w:val="20"/>
        </w:rPr>
      </w:pPr>
      <w:r w:rsidRPr="00F272B6">
        <w:rPr>
          <w:rFonts w:ascii="Arial Narrow" w:eastAsiaTheme="majorEastAsia" w:hAnsi="Arial Narrow" w:cstheme="majorBidi"/>
          <w:b/>
          <w:bCs/>
          <w:sz w:val="20"/>
        </w:rPr>
        <w:t>Table 14: Key</w:t>
      </w:r>
      <w:r w:rsidRPr="00123C5D">
        <w:rPr>
          <w:rFonts w:ascii="Arial Narrow" w:eastAsiaTheme="majorEastAsia" w:hAnsi="Arial Narrow" w:cstheme="majorBidi"/>
          <w:b/>
          <w:bCs/>
          <w:sz w:val="20"/>
        </w:rPr>
        <w:t xml:space="preserve"> inputs for financial estimates</w:t>
      </w:r>
    </w:p>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10"/>
        <w:gridCol w:w="5158"/>
      </w:tblGrid>
      <w:tr w:rsidR="00481296" w:rsidRPr="00123C5D" w:rsidTr="00A7181F">
        <w:trPr>
          <w:trHeight w:val="226"/>
          <w:tblHeader/>
        </w:trPr>
        <w:tc>
          <w:tcPr>
            <w:tcW w:w="1413" w:type="dxa"/>
            <w:vAlign w:val="center"/>
          </w:tcPr>
          <w:p w:rsidR="00481296" w:rsidRPr="00123C5D" w:rsidRDefault="00481296" w:rsidP="00FD38BF">
            <w:pPr>
              <w:keepNext/>
              <w:jc w:val="center"/>
              <w:rPr>
                <w:rFonts w:ascii="Arial Narrow" w:eastAsiaTheme="majorEastAsia" w:hAnsi="Arial Narrow" w:cs="Times New Roman"/>
                <w:b/>
                <w:sz w:val="20"/>
                <w:lang w:val="en-US"/>
              </w:rPr>
            </w:pPr>
            <w:r w:rsidRPr="00123C5D">
              <w:rPr>
                <w:rFonts w:ascii="Arial Narrow" w:eastAsiaTheme="majorEastAsia" w:hAnsi="Arial Narrow" w:cs="Times New Roman"/>
                <w:b/>
                <w:sz w:val="20"/>
                <w:lang w:val="en-US"/>
              </w:rPr>
              <w:t>Data</w:t>
            </w:r>
          </w:p>
        </w:tc>
        <w:tc>
          <w:tcPr>
            <w:tcW w:w="2410" w:type="dxa"/>
            <w:vAlign w:val="center"/>
          </w:tcPr>
          <w:p w:rsidR="00481296" w:rsidRPr="00123C5D" w:rsidRDefault="00481296" w:rsidP="00FD38BF">
            <w:pPr>
              <w:keepNext/>
              <w:jc w:val="center"/>
              <w:rPr>
                <w:rFonts w:ascii="Arial Narrow" w:eastAsiaTheme="majorEastAsia" w:hAnsi="Arial Narrow" w:cs="Times New Roman"/>
                <w:b/>
                <w:sz w:val="20"/>
                <w:lang w:val="en-US"/>
              </w:rPr>
            </w:pPr>
            <w:r w:rsidRPr="00123C5D">
              <w:rPr>
                <w:rFonts w:ascii="Arial Narrow" w:eastAsiaTheme="majorEastAsia" w:hAnsi="Arial Narrow" w:cs="Times New Roman"/>
                <w:b/>
                <w:sz w:val="20"/>
                <w:lang w:val="en-US"/>
              </w:rPr>
              <w:t>Value</w:t>
            </w:r>
          </w:p>
        </w:tc>
        <w:tc>
          <w:tcPr>
            <w:tcW w:w="5158" w:type="dxa"/>
            <w:vAlign w:val="center"/>
          </w:tcPr>
          <w:p w:rsidR="00481296" w:rsidRPr="00123C5D" w:rsidRDefault="00481296" w:rsidP="00FD38BF">
            <w:pPr>
              <w:keepNext/>
              <w:jc w:val="center"/>
              <w:rPr>
                <w:rFonts w:ascii="Arial Narrow" w:eastAsiaTheme="majorEastAsia" w:hAnsi="Arial Narrow" w:cs="Times New Roman"/>
                <w:b/>
                <w:sz w:val="20"/>
                <w:lang w:val="en-US"/>
              </w:rPr>
            </w:pPr>
            <w:r w:rsidRPr="00123C5D">
              <w:rPr>
                <w:rFonts w:ascii="Arial Narrow" w:eastAsiaTheme="majorEastAsia" w:hAnsi="Arial Narrow" w:cs="Times New Roman"/>
                <w:b/>
                <w:sz w:val="20"/>
                <w:lang w:val="en-US"/>
              </w:rPr>
              <w:t>Comment</w:t>
            </w:r>
          </w:p>
        </w:tc>
      </w:tr>
      <w:tr w:rsidR="00481296" w:rsidRPr="00123C5D" w:rsidTr="00A7181F">
        <w:trPr>
          <w:trHeight w:val="1930"/>
        </w:trPr>
        <w:tc>
          <w:tcPr>
            <w:tcW w:w="1413"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Prevalence of disease</w:t>
            </w:r>
          </w:p>
        </w:tc>
        <w:tc>
          <w:tcPr>
            <w:tcW w:w="2410"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9.08 per 100,000</w:t>
            </w:r>
          </w:p>
        </w:tc>
        <w:tc>
          <w:tcPr>
            <w:tcW w:w="5158" w:type="dxa"/>
            <w:vAlign w:val="center"/>
          </w:tcPr>
          <w:p w:rsidR="00481296" w:rsidRPr="00A31981" w:rsidRDefault="00481296" w:rsidP="00FD38BF">
            <w:pPr>
              <w:keepNext/>
              <w:jc w:val="left"/>
              <w:rPr>
                <w:rFonts w:ascii="Arial Narrow" w:eastAsiaTheme="majorEastAsia" w:hAnsi="Arial Narrow" w:cstheme="majorBidi"/>
                <w:bCs/>
                <w:sz w:val="20"/>
              </w:rPr>
            </w:pPr>
            <w:r w:rsidRPr="00A31981">
              <w:rPr>
                <w:rFonts w:ascii="Arial Narrow" w:eastAsiaTheme="majorEastAsia" w:hAnsi="Arial Narrow" w:cstheme="majorBidi"/>
                <w:bCs/>
                <w:sz w:val="20"/>
              </w:rPr>
              <w:t xml:space="preserve">A systematic review was performed in the submission. It yielded 23 articles. Six studies were used to estimate prevalence (Coultas et al. (1994), Duchemann et al. (2017), Karakatsani et al. (2009), Thomeer et al. (2001), Nasser et al. (2020) (unpublished), Gouder et al. (2012)). </w:t>
            </w:r>
          </w:p>
          <w:p w:rsidR="00481296" w:rsidRPr="00A31981" w:rsidRDefault="00481296" w:rsidP="00FD38BF">
            <w:pPr>
              <w:keepNext/>
              <w:jc w:val="left"/>
              <w:rPr>
                <w:rFonts w:ascii="Arial Narrow" w:eastAsiaTheme="majorEastAsia" w:hAnsi="Arial Narrow" w:cstheme="majorBidi"/>
                <w:bCs/>
                <w:sz w:val="20"/>
              </w:rPr>
            </w:pPr>
          </w:p>
          <w:p w:rsidR="00481296" w:rsidRPr="00A31981" w:rsidRDefault="00481296" w:rsidP="00FD38BF">
            <w:pPr>
              <w:keepNext/>
              <w:jc w:val="left"/>
              <w:rPr>
                <w:rFonts w:ascii="Arial Narrow" w:eastAsiaTheme="majorEastAsia" w:hAnsi="Arial Narrow" w:cstheme="majorBidi"/>
                <w:bCs/>
                <w:sz w:val="20"/>
              </w:rPr>
            </w:pPr>
            <w:r w:rsidRPr="00A31981">
              <w:rPr>
                <w:rFonts w:ascii="Arial Narrow" w:eastAsiaTheme="majorEastAsia" w:hAnsi="Arial Narrow" w:cstheme="majorBidi"/>
                <w:bCs/>
                <w:sz w:val="20"/>
              </w:rPr>
              <w:t xml:space="preserve">In addition, an unpublished systematic review was identified (Olson et al. 2018). Olson et al. (2018) provided estimates of PF-ILD from four studies (Coultas et al. (1994), Duchemann et al. (2017), Karakatsani et al. (2009), Thomeer et al. (2001)). Prevalence of PF-ILD was estimated multiplying the reported prevalence of ILD </w:t>
            </w:r>
            <w:r>
              <w:rPr>
                <w:rFonts w:ascii="Arial Narrow" w:eastAsiaTheme="majorEastAsia" w:hAnsi="Arial Narrow" w:cstheme="majorBidi"/>
                <w:bCs/>
                <w:sz w:val="20"/>
              </w:rPr>
              <w:t xml:space="preserve">with fibrosing phenotype </w:t>
            </w:r>
            <w:r w:rsidRPr="00A31981">
              <w:rPr>
                <w:rFonts w:ascii="Arial Narrow" w:eastAsiaTheme="majorEastAsia" w:hAnsi="Arial Narrow" w:cstheme="majorBidi"/>
                <w:bCs/>
                <w:sz w:val="20"/>
              </w:rPr>
              <w:t>by the by the proportion of patients with progressive phenotype estimated through an expert survey. All studies in Olson et al. (2018) were identified in the submission’s review.</w:t>
            </w:r>
          </w:p>
          <w:p w:rsidR="00481296" w:rsidRPr="00A31981" w:rsidRDefault="00481296" w:rsidP="00FD38BF">
            <w:pPr>
              <w:keepNext/>
              <w:jc w:val="left"/>
              <w:rPr>
                <w:rFonts w:ascii="Arial Narrow" w:eastAsiaTheme="majorEastAsia" w:hAnsi="Arial Narrow" w:cstheme="majorBidi"/>
                <w:bCs/>
                <w:sz w:val="20"/>
              </w:rPr>
            </w:pPr>
          </w:p>
          <w:p w:rsidR="00481296" w:rsidRPr="00EE6CB2" w:rsidRDefault="00481296" w:rsidP="00FD38BF">
            <w:pPr>
              <w:keepNext/>
              <w:jc w:val="left"/>
              <w:rPr>
                <w:rFonts w:ascii="Arial Narrow" w:eastAsiaTheme="majorEastAsia" w:hAnsi="Arial Narrow" w:cstheme="majorBidi"/>
                <w:bCs/>
                <w:sz w:val="20"/>
              </w:rPr>
            </w:pPr>
            <w:r w:rsidRPr="00A31981">
              <w:rPr>
                <w:rFonts w:ascii="Arial Narrow" w:eastAsiaTheme="majorEastAsia" w:hAnsi="Arial Narrow" w:cstheme="majorBidi"/>
                <w:bCs/>
                <w:sz w:val="20"/>
              </w:rPr>
              <w:t>Estimates from Olson et al. (2018) and the highest estimate from Nasser et al. (2020) (unpublished) were combined using a simple mean for the base case prevalence.</w:t>
            </w:r>
          </w:p>
        </w:tc>
      </w:tr>
      <w:tr w:rsidR="00481296" w:rsidRPr="00123C5D" w:rsidTr="00A7181F">
        <w:trPr>
          <w:trHeight w:val="1415"/>
        </w:trPr>
        <w:tc>
          <w:tcPr>
            <w:tcW w:w="1413"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Uptake rate</w:t>
            </w:r>
          </w:p>
        </w:tc>
        <w:tc>
          <w:tcPr>
            <w:tcW w:w="2410"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1: 48.0%</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2: 65.0%</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3: 75.0%</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4: 83.0%</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5: 90.0%</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Yr 6: 95.0%</w:t>
            </w:r>
          </w:p>
        </w:tc>
        <w:tc>
          <w:tcPr>
            <w:tcW w:w="5158" w:type="dxa"/>
            <w:vAlign w:val="center"/>
          </w:tcPr>
          <w:p w:rsidR="00481296" w:rsidRPr="00EE6CB2" w:rsidRDefault="00EE6CB2" w:rsidP="00FD38BF">
            <w:pPr>
              <w:keepNext/>
              <w:jc w:val="left"/>
              <w:rPr>
                <w:rFonts w:ascii="Arial Narrow" w:eastAsiaTheme="majorEastAsia" w:hAnsi="Arial Narrow" w:cstheme="majorBidi"/>
                <w:bCs/>
                <w:iCs/>
                <w:sz w:val="20"/>
              </w:rPr>
            </w:pPr>
            <w:r w:rsidRPr="00EE6CB2">
              <w:rPr>
                <w:rFonts w:ascii="Arial Narrow" w:eastAsiaTheme="majorEastAsia" w:hAnsi="Arial Narrow" w:cstheme="majorBidi"/>
                <w:bCs/>
                <w:iCs/>
                <w:sz w:val="20"/>
              </w:rPr>
              <w:t>Uptake rates were based on</w:t>
            </w:r>
            <w:r w:rsidR="00481296" w:rsidRPr="00EE6CB2">
              <w:rPr>
                <w:rFonts w:ascii="Arial Narrow" w:eastAsiaTheme="majorEastAsia" w:hAnsi="Arial Narrow" w:cstheme="majorBidi"/>
                <w:bCs/>
                <w:iCs/>
                <w:sz w:val="20"/>
              </w:rPr>
              <w:t xml:space="preserve"> assumption. </w:t>
            </w:r>
          </w:p>
        </w:tc>
      </w:tr>
      <w:tr w:rsidR="00481296" w:rsidRPr="00123C5D" w:rsidTr="00A7181F">
        <w:trPr>
          <w:trHeight w:val="836"/>
        </w:trPr>
        <w:tc>
          <w:tcPr>
            <w:tcW w:w="1413"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 xml:space="preserve">Proportion of patients on each dose </w:t>
            </w:r>
          </w:p>
        </w:tc>
        <w:tc>
          <w:tcPr>
            <w:tcW w:w="2410"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150mg: 77.62%</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100mg: 22.38%</w:t>
            </w:r>
          </w:p>
        </w:tc>
        <w:tc>
          <w:tcPr>
            <w:tcW w:w="5158" w:type="dxa"/>
            <w:vAlign w:val="center"/>
          </w:tcPr>
          <w:p w:rsidR="00481296" w:rsidRPr="00EE6CB2" w:rsidRDefault="00481296" w:rsidP="00FD38BF">
            <w:pPr>
              <w:keepNext/>
              <w:jc w:val="left"/>
              <w:rPr>
                <w:rFonts w:ascii="Arial Narrow" w:eastAsiaTheme="majorEastAsia" w:hAnsi="Arial Narrow" w:cstheme="majorBidi"/>
                <w:bCs/>
                <w:iCs/>
                <w:sz w:val="20"/>
              </w:rPr>
            </w:pPr>
            <w:r w:rsidRPr="00EE6CB2">
              <w:rPr>
                <w:rFonts w:ascii="Arial Narrow" w:eastAsiaTheme="majorEastAsia" w:hAnsi="Arial Narrow" w:cstheme="majorBidi"/>
                <w:bCs/>
                <w:iCs/>
                <w:sz w:val="20"/>
              </w:rPr>
              <w:t>This proportion may overestimate the financial impact as poorer compliance in clinical practice due to gastrointestinal adverse events might increase the use of the 100 mg dose.</w:t>
            </w:r>
          </w:p>
        </w:tc>
      </w:tr>
      <w:tr w:rsidR="00481296" w:rsidRPr="00123C5D" w:rsidTr="00A7181F">
        <w:trPr>
          <w:trHeight w:val="906"/>
        </w:trPr>
        <w:tc>
          <w:tcPr>
            <w:tcW w:w="1413"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Adverse events</w:t>
            </w:r>
          </w:p>
        </w:tc>
        <w:tc>
          <w:tcPr>
            <w:tcW w:w="2410"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Affected patients over a year:</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Diarrhoea: 41.2%</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Nausea: 18.1%</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Vomiting: 10.2%</w:t>
            </w:r>
          </w:p>
        </w:tc>
        <w:tc>
          <w:tcPr>
            <w:tcW w:w="5158" w:type="dxa"/>
            <w:vAlign w:val="center"/>
          </w:tcPr>
          <w:p w:rsidR="00481296" w:rsidRPr="00EE6CB2" w:rsidRDefault="00481296" w:rsidP="00FD38BF">
            <w:pPr>
              <w:keepNext/>
              <w:jc w:val="left"/>
              <w:rPr>
                <w:rFonts w:ascii="Arial Narrow" w:eastAsiaTheme="majorEastAsia" w:hAnsi="Arial Narrow" w:cstheme="majorBidi"/>
                <w:bCs/>
                <w:iCs/>
                <w:sz w:val="20"/>
              </w:rPr>
            </w:pPr>
          </w:p>
        </w:tc>
      </w:tr>
      <w:tr w:rsidR="00481296" w:rsidRPr="00123C5D" w:rsidTr="00A7181F">
        <w:trPr>
          <w:trHeight w:val="1116"/>
        </w:trPr>
        <w:tc>
          <w:tcPr>
            <w:tcW w:w="1413"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Adverse events duration</w:t>
            </w:r>
          </w:p>
        </w:tc>
        <w:tc>
          <w:tcPr>
            <w:tcW w:w="2410"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Diarrhoea: 136 days</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Nausea: 7 days</w:t>
            </w:r>
          </w:p>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Vomiting: 7 days</w:t>
            </w:r>
          </w:p>
        </w:tc>
        <w:tc>
          <w:tcPr>
            <w:tcW w:w="5158" w:type="dxa"/>
            <w:vAlign w:val="center"/>
          </w:tcPr>
          <w:p w:rsidR="00481296" w:rsidRPr="00EE6CB2" w:rsidRDefault="00481296" w:rsidP="00FD38BF">
            <w:pPr>
              <w:keepNext/>
              <w:jc w:val="left"/>
              <w:rPr>
                <w:rFonts w:ascii="Arial Narrow" w:eastAsiaTheme="majorEastAsia" w:hAnsi="Arial Narrow" w:cstheme="majorBidi"/>
                <w:bCs/>
                <w:sz w:val="20"/>
              </w:rPr>
            </w:pPr>
            <w:r w:rsidRPr="00EE6CB2">
              <w:rPr>
                <w:rFonts w:ascii="Arial Narrow" w:eastAsiaTheme="majorEastAsia" w:hAnsi="Arial Narrow" w:cstheme="majorBidi"/>
                <w:bCs/>
                <w:iCs/>
                <w:sz w:val="20"/>
              </w:rPr>
              <w:t>This is likely to be underestimated. The submission assumed seven days duration for nausea and vomiting with no rationale given. This duration is unlikely, as diarrhoea, which was directly measured, lasted on average 136 days in the INBUILD trial.</w:t>
            </w:r>
          </w:p>
        </w:tc>
      </w:tr>
      <w:tr w:rsidR="00481296" w:rsidRPr="00123C5D" w:rsidTr="00A7181F">
        <w:trPr>
          <w:trHeight w:val="462"/>
        </w:trPr>
        <w:tc>
          <w:tcPr>
            <w:tcW w:w="1413"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Liver function tests</w:t>
            </w:r>
          </w:p>
        </w:tc>
        <w:tc>
          <w:tcPr>
            <w:tcW w:w="2410" w:type="dxa"/>
            <w:vAlign w:val="center"/>
          </w:tcPr>
          <w:p w:rsidR="00481296" w:rsidRPr="00123C5D" w:rsidRDefault="00481296" w:rsidP="00FD38BF">
            <w:pPr>
              <w:keepNext/>
              <w:jc w:val="left"/>
              <w:rPr>
                <w:rFonts w:ascii="Arial Narrow" w:eastAsiaTheme="majorEastAsia" w:hAnsi="Arial Narrow" w:cstheme="majorBidi"/>
                <w:bCs/>
                <w:sz w:val="20"/>
              </w:rPr>
            </w:pPr>
            <w:r w:rsidRPr="00123C5D">
              <w:rPr>
                <w:rFonts w:ascii="Arial Narrow" w:eastAsiaTheme="majorEastAsia" w:hAnsi="Arial Narrow" w:cstheme="majorBidi"/>
                <w:bCs/>
                <w:sz w:val="20"/>
              </w:rPr>
              <w:t>Frequency: 1 every 4 months</w:t>
            </w:r>
          </w:p>
        </w:tc>
        <w:tc>
          <w:tcPr>
            <w:tcW w:w="5158" w:type="dxa"/>
            <w:vAlign w:val="center"/>
          </w:tcPr>
          <w:p w:rsidR="00481296" w:rsidRPr="00123C5D" w:rsidRDefault="00481296" w:rsidP="00FD38BF">
            <w:pPr>
              <w:keepNext/>
              <w:jc w:val="left"/>
              <w:rPr>
                <w:rFonts w:ascii="Arial Narrow" w:eastAsiaTheme="majorEastAsia" w:hAnsi="Arial Narrow" w:cstheme="majorBidi"/>
                <w:bCs/>
                <w:i/>
                <w:iCs/>
                <w:sz w:val="20"/>
              </w:rPr>
            </w:pPr>
          </w:p>
        </w:tc>
      </w:tr>
    </w:tbl>
    <w:p w:rsidR="00481296" w:rsidRPr="00123C5D" w:rsidRDefault="00481296" w:rsidP="00FD38BF">
      <w:pPr>
        <w:keepNext/>
        <w:spacing w:after="120"/>
        <w:contextualSpacing/>
        <w:rPr>
          <w:rFonts w:ascii="Arial Narrow" w:hAnsi="Arial Narrow"/>
          <w:snapToGrid w:val="0"/>
          <w:sz w:val="20"/>
          <w:szCs w:val="22"/>
        </w:rPr>
      </w:pPr>
      <w:r w:rsidRPr="00123C5D">
        <w:rPr>
          <w:rFonts w:ascii="Arial Narrow" w:hAnsi="Arial Narrow"/>
          <w:snapToGrid w:val="0"/>
          <w:sz w:val="18"/>
          <w:szCs w:val="22"/>
        </w:rPr>
        <w:t>Source: Table 4.1, p217, 218; Table 4.4, p228; Table 4.5, p229; Table 4.6, p230; Table 4.8, p231; Table 4.9, p231; Table 4.10, p232 of the submission.</w:t>
      </w:r>
    </w:p>
    <w:p w:rsidR="00530FBD" w:rsidRPr="00481296" w:rsidRDefault="00481296" w:rsidP="00FD38BF">
      <w:pPr>
        <w:keepNext/>
        <w:spacing w:after="120"/>
        <w:contextualSpacing/>
        <w:rPr>
          <w:rFonts w:ascii="Arial Narrow" w:hAnsi="Arial Narrow"/>
          <w:snapToGrid w:val="0"/>
          <w:sz w:val="18"/>
          <w:szCs w:val="22"/>
        </w:rPr>
      </w:pPr>
      <w:r w:rsidRPr="00123C5D">
        <w:rPr>
          <w:rFonts w:ascii="Arial Narrow" w:hAnsi="Arial Narrow"/>
          <w:snapToGrid w:val="0"/>
          <w:sz w:val="18"/>
          <w:szCs w:val="22"/>
        </w:rPr>
        <w:t>COVID-19</w:t>
      </w:r>
      <w:r>
        <w:rPr>
          <w:rFonts w:ascii="Arial Narrow" w:hAnsi="Arial Narrow"/>
          <w:snapToGrid w:val="0"/>
          <w:sz w:val="18"/>
          <w:szCs w:val="22"/>
        </w:rPr>
        <w:t xml:space="preserve"> = </w:t>
      </w:r>
      <w:r w:rsidRPr="00123C5D">
        <w:rPr>
          <w:rFonts w:ascii="Arial Narrow" w:hAnsi="Arial Narrow"/>
          <w:snapToGrid w:val="0"/>
          <w:sz w:val="18"/>
          <w:szCs w:val="22"/>
        </w:rPr>
        <w:t>coronavirus disease</w:t>
      </w:r>
      <w:r>
        <w:rPr>
          <w:rFonts w:ascii="Arial Narrow" w:hAnsi="Arial Narrow"/>
          <w:snapToGrid w:val="0"/>
          <w:sz w:val="18"/>
          <w:szCs w:val="22"/>
        </w:rPr>
        <w:t>,</w:t>
      </w:r>
      <w:r w:rsidRPr="00123C5D">
        <w:rPr>
          <w:rFonts w:ascii="Arial Narrow" w:hAnsi="Arial Narrow"/>
          <w:snapToGrid w:val="0"/>
          <w:sz w:val="18"/>
          <w:szCs w:val="22"/>
        </w:rPr>
        <w:t xml:space="preserve"> DUSC</w:t>
      </w:r>
      <w:r>
        <w:rPr>
          <w:rFonts w:ascii="Arial Narrow" w:hAnsi="Arial Narrow"/>
          <w:snapToGrid w:val="0"/>
          <w:sz w:val="18"/>
          <w:szCs w:val="22"/>
        </w:rPr>
        <w:t xml:space="preserve"> = </w:t>
      </w:r>
      <w:r w:rsidRPr="00123C5D">
        <w:rPr>
          <w:rFonts w:ascii="Arial Narrow" w:hAnsi="Arial Narrow"/>
          <w:snapToGrid w:val="0"/>
          <w:sz w:val="18"/>
          <w:szCs w:val="22"/>
        </w:rPr>
        <w:t>drug utilisation sub committee</w:t>
      </w:r>
      <w:r>
        <w:rPr>
          <w:rFonts w:ascii="Arial Narrow" w:hAnsi="Arial Narrow"/>
          <w:snapToGrid w:val="0"/>
          <w:sz w:val="18"/>
          <w:szCs w:val="22"/>
        </w:rPr>
        <w:t>, IPF =</w:t>
      </w:r>
      <w:r w:rsidRPr="00123C5D">
        <w:rPr>
          <w:rFonts w:ascii="Arial Narrow" w:hAnsi="Arial Narrow"/>
          <w:snapToGrid w:val="0"/>
          <w:sz w:val="18"/>
          <w:szCs w:val="22"/>
        </w:rPr>
        <w:t xml:space="preserve"> idiopathic progressive fibrosing interstitial lung disease</w:t>
      </w:r>
      <w:r>
        <w:rPr>
          <w:rFonts w:ascii="Arial Narrow" w:hAnsi="Arial Narrow"/>
          <w:snapToGrid w:val="0"/>
          <w:sz w:val="18"/>
          <w:szCs w:val="22"/>
        </w:rPr>
        <w:t>,</w:t>
      </w:r>
      <w:r w:rsidRPr="00123C5D">
        <w:rPr>
          <w:rFonts w:ascii="Arial Narrow" w:hAnsi="Arial Narrow"/>
          <w:snapToGrid w:val="0"/>
          <w:sz w:val="18"/>
          <w:szCs w:val="22"/>
        </w:rPr>
        <w:t xml:space="preserve"> mg</w:t>
      </w:r>
      <w:r>
        <w:rPr>
          <w:rFonts w:ascii="Arial Narrow" w:hAnsi="Arial Narrow"/>
          <w:snapToGrid w:val="0"/>
          <w:sz w:val="18"/>
          <w:szCs w:val="22"/>
        </w:rPr>
        <w:t xml:space="preserve"> =</w:t>
      </w:r>
      <w:r w:rsidRPr="00123C5D">
        <w:rPr>
          <w:rFonts w:ascii="Arial Narrow" w:hAnsi="Arial Narrow"/>
          <w:snapToGrid w:val="0"/>
          <w:sz w:val="18"/>
          <w:szCs w:val="22"/>
        </w:rPr>
        <w:t xml:space="preserve"> milligram</w:t>
      </w:r>
      <w:r>
        <w:rPr>
          <w:rFonts w:ascii="Arial Narrow" w:hAnsi="Arial Narrow"/>
          <w:snapToGrid w:val="0"/>
          <w:sz w:val="18"/>
          <w:szCs w:val="22"/>
        </w:rPr>
        <w:t>,</w:t>
      </w:r>
      <w:r w:rsidRPr="00123C5D">
        <w:rPr>
          <w:rFonts w:ascii="Arial Narrow" w:hAnsi="Arial Narrow"/>
          <w:snapToGrid w:val="0"/>
          <w:sz w:val="18"/>
          <w:szCs w:val="22"/>
        </w:rPr>
        <w:t xml:space="preserve"> PF-ILD</w:t>
      </w:r>
      <w:r>
        <w:rPr>
          <w:rFonts w:ascii="Arial Narrow" w:hAnsi="Arial Narrow"/>
          <w:snapToGrid w:val="0"/>
          <w:sz w:val="18"/>
          <w:szCs w:val="22"/>
        </w:rPr>
        <w:t xml:space="preserve"> =</w:t>
      </w:r>
      <w:r w:rsidRPr="00123C5D">
        <w:rPr>
          <w:rFonts w:ascii="Arial Narrow" w:hAnsi="Arial Narrow"/>
          <w:snapToGrid w:val="0"/>
          <w:sz w:val="18"/>
          <w:szCs w:val="22"/>
        </w:rPr>
        <w:t xml:space="preserve"> progressive fibrosing interstitial lung disease</w:t>
      </w:r>
      <w:r>
        <w:rPr>
          <w:rFonts w:ascii="Arial Narrow" w:hAnsi="Arial Narrow"/>
          <w:snapToGrid w:val="0"/>
          <w:sz w:val="18"/>
          <w:szCs w:val="22"/>
        </w:rPr>
        <w:t>,</w:t>
      </w:r>
      <w:r w:rsidRPr="00123C5D">
        <w:rPr>
          <w:rFonts w:ascii="Arial Narrow" w:hAnsi="Arial Narrow"/>
          <w:snapToGrid w:val="0"/>
          <w:sz w:val="18"/>
          <w:szCs w:val="22"/>
        </w:rPr>
        <w:t xml:space="preserve"> Yr</w:t>
      </w:r>
      <w:r>
        <w:rPr>
          <w:rFonts w:ascii="Arial Narrow" w:hAnsi="Arial Narrow"/>
          <w:snapToGrid w:val="0"/>
          <w:sz w:val="18"/>
          <w:szCs w:val="22"/>
        </w:rPr>
        <w:t xml:space="preserve"> =</w:t>
      </w:r>
      <w:r w:rsidRPr="00123C5D">
        <w:rPr>
          <w:rFonts w:ascii="Arial Narrow" w:hAnsi="Arial Narrow"/>
          <w:snapToGrid w:val="0"/>
          <w:sz w:val="18"/>
          <w:szCs w:val="22"/>
        </w:rPr>
        <w:t xml:space="preserve"> year</w:t>
      </w:r>
      <w:r>
        <w:rPr>
          <w:rFonts w:ascii="Arial Narrow" w:hAnsi="Arial Narrow"/>
          <w:snapToGrid w:val="0"/>
          <w:sz w:val="18"/>
          <w:szCs w:val="22"/>
        </w:rPr>
        <w:t>.</w:t>
      </w:r>
    </w:p>
    <w:p w:rsidR="006C52AD" w:rsidRPr="00060B29" w:rsidRDefault="006C52AD" w:rsidP="00FD38BF">
      <w:pPr>
        <w:pStyle w:val="3-BodyText"/>
      </w:pPr>
      <w:r w:rsidRPr="00060B29">
        <w:t>The estimated extent of use and financial implications, as estimated in the submission are provided in Table 1</w:t>
      </w:r>
      <w:r w:rsidR="00481296">
        <w:t>5</w:t>
      </w:r>
      <w:r w:rsidRPr="00060B29">
        <w:t xml:space="preserve"> below.</w:t>
      </w:r>
    </w:p>
    <w:p w:rsidR="006C52AD" w:rsidRPr="00060B29" w:rsidRDefault="006C52AD" w:rsidP="00FD38BF">
      <w:pPr>
        <w:pStyle w:val="Tabletitle"/>
        <w:keepNext/>
        <w:keepLines/>
      </w:pPr>
      <w:r w:rsidRPr="00060B29">
        <w:t>Table 1</w:t>
      </w:r>
      <w:r w:rsidR="00481296">
        <w:t>5</w:t>
      </w:r>
      <w:r w:rsidRPr="00060B29">
        <w:t>: Estimated use and financial implications</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9"/>
        <w:gridCol w:w="1159"/>
        <w:gridCol w:w="1159"/>
        <w:gridCol w:w="1159"/>
        <w:gridCol w:w="1159"/>
        <w:gridCol w:w="1162"/>
      </w:tblGrid>
      <w:tr w:rsidR="006C52AD" w:rsidRPr="00060B29" w:rsidTr="00060B29">
        <w:trPr>
          <w:tblHeader/>
        </w:trPr>
        <w:tc>
          <w:tcPr>
            <w:tcW w:w="1116" w:type="pct"/>
            <w:shd w:val="clear" w:color="auto" w:fill="auto"/>
            <w:vAlign w:val="center"/>
          </w:tcPr>
          <w:p w:rsidR="006C52AD" w:rsidRPr="00060B29" w:rsidRDefault="006C52AD" w:rsidP="00FD38BF">
            <w:pPr>
              <w:pStyle w:val="Tabletext"/>
              <w:keepNext/>
              <w:keepLines/>
            </w:pPr>
          </w:p>
        </w:tc>
        <w:tc>
          <w:tcPr>
            <w:tcW w:w="647" w:type="pct"/>
            <w:shd w:val="clear" w:color="auto" w:fill="auto"/>
            <w:vAlign w:val="center"/>
          </w:tcPr>
          <w:p w:rsidR="006C52AD" w:rsidRPr="00060B29" w:rsidRDefault="006C52AD" w:rsidP="00FD38BF">
            <w:pPr>
              <w:pStyle w:val="Tabletext"/>
              <w:keepNext/>
              <w:keepLines/>
              <w:jc w:val="center"/>
              <w:rPr>
                <w:b/>
              </w:rPr>
            </w:pPr>
            <w:r w:rsidRPr="00060B29">
              <w:rPr>
                <w:b/>
              </w:rPr>
              <w:t>Year 1</w:t>
            </w:r>
          </w:p>
        </w:tc>
        <w:tc>
          <w:tcPr>
            <w:tcW w:w="647" w:type="pct"/>
            <w:shd w:val="clear" w:color="auto" w:fill="auto"/>
            <w:vAlign w:val="center"/>
          </w:tcPr>
          <w:p w:rsidR="006C52AD" w:rsidRPr="00060B29" w:rsidRDefault="006C52AD" w:rsidP="00FD38BF">
            <w:pPr>
              <w:pStyle w:val="Tabletext"/>
              <w:keepNext/>
              <w:keepLines/>
              <w:jc w:val="center"/>
              <w:rPr>
                <w:b/>
              </w:rPr>
            </w:pPr>
            <w:r w:rsidRPr="00060B29">
              <w:rPr>
                <w:b/>
              </w:rPr>
              <w:t>Year 2</w:t>
            </w:r>
          </w:p>
        </w:tc>
        <w:tc>
          <w:tcPr>
            <w:tcW w:w="647" w:type="pct"/>
            <w:shd w:val="clear" w:color="auto" w:fill="auto"/>
            <w:vAlign w:val="center"/>
          </w:tcPr>
          <w:p w:rsidR="006C52AD" w:rsidRPr="00060B29" w:rsidRDefault="006C52AD" w:rsidP="00FD38BF">
            <w:pPr>
              <w:pStyle w:val="Tabletext"/>
              <w:keepNext/>
              <w:keepLines/>
              <w:jc w:val="center"/>
              <w:rPr>
                <w:b/>
              </w:rPr>
            </w:pPr>
            <w:r w:rsidRPr="00060B29">
              <w:rPr>
                <w:b/>
              </w:rPr>
              <w:t>Year 3</w:t>
            </w:r>
          </w:p>
        </w:tc>
        <w:tc>
          <w:tcPr>
            <w:tcW w:w="647" w:type="pct"/>
            <w:shd w:val="clear" w:color="auto" w:fill="auto"/>
            <w:vAlign w:val="center"/>
          </w:tcPr>
          <w:p w:rsidR="006C52AD" w:rsidRPr="00060B29" w:rsidRDefault="006C52AD" w:rsidP="00FD38BF">
            <w:pPr>
              <w:pStyle w:val="Tabletext"/>
              <w:keepNext/>
              <w:keepLines/>
              <w:jc w:val="center"/>
              <w:rPr>
                <w:b/>
              </w:rPr>
            </w:pPr>
            <w:r w:rsidRPr="00060B29">
              <w:rPr>
                <w:b/>
              </w:rPr>
              <w:t>Year 4</w:t>
            </w:r>
          </w:p>
        </w:tc>
        <w:tc>
          <w:tcPr>
            <w:tcW w:w="647" w:type="pct"/>
            <w:shd w:val="clear" w:color="auto" w:fill="auto"/>
            <w:vAlign w:val="center"/>
          </w:tcPr>
          <w:p w:rsidR="006C52AD" w:rsidRPr="00060B29" w:rsidRDefault="006C52AD" w:rsidP="00FD38BF">
            <w:pPr>
              <w:pStyle w:val="Tabletext"/>
              <w:keepNext/>
              <w:keepLines/>
              <w:jc w:val="center"/>
              <w:rPr>
                <w:b/>
              </w:rPr>
            </w:pPr>
            <w:r w:rsidRPr="00060B29">
              <w:rPr>
                <w:b/>
              </w:rPr>
              <w:t>Year 5</w:t>
            </w:r>
          </w:p>
        </w:tc>
        <w:tc>
          <w:tcPr>
            <w:tcW w:w="649" w:type="pct"/>
            <w:vAlign w:val="center"/>
          </w:tcPr>
          <w:p w:rsidR="006C52AD" w:rsidRPr="00060B29" w:rsidRDefault="006C52AD" w:rsidP="00FD38BF">
            <w:pPr>
              <w:pStyle w:val="Tabletext"/>
              <w:keepNext/>
              <w:keepLines/>
              <w:jc w:val="center"/>
              <w:rPr>
                <w:b/>
              </w:rPr>
            </w:pPr>
            <w:r w:rsidRPr="00060B29">
              <w:rPr>
                <w:b/>
              </w:rPr>
              <w:t>Year 6</w:t>
            </w:r>
          </w:p>
        </w:tc>
      </w:tr>
      <w:tr w:rsidR="006C52AD" w:rsidRPr="00060B29" w:rsidTr="00060B29">
        <w:tc>
          <w:tcPr>
            <w:tcW w:w="5000" w:type="pct"/>
            <w:gridSpan w:val="7"/>
            <w:shd w:val="clear" w:color="auto" w:fill="auto"/>
            <w:vAlign w:val="center"/>
          </w:tcPr>
          <w:p w:rsidR="006C52AD" w:rsidRPr="00060B29" w:rsidRDefault="006C52AD" w:rsidP="00FD38BF">
            <w:pPr>
              <w:pStyle w:val="Tabletext"/>
              <w:keepNext/>
              <w:keepLines/>
              <w:rPr>
                <w:b/>
              </w:rPr>
            </w:pPr>
            <w:r w:rsidRPr="00060B29">
              <w:rPr>
                <w:b/>
              </w:rPr>
              <w:t>Estimated extent of use</w:t>
            </w:r>
          </w:p>
        </w:tc>
      </w:tr>
      <w:tr w:rsidR="006C52AD" w:rsidRPr="00060B29" w:rsidTr="00060B29">
        <w:tc>
          <w:tcPr>
            <w:tcW w:w="1116" w:type="pct"/>
            <w:shd w:val="clear" w:color="auto" w:fill="auto"/>
            <w:vAlign w:val="center"/>
          </w:tcPr>
          <w:p w:rsidR="006C52AD" w:rsidRPr="00060B29" w:rsidRDefault="006C52AD" w:rsidP="00FD38BF">
            <w:pPr>
              <w:pStyle w:val="Tabletext"/>
              <w:keepNext/>
              <w:keepLines/>
            </w:pPr>
            <w:r w:rsidRPr="00060B29">
              <w:t>Number of patients treated</w:t>
            </w:r>
          </w:p>
        </w:tc>
        <w:tc>
          <w:tcPr>
            <w:tcW w:w="647" w:type="pct"/>
            <w:shd w:val="clear" w:color="auto" w:fill="auto"/>
            <w:vAlign w:val="center"/>
          </w:tcPr>
          <w:p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c>
          <w:tcPr>
            <w:tcW w:w="647" w:type="pct"/>
            <w:shd w:val="clear" w:color="auto" w:fill="auto"/>
            <w:vAlign w:val="center"/>
          </w:tcPr>
          <w:p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c>
          <w:tcPr>
            <w:tcW w:w="647" w:type="pct"/>
            <w:shd w:val="clear" w:color="auto" w:fill="auto"/>
            <w:vAlign w:val="center"/>
          </w:tcPr>
          <w:p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c>
          <w:tcPr>
            <w:tcW w:w="647" w:type="pct"/>
            <w:shd w:val="clear" w:color="auto" w:fill="auto"/>
            <w:vAlign w:val="center"/>
          </w:tcPr>
          <w:p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c>
          <w:tcPr>
            <w:tcW w:w="647" w:type="pct"/>
            <w:shd w:val="clear" w:color="auto" w:fill="auto"/>
            <w:vAlign w:val="center"/>
          </w:tcPr>
          <w:p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c>
          <w:tcPr>
            <w:tcW w:w="649" w:type="pct"/>
            <w:vAlign w:val="center"/>
          </w:tcPr>
          <w:p w:rsidR="006C52AD" w:rsidRPr="006C3A17" w:rsidRDefault="006C3A17" w:rsidP="00FD38BF">
            <w:pPr>
              <w:pStyle w:val="Tabletext"/>
              <w:keepNext/>
              <w:keepLines/>
              <w:jc w:val="center"/>
            </w:pPr>
            <w:r>
              <w:rPr>
                <w:rFonts w:eastAsiaTheme="minorHAnsi" w:cstheme="minorHAnsi"/>
                <w:bCs/>
                <w:noProof/>
                <w:color w:val="000000"/>
                <w:highlight w:val="black"/>
                <w:lang w:eastAsia="en-US"/>
              </w:rPr>
              <w:t>'''''''''''''</w:t>
            </w:r>
            <w:r w:rsidR="00795BFC">
              <w:rPr>
                <w:vertAlign w:val="superscript"/>
              </w:rPr>
              <w:t>1</w:t>
            </w:r>
          </w:p>
        </w:tc>
      </w:tr>
      <w:tr w:rsidR="006C52AD" w:rsidRPr="00060B29" w:rsidTr="00060B29">
        <w:tc>
          <w:tcPr>
            <w:tcW w:w="1116" w:type="pct"/>
            <w:shd w:val="clear" w:color="auto" w:fill="auto"/>
            <w:vAlign w:val="center"/>
          </w:tcPr>
          <w:p w:rsidR="006C52AD" w:rsidRPr="00060B29" w:rsidRDefault="006C52AD" w:rsidP="00795BFC">
            <w:pPr>
              <w:pStyle w:val="Tabletext"/>
              <w:keepNext/>
              <w:keepLines/>
            </w:pPr>
            <w:r w:rsidRPr="00060B29">
              <w:t>Number of scripts dispensed</w:t>
            </w:r>
            <w:r w:rsidRPr="00060B29">
              <w:rPr>
                <w:vertAlign w:val="superscript"/>
              </w:rPr>
              <w:t>a</w:t>
            </w:r>
          </w:p>
        </w:tc>
        <w:tc>
          <w:tcPr>
            <w:tcW w:w="647" w:type="pct"/>
            <w:shd w:val="clear" w:color="auto" w:fill="auto"/>
            <w:vAlign w:val="center"/>
          </w:tcPr>
          <w:p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2</w:t>
            </w:r>
          </w:p>
        </w:tc>
        <w:tc>
          <w:tcPr>
            <w:tcW w:w="647" w:type="pct"/>
            <w:shd w:val="clear" w:color="auto" w:fill="auto"/>
            <w:vAlign w:val="center"/>
          </w:tcPr>
          <w:p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2</w:t>
            </w:r>
          </w:p>
        </w:tc>
        <w:tc>
          <w:tcPr>
            <w:tcW w:w="647" w:type="pct"/>
            <w:shd w:val="clear" w:color="auto" w:fill="auto"/>
            <w:vAlign w:val="center"/>
          </w:tcPr>
          <w:p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2</w:t>
            </w:r>
          </w:p>
        </w:tc>
        <w:tc>
          <w:tcPr>
            <w:tcW w:w="647" w:type="pct"/>
            <w:shd w:val="clear" w:color="auto" w:fill="auto"/>
            <w:vAlign w:val="center"/>
          </w:tcPr>
          <w:p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2</w:t>
            </w:r>
          </w:p>
        </w:tc>
        <w:tc>
          <w:tcPr>
            <w:tcW w:w="647" w:type="pct"/>
            <w:shd w:val="clear" w:color="auto" w:fill="auto"/>
            <w:vAlign w:val="center"/>
          </w:tcPr>
          <w:p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3</w:t>
            </w:r>
          </w:p>
        </w:tc>
        <w:tc>
          <w:tcPr>
            <w:tcW w:w="649" w:type="pct"/>
            <w:vAlign w:val="center"/>
          </w:tcPr>
          <w:p w:rsidR="006C52AD" w:rsidRPr="006C3A17" w:rsidRDefault="006C3A17" w:rsidP="00FD38BF">
            <w:pPr>
              <w:pStyle w:val="Tabletext"/>
              <w:keepNext/>
              <w:keepLines/>
              <w:jc w:val="center"/>
            </w:pPr>
            <w:r>
              <w:rPr>
                <w:rFonts w:eastAsiaTheme="minorHAnsi" w:cs="Calibri"/>
                <w:bCs/>
                <w:noProof/>
                <w:color w:val="000000"/>
                <w:highlight w:val="black"/>
                <w:lang w:eastAsia="en-US"/>
              </w:rPr>
              <w:t>''''''''''''''''</w:t>
            </w:r>
            <w:r w:rsidR="00795BFC">
              <w:rPr>
                <w:vertAlign w:val="superscript"/>
              </w:rPr>
              <w:t>3</w:t>
            </w:r>
          </w:p>
        </w:tc>
      </w:tr>
      <w:tr w:rsidR="006C52AD" w:rsidRPr="00060B29" w:rsidTr="00060B29">
        <w:tc>
          <w:tcPr>
            <w:tcW w:w="5000" w:type="pct"/>
            <w:gridSpan w:val="7"/>
            <w:shd w:val="clear" w:color="auto" w:fill="auto"/>
            <w:vAlign w:val="center"/>
          </w:tcPr>
          <w:p w:rsidR="006C52AD" w:rsidRPr="00060B29" w:rsidRDefault="006C52AD" w:rsidP="00FD38BF">
            <w:pPr>
              <w:pStyle w:val="Tabletext"/>
              <w:keepNext/>
              <w:keepLines/>
              <w:rPr>
                <w:b/>
              </w:rPr>
            </w:pPr>
            <w:r w:rsidRPr="00060B29">
              <w:rPr>
                <w:b/>
              </w:rPr>
              <w:t xml:space="preserve">Estimated financial implications of nintedanib </w:t>
            </w:r>
          </w:p>
        </w:tc>
      </w:tr>
      <w:tr w:rsidR="006C52AD" w:rsidRPr="00060B29" w:rsidTr="00060B29">
        <w:tc>
          <w:tcPr>
            <w:tcW w:w="1116" w:type="pct"/>
            <w:shd w:val="clear" w:color="auto" w:fill="auto"/>
            <w:vAlign w:val="center"/>
          </w:tcPr>
          <w:p w:rsidR="006C52AD" w:rsidRPr="00060B29" w:rsidRDefault="006C52AD" w:rsidP="00FD38BF">
            <w:pPr>
              <w:pStyle w:val="Tabletext"/>
              <w:keepNext/>
              <w:keepLines/>
            </w:pPr>
            <w:r w:rsidRPr="00060B29">
              <w:t>Cost to PBS/RPBS</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4</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6</w:t>
            </w:r>
          </w:p>
        </w:tc>
        <w:tc>
          <w:tcPr>
            <w:tcW w:w="649" w:type="pct"/>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6</w:t>
            </w:r>
          </w:p>
        </w:tc>
      </w:tr>
      <w:tr w:rsidR="006C52AD" w:rsidRPr="00060B29" w:rsidTr="00060B29">
        <w:tc>
          <w:tcPr>
            <w:tcW w:w="1116" w:type="pct"/>
            <w:shd w:val="clear" w:color="auto" w:fill="auto"/>
            <w:vAlign w:val="center"/>
          </w:tcPr>
          <w:p w:rsidR="006C52AD" w:rsidRPr="00060B29" w:rsidRDefault="006C52AD" w:rsidP="00FD38BF">
            <w:pPr>
              <w:pStyle w:val="Tabletext"/>
              <w:keepNext/>
              <w:keepLines/>
            </w:pPr>
            <w:r w:rsidRPr="00060B29">
              <w:t>Copayments</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c>
          <w:tcPr>
            <w:tcW w:w="649" w:type="pct"/>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6E6EA6">
              <w:rPr>
                <w:vertAlign w:val="superscript"/>
              </w:rPr>
              <w:t>7</w:t>
            </w:r>
          </w:p>
        </w:tc>
      </w:tr>
      <w:tr w:rsidR="006C52AD" w:rsidRPr="00060B29" w:rsidTr="00060B29">
        <w:tc>
          <w:tcPr>
            <w:tcW w:w="1116" w:type="pct"/>
            <w:shd w:val="clear" w:color="auto" w:fill="auto"/>
            <w:vAlign w:val="center"/>
          </w:tcPr>
          <w:p w:rsidR="006C52AD" w:rsidRPr="00060B29" w:rsidRDefault="006C52AD" w:rsidP="00FD38BF">
            <w:pPr>
              <w:pStyle w:val="Tabletext"/>
              <w:keepNext/>
              <w:keepLines/>
            </w:pPr>
            <w:r w:rsidRPr="00060B29">
              <w:t>Cost to PBS/RPBS less copayments</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4</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6</w:t>
            </w:r>
          </w:p>
        </w:tc>
        <w:tc>
          <w:tcPr>
            <w:tcW w:w="649" w:type="pct"/>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noProof/>
                <w:color w:val="000000"/>
                <w:highlight w:val="black"/>
                <w:lang w:eastAsia="en-US"/>
              </w:rPr>
              <w:t>''''''''''''''''''''''''</w:t>
            </w:r>
            <w:r w:rsidR="00795BFC">
              <w:rPr>
                <w:vertAlign w:val="superscript"/>
              </w:rPr>
              <w:t>6</w:t>
            </w:r>
          </w:p>
        </w:tc>
      </w:tr>
      <w:tr w:rsidR="006C52AD" w:rsidRPr="00060B29" w:rsidTr="00060B29">
        <w:tc>
          <w:tcPr>
            <w:tcW w:w="5000" w:type="pct"/>
            <w:gridSpan w:val="7"/>
            <w:shd w:val="clear" w:color="auto" w:fill="auto"/>
            <w:vAlign w:val="center"/>
          </w:tcPr>
          <w:p w:rsidR="006C52AD" w:rsidRPr="00060B29" w:rsidRDefault="006C52AD" w:rsidP="00FD38BF">
            <w:pPr>
              <w:pStyle w:val="Tabletext"/>
              <w:keepNext/>
              <w:keepLines/>
              <w:rPr>
                <w:b/>
              </w:rPr>
            </w:pPr>
            <w:r w:rsidRPr="00060B29">
              <w:rPr>
                <w:b/>
              </w:rPr>
              <w:t xml:space="preserve">Estimated financial implications for loperamide and metoclopramide </w:t>
            </w:r>
          </w:p>
        </w:tc>
      </w:tr>
      <w:tr w:rsidR="006C52AD" w:rsidRPr="00060B29" w:rsidTr="00060B29">
        <w:tc>
          <w:tcPr>
            <w:tcW w:w="1116" w:type="pct"/>
            <w:shd w:val="clear" w:color="auto" w:fill="auto"/>
            <w:vAlign w:val="center"/>
          </w:tcPr>
          <w:p w:rsidR="006C52AD" w:rsidRPr="00060B29" w:rsidRDefault="006C52AD" w:rsidP="00FD38BF">
            <w:pPr>
              <w:pStyle w:val="Tabletext"/>
              <w:keepNext/>
              <w:keepLines/>
            </w:pPr>
            <w:r w:rsidRPr="00060B29">
              <w:t>Cost to PBS/RPBS less copayments</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c>
          <w:tcPr>
            <w:tcW w:w="649" w:type="pct"/>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Cs/>
                <w:noProof/>
                <w:color w:val="000000"/>
                <w:highlight w:val="black"/>
                <w:lang w:eastAsia="en-US"/>
              </w:rPr>
              <w:t>''''''''''''''''''</w:t>
            </w:r>
            <w:r w:rsidR="006E6EA6">
              <w:rPr>
                <w:vertAlign w:val="superscript"/>
              </w:rPr>
              <w:t>7</w:t>
            </w:r>
          </w:p>
        </w:tc>
      </w:tr>
      <w:tr w:rsidR="006C52AD" w:rsidRPr="00060B29" w:rsidTr="00060B29">
        <w:tc>
          <w:tcPr>
            <w:tcW w:w="5000" w:type="pct"/>
            <w:gridSpan w:val="7"/>
            <w:shd w:val="clear" w:color="auto" w:fill="auto"/>
            <w:vAlign w:val="center"/>
          </w:tcPr>
          <w:p w:rsidR="006C52AD" w:rsidRPr="00060B29" w:rsidRDefault="006C52AD" w:rsidP="00FD38BF">
            <w:pPr>
              <w:pStyle w:val="Tabletext"/>
              <w:keepNext/>
              <w:keepLines/>
              <w:rPr>
                <w:b/>
              </w:rPr>
            </w:pPr>
            <w:r w:rsidRPr="00060B29">
              <w:rPr>
                <w:b/>
              </w:rPr>
              <w:t>Net financial implications</w:t>
            </w:r>
          </w:p>
        </w:tc>
      </w:tr>
      <w:tr w:rsidR="006C52AD" w:rsidRPr="00060B29" w:rsidTr="00060B29">
        <w:tc>
          <w:tcPr>
            <w:tcW w:w="1116" w:type="pct"/>
            <w:shd w:val="clear" w:color="auto" w:fill="auto"/>
            <w:vAlign w:val="center"/>
          </w:tcPr>
          <w:p w:rsidR="006C52AD" w:rsidRPr="00060B29" w:rsidRDefault="006C52AD" w:rsidP="00FD38BF">
            <w:pPr>
              <w:pStyle w:val="Tabletext"/>
              <w:keepNext/>
              <w:keepLines/>
            </w:pPr>
            <w:r w:rsidRPr="00060B29">
              <w:t>Net cost to PBS/RPBS</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4</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6</w:t>
            </w:r>
          </w:p>
        </w:tc>
        <w:tc>
          <w:tcPr>
            <w:tcW w:w="649" w:type="pct"/>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cs="Calibri"/>
                <w:noProof/>
                <w:color w:val="000000"/>
                <w:highlight w:val="black"/>
              </w:rPr>
              <w:t>'''''''''''''''''''''''''''''</w:t>
            </w:r>
            <w:r w:rsidR="00795BFC">
              <w:rPr>
                <w:vertAlign w:val="superscript"/>
              </w:rPr>
              <w:t>6</w:t>
            </w:r>
          </w:p>
        </w:tc>
      </w:tr>
      <w:tr w:rsidR="006C52AD" w:rsidRPr="00060B29" w:rsidTr="00060B29">
        <w:tc>
          <w:tcPr>
            <w:tcW w:w="1116" w:type="pct"/>
            <w:shd w:val="clear" w:color="auto" w:fill="auto"/>
            <w:vAlign w:val="center"/>
          </w:tcPr>
          <w:p w:rsidR="006C52AD" w:rsidRPr="00060B29" w:rsidRDefault="006C52AD" w:rsidP="00FD38BF">
            <w:pPr>
              <w:pStyle w:val="Tabletext"/>
              <w:keepNext/>
              <w:keepLines/>
            </w:pPr>
            <w:r w:rsidRPr="00060B29">
              <w:t>Net cost to MBS</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c>
          <w:tcPr>
            <w:tcW w:w="649" w:type="pct"/>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theme="minorHAnsi"/>
                <w:bCs/>
                <w:noProof/>
                <w:color w:val="000000"/>
                <w:highlight w:val="black"/>
                <w:lang w:eastAsia="en-US"/>
              </w:rPr>
              <w:t>''''''''''''''''</w:t>
            </w:r>
            <w:r w:rsidR="006E6EA6">
              <w:rPr>
                <w:vertAlign w:val="superscript"/>
              </w:rPr>
              <w:t>7</w:t>
            </w:r>
          </w:p>
        </w:tc>
      </w:tr>
      <w:tr w:rsidR="006C52AD" w:rsidRPr="00060B29" w:rsidTr="00060B29">
        <w:tc>
          <w:tcPr>
            <w:tcW w:w="1116" w:type="pct"/>
            <w:shd w:val="clear" w:color="auto" w:fill="auto"/>
            <w:vAlign w:val="center"/>
          </w:tcPr>
          <w:p w:rsidR="006C52AD" w:rsidRPr="00060B29" w:rsidRDefault="006C52AD" w:rsidP="00FD38BF">
            <w:pPr>
              <w:pStyle w:val="Tabletext"/>
              <w:keepNext/>
              <w:keepLines/>
            </w:pPr>
            <w:r w:rsidRPr="00060B29">
              <w:t>Net cost to {PBS/RPBS/MBS/DHS}</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4</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5</w:t>
            </w:r>
          </w:p>
        </w:tc>
        <w:tc>
          <w:tcPr>
            <w:tcW w:w="647" w:type="pct"/>
            <w:shd w:val="clear" w:color="auto" w:fill="auto"/>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6</w:t>
            </w:r>
          </w:p>
        </w:tc>
        <w:tc>
          <w:tcPr>
            <w:tcW w:w="649" w:type="pct"/>
            <w:vAlign w:val="center"/>
          </w:tcPr>
          <w:p w:rsidR="006C52AD" w:rsidRPr="006C3A17" w:rsidRDefault="006C52AD" w:rsidP="00FD38BF">
            <w:pPr>
              <w:pStyle w:val="Tabletext"/>
              <w:keepNext/>
              <w:keepLines/>
              <w:jc w:val="center"/>
            </w:pPr>
            <w:r w:rsidRPr="00795BFC">
              <w:rPr>
                <w:rFonts w:eastAsiaTheme="minorHAnsi" w:cs="Calibri"/>
                <w:color w:val="000000"/>
                <w:lang w:eastAsia="en-US"/>
              </w:rPr>
              <w:t>$</w:t>
            </w:r>
            <w:r w:rsidR="006C3A17">
              <w:rPr>
                <w:rFonts w:eastAsiaTheme="minorHAnsi" w:cs="Calibri"/>
                <w:b/>
                <w:noProof/>
                <w:color w:val="000000"/>
                <w:highlight w:val="black"/>
                <w:lang w:eastAsia="en-US"/>
              </w:rPr>
              <w:t>'''''''''''''''''''''</w:t>
            </w:r>
            <w:r w:rsidR="00795BFC">
              <w:rPr>
                <w:vertAlign w:val="superscript"/>
              </w:rPr>
              <w:t>6</w:t>
            </w:r>
          </w:p>
        </w:tc>
      </w:tr>
    </w:tbl>
    <w:p w:rsidR="006C52AD" w:rsidRPr="00060B29" w:rsidRDefault="006C52AD" w:rsidP="00FD38BF">
      <w:pPr>
        <w:pStyle w:val="TableFooter"/>
        <w:keepNext/>
        <w:keepLines/>
      </w:pPr>
      <w:r w:rsidRPr="00060B29">
        <w:rPr>
          <w:vertAlign w:val="superscript"/>
        </w:rPr>
        <w:t>a</w:t>
      </w:r>
      <w:r w:rsidRPr="00060B29">
        <w:t xml:space="preserve"> Assuming 11.8 scripts per year as estimated by the submission.</w:t>
      </w:r>
    </w:p>
    <w:p w:rsidR="006C52AD" w:rsidRPr="00795BFC" w:rsidRDefault="006C52AD" w:rsidP="00795BFC">
      <w:pPr>
        <w:pStyle w:val="TableFooter"/>
        <w:keepNext/>
        <w:keepLines/>
      </w:pPr>
      <w:r w:rsidRPr="00795BFC">
        <w:t>Source: Table 4.9, Table 4.10, Table 4.15, Table 4.20, Table 4.21, Table 4.27 of the submission.</w:t>
      </w:r>
    </w:p>
    <w:p w:rsidR="00795BFC" w:rsidRDefault="00795BFC" w:rsidP="00795BFC">
      <w:pPr>
        <w:pStyle w:val="TableFooter"/>
        <w:keepNext/>
        <w:keepLines/>
        <w:rPr>
          <w:i/>
        </w:rPr>
      </w:pPr>
      <w:r w:rsidRPr="00795BFC">
        <w:rPr>
          <w:i/>
        </w:rPr>
        <w:t>The redacted values correspond to the following ranges:</w:t>
      </w:r>
    </w:p>
    <w:p w:rsidR="00795BFC" w:rsidRDefault="00795BFC" w:rsidP="00795BFC">
      <w:pPr>
        <w:pStyle w:val="TableFooter"/>
        <w:keepNext/>
        <w:keepLines/>
        <w:rPr>
          <w:i/>
        </w:rPr>
      </w:pPr>
      <w:r>
        <w:rPr>
          <w:i/>
          <w:vertAlign w:val="superscript"/>
        </w:rPr>
        <w:t xml:space="preserve">1 </w:t>
      </w:r>
      <w:r w:rsidRPr="00795BFC">
        <w:rPr>
          <w:i/>
        </w:rPr>
        <w:t>500 to &lt; 5,000</w:t>
      </w:r>
    </w:p>
    <w:p w:rsidR="00795BFC" w:rsidRPr="00795BFC" w:rsidRDefault="00795BFC" w:rsidP="00795BFC">
      <w:pPr>
        <w:pStyle w:val="TableFooter"/>
        <w:keepNext/>
        <w:keepLines/>
        <w:rPr>
          <w:i/>
        </w:rPr>
      </w:pPr>
      <w:r>
        <w:rPr>
          <w:i/>
          <w:vertAlign w:val="superscript"/>
        </w:rPr>
        <w:t xml:space="preserve">2 </w:t>
      </w:r>
      <w:r w:rsidRPr="00795BFC">
        <w:rPr>
          <w:i/>
        </w:rPr>
        <w:t>10,000 to &lt; 20,000</w:t>
      </w:r>
    </w:p>
    <w:p w:rsidR="00795BFC" w:rsidRDefault="00795BFC" w:rsidP="00795BFC">
      <w:pPr>
        <w:pStyle w:val="TableFooter"/>
        <w:keepNext/>
        <w:keepLines/>
        <w:rPr>
          <w:i/>
        </w:rPr>
      </w:pPr>
      <w:r>
        <w:rPr>
          <w:i/>
          <w:vertAlign w:val="superscript"/>
        </w:rPr>
        <w:t xml:space="preserve">3 </w:t>
      </w:r>
      <w:r w:rsidRPr="00795BFC">
        <w:rPr>
          <w:i/>
        </w:rPr>
        <w:t>20,000 to &lt; 30,000</w:t>
      </w:r>
    </w:p>
    <w:p w:rsidR="00795BFC" w:rsidRPr="00795BFC" w:rsidRDefault="00795BFC" w:rsidP="00795BFC">
      <w:pPr>
        <w:pStyle w:val="TableFooter"/>
        <w:keepNext/>
        <w:keepLines/>
        <w:rPr>
          <w:i/>
        </w:rPr>
      </w:pPr>
      <w:r>
        <w:rPr>
          <w:i/>
          <w:vertAlign w:val="superscript"/>
        </w:rPr>
        <w:t xml:space="preserve">4 </w:t>
      </w:r>
      <w:r w:rsidRPr="00795BFC">
        <w:rPr>
          <w:i/>
        </w:rPr>
        <w:t>$10 million to &lt; $20 million</w:t>
      </w:r>
    </w:p>
    <w:p w:rsidR="00795BFC" w:rsidRPr="00795BFC" w:rsidRDefault="00795BFC" w:rsidP="00795BFC">
      <w:pPr>
        <w:pStyle w:val="TableFooter"/>
        <w:keepNext/>
        <w:keepLines/>
        <w:rPr>
          <w:i/>
        </w:rPr>
      </w:pPr>
      <w:r>
        <w:rPr>
          <w:i/>
          <w:vertAlign w:val="superscript"/>
        </w:rPr>
        <w:t xml:space="preserve">5 </w:t>
      </w:r>
      <w:r w:rsidRPr="00795BFC">
        <w:rPr>
          <w:i/>
        </w:rPr>
        <w:t>$20 million to &lt; $30 million</w:t>
      </w:r>
    </w:p>
    <w:p w:rsidR="00795BFC" w:rsidRDefault="00795BFC" w:rsidP="00795BFC">
      <w:pPr>
        <w:pStyle w:val="TableFooter"/>
        <w:keepNext/>
        <w:keepLines/>
        <w:rPr>
          <w:i/>
        </w:rPr>
      </w:pPr>
      <w:r>
        <w:rPr>
          <w:i/>
          <w:vertAlign w:val="superscript"/>
        </w:rPr>
        <w:t xml:space="preserve">6 </w:t>
      </w:r>
      <w:r w:rsidRPr="00795BFC">
        <w:rPr>
          <w:i/>
        </w:rPr>
        <w:t>$30 million to &lt; $40 million</w:t>
      </w:r>
    </w:p>
    <w:p w:rsidR="00795BFC" w:rsidRPr="00795BFC" w:rsidRDefault="00795BFC" w:rsidP="00795BFC">
      <w:pPr>
        <w:pStyle w:val="TableFooter"/>
        <w:keepNext/>
        <w:keepLines/>
        <w:rPr>
          <w:i/>
        </w:rPr>
      </w:pPr>
      <w:r>
        <w:rPr>
          <w:i/>
          <w:vertAlign w:val="superscript"/>
        </w:rPr>
        <w:t xml:space="preserve">7 </w:t>
      </w:r>
      <w:r w:rsidRPr="00795BFC">
        <w:rPr>
          <w:i/>
        </w:rPr>
        <w:t>$0 to &lt; $10 million</w:t>
      </w:r>
    </w:p>
    <w:p w:rsidR="00795BFC" w:rsidRPr="00060B29" w:rsidRDefault="00795BFC" w:rsidP="00FD38BF">
      <w:pPr>
        <w:keepNext/>
        <w:keepLines/>
        <w:spacing w:after="240"/>
        <w:contextualSpacing/>
        <w:rPr>
          <w:rFonts w:ascii="Arial Narrow" w:hAnsi="Arial Narrow"/>
          <w:b/>
          <w:sz w:val="20"/>
          <w:szCs w:val="16"/>
        </w:rPr>
      </w:pPr>
    </w:p>
    <w:p w:rsidR="00C5216C" w:rsidRPr="00060B29" w:rsidRDefault="00C5216C" w:rsidP="00AC0219">
      <w:pPr>
        <w:pStyle w:val="3-BodyText"/>
      </w:pPr>
      <w:bookmarkStart w:id="41" w:name="_Toc22897648"/>
      <w:r w:rsidRPr="00060B29">
        <w:t xml:space="preserve">The total cost to the PBS/Repatriation Pharmaceutical Benefits Scheme (RPBS) of listing nintedanib was estimated to be </w:t>
      </w:r>
      <w:r w:rsidR="00AC0219" w:rsidRPr="00AC0219">
        <w:t>$30 million to &lt; $40 million</w:t>
      </w:r>
      <w:r w:rsidR="00AC0219" w:rsidRPr="00AC0219" w:rsidDel="00AC0219">
        <w:t xml:space="preserve"> </w:t>
      </w:r>
      <w:r w:rsidRPr="00060B29">
        <w:t xml:space="preserve">in Year </w:t>
      </w:r>
      <w:r w:rsidR="00FD0594" w:rsidRPr="00060B29">
        <w:t>6</w:t>
      </w:r>
      <w:r w:rsidRPr="00060B29">
        <w:t xml:space="preserve">, and a total of </w:t>
      </w:r>
      <w:r w:rsidR="00AC0219" w:rsidRPr="00AC0219">
        <w:t>$100 million to &lt; $200 million</w:t>
      </w:r>
      <w:r w:rsidR="00AC0219" w:rsidRPr="00AC0219" w:rsidDel="00AC0219">
        <w:t xml:space="preserve"> </w:t>
      </w:r>
      <w:r w:rsidR="00FD0594" w:rsidRPr="00060B29">
        <w:t>in the first 6</w:t>
      </w:r>
      <w:r w:rsidRPr="00060B29">
        <w:t xml:space="preserve"> years of listing.</w:t>
      </w:r>
    </w:p>
    <w:p w:rsidR="00663170" w:rsidRPr="00060B29" w:rsidRDefault="00663170" w:rsidP="00B15687">
      <w:pPr>
        <w:pStyle w:val="3-BodyText"/>
      </w:pPr>
      <w:r w:rsidRPr="00060B29">
        <w:t>DUSC considered the estimates presented in the submission to be overestimated. The main issues identified were:</w:t>
      </w:r>
    </w:p>
    <w:p w:rsidR="00663170" w:rsidRPr="00060B29" w:rsidRDefault="00663170" w:rsidP="00B15687">
      <w:pPr>
        <w:pStyle w:val="ListParagraph"/>
        <w:numPr>
          <w:ilvl w:val="0"/>
          <w:numId w:val="24"/>
        </w:numPr>
        <w:spacing w:after="0"/>
        <w:contextualSpacing/>
      </w:pPr>
      <w:r w:rsidRPr="00060B29">
        <w:t>The financial estimates are most sensitive to the prevalence assumptions. There is a lack of epidemiological dat</w:t>
      </w:r>
      <w:r w:rsidR="002B17EA" w:rsidRPr="00060B29">
        <w:t xml:space="preserve">a to estimate the prevalence of </w:t>
      </w:r>
      <w:r w:rsidRPr="00060B29">
        <w:rPr>
          <w:iCs/>
        </w:rPr>
        <w:t>PF-ILD in the Australian population</w:t>
      </w:r>
      <w:r w:rsidRPr="00060B29">
        <w:t>. The prevalence figure used in the base case (9.08 per 100,000)</w:t>
      </w:r>
      <w:r w:rsidRPr="00060B29">
        <w:rPr>
          <w:rFonts w:ascii="Arial Narrow" w:eastAsiaTheme="majorEastAsia" w:hAnsi="Arial Narrow" w:cstheme="majorBidi"/>
          <w:sz w:val="20"/>
        </w:rPr>
        <w:t xml:space="preserve"> </w:t>
      </w:r>
      <w:r w:rsidRPr="00060B29">
        <w:rPr>
          <w:bCs/>
          <w:iCs/>
          <w:szCs w:val="28"/>
        </w:rPr>
        <w:t xml:space="preserve">of </w:t>
      </w:r>
      <w:r w:rsidRPr="00060B29">
        <w:t xml:space="preserve">the submission is uncertain as it was calculated instead of being measured directly. </w:t>
      </w:r>
      <w:r w:rsidRPr="00060B29">
        <w:rPr>
          <w:rFonts w:cstheme="minorHAnsi"/>
        </w:rPr>
        <w:t>In the absence of more reliable data on the true prevalence of PF-ILD,</w:t>
      </w:r>
      <w:r w:rsidR="00E42DC3">
        <w:rPr>
          <w:rFonts w:cstheme="minorHAnsi"/>
        </w:rPr>
        <w:t xml:space="preserve"> the ESC considered that</w:t>
      </w:r>
      <w:r w:rsidRPr="00060B29">
        <w:rPr>
          <w:rFonts w:cstheme="minorHAnsi"/>
        </w:rPr>
        <w:t xml:space="preserve"> </w:t>
      </w:r>
      <w:r w:rsidRPr="00060B29">
        <w:rPr>
          <w:rFonts w:eastAsiaTheme="majorEastAsia" w:cstheme="minorHAnsi"/>
          <w:bCs/>
          <w:iCs/>
        </w:rPr>
        <w:t>a prevalence estimate derived from the five studies</w:t>
      </w:r>
      <w:r w:rsidRPr="00060B29">
        <w:rPr>
          <w:rFonts w:eastAsiaTheme="majorEastAsia" w:cstheme="minorHAnsi"/>
          <w:iCs/>
        </w:rPr>
        <w:t xml:space="preserve"> used for the</w:t>
      </w:r>
      <w:r w:rsidRPr="00060B29">
        <w:rPr>
          <w:rFonts w:eastAsiaTheme="majorEastAsia" w:cstheme="minorHAnsi"/>
          <w:bCs/>
          <w:iCs/>
        </w:rPr>
        <w:t xml:space="preserve"> submission’s</w:t>
      </w:r>
      <w:r w:rsidRPr="00060B29">
        <w:rPr>
          <w:rFonts w:eastAsiaTheme="majorEastAsia" w:cstheme="minorHAnsi"/>
          <w:iCs/>
        </w:rPr>
        <w:t xml:space="preserve"> base case</w:t>
      </w:r>
      <w:r w:rsidRPr="00060B29">
        <w:rPr>
          <w:rFonts w:eastAsiaTheme="majorEastAsia" w:cstheme="minorHAnsi"/>
          <w:bCs/>
          <w:iCs/>
        </w:rPr>
        <w:t xml:space="preserve"> using an inverse weighted variance method</w:t>
      </w:r>
      <w:r w:rsidRPr="00060B29">
        <w:rPr>
          <w:rFonts w:eastAsiaTheme="majorEastAsia" w:cstheme="minorHAnsi"/>
          <w:iCs/>
        </w:rPr>
        <w:t xml:space="preserve"> </w:t>
      </w:r>
      <w:r w:rsidRPr="00060B29">
        <w:rPr>
          <w:rFonts w:eastAsiaTheme="majorEastAsia" w:cstheme="minorHAnsi"/>
          <w:bCs/>
          <w:iCs/>
        </w:rPr>
        <w:t>may</w:t>
      </w:r>
      <w:r w:rsidRPr="00060B29">
        <w:rPr>
          <w:rFonts w:eastAsiaTheme="majorEastAsia" w:cstheme="minorHAnsi"/>
          <w:iCs/>
        </w:rPr>
        <w:t xml:space="preserve"> be more appropriate</w:t>
      </w:r>
      <w:r w:rsidRPr="00060B29">
        <w:t xml:space="preserve">. </w:t>
      </w:r>
    </w:p>
    <w:p w:rsidR="00663170" w:rsidRPr="00060B29" w:rsidRDefault="006954B2" w:rsidP="00B15687">
      <w:pPr>
        <w:pStyle w:val="ListParagraph"/>
        <w:numPr>
          <w:ilvl w:val="0"/>
          <w:numId w:val="24"/>
        </w:numPr>
        <w:spacing w:after="0"/>
        <w:contextualSpacing/>
      </w:pPr>
      <w:r w:rsidRPr="00060B29">
        <w:rPr>
          <w:rFonts w:eastAsiaTheme="majorEastAsia" w:cstheme="majorBidi"/>
          <w:spacing w:val="5"/>
          <w:kern w:val="28"/>
          <w:szCs w:val="36"/>
        </w:rPr>
        <w:t>The submission assumed an uptake rate of 48% in Year 1, increasing to 95% in Year 6.</w:t>
      </w:r>
      <w:r w:rsidR="00FF49B6" w:rsidRPr="00060B29">
        <w:rPr>
          <w:rFonts w:eastAsiaTheme="majorEastAsia" w:cstheme="majorBidi"/>
          <w:spacing w:val="5"/>
          <w:kern w:val="28"/>
          <w:szCs w:val="36"/>
        </w:rPr>
        <w:t xml:space="preserve"> </w:t>
      </w:r>
      <w:r w:rsidR="00663170" w:rsidRPr="00060B29">
        <w:t xml:space="preserve">The uptake of nintedanib is uncertain. The treatment uptake may be underestimated during the early years of listing as it would be the first PBS-listed treatment </w:t>
      </w:r>
      <w:r w:rsidR="00E42DC3">
        <w:t xml:space="preserve">for PF-ILD </w:t>
      </w:r>
      <w:r w:rsidR="00663170" w:rsidRPr="00060B29">
        <w:t xml:space="preserve">and overestimated over time due to </w:t>
      </w:r>
      <w:r w:rsidRPr="00060B29">
        <w:rPr>
          <w:rFonts w:eastAsiaTheme="majorEastAsia" w:cstheme="majorBidi"/>
          <w:spacing w:val="5"/>
          <w:kern w:val="28"/>
          <w:szCs w:val="36"/>
        </w:rPr>
        <w:t xml:space="preserve">the cumulative experience of gastrointestinal adverse effects associated with treatment, such as diarrhoea; greater utility of other pharmacological treatments; and clinicians becoming familiar </w:t>
      </w:r>
      <w:r w:rsidR="00FF49B6" w:rsidRPr="00060B29">
        <w:rPr>
          <w:rFonts w:eastAsiaTheme="majorEastAsia" w:cstheme="majorBidi"/>
          <w:spacing w:val="5"/>
          <w:kern w:val="28"/>
          <w:szCs w:val="36"/>
        </w:rPr>
        <w:t>with the limitations of therapy</w:t>
      </w:r>
      <w:r w:rsidR="00060B29" w:rsidRPr="00060B29">
        <w:t xml:space="preserve">. </w:t>
      </w:r>
      <w:r w:rsidR="00663170" w:rsidRPr="00060B29">
        <w:t xml:space="preserve"> </w:t>
      </w:r>
    </w:p>
    <w:p w:rsidR="00663170" w:rsidRPr="00060B29" w:rsidRDefault="00663170" w:rsidP="00B15687">
      <w:pPr>
        <w:pStyle w:val="ListParagraph"/>
        <w:numPr>
          <w:ilvl w:val="0"/>
          <w:numId w:val="24"/>
        </w:numPr>
        <w:spacing w:after="0"/>
        <w:contextualSpacing/>
      </w:pPr>
      <w:r w:rsidRPr="00060B29">
        <w:t xml:space="preserve">No discontinuation criteria or risk sharing arrangement was proposed in the submission, in contrast to the IPF submission. </w:t>
      </w:r>
    </w:p>
    <w:p w:rsidR="00D9065D" w:rsidRPr="00060B29" w:rsidRDefault="00D9065D" w:rsidP="00B15687">
      <w:pPr>
        <w:pStyle w:val="ListBullet"/>
      </w:pPr>
    </w:p>
    <w:p w:rsidR="00663170" w:rsidRPr="00060B29" w:rsidRDefault="00D9065D" w:rsidP="00B15687">
      <w:pPr>
        <w:pStyle w:val="3-BodyText"/>
        <w:rPr>
          <w:rFonts w:eastAsiaTheme="majorEastAsia" w:cstheme="majorBidi"/>
          <w:b/>
          <w:spacing w:val="5"/>
          <w:kern w:val="28"/>
          <w:sz w:val="28"/>
          <w:szCs w:val="36"/>
        </w:rPr>
      </w:pPr>
      <w:r w:rsidRPr="00060B29">
        <w:t>The submission conducted a systematic literature review to identify studies that estimated the prevalence of PF-ILD. Among them, five relevant published studies were found plus the unpublished study of Nasser et al. (2020a)</w:t>
      </w:r>
      <w:r w:rsidR="00045823" w:rsidRPr="00060B29">
        <w:t xml:space="preserve"> based on French national data which the submission claimed </w:t>
      </w:r>
      <w:r w:rsidRPr="00060B29">
        <w:t>was relevant because it was the only one that directly estimated the prevalence of PF-ILD</w:t>
      </w:r>
      <w:r w:rsidR="00045823" w:rsidRPr="00060B29">
        <w:t xml:space="preserve">. </w:t>
      </w:r>
      <w:r w:rsidRPr="00060B29">
        <w:t xml:space="preserve">Minimal data from this study was available, as only the abstract could be obtained. The prevalence estimates varied from 6.6 to 19.4, with 46% of those with fibrosing interstitial lung disease having PF-ILD. These estimates were based on three successive steps based on clinical ICD-10 coding, which DUSC commented were unlikely to match the rigor </w:t>
      </w:r>
      <w:r w:rsidR="00FD0594" w:rsidRPr="00060B29">
        <w:t xml:space="preserve">of the INBUILD trial criteria. </w:t>
      </w:r>
      <w:r w:rsidRPr="00060B29">
        <w:t>DUSC commented the estimates from the Nasser study (2020a) considered by the submission may be overestimated, or it could be due to the increased recognition of the PF-ILD and the introduction of anti</w:t>
      </w:r>
      <w:r w:rsidR="00BD57B8">
        <w:t>-</w:t>
      </w:r>
      <w:r w:rsidRPr="00060B29">
        <w:t>fibrotics.</w:t>
      </w:r>
    </w:p>
    <w:p w:rsidR="009C42B1" w:rsidRPr="00060B29" w:rsidRDefault="00D9065D" w:rsidP="00B15687">
      <w:pPr>
        <w:pStyle w:val="3-BodyText"/>
        <w:rPr>
          <w:rFonts w:eastAsiaTheme="majorEastAsia" w:cstheme="majorBidi"/>
          <w:spacing w:val="5"/>
          <w:kern w:val="28"/>
          <w:szCs w:val="36"/>
        </w:rPr>
      </w:pPr>
      <w:r w:rsidRPr="00060B29">
        <w:rPr>
          <w:rFonts w:eastAsiaTheme="majorEastAsia" w:cstheme="majorBidi"/>
          <w:spacing w:val="5"/>
          <w:kern w:val="28"/>
          <w:szCs w:val="36"/>
        </w:rPr>
        <w:t>Prevalence of PF-ILD was estimated from multiplying the reported prevalence of ILD with fibrosing phenotype by the proportion of patients with progressive phenotype</w:t>
      </w:r>
      <w:r w:rsidR="00FD0594" w:rsidRPr="00060B29">
        <w:rPr>
          <w:rFonts w:eastAsiaTheme="majorEastAsia" w:cstheme="majorBidi"/>
          <w:spacing w:val="5"/>
          <w:kern w:val="28"/>
          <w:szCs w:val="36"/>
        </w:rPr>
        <w:t xml:space="preserve"> estimated through an expert survey</w:t>
      </w:r>
      <w:r w:rsidRPr="00060B29">
        <w:rPr>
          <w:rFonts w:eastAsiaTheme="majorEastAsia" w:cstheme="majorBidi"/>
          <w:spacing w:val="5"/>
          <w:kern w:val="28"/>
          <w:szCs w:val="36"/>
        </w:rPr>
        <w:t xml:space="preserve">. DUSC considered the prevalence should have been measured directly instead of being calculated. DUSC noted the demographic differences of the studies and questioned their applicability to the Australian population. DUSC noted there may be a higher prevalence in the United States as sarcoidosis is more common in African Americans. Further, smoking is more prevalent in France compared to Australia, which may further influence estimates of fibrosing interstitial lung disease. Estimates from Olson et al. (2018) and the highest estimate from Nasser et al. (2020) were combined using a simple mean for the base case prevalence. The </w:t>
      </w:r>
      <w:r w:rsidR="005E7E89">
        <w:rPr>
          <w:rFonts w:eastAsiaTheme="majorEastAsia" w:cstheme="majorBidi"/>
          <w:spacing w:val="5"/>
          <w:kern w:val="28"/>
          <w:szCs w:val="36"/>
        </w:rPr>
        <w:t>PSCR</w:t>
      </w:r>
      <w:r w:rsidRPr="00060B29">
        <w:rPr>
          <w:rFonts w:eastAsiaTheme="majorEastAsia" w:cstheme="majorBidi"/>
          <w:spacing w:val="5"/>
          <w:kern w:val="28"/>
          <w:szCs w:val="36"/>
        </w:rPr>
        <w:t xml:space="preserve"> stated</w:t>
      </w:r>
      <w:r w:rsidR="005E7E89">
        <w:rPr>
          <w:rFonts w:eastAsiaTheme="majorEastAsia" w:cstheme="majorBidi"/>
          <w:spacing w:val="5"/>
          <w:kern w:val="28"/>
          <w:szCs w:val="36"/>
        </w:rPr>
        <w:t>,</w:t>
      </w:r>
      <w:r w:rsidRPr="00060B29">
        <w:rPr>
          <w:rFonts w:eastAsiaTheme="majorEastAsia" w:cstheme="majorBidi"/>
          <w:spacing w:val="5"/>
          <w:kern w:val="28"/>
          <w:szCs w:val="36"/>
        </w:rPr>
        <w:t xml:space="preserve"> “plotting the prevalence rates against the time at which the study was conducted shows a clear and increasing trend which broadly coincides with the start of the clinical development program… the initiation of clinical development programs resulted in increased awareness of the disease, increased accuracy and hence the number of diagnoses… resulting in further increases in the number of patients diagnosed with ILD.”  DUSC </w:t>
      </w:r>
      <w:r w:rsidR="004C5FA4" w:rsidRPr="00060B29">
        <w:rPr>
          <w:rFonts w:eastAsiaTheme="majorEastAsia" w:cstheme="majorBidi"/>
          <w:spacing w:val="5"/>
          <w:kern w:val="28"/>
          <w:szCs w:val="36"/>
        </w:rPr>
        <w:t>considered</w:t>
      </w:r>
      <w:r w:rsidRPr="00060B29">
        <w:rPr>
          <w:rFonts w:eastAsiaTheme="majorEastAsia" w:cstheme="majorBidi"/>
          <w:spacing w:val="5"/>
          <w:kern w:val="28"/>
          <w:szCs w:val="36"/>
        </w:rPr>
        <w:t xml:space="preserve"> that an inverse weighted variance would be more appropriate instead of using a simple mean and sensitivity analyses should have been conducted. DUSC commented the base case estimates excluded the Nasser 2010 study. The current prevalence may be underestimated due to the increase </w:t>
      </w:r>
      <w:r w:rsidR="00E42DC3">
        <w:rPr>
          <w:rFonts w:eastAsiaTheme="majorEastAsia" w:cstheme="majorBidi"/>
          <w:spacing w:val="5"/>
          <w:kern w:val="28"/>
          <w:szCs w:val="36"/>
        </w:rPr>
        <w:t>observed in studies over time.</w:t>
      </w:r>
      <w:r w:rsidRPr="00060B29">
        <w:rPr>
          <w:rFonts w:eastAsiaTheme="majorEastAsia" w:cstheme="majorBidi"/>
          <w:spacing w:val="5"/>
          <w:kern w:val="28"/>
          <w:szCs w:val="36"/>
        </w:rPr>
        <w:t xml:space="preserve"> Overall, DUSC considered that there was a lack of epidemiological data to address the uncertainty of prevalence estimates. </w:t>
      </w:r>
    </w:p>
    <w:p w:rsidR="004C5FA4" w:rsidRPr="00060B29" w:rsidRDefault="009C42B1" w:rsidP="00B15687">
      <w:pPr>
        <w:pStyle w:val="3-BodyText"/>
        <w:rPr>
          <w:rFonts w:eastAsiaTheme="majorEastAsia" w:cstheme="majorBidi"/>
          <w:i/>
          <w:spacing w:val="5"/>
          <w:kern w:val="28"/>
          <w:szCs w:val="36"/>
        </w:rPr>
      </w:pPr>
      <w:r w:rsidRPr="00060B29">
        <w:rPr>
          <w:rFonts w:eastAsiaTheme="majorEastAsia" w:cstheme="majorBidi"/>
          <w:spacing w:val="5"/>
          <w:kern w:val="28"/>
          <w:szCs w:val="36"/>
        </w:rPr>
        <w:t>The submission estimated the proportion of scripts for the 150 mg and 100 mg dose, using the average dose of nintedanib sourced from the INBUILD trial. Using the average dose, it was assumed that 77.62% and 22.38% of patients were treated with 150 mg bid and 100 mg bid, respectively. DUSC considered that the estimated proportion of patients treated with the 150 mg dose is likely overestimated. There is a decreasing proportion of patients treated with 150 mg for IPF (2018: 73.1%, 2019: 70.5%, 2020: 67%). This may be due to patients being unable to tolerate the gastrointestinal adverse events, patients only initiating on the 100 mg dose and not escalating to 150 mg and practice change.</w:t>
      </w:r>
      <w:r w:rsidRPr="00060B29">
        <w:rPr>
          <w:rFonts w:eastAsiaTheme="majorEastAsia" w:cstheme="majorBidi"/>
          <w:i/>
          <w:spacing w:val="5"/>
          <w:kern w:val="28"/>
          <w:szCs w:val="36"/>
        </w:rPr>
        <w:t xml:space="preserve"> </w:t>
      </w:r>
    </w:p>
    <w:p w:rsidR="00123C5D" w:rsidRPr="00060B29" w:rsidRDefault="00123C5D" w:rsidP="00B15687">
      <w:pPr>
        <w:spacing w:before="120" w:after="120"/>
        <w:outlineLvl w:val="1"/>
        <w:rPr>
          <w:rFonts w:asciiTheme="minorHAnsi" w:eastAsiaTheme="majorEastAsia" w:hAnsiTheme="minorHAnsi" w:cstheme="majorBidi"/>
          <w:b/>
          <w:i/>
          <w:spacing w:val="5"/>
          <w:kern w:val="28"/>
          <w:sz w:val="28"/>
          <w:szCs w:val="36"/>
        </w:rPr>
      </w:pPr>
      <w:r w:rsidRPr="00060B29">
        <w:rPr>
          <w:rFonts w:asciiTheme="minorHAnsi" w:eastAsiaTheme="majorEastAsia" w:hAnsiTheme="minorHAnsi" w:cstheme="majorBidi"/>
          <w:b/>
          <w:i/>
          <w:spacing w:val="5"/>
          <w:kern w:val="28"/>
          <w:sz w:val="28"/>
          <w:szCs w:val="36"/>
        </w:rPr>
        <w:t>Quality Use of Medicines</w:t>
      </w:r>
      <w:bookmarkEnd w:id="41"/>
    </w:p>
    <w:p w:rsidR="00123C5D" w:rsidRPr="00060B29" w:rsidRDefault="002B17EA" w:rsidP="00B15687">
      <w:pPr>
        <w:pStyle w:val="3-BodyText"/>
      </w:pPr>
      <w:r w:rsidRPr="00060B29">
        <w:t>DUSC considered that a</w:t>
      </w:r>
      <w:r w:rsidR="00123C5D" w:rsidRPr="00060B29">
        <w:t xml:space="preserve"> consumer education program and a health professional education program would be appropriate for nintedanib listing. Patients’ compliance is expected to be lower in a real-life context given the high gastrointestinal adverse effect rates. In addition, training health professionals to diagnose PF-ILD and consequently to assess nintedanib eligibility would be useful as this is a disease that does not have current treatment.</w:t>
      </w:r>
      <w:r w:rsidR="00B80FA4" w:rsidRPr="00060B29">
        <w:t xml:space="preserve"> The PSCR confirmed </w:t>
      </w:r>
      <w:r w:rsidR="00B80FA4" w:rsidRPr="00060B29">
        <w:rPr>
          <w:iCs/>
        </w:rPr>
        <w:t>that a similar quality use of medicines program to IPF is being planned for the potential PBS listing for PF-ILD, for both prescribers and patients. The PSCR stated that for prescribers, a series of educational activities including webinars, congresses and forums will be implemented to provide training on the diagnosis and management of PF-ILD. The PSCR stated that the sponsor will engage with patient organisations to promote disease awareness as well as provide extensive patient information and educational resources to assist with patient compliance and management of known adverse events such as diarrhoea.</w:t>
      </w:r>
    </w:p>
    <w:p w:rsidR="003B45D8" w:rsidRPr="00060B29" w:rsidRDefault="003B45D8" w:rsidP="00B15687">
      <w:pPr>
        <w:spacing w:before="120" w:after="120"/>
        <w:outlineLvl w:val="1"/>
        <w:rPr>
          <w:rFonts w:asciiTheme="minorHAnsi" w:eastAsiaTheme="majorEastAsia" w:hAnsiTheme="minorHAnsi" w:cstheme="majorBidi"/>
          <w:b/>
          <w:i/>
          <w:spacing w:val="5"/>
          <w:kern w:val="28"/>
          <w:sz w:val="28"/>
          <w:szCs w:val="36"/>
        </w:rPr>
      </w:pPr>
      <w:r w:rsidRPr="00060B29">
        <w:rPr>
          <w:rFonts w:asciiTheme="minorHAnsi" w:eastAsiaTheme="majorEastAsia" w:hAnsiTheme="minorHAnsi" w:cstheme="majorBidi"/>
          <w:b/>
          <w:i/>
          <w:spacing w:val="5"/>
          <w:kern w:val="28"/>
          <w:sz w:val="28"/>
          <w:szCs w:val="36"/>
        </w:rPr>
        <w:t>Financial Management – Risk Sharing Arrangements</w:t>
      </w:r>
    </w:p>
    <w:p w:rsidR="00905F19" w:rsidRDefault="00B238B6" w:rsidP="00B15687">
      <w:pPr>
        <w:pStyle w:val="3-BodyText"/>
      </w:pPr>
      <w:r w:rsidRPr="00060B29">
        <w:t>No RSA</w:t>
      </w:r>
      <w:r w:rsidR="00176612" w:rsidRPr="00060B29">
        <w:t xml:space="preserve"> was proposed by the submission</w:t>
      </w:r>
      <w:r w:rsidR="003B45D8" w:rsidRPr="00060B29">
        <w:t>.</w:t>
      </w:r>
      <w:r w:rsidR="0052463C" w:rsidRPr="00060B29">
        <w:t xml:space="preserve"> The ESC considered there was a potential for nintedanib to be used outside the requested and existing restriction in other types of ILD which also have limited treatment options. </w:t>
      </w:r>
      <w:r w:rsidRPr="00060B29">
        <w:t>The ESC noted that the financial caps for the existing IPF RSA which includes both nintedanib and pirfenidone have been exceeded in Years 2</w:t>
      </w:r>
      <w:r w:rsidR="00A26DDC" w:rsidRPr="00060B29">
        <w:t xml:space="preserve"> and 3 of the Deed</w:t>
      </w:r>
      <w:r w:rsidRPr="00060B29">
        <w:t xml:space="preserve">. The ESC considered </w:t>
      </w:r>
      <w:r w:rsidR="00E558AB" w:rsidRPr="00060B29">
        <w:t>that a</w:t>
      </w:r>
      <w:r w:rsidR="00C85443" w:rsidRPr="00060B29">
        <w:t>n</w:t>
      </w:r>
      <w:r w:rsidR="00E558AB" w:rsidRPr="00060B29">
        <w:t xml:space="preserve"> RSA with caps based on estimates of treated patients with </w:t>
      </w:r>
      <w:r w:rsidR="006C3A17">
        <w:rPr>
          <w:noProof/>
          <w:color w:val="000000"/>
          <w:highlight w:val="black"/>
        </w:rPr>
        <w:t>''''''''</w:t>
      </w:r>
      <w:r w:rsidR="00E558AB" w:rsidRPr="00060B29">
        <w:t xml:space="preserve">% rebate for any expenditure beyond the caps may be required to manage the risk of use outside the requested restriction. </w:t>
      </w:r>
      <w:r w:rsidR="003909F5" w:rsidRPr="00060B29">
        <w:t xml:space="preserve">The ESC considered it may be appropriate to take into account any overlap between the IPF and PF-ILD populations in determining the expenditure caps for PF-ILD. </w:t>
      </w:r>
      <w:r w:rsidR="007D4CBA" w:rsidRPr="00060B29">
        <w:t xml:space="preserve">The pre-PBAC Response argued that an RSA for the use of nintedanib in PF-ILD was not required as there is minimal risk of use outside the restriction </w:t>
      </w:r>
      <w:r w:rsidR="00D67865" w:rsidRPr="00060B29">
        <w:t>given prescribers are required to obtain written authority</w:t>
      </w:r>
      <w:r w:rsidR="00920AD9" w:rsidRPr="00060B29">
        <w:t xml:space="preserve"> approval. The pre-PB</w:t>
      </w:r>
      <w:r w:rsidR="00B131B0" w:rsidRPr="00060B29">
        <w:t>AC Response also considered</w:t>
      </w:r>
      <w:r w:rsidR="00920AD9" w:rsidRPr="00060B29">
        <w:t xml:space="preserve"> </w:t>
      </w:r>
      <w:r w:rsidR="00B131B0" w:rsidRPr="00060B29">
        <w:t>the use above the caps of</w:t>
      </w:r>
      <w:r w:rsidR="00920AD9" w:rsidRPr="00060B29">
        <w:t xml:space="preserve"> the existing IPF RSA </w:t>
      </w:r>
      <w:r w:rsidR="00B131B0" w:rsidRPr="00060B29">
        <w:t xml:space="preserve">are within the IPF population given the written Authority Required listing and specific clinical criteria around diagnosis of IPF within the listing. </w:t>
      </w:r>
    </w:p>
    <w:p w:rsidR="00B80F13" w:rsidRPr="00B80F13" w:rsidRDefault="00B80F13" w:rsidP="00B15687">
      <w:pPr>
        <w:pStyle w:val="ListParagraph"/>
        <w:numPr>
          <w:ilvl w:val="0"/>
          <w:numId w:val="0"/>
        </w:numPr>
        <w:ind w:left="720"/>
        <w:rPr>
          <w:i/>
        </w:rPr>
      </w:pPr>
      <w:r w:rsidRPr="00B80F13">
        <w:rPr>
          <w:i/>
        </w:rPr>
        <w:t>For more detail on PBAC’s view, see section 7 PBAC outcome.</w:t>
      </w:r>
    </w:p>
    <w:p w:rsidR="00702D02" w:rsidRPr="00060B29" w:rsidRDefault="00702D02" w:rsidP="005E7E89">
      <w:pPr>
        <w:pStyle w:val="2-SectionHeading"/>
        <w:keepLines/>
      </w:pPr>
      <w:r w:rsidRPr="00060B29">
        <w:t>PBAC Outcome</w:t>
      </w:r>
    </w:p>
    <w:p w:rsidR="00E6416B" w:rsidRPr="00060B29" w:rsidRDefault="00E6416B" w:rsidP="005E7E89">
      <w:pPr>
        <w:pStyle w:val="3-BodyText"/>
        <w:keepNext/>
        <w:keepLines/>
        <w:rPr>
          <w:rFonts w:eastAsia="Calibri"/>
        </w:rPr>
      </w:pPr>
      <w:r w:rsidRPr="00060B29">
        <w:rPr>
          <w:rFonts w:eastAsia="Calibri"/>
        </w:rPr>
        <w:t xml:space="preserve">The PBAC did not recommend the listing of nintedanib for the treatment of patients with </w:t>
      </w:r>
      <w:r w:rsidRPr="00060B29">
        <w:t xml:space="preserve">progressive fibrosing interstitial lung disease (PF-ILD). The PBAC considered that </w:t>
      </w:r>
      <w:r w:rsidR="00E26236" w:rsidRPr="00060B29">
        <w:t xml:space="preserve">the </w:t>
      </w:r>
      <w:r w:rsidR="00986812" w:rsidRPr="00060B29">
        <w:t>available data</w:t>
      </w:r>
      <w:r w:rsidR="00E26236" w:rsidRPr="00060B29">
        <w:t xml:space="preserve"> indicated </w:t>
      </w:r>
      <w:r w:rsidR="00B23F8D" w:rsidRPr="00060B29">
        <w:t>a</w:t>
      </w:r>
      <w:r w:rsidR="00E26236" w:rsidRPr="00060B29">
        <w:t xml:space="preserve"> benefit in terms of </w:t>
      </w:r>
      <w:r w:rsidR="00986812" w:rsidRPr="00060B29">
        <w:t xml:space="preserve">slowing </w:t>
      </w:r>
      <w:r w:rsidR="00E26236" w:rsidRPr="00060B29">
        <w:t xml:space="preserve">decline </w:t>
      </w:r>
      <w:r w:rsidR="00986812" w:rsidRPr="00060B29">
        <w:t xml:space="preserve">in lung function </w:t>
      </w:r>
      <w:r w:rsidR="00E26236" w:rsidRPr="00060B29">
        <w:t>compared with best supportive care (BSC</w:t>
      </w:r>
      <w:r w:rsidR="00E26236" w:rsidRPr="00B6223D">
        <w:t>)</w:t>
      </w:r>
      <w:r w:rsidR="00075F2E">
        <w:t>,</w:t>
      </w:r>
      <w:r w:rsidR="00E26236" w:rsidRPr="00B6223D">
        <w:t xml:space="preserve"> </w:t>
      </w:r>
      <w:r w:rsidR="00986812" w:rsidRPr="00B6223D">
        <w:t xml:space="preserve">however, </w:t>
      </w:r>
      <w:r w:rsidR="00C3708B" w:rsidRPr="00B6223D">
        <w:t xml:space="preserve">the PBAC </w:t>
      </w:r>
      <w:r w:rsidR="00B56091" w:rsidRPr="00B6223D">
        <w:rPr>
          <w:rFonts w:eastAsia="Calibri"/>
        </w:rPr>
        <w:t xml:space="preserve">considered that </w:t>
      </w:r>
      <w:r w:rsidR="00A17357">
        <w:rPr>
          <w:rFonts w:eastAsia="Calibri"/>
        </w:rPr>
        <w:t xml:space="preserve">although an overall survival benefit was plausible, </w:t>
      </w:r>
      <w:r w:rsidR="00B56091" w:rsidRPr="00B6223D">
        <w:rPr>
          <w:rFonts w:eastAsia="Calibri"/>
        </w:rPr>
        <w:t xml:space="preserve">the magnitude of </w:t>
      </w:r>
      <w:r w:rsidR="00A17357">
        <w:rPr>
          <w:rFonts w:eastAsia="Calibri"/>
        </w:rPr>
        <w:t>any such</w:t>
      </w:r>
      <w:r w:rsidR="00B56091" w:rsidRPr="00B6223D">
        <w:rPr>
          <w:rFonts w:eastAsia="Calibri"/>
        </w:rPr>
        <w:t xml:space="preserve"> benefit was uncertain</w:t>
      </w:r>
      <w:r w:rsidR="00B23F8D" w:rsidRPr="00B6223D">
        <w:t>. The</w:t>
      </w:r>
      <w:r w:rsidR="00B23F8D" w:rsidRPr="00060B29">
        <w:t xml:space="preserve"> PBAC considered the incremental cost-effectiveness ratio (ICER) </w:t>
      </w:r>
      <w:r w:rsidR="009C1C51" w:rsidRPr="00060B29">
        <w:t xml:space="preserve">was </w:t>
      </w:r>
      <w:r w:rsidR="00B23F8D" w:rsidRPr="00060B29">
        <w:t>uncertain</w:t>
      </w:r>
      <w:r w:rsidR="00B35966" w:rsidRPr="00060B29">
        <w:t xml:space="preserve"> and </w:t>
      </w:r>
      <w:r w:rsidR="00B6223D">
        <w:t>likely</w:t>
      </w:r>
      <w:r w:rsidR="00B6223D" w:rsidRPr="00060B29">
        <w:t xml:space="preserve"> </w:t>
      </w:r>
      <w:r w:rsidR="00B35966" w:rsidRPr="00060B29">
        <w:t>underestimated</w:t>
      </w:r>
      <w:r w:rsidR="00B6223D">
        <w:rPr>
          <w:rFonts w:eastAsia="Calibri"/>
        </w:rPr>
        <w:t>, primarily</w:t>
      </w:r>
      <w:r w:rsidR="00B6223D" w:rsidRPr="00060B29">
        <w:rPr>
          <w:rFonts w:eastAsia="Calibri"/>
        </w:rPr>
        <w:t xml:space="preserve"> due to the uncertainty around the </w:t>
      </w:r>
      <w:r w:rsidR="00B6223D">
        <w:rPr>
          <w:rFonts w:eastAsia="Calibri"/>
        </w:rPr>
        <w:t xml:space="preserve">modelled </w:t>
      </w:r>
      <w:r w:rsidR="00B6223D" w:rsidRPr="00060B29">
        <w:rPr>
          <w:rFonts w:eastAsia="Calibri"/>
        </w:rPr>
        <w:t>overall survival benefit.</w:t>
      </w:r>
      <w:r w:rsidR="009E0EAB" w:rsidRPr="00060B29">
        <w:t xml:space="preserve"> The PBAC advised that a price reduction</w:t>
      </w:r>
      <w:r w:rsidR="007A323F" w:rsidRPr="00060B29">
        <w:t xml:space="preserve"> </w:t>
      </w:r>
      <w:r w:rsidR="009E0EAB" w:rsidRPr="00060B29">
        <w:t xml:space="preserve">would </w:t>
      </w:r>
      <w:r w:rsidR="007A323F" w:rsidRPr="00060B29">
        <w:t xml:space="preserve">be required to </w:t>
      </w:r>
      <w:r w:rsidR="00121824">
        <w:t xml:space="preserve">address this uncertainty and to </w:t>
      </w:r>
      <w:r w:rsidR="007A323F" w:rsidRPr="00060B29">
        <w:t>achieve an</w:t>
      </w:r>
      <w:r w:rsidR="009E0EAB" w:rsidRPr="00060B29">
        <w:t xml:space="preserve"> acceptable ICER.</w:t>
      </w:r>
      <w:r w:rsidR="005753BD" w:rsidRPr="00060B29">
        <w:t xml:space="preserve"> The PBAC considered the financial impact </w:t>
      </w:r>
      <w:r w:rsidR="00B6223D">
        <w:t>w</w:t>
      </w:r>
      <w:r w:rsidR="005753BD" w:rsidRPr="00060B29">
        <w:t xml:space="preserve">as </w:t>
      </w:r>
      <w:r w:rsidR="00B6223D">
        <w:t>over</w:t>
      </w:r>
      <w:r w:rsidR="005753BD" w:rsidRPr="00060B29">
        <w:t xml:space="preserve">estimated in the submission </w:t>
      </w:r>
      <w:r w:rsidR="00C0573B" w:rsidRPr="00060B29">
        <w:t>due to the prevalence of PF-ILD</w:t>
      </w:r>
      <w:r w:rsidR="00A17357">
        <w:t xml:space="preserve"> used</w:t>
      </w:r>
      <w:r w:rsidR="00B6223D">
        <w:t xml:space="preserve">, </w:t>
      </w:r>
      <w:r w:rsidR="00A17357">
        <w:t xml:space="preserve">the </w:t>
      </w:r>
      <w:r w:rsidR="00B6223D">
        <w:t>assumed</w:t>
      </w:r>
      <w:r w:rsidR="00C0573B" w:rsidRPr="00060B29">
        <w:t xml:space="preserve"> uptake rates</w:t>
      </w:r>
      <w:r w:rsidR="00B6223D">
        <w:t xml:space="preserve"> and </w:t>
      </w:r>
      <w:r w:rsidR="00A17357">
        <w:t>underestimating the extent of dose reductions</w:t>
      </w:r>
      <w:r w:rsidR="00C0573B" w:rsidRPr="00060B29">
        <w:t>.</w:t>
      </w:r>
    </w:p>
    <w:p w:rsidR="00137019" w:rsidRPr="00060B29" w:rsidRDefault="00C15B97" w:rsidP="00B15687">
      <w:pPr>
        <w:pStyle w:val="3-BodyText"/>
        <w:rPr>
          <w:rFonts w:eastAsia="Calibri"/>
        </w:rPr>
      </w:pPr>
      <w:r w:rsidRPr="00060B29">
        <w:rPr>
          <w:rFonts w:eastAsia="Calibri"/>
        </w:rPr>
        <w:t>The PBAC acknowledged the high clinical need for an effective treatment for PF-ILD, noting th</w:t>
      </w:r>
      <w:r w:rsidR="00505030" w:rsidRPr="00060B29">
        <w:rPr>
          <w:rFonts w:eastAsia="Calibri"/>
        </w:rPr>
        <w:t xml:space="preserve">e disease has </w:t>
      </w:r>
      <w:r w:rsidRPr="00060B29">
        <w:rPr>
          <w:rFonts w:eastAsia="Calibri"/>
        </w:rPr>
        <w:t xml:space="preserve">debilitating effects on quality of life </w:t>
      </w:r>
      <w:r w:rsidR="00505030" w:rsidRPr="00060B29">
        <w:rPr>
          <w:rFonts w:eastAsia="Calibri"/>
        </w:rPr>
        <w:t xml:space="preserve">and a progressive course similar to IPF. </w:t>
      </w:r>
    </w:p>
    <w:p w:rsidR="00FF3E5F" w:rsidRPr="00060B29" w:rsidRDefault="006D7C8C" w:rsidP="00B15687">
      <w:pPr>
        <w:pStyle w:val="3-BodyText"/>
        <w:rPr>
          <w:rFonts w:eastAsia="Calibri"/>
        </w:rPr>
      </w:pPr>
      <w:r w:rsidRPr="00060B29">
        <w:rPr>
          <w:rFonts w:eastAsia="Calibri"/>
        </w:rPr>
        <w:t>The PBAC considered that best supportive care</w:t>
      </w:r>
      <w:r w:rsidR="00806C23" w:rsidRPr="00060B29">
        <w:rPr>
          <w:rFonts w:eastAsia="Calibri"/>
        </w:rPr>
        <w:t xml:space="preserve"> (BSC) with placebo</w:t>
      </w:r>
      <w:r w:rsidRPr="00060B29">
        <w:rPr>
          <w:rFonts w:eastAsia="Calibri"/>
        </w:rPr>
        <w:t xml:space="preserve"> was the appropriate main comparator</w:t>
      </w:r>
      <w:r w:rsidR="004B0613" w:rsidRPr="00060B29">
        <w:rPr>
          <w:rFonts w:eastAsia="Calibri"/>
        </w:rPr>
        <w:t xml:space="preserve">. The PBAC noted that patients with PF-ILD were currently </w:t>
      </w:r>
      <w:r w:rsidR="00AD6B42" w:rsidRPr="00060B29">
        <w:rPr>
          <w:rFonts w:eastAsia="Calibri"/>
        </w:rPr>
        <w:t xml:space="preserve">managed with off-label use of corticosteroids, immunosuppressants and immunomodulators. </w:t>
      </w:r>
    </w:p>
    <w:p w:rsidR="00024F0B" w:rsidRPr="00060B29" w:rsidRDefault="00C73CD5" w:rsidP="00B15687">
      <w:pPr>
        <w:pStyle w:val="3-BodyText"/>
        <w:rPr>
          <w:rFonts w:eastAsia="Calibri"/>
        </w:rPr>
      </w:pPr>
      <w:r w:rsidRPr="00060B29">
        <w:rPr>
          <w:rFonts w:eastAsia="Calibri"/>
        </w:rPr>
        <w:t xml:space="preserve">The PBAC noted the </w:t>
      </w:r>
      <w:r w:rsidR="00806C23" w:rsidRPr="00060B29">
        <w:rPr>
          <w:rFonts w:eastAsia="Calibri"/>
        </w:rPr>
        <w:t xml:space="preserve">submission was based on the INBUILD trial, a head-to-head randomised controlled trial comparing nintedanib + BSC to placebo + BSC. </w:t>
      </w:r>
      <w:r w:rsidR="00171822" w:rsidRPr="00060B29">
        <w:rPr>
          <w:rFonts w:eastAsia="Calibri"/>
        </w:rPr>
        <w:t xml:space="preserve">The PBAC noted that treatment with nintedanib was associated with a </w:t>
      </w:r>
      <w:r w:rsidR="000C581A" w:rsidRPr="00060B29">
        <w:rPr>
          <w:rFonts w:eastAsia="Calibri"/>
        </w:rPr>
        <w:t>3.24% (95% CI: 2.09</w:t>
      </w:r>
      <w:r w:rsidR="00A17357">
        <w:rPr>
          <w:rFonts w:eastAsia="Calibri"/>
        </w:rPr>
        <w:t>%</w:t>
      </w:r>
      <w:r w:rsidR="000C581A" w:rsidRPr="00060B29">
        <w:rPr>
          <w:rFonts w:eastAsia="Calibri"/>
        </w:rPr>
        <w:t>, 4.40%)</w:t>
      </w:r>
      <w:r w:rsidR="00BE2BF1" w:rsidRPr="00060B29">
        <w:rPr>
          <w:rFonts w:eastAsia="Calibri"/>
        </w:rPr>
        <w:t xml:space="preserve"> mean</w:t>
      </w:r>
      <w:r w:rsidR="00293FEB" w:rsidRPr="00060B29">
        <w:rPr>
          <w:rFonts w:eastAsia="Calibri"/>
        </w:rPr>
        <w:t xml:space="preserve"> </w:t>
      </w:r>
      <w:r w:rsidR="000C581A" w:rsidRPr="00060B29">
        <w:rPr>
          <w:rFonts w:eastAsia="Calibri"/>
        </w:rPr>
        <w:t>difference in absolute decline in forced vital capacity percent predicted (FVC%Pred) from baseline to 52 weeks, compared to placebo + BSC</w:t>
      </w:r>
      <w:r w:rsidR="00A55367" w:rsidRPr="00060B29">
        <w:rPr>
          <w:rFonts w:eastAsia="Calibri"/>
        </w:rPr>
        <w:t>. The PBAC</w:t>
      </w:r>
      <w:r w:rsidR="00020608" w:rsidRPr="00060B29">
        <w:rPr>
          <w:rFonts w:eastAsia="Calibri"/>
        </w:rPr>
        <w:t xml:space="preserve"> considered that the observed </w:t>
      </w:r>
      <w:r w:rsidR="00A55367" w:rsidRPr="00060B29">
        <w:rPr>
          <w:rFonts w:eastAsia="Calibri"/>
        </w:rPr>
        <w:t xml:space="preserve">3.24% </w:t>
      </w:r>
      <w:r w:rsidR="00020608" w:rsidRPr="00060B29">
        <w:rPr>
          <w:rFonts w:eastAsia="Calibri"/>
        </w:rPr>
        <w:t xml:space="preserve">difference was </w:t>
      </w:r>
      <w:r w:rsidR="000A4214">
        <w:rPr>
          <w:rFonts w:eastAsia="Calibri"/>
        </w:rPr>
        <w:t>likely to have clinical relevance</w:t>
      </w:r>
      <w:r w:rsidR="00020608" w:rsidRPr="00060B29">
        <w:rPr>
          <w:rFonts w:eastAsia="Calibri"/>
        </w:rPr>
        <w:t>, as it</w:t>
      </w:r>
      <w:r w:rsidR="00A55367" w:rsidRPr="00060B29">
        <w:rPr>
          <w:rFonts w:eastAsia="Calibri"/>
        </w:rPr>
        <w:t xml:space="preserve"> exceeded the MCID</w:t>
      </w:r>
      <w:r w:rsidR="00291F8D" w:rsidRPr="00060B29">
        <w:rPr>
          <w:rFonts w:eastAsia="Calibri"/>
        </w:rPr>
        <w:t xml:space="preserve"> </w:t>
      </w:r>
      <w:r w:rsidR="0072645D" w:rsidRPr="00060B29">
        <w:rPr>
          <w:rFonts w:eastAsia="Calibri"/>
        </w:rPr>
        <w:t>reported in Patel 2013 and MCID values</w:t>
      </w:r>
      <w:r w:rsidR="00020608" w:rsidRPr="00060B29">
        <w:rPr>
          <w:rFonts w:eastAsia="Calibri"/>
        </w:rPr>
        <w:t xml:space="preserve"> calculated using</w:t>
      </w:r>
      <w:r w:rsidR="00A55367" w:rsidRPr="00060B29">
        <w:rPr>
          <w:rFonts w:eastAsia="Calibri"/>
        </w:rPr>
        <w:t xml:space="preserve"> the anchor and distribution based methods</w:t>
      </w:r>
      <w:r w:rsidR="00830E31" w:rsidRPr="00060B29">
        <w:rPr>
          <w:rFonts w:eastAsia="Calibri"/>
        </w:rPr>
        <w:t xml:space="preserve"> </w:t>
      </w:r>
      <w:r w:rsidR="00020608" w:rsidRPr="00060B29">
        <w:rPr>
          <w:rFonts w:eastAsia="Calibri"/>
        </w:rPr>
        <w:t xml:space="preserve">(see </w:t>
      </w:r>
      <w:r w:rsidR="00020608" w:rsidRPr="00730AF3">
        <w:rPr>
          <w:rFonts w:eastAsia="Calibri"/>
        </w:rPr>
        <w:t>paragraph 6.13</w:t>
      </w:r>
      <w:r w:rsidR="00020608" w:rsidRPr="00060B29">
        <w:rPr>
          <w:rFonts w:eastAsia="Calibri"/>
        </w:rPr>
        <w:t xml:space="preserve">). </w:t>
      </w:r>
    </w:p>
    <w:p w:rsidR="00BB5040" w:rsidRPr="008E2E3D" w:rsidRDefault="00161C58" w:rsidP="00B15687">
      <w:pPr>
        <w:pStyle w:val="3-BodyText"/>
        <w:rPr>
          <w:rFonts w:eastAsia="Calibri"/>
        </w:rPr>
      </w:pPr>
      <w:r w:rsidRPr="00B56091">
        <w:rPr>
          <w:rFonts w:eastAsia="Calibri"/>
        </w:rPr>
        <w:t>The PBAC noted</w:t>
      </w:r>
      <w:r w:rsidR="00166E4E" w:rsidRPr="00B56091">
        <w:rPr>
          <w:rFonts w:eastAsia="Calibri"/>
        </w:rPr>
        <w:t xml:space="preserve"> the trial was not powered to detect a statistically significant reduction in mortality and </w:t>
      </w:r>
      <w:r w:rsidR="004C7BF2" w:rsidRPr="00060B29">
        <w:rPr>
          <w:rFonts w:eastAsia="Calibri"/>
        </w:rPr>
        <w:t xml:space="preserve">the </w:t>
      </w:r>
      <w:r w:rsidR="002010CB" w:rsidRPr="00060B29">
        <w:rPr>
          <w:rFonts w:eastAsia="Calibri"/>
        </w:rPr>
        <w:t>25-mon</w:t>
      </w:r>
      <w:r w:rsidR="006D069B" w:rsidRPr="00060B29">
        <w:rPr>
          <w:rFonts w:eastAsia="Calibri"/>
        </w:rPr>
        <w:t xml:space="preserve">th duration of follow-up </w:t>
      </w:r>
      <w:r w:rsidR="004C7BF2" w:rsidRPr="00060B29">
        <w:rPr>
          <w:rFonts w:eastAsia="Calibri"/>
        </w:rPr>
        <w:t xml:space="preserve">in the trial </w:t>
      </w:r>
      <w:r w:rsidR="002010CB" w:rsidRPr="00060B29">
        <w:rPr>
          <w:rFonts w:eastAsia="Calibri"/>
        </w:rPr>
        <w:t>was likely not sufficient to detect any overall</w:t>
      </w:r>
      <w:r w:rsidR="006D069B" w:rsidRPr="00060B29">
        <w:rPr>
          <w:rFonts w:eastAsia="Calibri"/>
        </w:rPr>
        <w:t xml:space="preserve"> survival benefit </w:t>
      </w:r>
      <w:r w:rsidRPr="00060B29">
        <w:rPr>
          <w:rFonts w:eastAsia="Calibri"/>
        </w:rPr>
        <w:t xml:space="preserve">in PF-ILD. </w:t>
      </w:r>
      <w:r w:rsidR="00A17357" w:rsidRPr="00B56091">
        <w:rPr>
          <w:rFonts w:eastAsia="Calibri"/>
        </w:rPr>
        <w:t>While the PBAC considered there was a</w:t>
      </w:r>
      <w:r w:rsidR="00A17357" w:rsidRPr="00060B29">
        <w:rPr>
          <w:rFonts w:eastAsia="Calibri"/>
        </w:rPr>
        <w:t xml:space="preserve"> biologically plausible link between a lower FVC and </w:t>
      </w:r>
      <w:r w:rsidR="00A17357">
        <w:rPr>
          <w:rFonts w:eastAsia="Calibri"/>
        </w:rPr>
        <w:t xml:space="preserve">a </w:t>
      </w:r>
      <w:r w:rsidR="00A17357" w:rsidRPr="00060B29">
        <w:rPr>
          <w:rFonts w:eastAsia="Calibri"/>
        </w:rPr>
        <w:t xml:space="preserve">higher risk of mortality, </w:t>
      </w:r>
      <w:r w:rsidR="00A17357">
        <w:rPr>
          <w:rFonts w:eastAsia="Calibri"/>
        </w:rPr>
        <w:t>i</w:t>
      </w:r>
      <w:r w:rsidR="00250C34" w:rsidRPr="00060B29">
        <w:rPr>
          <w:rFonts w:eastAsia="Calibri"/>
        </w:rPr>
        <w:t>n the absence</w:t>
      </w:r>
      <w:r w:rsidR="00A17357">
        <w:rPr>
          <w:rFonts w:eastAsia="Calibri"/>
        </w:rPr>
        <w:t xml:space="preserve"> of</w:t>
      </w:r>
      <w:r w:rsidR="00250C34" w:rsidRPr="00060B29">
        <w:rPr>
          <w:rFonts w:eastAsia="Calibri"/>
        </w:rPr>
        <w:t xml:space="preserve"> </w:t>
      </w:r>
      <w:r w:rsidR="00E3799D" w:rsidRPr="00060B29">
        <w:rPr>
          <w:rFonts w:eastAsia="Calibri"/>
        </w:rPr>
        <w:t>longer-term survival data</w:t>
      </w:r>
      <w:r w:rsidR="00250C34" w:rsidRPr="00060B29">
        <w:rPr>
          <w:rFonts w:eastAsia="Calibri"/>
        </w:rPr>
        <w:t>,</w:t>
      </w:r>
      <w:r w:rsidRPr="00060B29">
        <w:rPr>
          <w:rFonts w:eastAsia="Calibri"/>
        </w:rPr>
        <w:t xml:space="preserve"> the PBAC considered that the magnitude of </w:t>
      </w:r>
      <w:r w:rsidR="00A17357">
        <w:rPr>
          <w:rFonts w:eastAsia="Calibri"/>
        </w:rPr>
        <w:t>a</w:t>
      </w:r>
      <w:r w:rsidR="00075F2E">
        <w:rPr>
          <w:rFonts w:eastAsia="Calibri"/>
        </w:rPr>
        <w:t>ny</w:t>
      </w:r>
      <w:r w:rsidR="00A17357">
        <w:rPr>
          <w:rFonts w:eastAsia="Calibri"/>
        </w:rPr>
        <w:t xml:space="preserve"> </w:t>
      </w:r>
      <w:r w:rsidRPr="00060B29">
        <w:rPr>
          <w:rFonts w:eastAsia="Calibri"/>
        </w:rPr>
        <w:t xml:space="preserve">survival </w:t>
      </w:r>
      <w:r w:rsidRPr="008E2E3D">
        <w:rPr>
          <w:rFonts w:eastAsia="Calibri"/>
        </w:rPr>
        <w:t xml:space="preserve">benefit </w:t>
      </w:r>
      <w:r w:rsidR="00250C34" w:rsidRPr="008E2E3D">
        <w:rPr>
          <w:rFonts w:eastAsia="Calibri"/>
        </w:rPr>
        <w:t xml:space="preserve">was uncertain. </w:t>
      </w:r>
    </w:p>
    <w:p w:rsidR="00E3799D" w:rsidRPr="00060B29" w:rsidRDefault="004C7BF2" w:rsidP="00B15687">
      <w:pPr>
        <w:pStyle w:val="3-BodyText"/>
        <w:rPr>
          <w:rFonts w:eastAsia="Calibri"/>
        </w:rPr>
      </w:pPr>
      <w:r w:rsidRPr="00060B29">
        <w:rPr>
          <w:rFonts w:eastAsia="Calibri"/>
        </w:rPr>
        <w:t xml:space="preserve">The PBAC </w:t>
      </w:r>
      <w:r w:rsidR="00332641" w:rsidRPr="00060B29">
        <w:rPr>
          <w:rFonts w:eastAsia="Calibri"/>
        </w:rPr>
        <w:t xml:space="preserve">considered </w:t>
      </w:r>
      <w:r w:rsidRPr="00060B29">
        <w:rPr>
          <w:rFonts w:eastAsia="Calibri"/>
        </w:rPr>
        <w:t>that the lack of a statistically significant difference in quality of life</w:t>
      </w:r>
      <w:r w:rsidR="00332641" w:rsidRPr="00060B29">
        <w:rPr>
          <w:rFonts w:eastAsia="Calibri"/>
        </w:rPr>
        <w:t xml:space="preserve"> </w:t>
      </w:r>
      <w:r w:rsidRPr="00060B29">
        <w:rPr>
          <w:rFonts w:eastAsia="Calibri"/>
        </w:rPr>
        <w:t>between nintedanib and placebo + BSC arms</w:t>
      </w:r>
      <w:r w:rsidR="00BF4451" w:rsidRPr="00060B29">
        <w:rPr>
          <w:rFonts w:eastAsia="Calibri"/>
        </w:rPr>
        <w:t xml:space="preserve"> </w:t>
      </w:r>
      <w:r w:rsidR="00075F2E">
        <w:rPr>
          <w:rFonts w:eastAsia="Calibri"/>
        </w:rPr>
        <w:t>may have been because</w:t>
      </w:r>
      <w:r w:rsidR="006D3AA4" w:rsidRPr="00060B29">
        <w:rPr>
          <w:rFonts w:eastAsia="Calibri"/>
        </w:rPr>
        <w:t xml:space="preserve"> </w:t>
      </w:r>
      <w:r w:rsidR="00A63AF4" w:rsidRPr="00060B29">
        <w:rPr>
          <w:rFonts w:eastAsia="Calibri"/>
        </w:rPr>
        <w:t xml:space="preserve">nintedanib slows </w:t>
      </w:r>
      <w:r w:rsidR="006D3AA4" w:rsidRPr="00060B29">
        <w:rPr>
          <w:rFonts w:eastAsia="Calibri"/>
        </w:rPr>
        <w:t>the rate of FVC de</w:t>
      </w:r>
      <w:r w:rsidR="00A63AF4" w:rsidRPr="00060B29">
        <w:rPr>
          <w:rFonts w:eastAsia="Calibri"/>
        </w:rPr>
        <w:t>cline but does not stop</w:t>
      </w:r>
      <w:r w:rsidR="00F2062A" w:rsidRPr="00060B29">
        <w:rPr>
          <w:rFonts w:eastAsia="Calibri"/>
        </w:rPr>
        <w:t xml:space="preserve"> or reverse disease progression</w:t>
      </w:r>
      <w:r w:rsidR="00060B29" w:rsidRPr="00060B29">
        <w:rPr>
          <w:rFonts w:eastAsia="Calibri"/>
        </w:rPr>
        <w:t xml:space="preserve">. </w:t>
      </w:r>
    </w:p>
    <w:p w:rsidR="00EF1536" w:rsidRPr="00060B29" w:rsidRDefault="00F52A70" w:rsidP="00B15687">
      <w:pPr>
        <w:pStyle w:val="3-BodyText"/>
        <w:rPr>
          <w:rFonts w:eastAsia="Calibri"/>
        </w:rPr>
      </w:pPr>
      <w:r w:rsidRPr="00060B29">
        <w:rPr>
          <w:rFonts w:eastAsia="Calibri"/>
        </w:rPr>
        <w:t xml:space="preserve">The PBAC </w:t>
      </w:r>
      <w:r w:rsidR="005F66EF" w:rsidRPr="00060B29">
        <w:rPr>
          <w:rFonts w:eastAsia="Calibri"/>
        </w:rPr>
        <w:t xml:space="preserve">noted that nintedanib </w:t>
      </w:r>
      <w:r w:rsidR="005F66EF" w:rsidRPr="00060B29">
        <w:t xml:space="preserve">was associated with </w:t>
      </w:r>
      <w:r w:rsidR="00684359" w:rsidRPr="00060B29">
        <w:t xml:space="preserve">a greater risk of adverse events and a higher proportion of adverse events </w:t>
      </w:r>
      <w:r w:rsidR="00FC20F2" w:rsidRPr="00060B29">
        <w:t>leading</w:t>
      </w:r>
      <w:r w:rsidR="00684359" w:rsidRPr="00060B29">
        <w:t xml:space="preserve"> to premature treatment discontinuation compared to placebo + BSC.</w:t>
      </w:r>
      <w:r w:rsidR="00290336" w:rsidRPr="00060B29">
        <w:t xml:space="preserve"> The PBAC considered that the substantial rate of treatment discontinuation</w:t>
      </w:r>
      <w:r w:rsidR="00FC20F2" w:rsidRPr="00060B29">
        <w:t xml:space="preserve"> in </w:t>
      </w:r>
      <w:r w:rsidR="008E3866" w:rsidRPr="00060B29">
        <w:t xml:space="preserve">the nintedanib arm of the trial </w:t>
      </w:r>
      <w:r w:rsidR="00FC20F2" w:rsidRPr="00060B29">
        <w:t xml:space="preserve">was likely due to the high rates of gastrointestinal </w:t>
      </w:r>
      <w:r w:rsidR="008E3866" w:rsidRPr="00060B29">
        <w:t>disorders</w:t>
      </w:r>
      <w:r w:rsidR="00B5677F" w:rsidRPr="00060B29">
        <w:t xml:space="preserve"> including </w:t>
      </w:r>
      <w:r w:rsidR="008E3866" w:rsidRPr="00060B29">
        <w:t>di</w:t>
      </w:r>
      <w:r w:rsidR="00B5677F" w:rsidRPr="00060B29">
        <w:t xml:space="preserve">arrhoea, nausea </w:t>
      </w:r>
      <w:r w:rsidR="00D96B78" w:rsidRPr="00060B29">
        <w:t>and abdominal</w:t>
      </w:r>
      <w:r w:rsidR="00B5677F" w:rsidRPr="00060B29">
        <w:t xml:space="preserve"> pain</w:t>
      </w:r>
      <w:r w:rsidR="000A4214">
        <w:t xml:space="preserve"> </w:t>
      </w:r>
      <w:r w:rsidR="000A4214" w:rsidRPr="000A4214">
        <w:t>outweighing the perc</w:t>
      </w:r>
      <w:r w:rsidR="000A4214">
        <w:t>eived benefit for many patients</w:t>
      </w:r>
      <w:r w:rsidR="008E3866" w:rsidRPr="00060B29">
        <w:t xml:space="preserve">. </w:t>
      </w:r>
    </w:p>
    <w:p w:rsidR="002E6E91" w:rsidRDefault="002E6E91" w:rsidP="00AC0219">
      <w:pPr>
        <w:pStyle w:val="3-BodyText"/>
        <w:rPr>
          <w:rFonts w:eastAsia="Calibri"/>
        </w:rPr>
      </w:pPr>
      <w:r w:rsidRPr="00060B29">
        <w:rPr>
          <w:rFonts w:eastAsia="Calibri"/>
        </w:rPr>
        <w:t xml:space="preserve">The PBAC considered that the base case ICER of </w:t>
      </w:r>
      <w:r w:rsidR="00AC0219" w:rsidRPr="00AC0219">
        <w:rPr>
          <w:rFonts w:eastAsia="Calibri"/>
        </w:rPr>
        <w:t xml:space="preserve">$55,000 to &lt; $75,000 </w:t>
      </w:r>
      <w:r>
        <w:rPr>
          <w:rFonts w:eastAsia="Calibri"/>
        </w:rPr>
        <w:t>per QALY gained</w:t>
      </w:r>
      <w:r w:rsidRPr="00060B29">
        <w:rPr>
          <w:rFonts w:eastAsia="Calibri"/>
        </w:rPr>
        <w:t xml:space="preserve"> was uncertain and </w:t>
      </w:r>
      <w:r>
        <w:rPr>
          <w:rFonts w:eastAsia="Calibri"/>
        </w:rPr>
        <w:t>likely</w:t>
      </w:r>
      <w:r w:rsidRPr="00060B29">
        <w:rPr>
          <w:rFonts w:eastAsia="Calibri"/>
        </w:rPr>
        <w:t xml:space="preserve"> underestimated</w:t>
      </w:r>
      <w:r>
        <w:rPr>
          <w:rFonts w:eastAsia="Calibri"/>
        </w:rPr>
        <w:t>, primarily</w:t>
      </w:r>
      <w:r w:rsidRPr="00060B29">
        <w:rPr>
          <w:rFonts w:eastAsia="Calibri"/>
        </w:rPr>
        <w:t xml:space="preserve"> due to the uncertainty around the overall survival benefit. </w:t>
      </w:r>
      <w:r w:rsidR="00143E35" w:rsidRPr="00060B29">
        <w:rPr>
          <w:rFonts w:eastAsia="Calibri"/>
        </w:rPr>
        <w:t xml:space="preserve">The PBAC noted </w:t>
      </w:r>
      <w:r w:rsidRPr="00060B29">
        <w:rPr>
          <w:rFonts w:eastAsia="Calibri"/>
        </w:rPr>
        <w:t xml:space="preserve">that the majority of life years and QALYs gained were due to the extrapolation of overall survival </w:t>
      </w:r>
      <w:r>
        <w:rPr>
          <w:rFonts w:eastAsia="Calibri"/>
        </w:rPr>
        <w:t xml:space="preserve">and that </w:t>
      </w:r>
      <w:r w:rsidR="0076592D" w:rsidRPr="00060B29">
        <w:rPr>
          <w:rFonts w:eastAsia="Calibri"/>
        </w:rPr>
        <w:t xml:space="preserve">the ICER was sensitive to the choice of </w:t>
      </w:r>
      <w:r>
        <w:rPr>
          <w:rFonts w:eastAsia="Calibri"/>
        </w:rPr>
        <w:t xml:space="preserve">the </w:t>
      </w:r>
      <w:r w:rsidR="0076592D" w:rsidRPr="00060B29">
        <w:rPr>
          <w:rFonts w:eastAsia="Calibri"/>
        </w:rPr>
        <w:t>extrapolation function for overall survi</w:t>
      </w:r>
      <w:r w:rsidR="00143E35" w:rsidRPr="00060B29">
        <w:rPr>
          <w:rFonts w:eastAsia="Calibri"/>
        </w:rPr>
        <w:t>val and</w:t>
      </w:r>
      <w:r>
        <w:rPr>
          <w:rFonts w:eastAsia="Calibri"/>
        </w:rPr>
        <w:t xml:space="preserve"> </w:t>
      </w:r>
      <w:r w:rsidR="00093C42">
        <w:rPr>
          <w:rFonts w:eastAsia="Calibri"/>
        </w:rPr>
        <w:t xml:space="preserve">the </w:t>
      </w:r>
      <w:r>
        <w:rPr>
          <w:rFonts w:eastAsia="Calibri"/>
        </w:rPr>
        <w:t>convergence of the overall survival curves</w:t>
      </w:r>
      <w:r w:rsidR="009C1C51" w:rsidRPr="00060B29">
        <w:rPr>
          <w:rFonts w:eastAsia="Calibri"/>
        </w:rPr>
        <w:t xml:space="preserve">. </w:t>
      </w:r>
      <w:r w:rsidRPr="00060B29">
        <w:rPr>
          <w:rFonts w:eastAsia="Calibri"/>
        </w:rPr>
        <w:t xml:space="preserve">The PBAC recalled that the submission for IPF applied a time horizon of 10 years. While the PBAC considered that a 10 year time horizon may have been more appropriate, it noted that changing the time horizon </w:t>
      </w:r>
      <w:r>
        <w:rPr>
          <w:rFonts w:eastAsia="Calibri"/>
        </w:rPr>
        <w:t xml:space="preserve">from 15 </w:t>
      </w:r>
      <w:r w:rsidRPr="00060B29">
        <w:rPr>
          <w:rFonts w:eastAsia="Calibri"/>
        </w:rPr>
        <w:t>to 10 years did not have a material impact on the ICER.</w:t>
      </w:r>
      <w:r>
        <w:rPr>
          <w:rFonts w:eastAsia="Calibri"/>
        </w:rPr>
        <w:t xml:space="preserve"> </w:t>
      </w:r>
    </w:p>
    <w:p w:rsidR="0001255F" w:rsidRPr="0001255F" w:rsidRDefault="0001255F" w:rsidP="00795BFC">
      <w:pPr>
        <w:pStyle w:val="3-BodyText"/>
        <w:rPr>
          <w:rFonts w:eastAsia="Calibri"/>
        </w:rPr>
      </w:pPr>
      <w:r>
        <w:rPr>
          <w:rFonts w:eastAsia="Calibri"/>
        </w:rPr>
        <w:t xml:space="preserve">The PBAC noted the model scenario in which the overall survival curves were converged over the period 25 to 180 months </w:t>
      </w:r>
      <w:r w:rsidR="004776CF">
        <w:rPr>
          <w:rFonts w:eastAsia="Calibri"/>
        </w:rPr>
        <w:t>resulted in an</w:t>
      </w:r>
      <w:r>
        <w:rPr>
          <w:rFonts w:eastAsia="Calibri"/>
        </w:rPr>
        <w:t xml:space="preserve"> ICER </w:t>
      </w:r>
      <w:r w:rsidR="004776CF">
        <w:rPr>
          <w:rFonts w:eastAsia="Calibri"/>
        </w:rPr>
        <w:t>of</w:t>
      </w:r>
      <w:r>
        <w:rPr>
          <w:rFonts w:eastAsia="Calibri"/>
        </w:rPr>
        <w:t xml:space="preserve"> </w:t>
      </w:r>
      <w:r w:rsidR="00AC0219" w:rsidRPr="00AC0219">
        <w:rPr>
          <w:rFonts w:eastAsia="Calibri"/>
        </w:rPr>
        <w:t xml:space="preserve">$55,000 to &lt; $75,000 </w:t>
      </w:r>
      <w:r>
        <w:rPr>
          <w:rFonts w:eastAsia="Calibri"/>
        </w:rPr>
        <w:t xml:space="preserve">per QALY gained. The PBAC considered nintedanib would be cost-effective if the price was reduced such that the ICER for this scenario decreased to less than </w:t>
      </w:r>
      <w:r w:rsidR="00795BFC" w:rsidRPr="00795BFC">
        <w:rPr>
          <w:rFonts w:eastAsia="Calibri"/>
        </w:rPr>
        <w:t>$45,000 to &lt; $55,000</w:t>
      </w:r>
      <w:r>
        <w:rPr>
          <w:rFonts w:eastAsia="Calibri"/>
        </w:rPr>
        <w:t xml:space="preserve"> per QALY gained.</w:t>
      </w:r>
    </w:p>
    <w:p w:rsidR="00E57F95" w:rsidRPr="00121824" w:rsidRDefault="00463D93" w:rsidP="00B15687">
      <w:pPr>
        <w:pStyle w:val="3-BodyText"/>
        <w:rPr>
          <w:rFonts w:eastAsia="Calibri"/>
        </w:rPr>
      </w:pPr>
      <w:r w:rsidRPr="00121824">
        <w:rPr>
          <w:rFonts w:eastAsia="Calibri"/>
        </w:rPr>
        <w:t xml:space="preserve">The PBAC </w:t>
      </w:r>
      <w:r w:rsidR="0031432E" w:rsidRPr="00121824">
        <w:rPr>
          <w:rFonts w:eastAsia="Calibri"/>
        </w:rPr>
        <w:t>noted that</w:t>
      </w:r>
      <w:r w:rsidRPr="00121824">
        <w:rPr>
          <w:rFonts w:eastAsia="Calibri"/>
        </w:rPr>
        <w:t xml:space="preserve"> DUSC </w:t>
      </w:r>
      <w:r w:rsidR="004005BB" w:rsidRPr="00121824">
        <w:rPr>
          <w:rFonts w:eastAsia="Calibri"/>
        </w:rPr>
        <w:t>considered the financial estimates to be overestimated due to assumptions around the prevalence</w:t>
      </w:r>
      <w:r w:rsidR="00B1393B" w:rsidRPr="00121824">
        <w:rPr>
          <w:rFonts w:eastAsia="Calibri"/>
        </w:rPr>
        <w:t xml:space="preserve"> of PF-ILD</w:t>
      </w:r>
      <w:r w:rsidR="00E57F95" w:rsidRPr="00121824">
        <w:rPr>
          <w:rFonts w:eastAsia="Calibri"/>
        </w:rPr>
        <w:t>,</w:t>
      </w:r>
      <w:r w:rsidR="004005BB" w:rsidRPr="00121824">
        <w:rPr>
          <w:rFonts w:eastAsia="Calibri"/>
        </w:rPr>
        <w:t xml:space="preserve"> uptake of nintedanib</w:t>
      </w:r>
      <w:r w:rsidR="00E57F95" w:rsidRPr="00121824">
        <w:rPr>
          <w:rFonts w:eastAsia="Calibri"/>
        </w:rPr>
        <w:t xml:space="preserve"> and relatively high use of the 150 mg strength</w:t>
      </w:r>
      <w:r w:rsidR="004005BB" w:rsidRPr="00121824">
        <w:rPr>
          <w:rFonts w:eastAsia="Calibri"/>
        </w:rPr>
        <w:t xml:space="preserve"> (see paragraph</w:t>
      </w:r>
      <w:r w:rsidR="00D5586B">
        <w:rPr>
          <w:rFonts w:eastAsia="Calibri"/>
        </w:rPr>
        <w:t>s</w:t>
      </w:r>
      <w:r w:rsidR="004005BB" w:rsidRPr="00121824">
        <w:rPr>
          <w:rFonts w:eastAsia="Calibri"/>
        </w:rPr>
        <w:t xml:space="preserve"> </w:t>
      </w:r>
      <w:r w:rsidR="004005BB" w:rsidRPr="00730AF3">
        <w:rPr>
          <w:rFonts w:eastAsia="Calibri"/>
        </w:rPr>
        <w:t>6.</w:t>
      </w:r>
      <w:r w:rsidR="00D5586B" w:rsidRPr="00730AF3">
        <w:rPr>
          <w:rFonts w:eastAsia="Calibri"/>
        </w:rPr>
        <w:t>49 and</w:t>
      </w:r>
      <w:r w:rsidR="00D5586B">
        <w:rPr>
          <w:rFonts w:eastAsia="Calibri"/>
        </w:rPr>
        <w:t xml:space="preserve"> 6.52)</w:t>
      </w:r>
      <w:r w:rsidR="004005BB" w:rsidRPr="00121824">
        <w:rPr>
          <w:rFonts w:eastAsia="Calibri"/>
        </w:rPr>
        <w:t xml:space="preserve">. </w:t>
      </w:r>
    </w:p>
    <w:p w:rsidR="00E57F95" w:rsidRPr="00E57F95" w:rsidRDefault="0099350C" w:rsidP="00B15687">
      <w:pPr>
        <w:pStyle w:val="3-BodyText"/>
        <w:rPr>
          <w:rFonts w:eastAsia="Calibri"/>
        </w:rPr>
      </w:pPr>
      <w:r w:rsidRPr="00060B29">
        <w:rPr>
          <w:rFonts w:eastAsia="Calibri"/>
        </w:rPr>
        <w:t xml:space="preserve">The PBAC noted that the prevalence estimate (9.08 per 100,000) was based on </w:t>
      </w:r>
      <w:r w:rsidR="0031432E" w:rsidRPr="00060B29">
        <w:rPr>
          <w:rFonts w:eastAsia="Calibri"/>
        </w:rPr>
        <w:t>the mean</w:t>
      </w:r>
      <w:r w:rsidRPr="00060B29">
        <w:rPr>
          <w:rFonts w:eastAsia="Calibri"/>
        </w:rPr>
        <w:t xml:space="preserve"> of estimates from five studies. </w:t>
      </w:r>
      <w:r w:rsidR="0031432E" w:rsidRPr="00060B29">
        <w:rPr>
          <w:rFonts w:eastAsia="Calibri"/>
        </w:rPr>
        <w:t>The PBAC noted there was a paucity of data on the prevalence of PF-ILD in Australia and agreed with DUSC that</w:t>
      </w:r>
      <w:r w:rsidRPr="00060B29">
        <w:rPr>
          <w:rFonts w:cstheme="minorHAnsi"/>
        </w:rPr>
        <w:t xml:space="preserve"> </w:t>
      </w:r>
      <w:r w:rsidR="0031432E" w:rsidRPr="00060B29">
        <w:rPr>
          <w:rFonts w:cstheme="minorHAnsi"/>
        </w:rPr>
        <w:t>i</w:t>
      </w:r>
      <w:r w:rsidRPr="00060B29">
        <w:rPr>
          <w:rFonts w:cstheme="minorHAnsi"/>
        </w:rPr>
        <w:t>n the absence of more reliable</w:t>
      </w:r>
      <w:r w:rsidR="0031432E" w:rsidRPr="00060B29">
        <w:rPr>
          <w:rFonts w:cstheme="minorHAnsi"/>
        </w:rPr>
        <w:t xml:space="preserve"> data</w:t>
      </w:r>
      <w:r w:rsidRPr="00060B29">
        <w:rPr>
          <w:rFonts w:cstheme="minorHAnsi"/>
        </w:rPr>
        <w:t xml:space="preserve">, </w:t>
      </w:r>
      <w:r w:rsidRPr="00060B29">
        <w:rPr>
          <w:rFonts w:eastAsiaTheme="majorEastAsia" w:cstheme="minorHAnsi"/>
          <w:bCs/>
          <w:iCs/>
        </w:rPr>
        <w:t>a prevalence estimate derived from the five studies</w:t>
      </w:r>
      <w:r w:rsidRPr="00060B29">
        <w:rPr>
          <w:rFonts w:eastAsiaTheme="majorEastAsia" w:cstheme="minorHAnsi"/>
          <w:iCs/>
        </w:rPr>
        <w:t xml:space="preserve"> used for the</w:t>
      </w:r>
      <w:r w:rsidRPr="00060B29">
        <w:rPr>
          <w:rFonts w:eastAsiaTheme="majorEastAsia" w:cstheme="minorHAnsi"/>
          <w:bCs/>
          <w:iCs/>
        </w:rPr>
        <w:t xml:space="preserve"> submission’s</w:t>
      </w:r>
      <w:r w:rsidRPr="00060B29">
        <w:rPr>
          <w:rFonts w:eastAsiaTheme="majorEastAsia" w:cstheme="minorHAnsi"/>
          <w:iCs/>
        </w:rPr>
        <w:t xml:space="preserve"> base case</w:t>
      </w:r>
      <w:r w:rsidRPr="00060B29">
        <w:rPr>
          <w:rFonts w:eastAsiaTheme="majorEastAsia" w:cstheme="minorHAnsi"/>
          <w:bCs/>
          <w:iCs/>
        </w:rPr>
        <w:t xml:space="preserve"> using an inverse weighted variance method</w:t>
      </w:r>
      <w:r w:rsidRPr="00060B29">
        <w:rPr>
          <w:rFonts w:eastAsiaTheme="majorEastAsia" w:cstheme="minorHAnsi"/>
          <w:iCs/>
        </w:rPr>
        <w:t xml:space="preserve"> </w:t>
      </w:r>
      <w:r w:rsidRPr="00060B29">
        <w:rPr>
          <w:rFonts w:eastAsiaTheme="majorEastAsia" w:cstheme="minorHAnsi"/>
          <w:bCs/>
          <w:iCs/>
        </w:rPr>
        <w:t>may</w:t>
      </w:r>
      <w:r w:rsidRPr="00060B29">
        <w:rPr>
          <w:rFonts w:eastAsiaTheme="majorEastAsia" w:cstheme="minorHAnsi"/>
          <w:iCs/>
        </w:rPr>
        <w:t xml:space="preserve"> be more appropriate</w:t>
      </w:r>
      <w:r w:rsidRPr="00060B29">
        <w:t>.</w:t>
      </w:r>
      <w:r w:rsidR="0031432E" w:rsidRPr="00060B29">
        <w:t xml:space="preserve"> </w:t>
      </w:r>
    </w:p>
    <w:p w:rsidR="0031432E" w:rsidRDefault="0031432E" w:rsidP="00B15687">
      <w:pPr>
        <w:pStyle w:val="3-BodyText"/>
        <w:rPr>
          <w:rFonts w:eastAsia="Calibri"/>
        </w:rPr>
      </w:pPr>
      <w:r w:rsidRPr="00060B29">
        <w:t xml:space="preserve">The PBAC agreed with DUSC that the uptake of nintedanib </w:t>
      </w:r>
      <w:r w:rsidR="00A3517B" w:rsidRPr="00060B29">
        <w:t>would</w:t>
      </w:r>
      <w:r w:rsidR="00E57F95">
        <w:t xml:space="preserve"> likely</w:t>
      </w:r>
      <w:r w:rsidR="00A3517B" w:rsidRPr="00060B29">
        <w:t xml:space="preserve"> be high</w:t>
      </w:r>
      <w:r w:rsidR="00E57F95">
        <w:t>er than estimated in the submission</w:t>
      </w:r>
      <w:r w:rsidR="00A3517B" w:rsidRPr="00060B29">
        <w:t xml:space="preserve"> in the </w:t>
      </w:r>
      <w:r w:rsidR="00E57F95">
        <w:t>initial</w:t>
      </w:r>
      <w:r w:rsidR="00E57F95" w:rsidRPr="00060B29">
        <w:t xml:space="preserve"> </w:t>
      </w:r>
      <w:r w:rsidR="00A3517B" w:rsidRPr="00060B29">
        <w:t>years of PBS-listing given there are no other available treatments for PF-ILD</w:t>
      </w:r>
      <w:r w:rsidR="00E57F95">
        <w:t xml:space="preserve">, however would </w:t>
      </w:r>
      <w:r w:rsidR="00093C42">
        <w:t xml:space="preserve">likely </w:t>
      </w:r>
      <w:r w:rsidR="00E57F95">
        <w:t xml:space="preserve">be lower than estimated </w:t>
      </w:r>
      <w:r w:rsidR="00A3517B" w:rsidRPr="00060B29">
        <w:t xml:space="preserve">in the later years due to </w:t>
      </w:r>
      <w:r w:rsidR="00E57F95">
        <w:t xml:space="preserve">lower persistence because of </w:t>
      </w:r>
      <w:r w:rsidR="00A3517B" w:rsidRPr="00060B29">
        <w:t xml:space="preserve">the gastrointestinal intestinal adverse events associated with treatment. </w:t>
      </w:r>
      <w:r w:rsidR="00E57F95">
        <w:t>The PBAC considered an uptake rate of 60% to be reasonable for year 1 of listing, and that the uptake should be no more than a maximum of 80% in year 6</w:t>
      </w:r>
      <w:r w:rsidR="00E57F95" w:rsidRPr="00E57F95">
        <w:rPr>
          <w:rFonts w:eastAsia="Calibri"/>
        </w:rPr>
        <w:t>.</w:t>
      </w:r>
    </w:p>
    <w:p w:rsidR="00371264" w:rsidRPr="00371264" w:rsidRDefault="00484A23" w:rsidP="00B15687">
      <w:pPr>
        <w:pStyle w:val="3-BodyText"/>
        <w:rPr>
          <w:rFonts w:eastAsia="Calibri"/>
        </w:rPr>
      </w:pPr>
      <w:r w:rsidRPr="00060B29">
        <w:rPr>
          <w:rFonts w:eastAsiaTheme="majorEastAsia" w:cstheme="majorBidi"/>
          <w:spacing w:val="5"/>
          <w:kern w:val="28"/>
          <w:szCs w:val="36"/>
        </w:rPr>
        <w:t xml:space="preserve">The </w:t>
      </w:r>
      <w:r>
        <w:rPr>
          <w:rFonts w:eastAsiaTheme="majorEastAsia" w:cstheme="majorBidi"/>
          <w:spacing w:val="5"/>
          <w:kern w:val="28"/>
          <w:szCs w:val="36"/>
        </w:rPr>
        <w:t xml:space="preserve">PBAC noted the financial estimates assumed </w:t>
      </w:r>
      <w:r w:rsidRPr="00060B29">
        <w:rPr>
          <w:rFonts w:eastAsiaTheme="majorEastAsia" w:cstheme="majorBidi"/>
          <w:spacing w:val="5"/>
          <w:kern w:val="28"/>
          <w:szCs w:val="36"/>
        </w:rPr>
        <w:t>that 77.62% and 22.38% of patients were treated with 150 mg b</w:t>
      </w:r>
      <w:r w:rsidR="00371264">
        <w:rPr>
          <w:rFonts w:eastAsiaTheme="majorEastAsia" w:cstheme="majorBidi"/>
          <w:spacing w:val="5"/>
          <w:kern w:val="28"/>
          <w:szCs w:val="36"/>
        </w:rPr>
        <w:t>id and 100 mg bid, respectively, and agreed with</w:t>
      </w:r>
      <w:r w:rsidRPr="00060B29">
        <w:rPr>
          <w:rFonts w:eastAsiaTheme="majorEastAsia" w:cstheme="majorBidi"/>
          <w:spacing w:val="5"/>
          <w:kern w:val="28"/>
          <w:szCs w:val="36"/>
        </w:rPr>
        <w:t xml:space="preserve"> DUSC that the estimated proportion of patients treated with the 150 mg dose is likely overestimated. </w:t>
      </w:r>
      <w:r w:rsidR="00371264">
        <w:rPr>
          <w:rFonts w:eastAsiaTheme="majorEastAsia" w:cstheme="majorBidi"/>
          <w:spacing w:val="5"/>
          <w:kern w:val="28"/>
          <w:szCs w:val="36"/>
        </w:rPr>
        <w:t xml:space="preserve">The PBAC considered, consistent with use in IPF, that it would be reasonable to assume 67% and 33% of patients are treated with </w:t>
      </w:r>
      <w:r w:rsidR="00371264" w:rsidRPr="00060B29">
        <w:rPr>
          <w:rFonts w:eastAsiaTheme="majorEastAsia" w:cstheme="majorBidi"/>
          <w:spacing w:val="5"/>
          <w:kern w:val="28"/>
          <w:szCs w:val="36"/>
        </w:rPr>
        <w:t>150 mg b</w:t>
      </w:r>
      <w:r w:rsidR="00371264">
        <w:rPr>
          <w:rFonts w:eastAsiaTheme="majorEastAsia" w:cstheme="majorBidi"/>
          <w:spacing w:val="5"/>
          <w:kern w:val="28"/>
          <w:szCs w:val="36"/>
        </w:rPr>
        <w:t>id and 100 mg bid, respectively.</w:t>
      </w:r>
    </w:p>
    <w:p w:rsidR="00BA4881" w:rsidRPr="00060B29" w:rsidRDefault="00BA4881" w:rsidP="00B15687">
      <w:pPr>
        <w:pStyle w:val="3-BodyText"/>
        <w:rPr>
          <w:rFonts w:eastAsia="Calibri"/>
        </w:rPr>
      </w:pPr>
      <w:r w:rsidRPr="00060B29">
        <w:t>The</w:t>
      </w:r>
      <w:r w:rsidR="00B56091">
        <w:t xml:space="preserve"> PBAC agreed with</w:t>
      </w:r>
      <w:r w:rsidRPr="00060B29">
        <w:t xml:space="preserve"> ESC </w:t>
      </w:r>
      <w:r w:rsidR="00B56091">
        <w:t>that</w:t>
      </w:r>
      <w:r w:rsidRPr="00060B29">
        <w:t xml:space="preserve"> there was a potential for nintedanib to be used outside the requested and existing restriction</w:t>
      </w:r>
      <w:r w:rsidR="00B56091">
        <w:t>s</w:t>
      </w:r>
      <w:r w:rsidRPr="00060B29">
        <w:t xml:space="preserve"> in other types of ILD which also have limited treatment options</w:t>
      </w:r>
      <w:r w:rsidR="00B56091">
        <w:t xml:space="preserve"> and considered</w:t>
      </w:r>
      <w:r w:rsidRPr="00060B29">
        <w:t xml:space="preserve"> that a</w:t>
      </w:r>
      <w:r w:rsidR="00B56091">
        <w:t>n</w:t>
      </w:r>
      <w:r w:rsidRPr="00060B29">
        <w:t xml:space="preserve"> RSA with </w:t>
      </w:r>
      <w:r w:rsidR="00B56091">
        <w:t xml:space="preserve">expenditure </w:t>
      </w:r>
      <w:r w:rsidRPr="00060B29">
        <w:t xml:space="preserve">caps </w:t>
      </w:r>
      <w:r w:rsidR="00B56091">
        <w:t>would</w:t>
      </w:r>
      <w:r w:rsidRPr="00060B29">
        <w:t xml:space="preserve"> be required to manage </w:t>
      </w:r>
      <w:r w:rsidR="00B56091">
        <w:t>this</w:t>
      </w:r>
      <w:r w:rsidRPr="00060B29">
        <w:t xml:space="preserve"> risk. </w:t>
      </w:r>
      <w:r w:rsidR="00B56091" w:rsidRPr="00060B29">
        <w:t>The PBAC considered that if nintedanib was listed for PF-ILD, there may be a proportion of patients with clinical characteristics of both IPF and PF-ILD who may be eligible to receive treatment under either listing</w:t>
      </w:r>
      <w:r w:rsidR="00B56091">
        <w:t xml:space="preserve">, and that this should be appropriately accounted for in </w:t>
      </w:r>
      <w:r w:rsidRPr="00060B29">
        <w:t>the expenditure caps for PF-ILD.</w:t>
      </w:r>
    </w:p>
    <w:p w:rsidR="00AD6B42" w:rsidRPr="00060B29" w:rsidRDefault="00BB5040" w:rsidP="00B15687">
      <w:pPr>
        <w:pStyle w:val="3-BodyText"/>
        <w:rPr>
          <w:rFonts w:eastAsia="Calibri"/>
        </w:rPr>
      </w:pPr>
      <w:r w:rsidRPr="00060B29">
        <w:rPr>
          <w:bCs/>
        </w:rPr>
        <w:t>The PBAC considered</w:t>
      </w:r>
      <w:r w:rsidR="00CB68DD" w:rsidRPr="00060B29">
        <w:rPr>
          <w:bCs/>
        </w:rPr>
        <w:t xml:space="preserve"> the outstanding issues may be a</w:t>
      </w:r>
      <w:r w:rsidRPr="00060B29">
        <w:rPr>
          <w:bCs/>
        </w:rPr>
        <w:t>ddressed in a simple resubmission for nintedanib if the following changes were made, without any additional amendments to the economic evaluation or financial implications:</w:t>
      </w:r>
    </w:p>
    <w:p w:rsidR="00F34B56" w:rsidRPr="00060B29" w:rsidRDefault="00F34B56" w:rsidP="00795BFC">
      <w:pPr>
        <w:pStyle w:val="3-BodyText"/>
        <w:numPr>
          <w:ilvl w:val="0"/>
          <w:numId w:val="26"/>
        </w:numPr>
        <w:rPr>
          <w:rFonts w:eastAsia="Calibri"/>
        </w:rPr>
      </w:pPr>
      <w:r w:rsidRPr="00060B29">
        <w:rPr>
          <w:rFonts w:eastAsia="Calibri"/>
        </w:rPr>
        <w:t xml:space="preserve">A price reduction which results in an ICER of less than </w:t>
      </w:r>
      <w:r w:rsidR="00795BFC" w:rsidRPr="00795BFC">
        <w:rPr>
          <w:rFonts w:eastAsia="Calibri"/>
        </w:rPr>
        <w:t>$45,000 to &lt; $55,000</w:t>
      </w:r>
      <w:r w:rsidRPr="00060B29">
        <w:rPr>
          <w:rFonts w:eastAsia="Calibri"/>
        </w:rPr>
        <w:t xml:space="preserve"> per QALY</w:t>
      </w:r>
      <w:r w:rsidR="00645DB4">
        <w:rPr>
          <w:rFonts w:eastAsia="Calibri"/>
        </w:rPr>
        <w:t xml:space="preserve"> for </w:t>
      </w:r>
      <w:r w:rsidR="00B17016">
        <w:rPr>
          <w:rFonts w:eastAsia="Calibri"/>
        </w:rPr>
        <w:t xml:space="preserve">the model </w:t>
      </w:r>
      <w:r w:rsidR="00B17016" w:rsidRPr="00B17016">
        <w:rPr>
          <w:rFonts w:eastAsia="Calibri"/>
        </w:rPr>
        <w:t xml:space="preserve">scenario in which the </w:t>
      </w:r>
      <w:r w:rsidR="00643C2D" w:rsidRPr="00B17016">
        <w:rPr>
          <w:rFonts w:eastAsia="Calibri"/>
        </w:rPr>
        <w:t xml:space="preserve">overall survival </w:t>
      </w:r>
      <w:r w:rsidR="00645DB4" w:rsidRPr="00B17016">
        <w:rPr>
          <w:rFonts w:eastAsia="Calibri"/>
        </w:rPr>
        <w:t xml:space="preserve">curves are converged </w:t>
      </w:r>
      <w:r w:rsidR="00643C2D" w:rsidRPr="00B17016">
        <w:rPr>
          <w:rFonts w:eastAsia="Calibri"/>
        </w:rPr>
        <w:t>as detailed in paragraph</w:t>
      </w:r>
      <w:r w:rsidR="001F1279">
        <w:rPr>
          <w:rFonts w:eastAsia="Calibri"/>
        </w:rPr>
        <w:t xml:space="preserve"> </w:t>
      </w:r>
      <w:r w:rsidR="00645DB4" w:rsidRPr="00B17016">
        <w:rPr>
          <w:rFonts w:eastAsia="Calibri"/>
        </w:rPr>
        <w:t>7.</w:t>
      </w:r>
      <w:r w:rsidR="00B17016" w:rsidRPr="00B17016">
        <w:rPr>
          <w:rFonts w:eastAsia="Calibri"/>
        </w:rPr>
        <w:t>9</w:t>
      </w:r>
      <w:r w:rsidR="00643C2D" w:rsidRPr="00B17016">
        <w:rPr>
          <w:rFonts w:eastAsia="Calibri"/>
        </w:rPr>
        <w:t>.</w:t>
      </w:r>
    </w:p>
    <w:p w:rsidR="00643C2D" w:rsidRPr="00730AF3" w:rsidRDefault="00645DB4" w:rsidP="00B15687">
      <w:pPr>
        <w:pStyle w:val="3-BodyText"/>
        <w:numPr>
          <w:ilvl w:val="0"/>
          <w:numId w:val="26"/>
        </w:numPr>
        <w:rPr>
          <w:rFonts w:eastAsia="Calibri"/>
        </w:rPr>
      </w:pPr>
      <w:r>
        <w:rPr>
          <w:rFonts w:eastAsia="Calibri"/>
        </w:rPr>
        <w:t>Revised financial estimates</w:t>
      </w:r>
      <w:r w:rsidR="00BA4881">
        <w:rPr>
          <w:rFonts w:eastAsia="Calibri"/>
        </w:rPr>
        <w:t xml:space="preserve"> which </w:t>
      </w:r>
      <w:r w:rsidR="00BA4881" w:rsidRPr="00730AF3">
        <w:rPr>
          <w:rFonts w:eastAsia="Calibri"/>
        </w:rPr>
        <w:t xml:space="preserve">account for a reduced </w:t>
      </w:r>
      <w:r w:rsidR="00093C42" w:rsidRPr="00730AF3">
        <w:rPr>
          <w:rFonts w:eastAsia="Calibri"/>
        </w:rPr>
        <w:t xml:space="preserve">nintedanib </w:t>
      </w:r>
      <w:r w:rsidR="00B17016" w:rsidRPr="00730AF3">
        <w:rPr>
          <w:rFonts w:eastAsia="Calibri"/>
        </w:rPr>
        <w:t>price</w:t>
      </w:r>
      <w:r w:rsidR="00BA4881" w:rsidRPr="00730AF3">
        <w:rPr>
          <w:rFonts w:eastAsia="Calibri"/>
        </w:rPr>
        <w:t>, a</w:t>
      </w:r>
      <w:r w:rsidR="007A616C" w:rsidRPr="00730AF3">
        <w:rPr>
          <w:rFonts w:eastAsia="Calibri"/>
        </w:rPr>
        <w:t xml:space="preserve"> revised prevalence estimate for PF-ILD</w:t>
      </w:r>
      <w:r w:rsidR="00BA4881" w:rsidRPr="00730AF3">
        <w:rPr>
          <w:rFonts w:eastAsia="Calibri"/>
        </w:rPr>
        <w:t xml:space="preserve"> (paragraph </w:t>
      </w:r>
      <w:r w:rsidR="000E5D5B" w:rsidRPr="00730AF3">
        <w:rPr>
          <w:rFonts w:eastAsia="Calibri"/>
        </w:rPr>
        <w:t>7.11</w:t>
      </w:r>
      <w:r w:rsidR="00BA4881" w:rsidRPr="00730AF3">
        <w:rPr>
          <w:rFonts w:eastAsia="Calibri"/>
        </w:rPr>
        <w:t>), r</w:t>
      </w:r>
      <w:r w:rsidR="007A616C" w:rsidRPr="00730AF3">
        <w:rPr>
          <w:rFonts w:eastAsia="Calibri"/>
        </w:rPr>
        <w:t xml:space="preserve">evised uptake rates </w:t>
      </w:r>
      <w:r w:rsidR="00BA4881" w:rsidRPr="00730AF3">
        <w:rPr>
          <w:rFonts w:eastAsia="Calibri"/>
        </w:rPr>
        <w:t xml:space="preserve">(paragraph </w:t>
      </w:r>
      <w:r w:rsidR="000E5D5B" w:rsidRPr="00730AF3">
        <w:rPr>
          <w:rFonts w:eastAsia="Calibri"/>
        </w:rPr>
        <w:t>7.12</w:t>
      </w:r>
      <w:r w:rsidR="00BA4881" w:rsidRPr="00730AF3">
        <w:rPr>
          <w:rFonts w:eastAsia="Calibri"/>
        </w:rPr>
        <w:t xml:space="preserve">) and revised use of the 150 mg versus 100 mg dose (paragraph </w:t>
      </w:r>
      <w:r w:rsidR="00D50579" w:rsidRPr="00730AF3">
        <w:rPr>
          <w:rFonts w:eastAsia="Calibri"/>
        </w:rPr>
        <w:t>7.13</w:t>
      </w:r>
      <w:r w:rsidR="00BA4881" w:rsidRPr="00730AF3">
        <w:rPr>
          <w:rFonts w:eastAsia="Calibri"/>
        </w:rPr>
        <w:t>).</w:t>
      </w:r>
    </w:p>
    <w:p w:rsidR="00563B3C" w:rsidRPr="00730AF3" w:rsidRDefault="007A616C" w:rsidP="00B15687">
      <w:pPr>
        <w:pStyle w:val="3-BodyText"/>
        <w:numPr>
          <w:ilvl w:val="0"/>
          <w:numId w:val="26"/>
        </w:numPr>
        <w:rPr>
          <w:rFonts w:eastAsia="Calibri"/>
        </w:rPr>
      </w:pPr>
      <w:r w:rsidRPr="00730AF3">
        <w:rPr>
          <w:rFonts w:eastAsia="Calibri"/>
        </w:rPr>
        <w:t>An appropriate risk sharing arrangement to address the uncertainties around utili</w:t>
      </w:r>
      <w:r w:rsidR="00B56091" w:rsidRPr="00730AF3">
        <w:rPr>
          <w:rFonts w:eastAsia="Calibri"/>
        </w:rPr>
        <w:t>s</w:t>
      </w:r>
      <w:r w:rsidRPr="00730AF3">
        <w:rPr>
          <w:rFonts w:eastAsia="Calibri"/>
        </w:rPr>
        <w:t>ation as outlined in paragraph 7.</w:t>
      </w:r>
      <w:r w:rsidR="00D50579" w:rsidRPr="00730AF3">
        <w:rPr>
          <w:rFonts w:eastAsia="Calibri"/>
        </w:rPr>
        <w:t>14</w:t>
      </w:r>
      <w:r w:rsidRPr="00730AF3">
        <w:rPr>
          <w:rFonts w:eastAsia="Calibri"/>
        </w:rPr>
        <w:t>.</w:t>
      </w:r>
    </w:p>
    <w:p w:rsidR="00563B3C" w:rsidRPr="00060B29" w:rsidRDefault="00563B3C" w:rsidP="00B15687">
      <w:pPr>
        <w:pStyle w:val="3-BodyText"/>
        <w:rPr>
          <w:rFonts w:eastAsia="Calibri"/>
        </w:rPr>
      </w:pPr>
      <w:r w:rsidRPr="00060B29">
        <w:rPr>
          <w:rFonts w:eastAsia="Calibri"/>
        </w:rPr>
        <w:t>The PBAC also considered nintedanib addresses a high and urgent unmet clinical need and was expected to provide a substantial and clinically relevant improvement in efficacy/reduction of toxicity, over any alternative therapies. Therefore, the PBAC considered an early resolution pathway would be acceptable if the resubmission addressed each of the points in the above paragraph with no further adjustment. The resubmission must be lodged by week 7 of the current PBAC cycle or the next cycle. If any of these terms are not acceptable to the sponsor, a standard re-entry pathway is available.</w:t>
      </w:r>
    </w:p>
    <w:p w:rsidR="00702D02" w:rsidRPr="00060B29" w:rsidRDefault="00430ED6" w:rsidP="00B15687">
      <w:pPr>
        <w:pStyle w:val="3-BodyText"/>
        <w:rPr>
          <w:rFonts w:eastAsia="Calibri"/>
        </w:rPr>
      </w:pPr>
      <w:r w:rsidRPr="00060B29">
        <w:rPr>
          <w:rFonts w:eastAsia="Calibri"/>
        </w:rPr>
        <w:t>The PBAC noted that this submission is eligible for an Independent Review</w:t>
      </w:r>
      <w:r w:rsidR="00060B29" w:rsidRPr="00060B29">
        <w:rPr>
          <w:rFonts w:eastAsia="Calibri"/>
        </w:rPr>
        <w:t xml:space="preserve">. </w:t>
      </w:r>
    </w:p>
    <w:p w:rsidR="00730AF3" w:rsidRDefault="004F1711" w:rsidP="00730AF3">
      <w:pPr>
        <w:spacing w:before="240"/>
        <w:rPr>
          <w:rFonts w:asciiTheme="minorHAnsi" w:hAnsiTheme="minorHAnsi"/>
          <w:b/>
          <w:bCs/>
          <w:snapToGrid w:val="0"/>
        </w:rPr>
      </w:pPr>
      <w:r w:rsidRPr="00060B29">
        <w:rPr>
          <w:rFonts w:asciiTheme="minorHAnsi" w:hAnsiTheme="minorHAnsi"/>
          <w:b/>
          <w:bCs/>
          <w:snapToGrid w:val="0"/>
        </w:rPr>
        <w:t>Outcome:</w:t>
      </w:r>
      <w:r w:rsidR="00730AF3">
        <w:rPr>
          <w:rFonts w:asciiTheme="minorHAnsi" w:hAnsiTheme="minorHAnsi"/>
          <w:b/>
          <w:bCs/>
          <w:snapToGrid w:val="0"/>
        </w:rPr>
        <w:t xml:space="preserve"> </w:t>
      </w:r>
    </w:p>
    <w:p w:rsidR="004F1711" w:rsidRDefault="00BD57B8" w:rsidP="00730AF3">
      <w:pPr>
        <w:rPr>
          <w:rFonts w:asciiTheme="minorHAnsi" w:hAnsiTheme="minorHAnsi"/>
          <w:bCs/>
          <w:snapToGrid w:val="0"/>
        </w:rPr>
      </w:pPr>
      <w:r>
        <w:rPr>
          <w:rFonts w:asciiTheme="minorHAnsi" w:hAnsiTheme="minorHAnsi"/>
          <w:bCs/>
          <w:snapToGrid w:val="0"/>
        </w:rPr>
        <w:t>Rejected</w:t>
      </w:r>
    </w:p>
    <w:p w:rsidR="00215F15" w:rsidRDefault="00215F15" w:rsidP="00730AF3">
      <w:pPr>
        <w:rPr>
          <w:rFonts w:asciiTheme="minorHAnsi" w:hAnsiTheme="minorHAnsi"/>
          <w:bCs/>
          <w:snapToGrid w:val="0"/>
        </w:rPr>
      </w:pPr>
    </w:p>
    <w:p w:rsidR="00215F15" w:rsidRPr="00215F15" w:rsidRDefault="00215F15" w:rsidP="00215F15">
      <w:pPr>
        <w:pStyle w:val="2-SectionHeading"/>
        <w:keepLines/>
      </w:pPr>
      <w:r w:rsidRPr="00C07617">
        <w:t>Context for Decision</w:t>
      </w:r>
    </w:p>
    <w:p w:rsidR="00215F15" w:rsidRPr="007129F2" w:rsidRDefault="00215F15" w:rsidP="00215F15">
      <w:pPr>
        <w:spacing w:after="120"/>
        <w:ind w:left="426"/>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15F15" w:rsidRPr="00215F15" w:rsidRDefault="00215F15" w:rsidP="00215F15">
      <w:pPr>
        <w:pStyle w:val="2-SectionHeading"/>
        <w:keepLines/>
      </w:pPr>
      <w:r>
        <w:t>Sponsor’s Comment</w:t>
      </w:r>
    </w:p>
    <w:p w:rsidR="00215F15" w:rsidRPr="001179AC" w:rsidRDefault="00215F15" w:rsidP="00215F15">
      <w:pPr>
        <w:spacing w:after="120"/>
        <w:ind w:left="426"/>
        <w:rPr>
          <w:bCs/>
        </w:rPr>
      </w:pPr>
      <w:r w:rsidRPr="00C07617">
        <w:rPr>
          <w:bCs/>
        </w:rPr>
        <w:t>The sponsor had no comment.</w:t>
      </w:r>
    </w:p>
    <w:p w:rsidR="00215F15" w:rsidRPr="00060B29" w:rsidRDefault="00215F15" w:rsidP="00730AF3">
      <w:pPr>
        <w:rPr>
          <w:rFonts w:asciiTheme="minorHAnsi" w:hAnsiTheme="minorHAnsi"/>
          <w:bCs/>
          <w:snapToGrid w:val="0"/>
        </w:rPr>
      </w:pPr>
    </w:p>
    <w:sectPr w:rsidR="00215F15" w:rsidRPr="00060B29" w:rsidSect="00A414A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A99B7" w16cex:dateUtc="2021-01-13T02:40:00Z"/>
  <w16cex:commentExtensible w16cex:durableId="23AA99B6" w16cex:dateUtc="2021-01-13T23:20:00Z"/>
  <w16cex:commentExtensible w16cex:durableId="23AA8FF7" w16cex:dateUtc="2021-01-13T22:40:00Z"/>
  <w16cex:commentExtensible w16cex:durableId="23A976DA" w16cex:dateUtc="2021-01-13T02:40:00Z"/>
  <w16cex:commentExtensible w16cex:durableId="23AA9981" w16cex:dateUtc="2021-01-13T23:20:00Z"/>
  <w16cex:commentExtensible w16cex:durableId="23AA9CE0" w16cex:dateUtc="2021-01-13T23:35:00Z"/>
  <w16cex:commentExtensible w16cex:durableId="23AA9E56" w16cex:dateUtc="2021-01-13T23:41:00Z"/>
  <w16cex:commentExtensible w16cex:durableId="23AA9EDF" w16cex:dateUtc="2021-01-13T23:43:00Z"/>
  <w16cex:commentExtensible w16cex:durableId="23A94D06" w16cex:dateUtc="2021-01-12T23:42:00Z"/>
  <w16cex:commentExtensible w16cex:durableId="23AAA1A3" w16cex:dateUtc="2021-01-13T23:55:00Z"/>
  <w16cex:commentExtensible w16cex:durableId="23AAA308" w16cex:dateUtc="2021-01-14T00:01:00Z"/>
  <w16cex:commentExtensible w16cex:durableId="23A95124" w16cex:dateUtc="2021-01-12T23:59:00Z"/>
  <w16cex:commentExtensible w16cex:durableId="23A956BA" w16cex:dateUtc="2021-01-13T00:23:00Z"/>
  <w16cex:commentExtensible w16cex:durableId="23A963B1" w16cex:dateUtc="2021-01-13T01:18:00Z"/>
  <w16cex:commentExtensible w16cex:durableId="23A95D6F" w16cex:dateUtc="2021-01-13T00:52:00Z"/>
  <w16cex:commentExtensible w16cex:durableId="23A962E8" w16cex:dateUtc="2021-01-13T01:15:00Z"/>
  <w16cex:commentExtensible w16cex:durableId="23A96C93" w16cex:dateUtc="2021-01-13T01:56:00Z"/>
  <w16cex:commentExtensible w16cex:durableId="23A96A98" w16cex:dateUtc="2021-01-13T01:48:00Z"/>
  <w16cex:commentExtensible w16cex:durableId="23AAA862" w16cex:dateUtc="2021-01-14T00:24:00Z"/>
  <w16cex:commentExtensible w16cex:durableId="23AAA755" w16cex:dateUtc="2021-01-14T00:19:00Z"/>
  <w16cex:commentExtensible w16cex:durableId="23AAABD8" w16cex:dateUtc="2021-01-14T00:39:00Z"/>
  <w16cex:commentExtensible w16cex:durableId="23AAA9FF" w16cex:dateUtc="2021-01-12T23:42:00Z"/>
  <w16cex:commentExtensible w16cex:durableId="23AAC2B5" w16cex:dateUtc="2021-01-14T02:16:00Z"/>
  <w16cex:commentExtensible w16cex:durableId="23AAC78D" w16cex:dateUtc="2021-01-14T02:37:00Z"/>
  <w16cex:commentExtensible w16cex:durableId="23AACA3C" w16cex:dateUtc="2021-01-14T02:48:00Z"/>
  <w16cex:commentExtensible w16cex:durableId="23AACA94" w16cex:dateUtc="2021-01-14T02:50:00Z"/>
  <w16cex:commentExtensible w16cex:durableId="23AAA3B7" w16cex:dateUtc="2021-01-14T00:04:00Z"/>
  <w16cex:commentExtensible w16cex:durableId="23AAA3E5" w16cex:dateUtc="2021-01-14T00:05:00Z"/>
  <w16cex:commentExtensible w16cex:durableId="23AACB48" w16cex:dateUtc="2021-01-14T02:53:00Z"/>
  <w16cex:commentExtensible w16cex:durableId="23A9DC5A" w16cex:dateUtc="2021-01-13T09:53:00Z"/>
  <w16cex:commentExtensible w16cex:durableId="23A9DD1F" w16cex:dateUtc="2021-01-13T09:57:00Z"/>
  <w16cex:commentExtensible w16cex:durableId="23AAA401" w16cex:dateUtc="2021-01-14T00:05:00Z"/>
  <w16cex:commentExtensible w16cex:durableId="23A9E04D" w16cex:dateUtc="2021-01-13T10:10:00Z"/>
  <w16cex:commentExtensible w16cex:durableId="235EF1FF" w16cex:dateUtc="2020-11-17T14:06:00Z"/>
  <w16cex:commentExtensible w16cex:durableId="23A94EE6" w16cex:dateUtc="2021-01-12T23:50:00Z"/>
  <w16cex:commentExtensible w16cex:durableId="23A96772" w16cex:dateUtc="2021-01-13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68ADED" w16cid:durableId="23AA99B8"/>
  <w16cid:commentId w16cid:paraId="73E52F5E" w16cid:durableId="23AA99B7"/>
  <w16cid:commentId w16cid:paraId="3A5713EC" w16cid:durableId="23AA99B6"/>
  <w16cid:commentId w16cid:paraId="41B9A65D" w16cid:durableId="23A93FCB"/>
  <w16cid:commentId w16cid:paraId="75538631" w16cid:durableId="23AA8FF7"/>
  <w16cid:commentId w16cid:paraId="5E58D998" w16cid:durableId="23A93FCC"/>
  <w16cid:commentId w16cid:paraId="1E216C1B" w16cid:durableId="23A976DA"/>
  <w16cid:commentId w16cid:paraId="53384B76" w16cid:durableId="23AA9981"/>
  <w16cid:commentId w16cid:paraId="2D7425EC" w16cid:durableId="23A93FCD"/>
  <w16cid:commentId w16cid:paraId="47D468C3" w16cid:durableId="23A9D7F0"/>
  <w16cid:commentId w16cid:paraId="27E82143" w16cid:durableId="23A93FCE"/>
  <w16cid:commentId w16cid:paraId="7E06FC13" w16cid:durableId="23A9D7F2"/>
  <w16cid:commentId w16cid:paraId="26482A01" w16cid:durableId="23A93FCF"/>
  <w16cid:commentId w16cid:paraId="0B58067A" w16cid:durableId="23AA9CE0"/>
  <w16cid:commentId w16cid:paraId="118C5F43" w16cid:durableId="23A93FD0"/>
  <w16cid:commentId w16cid:paraId="24B9B057" w16cid:durableId="23A93FD1"/>
  <w16cid:commentId w16cid:paraId="42BD3AF6" w16cid:durableId="23A9D7F6"/>
  <w16cid:commentId w16cid:paraId="6D7529A8" w16cid:durableId="23A93FD2"/>
  <w16cid:commentId w16cid:paraId="4201FD86" w16cid:durableId="23AA9E56"/>
  <w16cid:commentId w16cid:paraId="6A479646" w16cid:durableId="23A93FD3"/>
  <w16cid:commentId w16cid:paraId="1A3A4D75" w16cid:durableId="23AA9EDF"/>
  <w16cid:commentId w16cid:paraId="1E7E57AB" w16cid:durableId="23A94D06"/>
  <w16cid:commentId w16cid:paraId="3F1A87C9" w16cid:durableId="23A93FD5"/>
  <w16cid:commentId w16cid:paraId="45819271" w16cid:durableId="23AAA1A3"/>
  <w16cid:commentId w16cid:paraId="3DE0306B" w16cid:durableId="23A93FD6"/>
  <w16cid:commentId w16cid:paraId="6F6477F6" w16cid:durableId="23A93FD7"/>
  <w16cid:commentId w16cid:paraId="5EE43F7B" w16cid:durableId="23AAA308"/>
  <w16cid:commentId w16cid:paraId="0D095C60" w16cid:durableId="23A93FD8"/>
  <w16cid:commentId w16cid:paraId="421A5ACD" w16cid:durableId="23A95124"/>
  <w16cid:commentId w16cid:paraId="2032EE0D" w16cid:durableId="23A93FD9"/>
  <w16cid:commentId w16cid:paraId="49D50F07" w16cid:durableId="23A956BA"/>
  <w16cid:commentId w16cid:paraId="5974C9D6" w16cid:durableId="23A963B1"/>
  <w16cid:commentId w16cid:paraId="4201B9FF" w16cid:durableId="23A93FDA"/>
  <w16cid:commentId w16cid:paraId="36B6F1FB" w16cid:durableId="23A95D6F"/>
  <w16cid:commentId w16cid:paraId="3AC3BD3C" w16cid:durableId="23A93FDB"/>
  <w16cid:commentId w16cid:paraId="56B2AA92" w16cid:durableId="23A962E8"/>
  <w16cid:commentId w16cid:paraId="7386E5BC" w16cid:durableId="23A93FDC"/>
  <w16cid:commentId w16cid:paraId="2DC2C530" w16cid:durableId="23A96C93"/>
  <w16cid:commentId w16cid:paraId="2F52A81F" w16cid:durableId="23A93FDD"/>
  <w16cid:commentId w16cid:paraId="560B3A57" w16cid:durableId="23A96A98"/>
  <w16cid:commentId w16cid:paraId="00E77C55" w16cid:durableId="23A93FE2"/>
  <w16cid:commentId w16cid:paraId="1530EBD5" w16cid:durableId="23AAA862"/>
  <w16cid:commentId w16cid:paraId="36E719B3" w16cid:durableId="23A93FE3"/>
  <w16cid:commentId w16cid:paraId="1693D210" w16cid:durableId="23AAA755"/>
  <w16cid:commentId w16cid:paraId="6B662179" w16cid:durableId="23A93FE5"/>
  <w16cid:commentId w16cid:paraId="4D9E2756" w16cid:durableId="23AAABD8"/>
  <w16cid:commentId w16cid:paraId="5BCB6687" w16cid:durableId="23AAA9FF"/>
  <w16cid:commentId w16cid:paraId="2266193E" w16cid:durableId="23A9D821"/>
  <w16cid:commentId w16cid:paraId="291BC795" w16cid:durableId="23A93FE6"/>
  <w16cid:commentId w16cid:paraId="5E70B713" w16cid:durableId="23A9D823"/>
  <w16cid:commentId w16cid:paraId="64139961" w16cid:durableId="23AAC2B5"/>
  <w16cid:commentId w16cid:paraId="23BA442B" w16cid:durableId="23A93FE7"/>
  <w16cid:commentId w16cid:paraId="4D5BEEDA" w16cid:durableId="23A9D825"/>
  <w16cid:commentId w16cid:paraId="1FF131AC" w16cid:durableId="23A93FE8"/>
  <w16cid:commentId w16cid:paraId="381A22E5" w16cid:durableId="23A9D827"/>
  <w16cid:commentId w16cid:paraId="0B23D3B2" w16cid:durableId="23A93FE9"/>
  <w16cid:commentId w16cid:paraId="0F9F8016" w16cid:durableId="23AAC78D"/>
  <w16cid:commentId w16cid:paraId="631F3F2F" w16cid:durableId="23A93FEA"/>
  <w16cid:commentId w16cid:paraId="2CB8ECA0" w16cid:durableId="23A9D82B"/>
  <w16cid:commentId w16cid:paraId="4AAC43F2" w16cid:durableId="23A93FEB"/>
  <w16cid:commentId w16cid:paraId="082883FD" w16cid:durableId="23A9D82D"/>
  <w16cid:commentId w16cid:paraId="65CD6405" w16cid:durableId="23A93FEC"/>
  <w16cid:commentId w16cid:paraId="3D7774A3" w16cid:durableId="23A9D82F"/>
  <w16cid:commentId w16cid:paraId="5251B233" w16cid:durableId="23A93FED"/>
  <w16cid:commentId w16cid:paraId="3521D7A9" w16cid:durableId="23AACA3C"/>
  <w16cid:commentId w16cid:paraId="22864AE6" w16cid:durableId="23A93FEE"/>
  <w16cid:commentId w16cid:paraId="1A44DEDF" w16cid:durableId="23A9D833"/>
  <w16cid:commentId w16cid:paraId="4860EA93" w16cid:durableId="23A93FEF"/>
  <w16cid:commentId w16cid:paraId="2EBF7B53" w16cid:durableId="23AACA94"/>
  <w16cid:commentId w16cid:paraId="32142796" w16cid:durableId="23A93FF0"/>
  <w16cid:commentId w16cid:paraId="056CACEF" w16cid:durableId="23AAA3B7"/>
  <w16cid:commentId w16cid:paraId="2C46644F" w16cid:durableId="23A93FF1"/>
  <w16cid:commentId w16cid:paraId="17DB6063" w16cid:durableId="23AAA3E5"/>
  <w16cid:commentId w16cid:paraId="58DAC179" w16cid:durableId="23A93FF2"/>
  <w16cid:commentId w16cid:paraId="042B43B0" w16cid:durableId="23AACB48"/>
  <w16cid:commentId w16cid:paraId="25BFC8C5" w16cid:durableId="23A93FF3"/>
  <w16cid:commentId w16cid:paraId="61BA321B" w16cid:durableId="23A9DC5A"/>
  <w16cid:commentId w16cid:paraId="2561DE8F" w16cid:durableId="23A93FF4"/>
  <w16cid:commentId w16cid:paraId="194DABA9" w16cid:durableId="23A9DD1F"/>
  <w16cid:commentId w16cid:paraId="5A799AC6" w16cid:durableId="23A93FF5"/>
  <w16cid:commentId w16cid:paraId="41AB1036" w16cid:durableId="23AAA401"/>
  <w16cid:commentId w16cid:paraId="2EE44974" w16cid:durableId="23A93FF6"/>
  <w16cid:commentId w16cid:paraId="27551BA0" w16cid:durableId="23A9E04D"/>
  <w16cid:commentId w16cid:paraId="1003B8E6" w16cid:durableId="23A93FF7"/>
  <w16cid:commentId w16cid:paraId="700F0715" w16cid:durableId="235EF1FF"/>
  <w16cid:commentId w16cid:paraId="3DF5159A" w16cid:durableId="23A94EE6"/>
  <w16cid:commentId w16cid:paraId="040B8696" w16cid:durableId="23A96772"/>
  <w16cid:commentId w16cid:paraId="3FB625AB" w16cid:durableId="23A9D8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80E" w:rsidRDefault="005A680E" w:rsidP="00124A51">
      <w:r>
        <w:separator/>
      </w:r>
    </w:p>
    <w:p w:rsidR="005A680E" w:rsidRDefault="005A680E"/>
  </w:endnote>
  <w:endnote w:type="continuationSeparator" w:id="0">
    <w:p w:rsidR="005A680E" w:rsidRDefault="005A680E" w:rsidP="00124A51">
      <w:r>
        <w:continuationSeparator/>
      </w:r>
    </w:p>
    <w:p w:rsidR="005A680E" w:rsidRDefault="005A6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E" w:rsidRDefault="005A6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E" w:rsidRPr="004A53EC" w:rsidRDefault="005A680E" w:rsidP="00B15687"/>
  <w:p w:rsidR="005A680E" w:rsidRPr="00FE416B" w:rsidRDefault="005A680E" w:rsidP="00B15687">
    <w:pPr>
      <w:spacing w:after="120"/>
      <w:jc w:val="center"/>
      <w:rPr>
        <w:lang w:eastAsia="en-US"/>
      </w:rPr>
    </w:pPr>
    <w:r w:rsidRPr="00E3539E">
      <w:rPr>
        <w:b/>
        <w:lang w:eastAsia="en-US"/>
      </w:rPr>
      <w:fldChar w:fldCharType="begin"/>
    </w:r>
    <w:r w:rsidRPr="00E3539E">
      <w:rPr>
        <w:b/>
        <w:lang w:eastAsia="en-US"/>
      </w:rPr>
      <w:instrText xml:space="preserve"> PAGE   \* MERGEFORMAT </w:instrText>
    </w:r>
    <w:r w:rsidRPr="00E3539E">
      <w:rPr>
        <w:b/>
        <w:lang w:eastAsia="en-US"/>
      </w:rPr>
      <w:fldChar w:fldCharType="separate"/>
    </w:r>
    <w:r w:rsidR="00E32233">
      <w:rPr>
        <w:b/>
        <w:noProof/>
        <w:lang w:eastAsia="en-US"/>
      </w:rPr>
      <w:t>36</w:t>
    </w:r>
    <w:r w:rsidRPr="00E3539E">
      <w:rPr>
        <w:b/>
        <w:noProof/>
        <w:lang w:eastAsia="en-US"/>
      </w:rPr>
      <w:fldChar w:fldCharType="end"/>
    </w:r>
  </w:p>
  <w:p w:rsidR="005A680E" w:rsidRPr="004A53EC" w:rsidRDefault="005A680E" w:rsidP="004A53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E" w:rsidRDefault="005A6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80E" w:rsidRDefault="005A680E" w:rsidP="00124A51">
      <w:r>
        <w:separator/>
      </w:r>
    </w:p>
    <w:p w:rsidR="005A680E" w:rsidRDefault="005A680E"/>
  </w:footnote>
  <w:footnote w:type="continuationSeparator" w:id="0">
    <w:p w:rsidR="005A680E" w:rsidRDefault="005A680E" w:rsidP="00124A51">
      <w:r>
        <w:continuationSeparator/>
      </w:r>
    </w:p>
    <w:p w:rsidR="005A680E" w:rsidRDefault="005A680E"/>
  </w:footnote>
  <w:footnote w:id="1">
    <w:p w:rsidR="005A680E" w:rsidRDefault="005A680E" w:rsidP="00D31EBA">
      <w:pPr>
        <w:pStyle w:val="TableFigureFooter"/>
      </w:pPr>
      <w:r>
        <w:rPr>
          <w:rStyle w:val="FootnoteReference"/>
        </w:rPr>
        <w:footnoteRef/>
      </w:r>
      <w:r>
        <w:t xml:space="preserve"> </w:t>
      </w:r>
      <w:r w:rsidRPr="00C35631">
        <w:t xml:space="preserve">Cottin V. Treatment of progressive fibrosing interstitial lung diseases: a milestone in the management of interstitial lung diseases. </w:t>
      </w:r>
      <w:r w:rsidRPr="00C35631">
        <w:rPr>
          <w:i/>
          <w:iCs/>
        </w:rPr>
        <w:t>Eur Respir Rev</w:t>
      </w:r>
      <w:r w:rsidRPr="00C35631">
        <w:t>. 2019 Oct 1;28(153):190109.</w:t>
      </w:r>
    </w:p>
  </w:footnote>
  <w:footnote w:id="2">
    <w:p w:rsidR="005A680E" w:rsidRDefault="005A680E" w:rsidP="00D31EBA">
      <w:pPr>
        <w:pStyle w:val="TableFigureFooter"/>
      </w:pPr>
      <w:r>
        <w:rPr>
          <w:rStyle w:val="FootnoteReference"/>
        </w:rPr>
        <w:footnoteRef/>
      </w:r>
      <w:r>
        <w:t xml:space="preserve"> </w:t>
      </w:r>
      <w:r w:rsidRPr="00C35631">
        <w:t xml:space="preserve">Wong AW, Ryerson CJ, Guler SA. Progression of fibrosing interstitial lung disease. </w:t>
      </w:r>
      <w:r w:rsidRPr="00C35631">
        <w:rPr>
          <w:i/>
          <w:iCs/>
        </w:rPr>
        <w:t>Respir Res</w:t>
      </w:r>
      <w:r w:rsidRPr="00C35631">
        <w:t>. 2020 Jan 29;21(1):32.</w:t>
      </w:r>
    </w:p>
  </w:footnote>
  <w:footnote w:id="3">
    <w:p w:rsidR="005A680E" w:rsidRDefault="005A680E" w:rsidP="00D31EBA">
      <w:pPr>
        <w:pStyle w:val="TableFigureFooter"/>
      </w:pPr>
      <w:r>
        <w:rPr>
          <w:rStyle w:val="FootnoteReference"/>
        </w:rPr>
        <w:footnoteRef/>
      </w:r>
      <w:r>
        <w:t xml:space="preserve"> Cottin 2019, op. cit.</w:t>
      </w:r>
    </w:p>
  </w:footnote>
  <w:footnote w:id="4">
    <w:p w:rsidR="005A680E" w:rsidRDefault="005A680E" w:rsidP="00CC712C">
      <w:pPr>
        <w:pStyle w:val="TableFigureFooter"/>
      </w:pPr>
      <w:r>
        <w:rPr>
          <w:rStyle w:val="FootnoteReference"/>
        </w:rPr>
        <w:footnoteRef/>
      </w:r>
      <w:r>
        <w:t xml:space="preserve"> </w:t>
      </w:r>
      <w:r w:rsidRPr="00143B95">
        <w:t xml:space="preserve">Cottin V. Treatment of progressive fibrosing interstitial lung diseases: a milestone in the management of interstitial lung diseases. </w:t>
      </w:r>
      <w:r w:rsidRPr="00143B95">
        <w:rPr>
          <w:i/>
          <w:iCs/>
        </w:rPr>
        <w:t>Eur Respir Rev</w:t>
      </w:r>
      <w:r w:rsidRPr="00143B95">
        <w:t>. 2019 Oct 1;28(153):190109.</w:t>
      </w:r>
    </w:p>
  </w:footnote>
  <w:footnote w:id="5">
    <w:p w:rsidR="005A680E" w:rsidRDefault="005A680E" w:rsidP="00D31EBA">
      <w:pPr>
        <w:pStyle w:val="TableFigureFooter"/>
      </w:pPr>
      <w:r>
        <w:rPr>
          <w:rStyle w:val="FootnoteReference"/>
        </w:rPr>
        <w:footnoteRef/>
      </w:r>
      <w:r>
        <w:t xml:space="preserve"> </w:t>
      </w:r>
      <w:r w:rsidRPr="004A4EE9">
        <w:t xml:space="preserve">Karimi-Shah BA, Chowdhury BA. Forced vital capacity in idiopathic pulmonary fibrosis--FDA review of pirfenidone and nintedanib. </w:t>
      </w:r>
      <w:r w:rsidRPr="004A4EE9">
        <w:rPr>
          <w:i/>
          <w:iCs/>
        </w:rPr>
        <w:t>The</w:t>
      </w:r>
      <w:r w:rsidRPr="004A4EE9">
        <w:t xml:space="preserve"> </w:t>
      </w:r>
      <w:r w:rsidRPr="004A4EE9">
        <w:rPr>
          <w:i/>
          <w:iCs/>
        </w:rPr>
        <w:t>New England Journal of Medicine</w:t>
      </w:r>
      <w:r w:rsidRPr="004A4EE9">
        <w:t>. 2015;372(13):1189-91</w:t>
      </w:r>
      <w:r>
        <w:t>.</w:t>
      </w:r>
    </w:p>
  </w:footnote>
  <w:footnote w:id="6">
    <w:p w:rsidR="005A680E" w:rsidRPr="00730AF3" w:rsidRDefault="005A680E" w:rsidP="00B03F12">
      <w:pPr>
        <w:pStyle w:val="TableFigureFooter"/>
      </w:pPr>
      <w:r w:rsidRPr="00730AF3">
        <w:rPr>
          <w:rStyle w:val="FootnoteReference"/>
        </w:rPr>
        <w:footnoteRef/>
      </w:r>
      <w:r w:rsidRPr="00730AF3">
        <w:t xml:space="preserve"> Patel AS, Siegert RJ, Keir GJ et al. The minimal important difference of the King’s Brief Interstitial Lung Disease Questionnaire (K-BILD) and forced vital capacity in interstitial lung disease. </w:t>
      </w:r>
      <w:r w:rsidRPr="00730AF3">
        <w:rPr>
          <w:i/>
          <w:iCs/>
        </w:rPr>
        <w:t>Respir Med</w:t>
      </w:r>
      <w:r w:rsidRPr="00730AF3">
        <w:t xml:space="preserve"> 2013; 107:1438-1443.</w:t>
      </w:r>
    </w:p>
  </w:footnote>
  <w:footnote w:id="7">
    <w:p w:rsidR="005A680E" w:rsidRDefault="005A680E" w:rsidP="009663AB">
      <w:pPr>
        <w:pStyle w:val="TableFigureFooter"/>
      </w:pPr>
      <w:r>
        <w:rPr>
          <w:rStyle w:val="FootnoteReference"/>
        </w:rPr>
        <w:footnoteRef/>
      </w:r>
      <w:r>
        <w:t xml:space="preserve"> Source: </w:t>
      </w:r>
      <w:r w:rsidRPr="0072650E">
        <w:t>p</w:t>
      </w:r>
      <w:r>
        <w:t>266</w:t>
      </w:r>
      <w:r w:rsidRPr="0072650E">
        <w:t xml:space="preserve"> in the Clinical Trial Report Main analysis (Document No: c26471552-02), Trial 1199.247, November 2019.</w:t>
      </w:r>
    </w:p>
  </w:footnote>
  <w:footnote w:id="8">
    <w:p w:rsidR="005A680E" w:rsidRDefault="005A680E" w:rsidP="00F9662D">
      <w:pPr>
        <w:pStyle w:val="TableFigureFooter"/>
      </w:pPr>
      <w:r w:rsidRPr="008044EE">
        <w:rPr>
          <w:vertAlign w:val="superscript"/>
        </w:rPr>
        <w:footnoteRef/>
      </w:r>
      <w:r w:rsidRPr="008044EE">
        <w:rPr>
          <w:vertAlign w:val="superscript"/>
        </w:rPr>
        <w:t xml:space="preserve"> </w:t>
      </w:r>
      <w:r>
        <w:t>Including a</w:t>
      </w:r>
      <w:r w:rsidRPr="00CE3434">
        <w:t xml:space="preserve">ge, gender, FVC%Pred, utility value, </w:t>
      </w:r>
      <w:r>
        <w:t>usual i</w:t>
      </w:r>
      <w:r w:rsidRPr="00CE3434">
        <w:t xml:space="preserve">nterstitial </w:t>
      </w:r>
      <w:r>
        <w:t>p</w:t>
      </w:r>
      <w:r w:rsidRPr="00CE3434">
        <w:t xml:space="preserve">neumonia (UIP)-like pattern, </w:t>
      </w:r>
      <w:r>
        <w:t>g</w:t>
      </w:r>
      <w:r w:rsidRPr="00CE3434">
        <w:t xml:space="preserve">rouped </w:t>
      </w:r>
      <w:r>
        <w:t>c</w:t>
      </w:r>
      <w:r w:rsidRPr="00CE3434">
        <w:t xml:space="preserve">riteria for </w:t>
      </w:r>
      <w:r>
        <w:t>progressive interstitial lung d</w:t>
      </w:r>
      <w:r w:rsidRPr="00CE3434">
        <w:t>isease (PGGR- marginal and worsening) and time since trial initial diagnosis (TSTIDIA)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E" w:rsidRDefault="005A6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E" w:rsidRPr="00FE416B" w:rsidRDefault="005A680E" w:rsidP="004A53EC">
    <w:pPr>
      <w:tabs>
        <w:tab w:val="center" w:pos="4153"/>
        <w:tab w:val="right" w:pos="8306"/>
      </w:tabs>
      <w:ind w:left="357"/>
      <w:jc w:val="center"/>
      <w:rPr>
        <w:i/>
        <w:color w:val="808080"/>
        <w:lang w:eastAsia="en-US"/>
      </w:rPr>
    </w:pPr>
    <w:r>
      <w:rPr>
        <w:i/>
        <w:color w:val="808080"/>
        <w:lang w:eastAsia="en-US"/>
      </w:rPr>
      <w:t>Public Summary Document</w:t>
    </w:r>
    <w:r w:rsidRPr="00FE416B">
      <w:rPr>
        <w:i/>
        <w:color w:val="808080"/>
        <w:lang w:eastAsia="en-US"/>
      </w:rPr>
      <w:t xml:space="preserve"> – March 2021 PBAC Meeting</w:t>
    </w:r>
  </w:p>
  <w:p w:rsidR="005A680E" w:rsidRDefault="005A68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80E" w:rsidRDefault="005A6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348"/>
    <w:multiLevelType w:val="hybridMultilevel"/>
    <w:tmpl w:val="6854BFE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CE97887"/>
    <w:multiLevelType w:val="hybridMultilevel"/>
    <w:tmpl w:val="43D0EF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109380B"/>
    <w:multiLevelType w:val="hybridMultilevel"/>
    <w:tmpl w:val="930A8B5E"/>
    <w:lvl w:ilvl="0" w:tplc="B29A4B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AF7560"/>
    <w:multiLevelType w:val="hybridMultilevel"/>
    <w:tmpl w:val="FE98C9F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A33219"/>
    <w:multiLevelType w:val="hybridMultilevel"/>
    <w:tmpl w:val="06B6BFA0"/>
    <w:lvl w:ilvl="0" w:tplc="E8189B44">
      <w:start w:val="1"/>
      <w:numFmt w:val="lowerLetter"/>
      <w:lvlText w:val="%1)"/>
      <w:lvlJc w:val="left"/>
      <w:pPr>
        <w:ind w:left="720" w:hanging="360"/>
      </w:pPr>
      <w:rPr>
        <w:strik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C872E4"/>
    <w:multiLevelType w:val="hybridMultilevel"/>
    <w:tmpl w:val="5426CB3E"/>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246D1C2F"/>
    <w:multiLevelType w:val="hybridMultilevel"/>
    <w:tmpl w:val="DA7C7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9A34CF"/>
    <w:multiLevelType w:val="hybridMultilevel"/>
    <w:tmpl w:val="702EF5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0C77278"/>
    <w:multiLevelType w:val="hybridMultilevel"/>
    <w:tmpl w:val="CB6CA310"/>
    <w:lvl w:ilvl="0" w:tplc="5EC62B5C">
      <w:start w:val="10"/>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542447"/>
    <w:multiLevelType w:val="hybridMultilevel"/>
    <w:tmpl w:val="F8F0B8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C35A4A"/>
    <w:multiLevelType w:val="hybridMultilevel"/>
    <w:tmpl w:val="764CDD9E"/>
    <w:lvl w:ilvl="0" w:tplc="BB6CBEF4">
      <w:start w:val="1"/>
      <w:numFmt w:val="decimal"/>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F9712B"/>
    <w:multiLevelType w:val="hybridMultilevel"/>
    <w:tmpl w:val="77F0B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51CA1480"/>
    <w:lvl w:ilvl="0" w:tplc="04090001">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7C63EFB"/>
    <w:multiLevelType w:val="hybridMultilevel"/>
    <w:tmpl w:val="B036B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6542D3"/>
    <w:multiLevelType w:val="hybridMultilevel"/>
    <w:tmpl w:val="C80E7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C1595B"/>
    <w:multiLevelType w:val="hybridMultilevel"/>
    <w:tmpl w:val="693A6782"/>
    <w:lvl w:ilvl="0" w:tplc="64EC473C">
      <w:start w:val="1"/>
      <w:numFmt w:val="bullet"/>
      <w:lvlText w:val=""/>
      <w:lvlJc w:val="left"/>
      <w:pPr>
        <w:tabs>
          <w:tab w:val="num" w:pos="720"/>
        </w:tabs>
        <w:ind w:left="720" w:hanging="360"/>
      </w:pPr>
      <w:rPr>
        <w:rFonts w:ascii="Wingdings" w:hAnsi="Wingdings" w:hint="default"/>
      </w:rPr>
    </w:lvl>
    <w:lvl w:ilvl="1" w:tplc="26AA8E50">
      <w:start w:val="174"/>
      <w:numFmt w:val="bullet"/>
      <w:lvlText w:val="•"/>
      <w:lvlJc w:val="left"/>
      <w:pPr>
        <w:tabs>
          <w:tab w:val="num" w:pos="1440"/>
        </w:tabs>
        <w:ind w:left="1440" w:hanging="360"/>
      </w:pPr>
      <w:rPr>
        <w:rFonts w:ascii="Arial" w:hAnsi="Arial" w:hint="default"/>
      </w:rPr>
    </w:lvl>
    <w:lvl w:ilvl="2" w:tplc="FD0EC7FA" w:tentative="1">
      <w:start w:val="1"/>
      <w:numFmt w:val="bullet"/>
      <w:lvlText w:val=""/>
      <w:lvlJc w:val="left"/>
      <w:pPr>
        <w:tabs>
          <w:tab w:val="num" w:pos="2160"/>
        </w:tabs>
        <w:ind w:left="2160" w:hanging="360"/>
      </w:pPr>
      <w:rPr>
        <w:rFonts w:ascii="Wingdings" w:hAnsi="Wingdings" w:hint="default"/>
      </w:rPr>
    </w:lvl>
    <w:lvl w:ilvl="3" w:tplc="36A0EBB0" w:tentative="1">
      <w:start w:val="1"/>
      <w:numFmt w:val="bullet"/>
      <w:lvlText w:val=""/>
      <w:lvlJc w:val="left"/>
      <w:pPr>
        <w:tabs>
          <w:tab w:val="num" w:pos="2880"/>
        </w:tabs>
        <w:ind w:left="2880" w:hanging="360"/>
      </w:pPr>
      <w:rPr>
        <w:rFonts w:ascii="Wingdings" w:hAnsi="Wingdings" w:hint="default"/>
      </w:rPr>
    </w:lvl>
    <w:lvl w:ilvl="4" w:tplc="4A528F3A" w:tentative="1">
      <w:start w:val="1"/>
      <w:numFmt w:val="bullet"/>
      <w:lvlText w:val=""/>
      <w:lvlJc w:val="left"/>
      <w:pPr>
        <w:tabs>
          <w:tab w:val="num" w:pos="3600"/>
        </w:tabs>
        <w:ind w:left="3600" w:hanging="360"/>
      </w:pPr>
      <w:rPr>
        <w:rFonts w:ascii="Wingdings" w:hAnsi="Wingdings" w:hint="default"/>
      </w:rPr>
    </w:lvl>
    <w:lvl w:ilvl="5" w:tplc="43EAC704" w:tentative="1">
      <w:start w:val="1"/>
      <w:numFmt w:val="bullet"/>
      <w:lvlText w:val=""/>
      <w:lvlJc w:val="left"/>
      <w:pPr>
        <w:tabs>
          <w:tab w:val="num" w:pos="4320"/>
        </w:tabs>
        <w:ind w:left="4320" w:hanging="360"/>
      </w:pPr>
      <w:rPr>
        <w:rFonts w:ascii="Wingdings" w:hAnsi="Wingdings" w:hint="default"/>
      </w:rPr>
    </w:lvl>
    <w:lvl w:ilvl="6" w:tplc="78388E10" w:tentative="1">
      <w:start w:val="1"/>
      <w:numFmt w:val="bullet"/>
      <w:lvlText w:val=""/>
      <w:lvlJc w:val="left"/>
      <w:pPr>
        <w:tabs>
          <w:tab w:val="num" w:pos="5040"/>
        </w:tabs>
        <w:ind w:left="5040" w:hanging="360"/>
      </w:pPr>
      <w:rPr>
        <w:rFonts w:ascii="Wingdings" w:hAnsi="Wingdings" w:hint="default"/>
      </w:rPr>
    </w:lvl>
    <w:lvl w:ilvl="7" w:tplc="8F6CCC58" w:tentative="1">
      <w:start w:val="1"/>
      <w:numFmt w:val="bullet"/>
      <w:lvlText w:val=""/>
      <w:lvlJc w:val="left"/>
      <w:pPr>
        <w:tabs>
          <w:tab w:val="num" w:pos="5760"/>
        </w:tabs>
        <w:ind w:left="5760" w:hanging="360"/>
      </w:pPr>
      <w:rPr>
        <w:rFonts w:ascii="Wingdings" w:hAnsi="Wingdings" w:hint="default"/>
      </w:rPr>
    </w:lvl>
    <w:lvl w:ilvl="8" w:tplc="CA32713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FA26A8"/>
    <w:multiLevelType w:val="hybridMultilevel"/>
    <w:tmpl w:val="7E227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56005A"/>
    <w:multiLevelType w:val="hybridMultilevel"/>
    <w:tmpl w:val="5A9C8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567638"/>
    <w:multiLevelType w:val="hybridMultilevel"/>
    <w:tmpl w:val="32101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D033C"/>
    <w:multiLevelType w:val="multilevel"/>
    <w:tmpl w:val="E7F4152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3"/>
  </w:num>
  <w:num w:numId="2">
    <w:abstractNumId w:val="14"/>
  </w:num>
  <w:num w:numId="3">
    <w:abstractNumId w:val="15"/>
  </w:num>
  <w:num w:numId="4">
    <w:abstractNumId w:val="13"/>
  </w:num>
  <w:num w:numId="5">
    <w:abstractNumId w:val="20"/>
  </w:num>
  <w:num w:numId="6">
    <w:abstractNumId w:val="0"/>
  </w:num>
  <w:num w:numId="7">
    <w:abstractNumId w:val="8"/>
  </w:num>
  <w:num w:numId="8">
    <w:abstractNumId w:val="3"/>
  </w:num>
  <w:num w:numId="9">
    <w:abstractNumId w:val="2"/>
  </w:num>
  <w:num w:numId="10">
    <w:abstractNumId w:val="22"/>
  </w:num>
  <w:num w:numId="11">
    <w:abstractNumId w:val="5"/>
  </w:num>
  <w:num w:numId="12">
    <w:abstractNumId w:val="9"/>
  </w:num>
  <w:num w:numId="13">
    <w:abstractNumId w:val="24"/>
  </w:num>
  <w:num w:numId="14">
    <w:abstractNumId w:val="6"/>
  </w:num>
  <w:num w:numId="15">
    <w:abstractNumId w:val="16"/>
  </w:num>
  <w:num w:numId="16">
    <w:abstractNumId w:val="12"/>
  </w:num>
  <w:num w:numId="17">
    <w:abstractNumId w:val="7"/>
  </w:num>
  <w:num w:numId="18">
    <w:abstractNumId w:val="4"/>
  </w:num>
  <w:num w:numId="19">
    <w:abstractNumId w:val="21"/>
  </w:num>
  <w:num w:numId="20">
    <w:abstractNumId w:val="11"/>
  </w:num>
  <w:num w:numId="21">
    <w:abstractNumId w:val="1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9"/>
  </w:num>
  <w:num w:numId="28">
    <w:abstractNumId w:val="23"/>
  </w:num>
  <w:num w:numId="29">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activeWritingStyle w:appName="MSWord" w:lang="es-CL"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n-GB"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NDCoBQDzldhOLgAAAA=="/>
  </w:docVars>
  <w:rsids>
    <w:rsidRoot w:val="00E65E79"/>
    <w:rsid w:val="00000790"/>
    <w:rsid w:val="0000096F"/>
    <w:rsid w:val="0000110B"/>
    <w:rsid w:val="0000159D"/>
    <w:rsid w:val="00001D55"/>
    <w:rsid w:val="000020F4"/>
    <w:rsid w:val="00002534"/>
    <w:rsid w:val="00003499"/>
    <w:rsid w:val="00003599"/>
    <w:rsid w:val="0000382A"/>
    <w:rsid w:val="00003834"/>
    <w:rsid w:val="000039B7"/>
    <w:rsid w:val="00003F0F"/>
    <w:rsid w:val="0000451A"/>
    <w:rsid w:val="000048F9"/>
    <w:rsid w:val="00004D49"/>
    <w:rsid w:val="000050D1"/>
    <w:rsid w:val="0000516D"/>
    <w:rsid w:val="00005590"/>
    <w:rsid w:val="00006029"/>
    <w:rsid w:val="00006371"/>
    <w:rsid w:val="0000639A"/>
    <w:rsid w:val="00007583"/>
    <w:rsid w:val="00007667"/>
    <w:rsid w:val="00007927"/>
    <w:rsid w:val="00010CE0"/>
    <w:rsid w:val="000115BC"/>
    <w:rsid w:val="000119A6"/>
    <w:rsid w:val="00011CE3"/>
    <w:rsid w:val="00011DE7"/>
    <w:rsid w:val="0001255F"/>
    <w:rsid w:val="00013247"/>
    <w:rsid w:val="000134A0"/>
    <w:rsid w:val="00013E82"/>
    <w:rsid w:val="00013F98"/>
    <w:rsid w:val="000141EF"/>
    <w:rsid w:val="0001504F"/>
    <w:rsid w:val="00015083"/>
    <w:rsid w:val="000156A0"/>
    <w:rsid w:val="00015886"/>
    <w:rsid w:val="000162EF"/>
    <w:rsid w:val="00017238"/>
    <w:rsid w:val="0001735A"/>
    <w:rsid w:val="00017BA2"/>
    <w:rsid w:val="00017F3C"/>
    <w:rsid w:val="00020236"/>
    <w:rsid w:val="00020608"/>
    <w:rsid w:val="000207C9"/>
    <w:rsid w:val="000208A7"/>
    <w:rsid w:val="000210F3"/>
    <w:rsid w:val="000211F4"/>
    <w:rsid w:val="0002199D"/>
    <w:rsid w:val="0002200E"/>
    <w:rsid w:val="00022097"/>
    <w:rsid w:val="0002215C"/>
    <w:rsid w:val="0002225F"/>
    <w:rsid w:val="00022974"/>
    <w:rsid w:val="000236C1"/>
    <w:rsid w:val="00023763"/>
    <w:rsid w:val="00024F0B"/>
    <w:rsid w:val="000263D3"/>
    <w:rsid w:val="000263E0"/>
    <w:rsid w:val="00026F39"/>
    <w:rsid w:val="000274B8"/>
    <w:rsid w:val="0002763F"/>
    <w:rsid w:val="0002789A"/>
    <w:rsid w:val="00030277"/>
    <w:rsid w:val="00030431"/>
    <w:rsid w:val="00031659"/>
    <w:rsid w:val="00032601"/>
    <w:rsid w:val="000326CA"/>
    <w:rsid w:val="000327DB"/>
    <w:rsid w:val="0003297D"/>
    <w:rsid w:val="000329F1"/>
    <w:rsid w:val="00032BA1"/>
    <w:rsid w:val="00033863"/>
    <w:rsid w:val="000340AC"/>
    <w:rsid w:val="00034160"/>
    <w:rsid w:val="00034713"/>
    <w:rsid w:val="00035DC0"/>
    <w:rsid w:val="00036034"/>
    <w:rsid w:val="000360BB"/>
    <w:rsid w:val="00036829"/>
    <w:rsid w:val="00036C8D"/>
    <w:rsid w:val="0003714C"/>
    <w:rsid w:val="000376EA"/>
    <w:rsid w:val="00037DA9"/>
    <w:rsid w:val="00040338"/>
    <w:rsid w:val="0004079F"/>
    <w:rsid w:val="00040895"/>
    <w:rsid w:val="00040F72"/>
    <w:rsid w:val="000419D1"/>
    <w:rsid w:val="00041B29"/>
    <w:rsid w:val="000427D5"/>
    <w:rsid w:val="00042A2C"/>
    <w:rsid w:val="00043457"/>
    <w:rsid w:val="000435EE"/>
    <w:rsid w:val="00043665"/>
    <w:rsid w:val="00043B48"/>
    <w:rsid w:val="00043C37"/>
    <w:rsid w:val="0004419C"/>
    <w:rsid w:val="000443D8"/>
    <w:rsid w:val="000445E1"/>
    <w:rsid w:val="00044C05"/>
    <w:rsid w:val="00044D42"/>
    <w:rsid w:val="00045017"/>
    <w:rsid w:val="0004511A"/>
    <w:rsid w:val="000451CE"/>
    <w:rsid w:val="00045414"/>
    <w:rsid w:val="000456A2"/>
    <w:rsid w:val="00045823"/>
    <w:rsid w:val="00045A2B"/>
    <w:rsid w:val="00045AB2"/>
    <w:rsid w:val="00045AFC"/>
    <w:rsid w:val="00045BD7"/>
    <w:rsid w:val="0004648D"/>
    <w:rsid w:val="000466D9"/>
    <w:rsid w:val="0004682E"/>
    <w:rsid w:val="0004698F"/>
    <w:rsid w:val="00046C49"/>
    <w:rsid w:val="000474D3"/>
    <w:rsid w:val="0005009B"/>
    <w:rsid w:val="00050E98"/>
    <w:rsid w:val="00050F06"/>
    <w:rsid w:val="00051430"/>
    <w:rsid w:val="00051893"/>
    <w:rsid w:val="00051AC9"/>
    <w:rsid w:val="0005209B"/>
    <w:rsid w:val="000520F6"/>
    <w:rsid w:val="000539D0"/>
    <w:rsid w:val="00053D23"/>
    <w:rsid w:val="00053FA0"/>
    <w:rsid w:val="00053FD3"/>
    <w:rsid w:val="00054621"/>
    <w:rsid w:val="000546D7"/>
    <w:rsid w:val="00056ECF"/>
    <w:rsid w:val="000604A4"/>
    <w:rsid w:val="000604DF"/>
    <w:rsid w:val="00060B29"/>
    <w:rsid w:val="00061C5A"/>
    <w:rsid w:val="00061F0A"/>
    <w:rsid w:val="000625C4"/>
    <w:rsid w:val="00062C8A"/>
    <w:rsid w:val="000631A1"/>
    <w:rsid w:val="00063F59"/>
    <w:rsid w:val="0006434F"/>
    <w:rsid w:val="00064A3B"/>
    <w:rsid w:val="00064A87"/>
    <w:rsid w:val="00064ECC"/>
    <w:rsid w:val="00065398"/>
    <w:rsid w:val="000653B5"/>
    <w:rsid w:val="0006542F"/>
    <w:rsid w:val="00066280"/>
    <w:rsid w:val="00066319"/>
    <w:rsid w:val="00066360"/>
    <w:rsid w:val="000669CB"/>
    <w:rsid w:val="00066AF8"/>
    <w:rsid w:val="00066D19"/>
    <w:rsid w:val="00067391"/>
    <w:rsid w:val="00067488"/>
    <w:rsid w:val="00067A58"/>
    <w:rsid w:val="00067B61"/>
    <w:rsid w:val="0007023C"/>
    <w:rsid w:val="00070AA4"/>
    <w:rsid w:val="00070CB0"/>
    <w:rsid w:val="00071248"/>
    <w:rsid w:val="00071BE7"/>
    <w:rsid w:val="000720B9"/>
    <w:rsid w:val="00072882"/>
    <w:rsid w:val="000728B7"/>
    <w:rsid w:val="00072A51"/>
    <w:rsid w:val="00073735"/>
    <w:rsid w:val="000737F7"/>
    <w:rsid w:val="00075676"/>
    <w:rsid w:val="00075E64"/>
    <w:rsid w:val="00075F2E"/>
    <w:rsid w:val="00076480"/>
    <w:rsid w:val="0007672F"/>
    <w:rsid w:val="00076B54"/>
    <w:rsid w:val="0007728B"/>
    <w:rsid w:val="000774F0"/>
    <w:rsid w:val="00077CEC"/>
    <w:rsid w:val="00080108"/>
    <w:rsid w:val="00080909"/>
    <w:rsid w:val="000812CA"/>
    <w:rsid w:val="000815F8"/>
    <w:rsid w:val="00081AE8"/>
    <w:rsid w:val="00081E63"/>
    <w:rsid w:val="0008258D"/>
    <w:rsid w:val="00082874"/>
    <w:rsid w:val="00082992"/>
    <w:rsid w:val="00082CFD"/>
    <w:rsid w:val="0008301A"/>
    <w:rsid w:val="00083342"/>
    <w:rsid w:val="000837D8"/>
    <w:rsid w:val="00083C18"/>
    <w:rsid w:val="00083E99"/>
    <w:rsid w:val="00084347"/>
    <w:rsid w:val="00084FA8"/>
    <w:rsid w:val="000852E0"/>
    <w:rsid w:val="000854C6"/>
    <w:rsid w:val="000856C5"/>
    <w:rsid w:val="000857D2"/>
    <w:rsid w:val="00085853"/>
    <w:rsid w:val="00085C31"/>
    <w:rsid w:val="00086151"/>
    <w:rsid w:val="00086B44"/>
    <w:rsid w:val="00086F0E"/>
    <w:rsid w:val="000875B9"/>
    <w:rsid w:val="00087B4C"/>
    <w:rsid w:val="00087E27"/>
    <w:rsid w:val="000902D9"/>
    <w:rsid w:val="00090C7E"/>
    <w:rsid w:val="00091002"/>
    <w:rsid w:val="000913A6"/>
    <w:rsid w:val="000913D2"/>
    <w:rsid w:val="00091A8A"/>
    <w:rsid w:val="00092600"/>
    <w:rsid w:val="0009262B"/>
    <w:rsid w:val="000928AC"/>
    <w:rsid w:val="00093310"/>
    <w:rsid w:val="00093B0A"/>
    <w:rsid w:val="00093C42"/>
    <w:rsid w:val="00094371"/>
    <w:rsid w:val="0009439E"/>
    <w:rsid w:val="0009445C"/>
    <w:rsid w:val="00094EE9"/>
    <w:rsid w:val="00095200"/>
    <w:rsid w:val="000954D9"/>
    <w:rsid w:val="00095C53"/>
    <w:rsid w:val="00095FE5"/>
    <w:rsid w:val="000961F9"/>
    <w:rsid w:val="00096284"/>
    <w:rsid w:val="00096A29"/>
    <w:rsid w:val="00096AB2"/>
    <w:rsid w:val="00096B2D"/>
    <w:rsid w:val="000A1196"/>
    <w:rsid w:val="000A1200"/>
    <w:rsid w:val="000A1898"/>
    <w:rsid w:val="000A1AC0"/>
    <w:rsid w:val="000A1AF3"/>
    <w:rsid w:val="000A1BA1"/>
    <w:rsid w:val="000A1BC0"/>
    <w:rsid w:val="000A1BC6"/>
    <w:rsid w:val="000A1C2B"/>
    <w:rsid w:val="000A2A80"/>
    <w:rsid w:val="000A33F0"/>
    <w:rsid w:val="000A3C40"/>
    <w:rsid w:val="000A3EE5"/>
    <w:rsid w:val="000A4136"/>
    <w:rsid w:val="000A4214"/>
    <w:rsid w:val="000A42B1"/>
    <w:rsid w:val="000A5939"/>
    <w:rsid w:val="000A6039"/>
    <w:rsid w:val="000A6075"/>
    <w:rsid w:val="000A61BF"/>
    <w:rsid w:val="000A69BF"/>
    <w:rsid w:val="000A70F3"/>
    <w:rsid w:val="000A7453"/>
    <w:rsid w:val="000A7D08"/>
    <w:rsid w:val="000A7E1F"/>
    <w:rsid w:val="000A7FBB"/>
    <w:rsid w:val="000B0121"/>
    <w:rsid w:val="000B02FD"/>
    <w:rsid w:val="000B0670"/>
    <w:rsid w:val="000B07B7"/>
    <w:rsid w:val="000B0839"/>
    <w:rsid w:val="000B0B4A"/>
    <w:rsid w:val="000B0CA6"/>
    <w:rsid w:val="000B0E75"/>
    <w:rsid w:val="000B27AF"/>
    <w:rsid w:val="000B2B59"/>
    <w:rsid w:val="000B2DCB"/>
    <w:rsid w:val="000B4013"/>
    <w:rsid w:val="000B4648"/>
    <w:rsid w:val="000B4BB8"/>
    <w:rsid w:val="000B5688"/>
    <w:rsid w:val="000B57CA"/>
    <w:rsid w:val="000B5CE0"/>
    <w:rsid w:val="000B6C64"/>
    <w:rsid w:val="000B6CAC"/>
    <w:rsid w:val="000B6CDB"/>
    <w:rsid w:val="000B6DC0"/>
    <w:rsid w:val="000B6E62"/>
    <w:rsid w:val="000B7612"/>
    <w:rsid w:val="000B78AE"/>
    <w:rsid w:val="000B7EDB"/>
    <w:rsid w:val="000B7F9E"/>
    <w:rsid w:val="000C0B10"/>
    <w:rsid w:val="000C0C31"/>
    <w:rsid w:val="000C0F4D"/>
    <w:rsid w:val="000C12D7"/>
    <w:rsid w:val="000C24B5"/>
    <w:rsid w:val="000C34A6"/>
    <w:rsid w:val="000C370C"/>
    <w:rsid w:val="000C399D"/>
    <w:rsid w:val="000C3DD4"/>
    <w:rsid w:val="000C3DF9"/>
    <w:rsid w:val="000C538C"/>
    <w:rsid w:val="000C581A"/>
    <w:rsid w:val="000C6713"/>
    <w:rsid w:val="000C691C"/>
    <w:rsid w:val="000C6DCC"/>
    <w:rsid w:val="000C7040"/>
    <w:rsid w:val="000C765E"/>
    <w:rsid w:val="000C7A84"/>
    <w:rsid w:val="000D0B99"/>
    <w:rsid w:val="000D100C"/>
    <w:rsid w:val="000D1936"/>
    <w:rsid w:val="000D1BFC"/>
    <w:rsid w:val="000D1D5D"/>
    <w:rsid w:val="000D24FD"/>
    <w:rsid w:val="000D2614"/>
    <w:rsid w:val="000D2797"/>
    <w:rsid w:val="000D2804"/>
    <w:rsid w:val="000D281A"/>
    <w:rsid w:val="000D2848"/>
    <w:rsid w:val="000D326A"/>
    <w:rsid w:val="000D35B1"/>
    <w:rsid w:val="000D372D"/>
    <w:rsid w:val="000D3B8C"/>
    <w:rsid w:val="000D4829"/>
    <w:rsid w:val="000D4AA3"/>
    <w:rsid w:val="000D4DF1"/>
    <w:rsid w:val="000D4EA1"/>
    <w:rsid w:val="000D51FB"/>
    <w:rsid w:val="000D6449"/>
    <w:rsid w:val="000D7915"/>
    <w:rsid w:val="000D7E27"/>
    <w:rsid w:val="000E00AA"/>
    <w:rsid w:val="000E019E"/>
    <w:rsid w:val="000E0640"/>
    <w:rsid w:val="000E08CA"/>
    <w:rsid w:val="000E135D"/>
    <w:rsid w:val="000E14AF"/>
    <w:rsid w:val="000E18EC"/>
    <w:rsid w:val="000E1A5F"/>
    <w:rsid w:val="000E2206"/>
    <w:rsid w:val="000E334E"/>
    <w:rsid w:val="000E37B5"/>
    <w:rsid w:val="000E398D"/>
    <w:rsid w:val="000E56A2"/>
    <w:rsid w:val="000E5D5B"/>
    <w:rsid w:val="000E60E0"/>
    <w:rsid w:val="000E71FC"/>
    <w:rsid w:val="000E7C82"/>
    <w:rsid w:val="000E7FC6"/>
    <w:rsid w:val="000F00BA"/>
    <w:rsid w:val="000F0734"/>
    <w:rsid w:val="000F07FE"/>
    <w:rsid w:val="000F16AC"/>
    <w:rsid w:val="000F1FED"/>
    <w:rsid w:val="000F2186"/>
    <w:rsid w:val="000F316A"/>
    <w:rsid w:val="000F3635"/>
    <w:rsid w:val="000F38AC"/>
    <w:rsid w:val="000F3C74"/>
    <w:rsid w:val="000F3E34"/>
    <w:rsid w:val="000F3E59"/>
    <w:rsid w:val="000F3F2F"/>
    <w:rsid w:val="000F42FF"/>
    <w:rsid w:val="000F4BB8"/>
    <w:rsid w:val="000F4FA9"/>
    <w:rsid w:val="000F502E"/>
    <w:rsid w:val="000F53FB"/>
    <w:rsid w:val="000F57A2"/>
    <w:rsid w:val="000F5B3D"/>
    <w:rsid w:val="000F6329"/>
    <w:rsid w:val="000F7127"/>
    <w:rsid w:val="000F7978"/>
    <w:rsid w:val="000F7A3B"/>
    <w:rsid w:val="000F7B54"/>
    <w:rsid w:val="000F7C59"/>
    <w:rsid w:val="000F7DD3"/>
    <w:rsid w:val="0010004D"/>
    <w:rsid w:val="00100139"/>
    <w:rsid w:val="0010034B"/>
    <w:rsid w:val="00100607"/>
    <w:rsid w:val="00100AD8"/>
    <w:rsid w:val="00100F8A"/>
    <w:rsid w:val="00101E25"/>
    <w:rsid w:val="00102124"/>
    <w:rsid w:val="0010274A"/>
    <w:rsid w:val="00102B63"/>
    <w:rsid w:val="001038C0"/>
    <w:rsid w:val="0010452E"/>
    <w:rsid w:val="0010491F"/>
    <w:rsid w:val="00104C28"/>
    <w:rsid w:val="001051D7"/>
    <w:rsid w:val="001053F3"/>
    <w:rsid w:val="001055B6"/>
    <w:rsid w:val="001058BB"/>
    <w:rsid w:val="00105AE2"/>
    <w:rsid w:val="001060C6"/>
    <w:rsid w:val="001065C2"/>
    <w:rsid w:val="00106B80"/>
    <w:rsid w:val="00107F7F"/>
    <w:rsid w:val="0011026D"/>
    <w:rsid w:val="00110300"/>
    <w:rsid w:val="0011032E"/>
    <w:rsid w:val="00111C79"/>
    <w:rsid w:val="00111C8F"/>
    <w:rsid w:val="00111FB3"/>
    <w:rsid w:val="00112258"/>
    <w:rsid w:val="00112C13"/>
    <w:rsid w:val="0011348B"/>
    <w:rsid w:val="001134C9"/>
    <w:rsid w:val="0011364A"/>
    <w:rsid w:val="00113884"/>
    <w:rsid w:val="00114A3F"/>
    <w:rsid w:val="00114AD3"/>
    <w:rsid w:val="001151AD"/>
    <w:rsid w:val="00115646"/>
    <w:rsid w:val="0011589B"/>
    <w:rsid w:val="00115982"/>
    <w:rsid w:val="0011616C"/>
    <w:rsid w:val="00116C53"/>
    <w:rsid w:val="00116FE7"/>
    <w:rsid w:val="001178C4"/>
    <w:rsid w:val="00117CC7"/>
    <w:rsid w:val="00117E18"/>
    <w:rsid w:val="001207FA"/>
    <w:rsid w:val="0012084C"/>
    <w:rsid w:val="00121799"/>
    <w:rsid w:val="00121824"/>
    <w:rsid w:val="00121C6D"/>
    <w:rsid w:val="00121CD1"/>
    <w:rsid w:val="00122149"/>
    <w:rsid w:val="00122231"/>
    <w:rsid w:val="001222FC"/>
    <w:rsid w:val="00122812"/>
    <w:rsid w:val="00122B98"/>
    <w:rsid w:val="00123156"/>
    <w:rsid w:val="00123650"/>
    <w:rsid w:val="00123902"/>
    <w:rsid w:val="00123C5D"/>
    <w:rsid w:val="00124A51"/>
    <w:rsid w:val="0012516C"/>
    <w:rsid w:val="001257B6"/>
    <w:rsid w:val="001257E9"/>
    <w:rsid w:val="001259C0"/>
    <w:rsid w:val="00125C4B"/>
    <w:rsid w:val="00126621"/>
    <w:rsid w:val="00126780"/>
    <w:rsid w:val="001269B1"/>
    <w:rsid w:val="00126A06"/>
    <w:rsid w:val="00126B1D"/>
    <w:rsid w:val="00126D46"/>
    <w:rsid w:val="0012728A"/>
    <w:rsid w:val="00127768"/>
    <w:rsid w:val="00127B1B"/>
    <w:rsid w:val="001301E9"/>
    <w:rsid w:val="00130766"/>
    <w:rsid w:val="00130DFC"/>
    <w:rsid w:val="001315FA"/>
    <w:rsid w:val="00131D82"/>
    <w:rsid w:val="00132871"/>
    <w:rsid w:val="0013293C"/>
    <w:rsid w:val="00132B22"/>
    <w:rsid w:val="00132CBF"/>
    <w:rsid w:val="00132FEA"/>
    <w:rsid w:val="001331B6"/>
    <w:rsid w:val="001331E4"/>
    <w:rsid w:val="00133A2D"/>
    <w:rsid w:val="00133D36"/>
    <w:rsid w:val="0013436A"/>
    <w:rsid w:val="00134BE6"/>
    <w:rsid w:val="001358AD"/>
    <w:rsid w:val="00137019"/>
    <w:rsid w:val="00137645"/>
    <w:rsid w:val="0014015A"/>
    <w:rsid w:val="001404FC"/>
    <w:rsid w:val="001405AF"/>
    <w:rsid w:val="00140E99"/>
    <w:rsid w:val="001417B4"/>
    <w:rsid w:val="00141952"/>
    <w:rsid w:val="00142A15"/>
    <w:rsid w:val="001431CD"/>
    <w:rsid w:val="00143830"/>
    <w:rsid w:val="00143B95"/>
    <w:rsid w:val="00143C48"/>
    <w:rsid w:val="00143E35"/>
    <w:rsid w:val="00143F67"/>
    <w:rsid w:val="00145540"/>
    <w:rsid w:val="0014561F"/>
    <w:rsid w:val="001456B0"/>
    <w:rsid w:val="001458F9"/>
    <w:rsid w:val="00146189"/>
    <w:rsid w:val="001461F4"/>
    <w:rsid w:val="00146E14"/>
    <w:rsid w:val="00147397"/>
    <w:rsid w:val="00147D3B"/>
    <w:rsid w:val="00150063"/>
    <w:rsid w:val="00150723"/>
    <w:rsid w:val="00151418"/>
    <w:rsid w:val="0015146F"/>
    <w:rsid w:val="001514D3"/>
    <w:rsid w:val="00152959"/>
    <w:rsid w:val="00152D39"/>
    <w:rsid w:val="001538C2"/>
    <w:rsid w:val="00154079"/>
    <w:rsid w:val="00154900"/>
    <w:rsid w:val="00154940"/>
    <w:rsid w:val="00154A03"/>
    <w:rsid w:val="00154B29"/>
    <w:rsid w:val="00154F82"/>
    <w:rsid w:val="00155109"/>
    <w:rsid w:val="00155152"/>
    <w:rsid w:val="00156786"/>
    <w:rsid w:val="00156F8F"/>
    <w:rsid w:val="00157130"/>
    <w:rsid w:val="001576B1"/>
    <w:rsid w:val="00157B9F"/>
    <w:rsid w:val="0016016D"/>
    <w:rsid w:val="001602FC"/>
    <w:rsid w:val="0016047B"/>
    <w:rsid w:val="001606F0"/>
    <w:rsid w:val="00160A4C"/>
    <w:rsid w:val="00161C58"/>
    <w:rsid w:val="00162913"/>
    <w:rsid w:val="00162F94"/>
    <w:rsid w:val="0016332B"/>
    <w:rsid w:val="00163BAF"/>
    <w:rsid w:val="00163EFF"/>
    <w:rsid w:val="00163F66"/>
    <w:rsid w:val="001646C9"/>
    <w:rsid w:val="00164700"/>
    <w:rsid w:val="00165C7D"/>
    <w:rsid w:val="001661FB"/>
    <w:rsid w:val="00166CB6"/>
    <w:rsid w:val="00166E4E"/>
    <w:rsid w:val="001671A0"/>
    <w:rsid w:val="0016767F"/>
    <w:rsid w:val="001701E0"/>
    <w:rsid w:val="0017065E"/>
    <w:rsid w:val="00171822"/>
    <w:rsid w:val="001734F7"/>
    <w:rsid w:val="00173565"/>
    <w:rsid w:val="00173B07"/>
    <w:rsid w:val="0017438A"/>
    <w:rsid w:val="00174892"/>
    <w:rsid w:val="001749F6"/>
    <w:rsid w:val="00174CB9"/>
    <w:rsid w:val="00174FE1"/>
    <w:rsid w:val="0017519E"/>
    <w:rsid w:val="001751FA"/>
    <w:rsid w:val="00175DBF"/>
    <w:rsid w:val="00175E86"/>
    <w:rsid w:val="0017638B"/>
    <w:rsid w:val="00176612"/>
    <w:rsid w:val="00176D7B"/>
    <w:rsid w:val="001775F4"/>
    <w:rsid w:val="0018065D"/>
    <w:rsid w:val="00180ABC"/>
    <w:rsid w:val="00180C2D"/>
    <w:rsid w:val="0018149F"/>
    <w:rsid w:val="001819A6"/>
    <w:rsid w:val="00181A2A"/>
    <w:rsid w:val="00181D9C"/>
    <w:rsid w:val="0018243C"/>
    <w:rsid w:val="001827E0"/>
    <w:rsid w:val="00182EC7"/>
    <w:rsid w:val="00183EFF"/>
    <w:rsid w:val="0018433A"/>
    <w:rsid w:val="001848FB"/>
    <w:rsid w:val="00184B0E"/>
    <w:rsid w:val="00184E6B"/>
    <w:rsid w:val="0018517E"/>
    <w:rsid w:val="001851D5"/>
    <w:rsid w:val="00186F2C"/>
    <w:rsid w:val="0018752F"/>
    <w:rsid w:val="00187B03"/>
    <w:rsid w:val="00187D09"/>
    <w:rsid w:val="00191AC2"/>
    <w:rsid w:val="00192046"/>
    <w:rsid w:val="0019231E"/>
    <w:rsid w:val="001930AB"/>
    <w:rsid w:val="00193838"/>
    <w:rsid w:val="00193F9A"/>
    <w:rsid w:val="00193FD4"/>
    <w:rsid w:val="00194AD8"/>
    <w:rsid w:val="00195222"/>
    <w:rsid w:val="0019581B"/>
    <w:rsid w:val="001962B8"/>
    <w:rsid w:val="001966E1"/>
    <w:rsid w:val="00196D9D"/>
    <w:rsid w:val="00197475"/>
    <w:rsid w:val="00197561"/>
    <w:rsid w:val="001975D8"/>
    <w:rsid w:val="00197F8E"/>
    <w:rsid w:val="001A0722"/>
    <w:rsid w:val="001A0A02"/>
    <w:rsid w:val="001A178E"/>
    <w:rsid w:val="001A1A70"/>
    <w:rsid w:val="001A2892"/>
    <w:rsid w:val="001A2A93"/>
    <w:rsid w:val="001A3484"/>
    <w:rsid w:val="001A3AD6"/>
    <w:rsid w:val="001A438F"/>
    <w:rsid w:val="001A43FA"/>
    <w:rsid w:val="001A47C5"/>
    <w:rsid w:val="001A5381"/>
    <w:rsid w:val="001A59FB"/>
    <w:rsid w:val="001A5BD2"/>
    <w:rsid w:val="001A5E9E"/>
    <w:rsid w:val="001A6354"/>
    <w:rsid w:val="001A6366"/>
    <w:rsid w:val="001A6715"/>
    <w:rsid w:val="001A72E8"/>
    <w:rsid w:val="001A7AE8"/>
    <w:rsid w:val="001B204E"/>
    <w:rsid w:val="001B2372"/>
    <w:rsid w:val="001B2BA1"/>
    <w:rsid w:val="001B2F4D"/>
    <w:rsid w:val="001B30FE"/>
    <w:rsid w:val="001B3443"/>
    <w:rsid w:val="001B4B16"/>
    <w:rsid w:val="001B4D20"/>
    <w:rsid w:val="001B4F8A"/>
    <w:rsid w:val="001B53CB"/>
    <w:rsid w:val="001B557F"/>
    <w:rsid w:val="001B6954"/>
    <w:rsid w:val="001B69A9"/>
    <w:rsid w:val="001B73D2"/>
    <w:rsid w:val="001B7DAE"/>
    <w:rsid w:val="001C170C"/>
    <w:rsid w:val="001C25B0"/>
    <w:rsid w:val="001C293C"/>
    <w:rsid w:val="001C2A9B"/>
    <w:rsid w:val="001C2E01"/>
    <w:rsid w:val="001C358B"/>
    <w:rsid w:val="001C3A13"/>
    <w:rsid w:val="001C40BE"/>
    <w:rsid w:val="001C4297"/>
    <w:rsid w:val="001C4299"/>
    <w:rsid w:val="001C459C"/>
    <w:rsid w:val="001C4874"/>
    <w:rsid w:val="001C4AED"/>
    <w:rsid w:val="001C4D4E"/>
    <w:rsid w:val="001C4F00"/>
    <w:rsid w:val="001C5660"/>
    <w:rsid w:val="001C5F94"/>
    <w:rsid w:val="001C6715"/>
    <w:rsid w:val="001C6E66"/>
    <w:rsid w:val="001C736B"/>
    <w:rsid w:val="001C7CE6"/>
    <w:rsid w:val="001D051B"/>
    <w:rsid w:val="001D1100"/>
    <w:rsid w:val="001D1391"/>
    <w:rsid w:val="001D19CD"/>
    <w:rsid w:val="001D1B1F"/>
    <w:rsid w:val="001D25D7"/>
    <w:rsid w:val="001D3BB5"/>
    <w:rsid w:val="001D49FF"/>
    <w:rsid w:val="001D50B2"/>
    <w:rsid w:val="001D53FE"/>
    <w:rsid w:val="001D579A"/>
    <w:rsid w:val="001D5A99"/>
    <w:rsid w:val="001D5C67"/>
    <w:rsid w:val="001D6449"/>
    <w:rsid w:val="001D650A"/>
    <w:rsid w:val="001D70C0"/>
    <w:rsid w:val="001D73E3"/>
    <w:rsid w:val="001D73EA"/>
    <w:rsid w:val="001D7645"/>
    <w:rsid w:val="001D7B97"/>
    <w:rsid w:val="001D7E68"/>
    <w:rsid w:val="001D7FB7"/>
    <w:rsid w:val="001E01A1"/>
    <w:rsid w:val="001E0205"/>
    <w:rsid w:val="001E0542"/>
    <w:rsid w:val="001E068D"/>
    <w:rsid w:val="001E15B0"/>
    <w:rsid w:val="001E1E86"/>
    <w:rsid w:val="001E2167"/>
    <w:rsid w:val="001E238E"/>
    <w:rsid w:val="001E2483"/>
    <w:rsid w:val="001E2522"/>
    <w:rsid w:val="001E2B1E"/>
    <w:rsid w:val="001E2CD7"/>
    <w:rsid w:val="001E2CFF"/>
    <w:rsid w:val="001E2F24"/>
    <w:rsid w:val="001E30D4"/>
    <w:rsid w:val="001E335E"/>
    <w:rsid w:val="001E34DF"/>
    <w:rsid w:val="001E39E5"/>
    <w:rsid w:val="001E3A15"/>
    <w:rsid w:val="001E3B0F"/>
    <w:rsid w:val="001E3F74"/>
    <w:rsid w:val="001E42D4"/>
    <w:rsid w:val="001E48FF"/>
    <w:rsid w:val="001E4E0E"/>
    <w:rsid w:val="001E4FD8"/>
    <w:rsid w:val="001E52EB"/>
    <w:rsid w:val="001E61D2"/>
    <w:rsid w:val="001E6F29"/>
    <w:rsid w:val="001E740C"/>
    <w:rsid w:val="001E7621"/>
    <w:rsid w:val="001E7C39"/>
    <w:rsid w:val="001F0E93"/>
    <w:rsid w:val="001F1235"/>
    <w:rsid w:val="001F1279"/>
    <w:rsid w:val="001F1549"/>
    <w:rsid w:val="001F1CB3"/>
    <w:rsid w:val="001F1D47"/>
    <w:rsid w:val="001F2E56"/>
    <w:rsid w:val="001F30D3"/>
    <w:rsid w:val="001F38B5"/>
    <w:rsid w:val="001F4081"/>
    <w:rsid w:val="001F4734"/>
    <w:rsid w:val="001F4940"/>
    <w:rsid w:val="001F4CBC"/>
    <w:rsid w:val="001F5512"/>
    <w:rsid w:val="001F6D13"/>
    <w:rsid w:val="001F7361"/>
    <w:rsid w:val="001F78B2"/>
    <w:rsid w:val="00200739"/>
    <w:rsid w:val="00200B79"/>
    <w:rsid w:val="00200C01"/>
    <w:rsid w:val="002010CB"/>
    <w:rsid w:val="002011B0"/>
    <w:rsid w:val="0020179C"/>
    <w:rsid w:val="002017D1"/>
    <w:rsid w:val="00201AA8"/>
    <w:rsid w:val="002029BD"/>
    <w:rsid w:val="00203181"/>
    <w:rsid w:val="002035DE"/>
    <w:rsid w:val="00203783"/>
    <w:rsid w:val="0020385F"/>
    <w:rsid w:val="00203BD6"/>
    <w:rsid w:val="00203CA9"/>
    <w:rsid w:val="00203EB7"/>
    <w:rsid w:val="0020442C"/>
    <w:rsid w:val="0020460C"/>
    <w:rsid w:val="00205F93"/>
    <w:rsid w:val="0020676F"/>
    <w:rsid w:val="0020683E"/>
    <w:rsid w:val="002068A0"/>
    <w:rsid w:val="00206E84"/>
    <w:rsid w:val="00207021"/>
    <w:rsid w:val="00207205"/>
    <w:rsid w:val="002072EF"/>
    <w:rsid w:val="0020732F"/>
    <w:rsid w:val="002076F6"/>
    <w:rsid w:val="00207D00"/>
    <w:rsid w:val="00207EBA"/>
    <w:rsid w:val="002105C1"/>
    <w:rsid w:val="00211DD8"/>
    <w:rsid w:val="00212F79"/>
    <w:rsid w:val="00212F9C"/>
    <w:rsid w:val="00213959"/>
    <w:rsid w:val="00213B66"/>
    <w:rsid w:val="00213D38"/>
    <w:rsid w:val="00213EF5"/>
    <w:rsid w:val="00214C3A"/>
    <w:rsid w:val="00215057"/>
    <w:rsid w:val="00215078"/>
    <w:rsid w:val="00215F15"/>
    <w:rsid w:val="002164EF"/>
    <w:rsid w:val="002167B8"/>
    <w:rsid w:val="002168F5"/>
    <w:rsid w:val="00216BF5"/>
    <w:rsid w:val="00216C49"/>
    <w:rsid w:val="00217A5F"/>
    <w:rsid w:val="00217ED2"/>
    <w:rsid w:val="002202DC"/>
    <w:rsid w:val="002214B9"/>
    <w:rsid w:val="002218BA"/>
    <w:rsid w:val="00222CCD"/>
    <w:rsid w:val="00222E97"/>
    <w:rsid w:val="00222F23"/>
    <w:rsid w:val="002233DD"/>
    <w:rsid w:val="00223B49"/>
    <w:rsid w:val="00223D5A"/>
    <w:rsid w:val="00223ED6"/>
    <w:rsid w:val="0022484A"/>
    <w:rsid w:val="00224DD4"/>
    <w:rsid w:val="002251A8"/>
    <w:rsid w:val="00225820"/>
    <w:rsid w:val="002264B1"/>
    <w:rsid w:val="00226E2E"/>
    <w:rsid w:val="00226EFA"/>
    <w:rsid w:val="00227674"/>
    <w:rsid w:val="002278A0"/>
    <w:rsid w:val="002309CC"/>
    <w:rsid w:val="00230F0D"/>
    <w:rsid w:val="00230F80"/>
    <w:rsid w:val="00231007"/>
    <w:rsid w:val="002316A2"/>
    <w:rsid w:val="0023209B"/>
    <w:rsid w:val="0023209F"/>
    <w:rsid w:val="00232760"/>
    <w:rsid w:val="00233B0C"/>
    <w:rsid w:val="00233C01"/>
    <w:rsid w:val="00233CDA"/>
    <w:rsid w:val="00233E78"/>
    <w:rsid w:val="0023413C"/>
    <w:rsid w:val="00234348"/>
    <w:rsid w:val="00234523"/>
    <w:rsid w:val="002346F0"/>
    <w:rsid w:val="00234B8D"/>
    <w:rsid w:val="00235A10"/>
    <w:rsid w:val="00235C36"/>
    <w:rsid w:val="00235CFF"/>
    <w:rsid w:val="00236121"/>
    <w:rsid w:val="0023629B"/>
    <w:rsid w:val="0023629D"/>
    <w:rsid w:val="00236806"/>
    <w:rsid w:val="002369A3"/>
    <w:rsid w:val="00237255"/>
    <w:rsid w:val="0023734D"/>
    <w:rsid w:val="002374D6"/>
    <w:rsid w:val="00240C55"/>
    <w:rsid w:val="00241BFE"/>
    <w:rsid w:val="002424AF"/>
    <w:rsid w:val="002439DC"/>
    <w:rsid w:val="00243C8B"/>
    <w:rsid w:val="002441D2"/>
    <w:rsid w:val="00244555"/>
    <w:rsid w:val="00244DC8"/>
    <w:rsid w:val="0024532A"/>
    <w:rsid w:val="002458BA"/>
    <w:rsid w:val="002459FF"/>
    <w:rsid w:val="00245CE9"/>
    <w:rsid w:val="00245EF5"/>
    <w:rsid w:val="0024627D"/>
    <w:rsid w:val="0024636C"/>
    <w:rsid w:val="00246843"/>
    <w:rsid w:val="00246AB8"/>
    <w:rsid w:val="00246AE0"/>
    <w:rsid w:val="0024790B"/>
    <w:rsid w:val="00247925"/>
    <w:rsid w:val="00247955"/>
    <w:rsid w:val="00247C59"/>
    <w:rsid w:val="00247CDC"/>
    <w:rsid w:val="002504FD"/>
    <w:rsid w:val="002506BB"/>
    <w:rsid w:val="00250C34"/>
    <w:rsid w:val="00251006"/>
    <w:rsid w:val="00251934"/>
    <w:rsid w:val="0025197B"/>
    <w:rsid w:val="002524D5"/>
    <w:rsid w:val="00252966"/>
    <w:rsid w:val="00252F9D"/>
    <w:rsid w:val="002537FC"/>
    <w:rsid w:val="00253945"/>
    <w:rsid w:val="00253A43"/>
    <w:rsid w:val="00253A96"/>
    <w:rsid w:val="00253B1D"/>
    <w:rsid w:val="00254BC7"/>
    <w:rsid w:val="00254DCF"/>
    <w:rsid w:val="0025534B"/>
    <w:rsid w:val="002554A5"/>
    <w:rsid w:val="00255510"/>
    <w:rsid w:val="00255BB7"/>
    <w:rsid w:val="0025659D"/>
    <w:rsid w:val="00256D3F"/>
    <w:rsid w:val="00257091"/>
    <w:rsid w:val="0025751A"/>
    <w:rsid w:val="00257541"/>
    <w:rsid w:val="00257A39"/>
    <w:rsid w:val="00257AC4"/>
    <w:rsid w:val="00260174"/>
    <w:rsid w:val="00260299"/>
    <w:rsid w:val="00261BF4"/>
    <w:rsid w:val="00261D97"/>
    <w:rsid w:val="00261EEF"/>
    <w:rsid w:val="0026212A"/>
    <w:rsid w:val="00262A1A"/>
    <w:rsid w:val="00262A87"/>
    <w:rsid w:val="00262D4A"/>
    <w:rsid w:val="00262EE6"/>
    <w:rsid w:val="00263371"/>
    <w:rsid w:val="00263924"/>
    <w:rsid w:val="00263C10"/>
    <w:rsid w:val="00264A77"/>
    <w:rsid w:val="00264D26"/>
    <w:rsid w:val="00265895"/>
    <w:rsid w:val="002658F8"/>
    <w:rsid w:val="00265CBB"/>
    <w:rsid w:val="00266170"/>
    <w:rsid w:val="002665A9"/>
    <w:rsid w:val="00266DD4"/>
    <w:rsid w:val="00267642"/>
    <w:rsid w:val="00267AEA"/>
    <w:rsid w:val="00267B26"/>
    <w:rsid w:val="002700E6"/>
    <w:rsid w:val="0027037A"/>
    <w:rsid w:val="0027043D"/>
    <w:rsid w:val="002713DF"/>
    <w:rsid w:val="00271A2E"/>
    <w:rsid w:val="002721CE"/>
    <w:rsid w:val="0027294B"/>
    <w:rsid w:val="00273B4C"/>
    <w:rsid w:val="00273EB4"/>
    <w:rsid w:val="00274682"/>
    <w:rsid w:val="00274930"/>
    <w:rsid w:val="00274B4B"/>
    <w:rsid w:val="00274F6C"/>
    <w:rsid w:val="00275127"/>
    <w:rsid w:val="00275C5A"/>
    <w:rsid w:val="002774B1"/>
    <w:rsid w:val="00280B0D"/>
    <w:rsid w:val="00281014"/>
    <w:rsid w:val="00281367"/>
    <w:rsid w:val="00282132"/>
    <w:rsid w:val="00282B34"/>
    <w:rsid w:val="00282F51"/>
    <w:rsid w:val="002830DD"/>
    <w:rsid w:val="00283C69"/>
    <w:rsid w:val="00284773"/>
    <w:rsid w:val="00284D59"/>
    <w:rsid w:val="002852D5"/>
    <w:rsid w:val="0028533D"/>
    <w:rsid w:val="0028571A"/>
    <w:rsid w:val="00285722"/>
    <w:rsid w:val="00285B5C"/>
    <w:rsid w:val="002861CF"/>
    <w:rsid w:val="0028665D"/>
    <w:rsid w:val="00286819"/>
    <w:rsid w:val="002869FF"/>
    <w:rsid w:val="00286FE2"/>
    <w:rsid w:val="00287011"/>
    <w:rsid w:val="0028733B"/>
    <w:rsid w:val="00287A3F"/>
    <w:rsid w:val="00290336"/>
    <w:rsid w:val="0029077E"/>
    <w:rsid w:val="002916E2"/>
    <w:rsid w:val="00291A5F"/>
    <w:rsid w:val="00291F8D"/>
    <w:rsid w:val="00292969"/>
    <w:rsid w:val="00292E17"/>
    <w:rsid w:val="00292EF0"/>
    <w:rsid w:val="00292F4F"/>
    <w:rsid w:val="00293369"/>
    <w:rsid w:val="0029382B"/>
    <w:rsid w:val="00293FEB"/>
    <w:rsid w:val="002955D0"/>
    <w:rsid w:val="002958CB"/>
    <w:rsid w:val="00297406"/>
    <w:rsid w:val="00297825"/>
    <w:rsid w:val="002A03C6"/>
    <w:rsid w:val="002A0A82"/>
    <w:rsid w:val="002A14AB"/>
    <w:rsid w:val="002A14BD"/>
    <w:rsid w:val="002A1559"/>
    <w:rsid w:val="002A1D34"/>
    <w:rsid w:val="002A1FC7"/>
    <w:rsid w:val="002A2279"/>
    <w:rsid w:val="002A2ADE"/>
    <w:rsid w:val="002A2F50"/>
    <w:rsid w:val="002A37B0"/>
    <w:rsid w:val="002A3F54"/>
    <w:rsid w:val="002A4FF1"/>
    <w:rsid w:val="002A532D"/>
    <w:rsid w:val="002A547C"/>
    <w:rsid w:val="002A54C5"/>
    <w:rsid w:val="002A57F8"/>
    <w:rsid w:val="002A5A8A"/>
    <w:rsid w:val="002A67CD"/>
    <w:rsid w:val="002A68A7"/>
    <w:rsid w:val="002B05A1"/>
    <w:rsid w:val="002B09A4"/>
    <w:rsid w:val="002B1183"/>
    <w:rsid w:val="002B17EA"/>
    <w:rsid w:val="002B1A95"/>
    <w:rsid w:val="002B1C1F"/>
    <w:rsid w:val="002B1EEB"/>
    <w:rsid w:val="002B29A7"/>
    <w:rsid w:val="002B2DB7"/>
    <w:rsid w:val="002B3547"/>
    <w:rsid w:val="002B3B2E"/>
    <w:rsid w:val="002B432F"/>
    <w:rsid w:val="002B4568"/>
    <w:rsid w:val="002B62B3"/>
    <w:rsid w:val="002B671B"/>
    <w:rsid w:val="002B6754"/>
    <w:rsid w:val="002B69F7"/>
    <w:rsid w:val="002B6A1F"/>
    <w:rsid w:val="002B6CCE"/>
    <w:rsid w:val="002B6E31"/>
    <w:rsid w:val="002B7172"/>
    <w:rsid w:val="002B7C25"/>
    <w:rsid w:val="002C0742"/>
    <w:rsid w:val="002C104B"/>
    <w:rsid w:val="002C110B"/>
    <w:rsid w:val="002C12A3"/>
    <w:rsid w:val="002C138C"/>
    <w:rsid w:val="002C17A7"/>
    <w:rsid w:val="002C1B5B"/>
    <w:rsid w:val="002C24BD"/>
    <w:rsid w:val="002C2510"/>
    <w:rsid w:val="002C2775"/>
    <w:rsid w:val="002C27C1"/>
    <w:rsid w:val="002C34BC"/>
    <w:rsid w:val="002C34FF"/>
    <w:rsid w:val="002C3852"/>
    <w:rsid w:val="002C3F7A"/>
    <w:rsid w:val="002C490F"/>
    <w:rsid w:val="002C5099"/>
    <w:rsid w:val="002C542C"/>
    <w:rsid w:val="002C5879"/>
    <w:rsid w:val="002C5889"/>
    <w:rsid w:val="002C5A44"/>
    <w:rsid w:val="002C6052"/>
    <w:rsid w:val="002C62BB"/>
    <w:rsid w:val="002C664D"/>
    <w:rsid w:val="002C6BCD"/>
    <w:rsid w:val="002C717E"/>
    <w:rsid w:val="002C71CE"/>
    <w:rsid w:val="002C7939"/>
    <w:rsid w:val="002C7C11"/>
    <w:rsid w:val="002D05B9"/>
    <w:rsid w:val="002D08F8"/>
    <w:rsid w:val="002D0DBC"/>
    <w:rsid w:val="002D0FAD"/>
    <w:rsid w:val="002D196A"/>
    <w:rsid w:val="002D1E05"/>
    <w:rsid w:val="002D2C17"/>
    <w:rsid w:val="002D3A1B"/>
    <w:rsid w:val="002D3DF7"/>
    <w:rsid w:val="002D4177"/>
    <w:rsid w:val="002D419E"/>
    <w:rsid w:val="002D457B"/>
    <w:rsid w:val="002D577C"/>
    <w:rsid w:val="002D6965"/>
    <w:rsid w:val="002D6E97"/>
    <w:rsid w:val="002D6FE9"/>
    <w:rsid w:val="002D7293"/>
    <w:rsid w:val="002D74AE"/>
    <w:rsid w:val="002D7744"/>
    <w:rsid w:val="002D7AB5"/>
    <w:rsid w:val="002D7C76"/>
    <w:rsid w:val="002E0CD3"/>
    <w:rsid w:val="002E1071"/>
    <w:rsid w:val="002E11EE"/>
    <w:rsid w:val="002E15B9"/>
    <w:rsid w:val="002E1688"/>
    <w:rsid w:val="002E2158"/>
    <w:rsid w:val="002E2CF5"/>
    <w:rsid w:val="002E352D"/>
    <w:rsid w:val="002E4414"/>
    <w:rsid w:val="002E4E92"/>
    <w:rsid w:val="002E4F02"/>
    <w:rsid w:val="002E52AB"/>
    <w:rsid w:val="002E572C"/>
    <w:rsid w:val="002E59A9"/>
    <w:rsid w:val="002E6D65"/>
    <w:rsid w:val="002E6E91"/>
    <w:rsid w:val="002E7712"/>
    <w:rsid w:val="002E7722"/>
    <w:rsid w:val="002E7A0F"/>
    <w:rsid w:val="002E7A54"/>
    <w:rsid w:val="002E7CCA"/>
    <w:rsid w:val="002F022A"/>
    <w:rsid w:val="002F0454"/>
    <w:rsid w:val="002F07BA"/>
    <w:rsid w:val="002F0DA9"/>
    <w:rsid w:val="002F1014"/>
    <w:rsid w:val="002F1037"/>
    <w:rsid w:val="002F19B3"/>
    <w:rsid w:val="002F19DF"/>
    <w:rsid w:val="002F22EC"/>
    <w:rsid w:val="002F23BE"/>
    <w:rsid w:val="002F3A6E"/>
    <w:rsid w:val="002F4766"/>
    <w:rsid w:val="002F5D3E"/>
    <w:rsid w:val="002F643C"/>
    <w:rsid w:val="002F649B"/>
    <w:rsid w:val="002F6715"/>
    <w:rsid w:val="002F6E14"/>
    <w:rsid w:val="002F6F2D"/>
    <w:rsid w:val="002F6F74"/>
    <w:rsid w:val="002F6FA3"/>
    <w:rsid w:val="002F71C0"/>
    <w:rsid w:val="002F74F1"/>
    <w:rsid w:val="003000B4"/>
    <w:rsid w:val="00300201"/>
    <w:rsid w:val="003004BC"/>
    <w:rsid w:val="00300C82"/>
    <w:rsid w:val="00301017"/>
    <w:rsid w:val="0030155F"/>
    <w:rsid w:val="00301C3E"/>
    <w:rsid w:val="003028AA"/>
    <w:rsid w:val="003034D5"/>
    <w:rsid w:val="00304172"/>
    <w:rsid w:val="003049A9"/>
    <w:rsid w:val="003052EC"/>
    <w:rsid w:val="0030587B"/>
    <w:rsid w:val="00306D98"/>
    <w:rsid w:val="00307133"/>
    <w:rsid w:val="0030786C"/>
    <w:rsid w:val="0031031A"/>
    <w:rsid w:val="003103CD"/>
    <w:rsid w:val="00310919"/>
    <w:rsid w:val="00310981"/>
    <w:rsid w:val="00310D0E"/>
    <w:rsid w:val="00310EE6"/>
    <w:rsid w:val="00310F6C"/>
    <w:rsid w:val="003114E8"/>
    <w:rsid w:val="003115DF"/>
    <w:rsid w:val="0031236F"/>
    <w:rsid w:val="003124D9"/>
    <w:rsid w:val="00312594"/>
    <w:rsid w:val="003129DD"/>
    <w:rsid w:val="0031328D"/>
    <w:rsid w:val="003133D4"/>
    <w:rsid w:val="0031375C"/>
    <w:rsid w:val="00313846"/>
    <w:rsid w:val="0031398A"/>
    <w:rsid w:val="00313F7A"/>
    <w:rsid w:val="0031432E"/>
    <w:rsid w:val="00314818"/>
    <w:rsid w:val="003149E5"/>
    <w:rsid w:val="00314F6E"/>
    <w:rsid w:val="00315498"/>
    <w:rsid w:val="00316474"/>
    <w:rsid w:val="00316EE1"/>
    <w:rsid w:val="003170EF"/>
    <w:rsid w:val="003202F4"/>
    <w:rsid w:val="00320E07"/>
    <w:rsid w:val="003215FF"/>
    <w:rsid w:val="00321E2F"/>
    <w:rsid w:val="00322107"/>
    <w:rsid w:val="00322355"/>
    <w:rsid w:val="003224F5"/>
    <w:rsid w:val="00322832"/>
    <w:rsid w:val="00322846"/>
    <w:rsid w:val="00323564"/>
    <w:rsid w:val="00324A5F"/>
    <w:rsid w:val="00324E54"/>
    <w:rsid w:val="00326DA7"/>
    <w:rsid w:val="003270E4"/>
    <w:rsid w:val="0033014C"/>
    <w:rsid w:val="00330485"/>
    <w:rsid w:val="0033097D"/>
    <w:rsid w:val="00330DAA"/>
    <w:rsid w:val="00330F5C"/>
    <w:rsid w:val="00331087"/>
    <w:rsid w:val="003311BA"/>
    <w:rsid w:val="00331756"/>
    <w:rsid w:val="00332641"/>
    <w:rsid w:val="00333459"/>
    <w:rsid w:val="00333D5B"/>
    <w:rsid w:val="00333EE1"/>
    <w:rsid w:val="00334656"/>
    <w:rsid w:val="00334956"/>
    <w:rsid w:val="003349D3"/>
    <w:rsid w:val="003354A4"/>
    <w:rsid w:val="003359C0"/>
    <w:rsid w:val="00336498"/>
    <w:rsid w:val="003366C9"/>
    <w:rsid w:val="003369DA"/>
    <w:rsid w:val="00336D19"/>
    <w:rsid w:val="003371B0"/>
    <w:rsid w:val="0033721F"/>
    <w:rsid w:val="00340DF1"/>
    <w:rsid w:val="00340ED2"/>
    <w:rsid w:val="003416F0"/>
    <w:rsid w:val="0034195F"/>
    <w:rsid w:val="00341C7B"/>
    <w:rsid w:val="00341E7D"/>
    <w:rsid w:val="00342F0B"/>
    <w:rsid w:val="003437CC"/>
    <w:rsid w:val="00343BB8"/>
    <w:rsid w:val="00344224"/>
    <w:rsid w:val="00344C43"/>
    <w:rsid w:val="003456AF"/>
    <w:rsid w:val="00346284"/>
    <w:rsid w:val="003468C4"/>
    <w:rsid w:val="00346B68"/>
    <w:rsid w:val="00346CD4"/>
    <w:rsid w:val="00346E7E"/>
    <w:rsid w:val="00347296"/>
    <w:rsid w:val="003477D7"/>
    <w:rsid w:val="00350B4C"/>
    <w:rsid w:val="003515B4"/>
    <w:rsid w:val="003517F9"/>
    <w:rsid w:val="00351BA9"/>
    <w:rsid w:val="00353170"/>
    <w:rsid w:val="00353521"/>
    <w:rsid w:val="00353BB0"/>
    <w:rsid w:val="00353DEC"/>
    <w:rsid w:val="003541F4"/>
    <w:rsid w:val="0035463F"/>
    <w:rsid w:val="00354704"/>
    <w:rsid w:val="00354F64"/>
    <w:rsid w:val="00355D42"/>
    <w:rsid w:val="0035612D"/>
    <w:rsid w:val="0035620E"/>
    <w:rsid w:val="00356406"/>
    <w:rsid w:val="00356B76"/>
    <w:rsid w:val="00356C55"/>
    <w:rsid w:val="00356FE4"/>
    <w:rsid w:val="00360345"/>
    <w:rsid w:val="00361493"/>
    <w:rsid w:val="00361A05"/>
    <w:rsid w:val="003624C4"/>
    <w:rsid w:val="0036355F"/>
    <w:rsid w:val="00363657"/>
    <w:rsid w:val="003638B6"/>
    <w:rsid w:val="00363ACD"/>
    <w:rsid w:val="00363B00"/>
    <w:rsid w:val="00364420"/>
    <w:rsid w:val="003644F1"/>
    <w:rsid w:val="0036496F"/>
    <w:rsid w:val="003654AC"/>
    <w:rsid w:val="00365DE0"/>
    <w:rsid w:val="00366055"/>
    <w:rsid w:val="0036616E"/>
    <w:rsid w:val="003664F6"/>
    <w:rsid w:val="003700E9"/>
    <w:rsid w:val="00370914"/>
    <w:rsid w:val="00370C0D"/>
    <w:rsid w:val="00370F6C"/>
    <w:rsid w:val="0037107F"/>
    <w:rsid w:val="003710CF"/>
    <w:rsid w:val="00371264"/>
    <w:rsid w:val="0037178A"/>
    <w:rsid w:val="003720D6"/>
    <w:rsid w:val="003734C3"/>
    <w:rsid w:val="0037358A"/>
    <w:rsid w:val="00373E5A"/>
    <w:rsid w:val="003744B1"/>
    <w:rsid w:val="00374C3C"/>
    <w:rsid w:val="00374CA6"/>
    <w:rsid w:val="003750F6"/>
    <w:rsid w:val="003757BA"/>
    <w:rsid w:val="00375ADF"/>
    <w:rsid w:val="00375BE5"/>
    <w:rsid w:val="003760FC"/>
    <w:rsid w:val="00376254"/>
    <w:rsid w:val="00376B83"/>
    <w:rsid w:val="00376D90"/>
    <w:rsid w:val="00377B25"/>
    <w:rsid w:val="00381F2D"/>
    <w:rsid w:val="00382346"/>
    <w:rsid w:val="00382676"/>
    <w:rsid w:val="0038317A"/>
    <w:rsid w:val="0038365C"/>
    <w:rsid w:val="0038369B"/>
    <w:rsid w:val="00383782"/>
    <w:rsid w:val="00383B0D"/>
    <w:rsid w:val="00383B78"/>
    <w:rsid w:val="00384387"/>
    <w:rsid w:val="003846F1"/>
    <w:rsid w:val="00384DE5"/>
    <w:rsid w:val="00385062"/>
    <w:rsid w:val="0038519C"/>
    <w:rsid w:val="00385A9D"/>
    <w:rsid w:val="00385FFF"/>
    <w:rsid w:val="00386A72"/>
    <w:rsid w:val="00387846"/>
    <w:rsid w:val="003879D1"/>
    <w:rsid w:val="0039020F"/>
    <w:rsid w:val="003902B1"/>
    <w:rsid w:val="0039070D"/>
    <w:rsid w:val="0039086F"/>
    <w:rsid w:val="003909F5"/>
    <w:rsid w:val="0039179C"/>
    <w:rsid w:val="0039273B"/>
    <w:rsid w:val="00392757"/>
    <w:rsid w:val="00392A4A"/>
    <w:rsid w:val="00392DD4"/>
    <w:rsid w:val="0039353A"/>
    <w:rsid w:val="003943E5"/>
    <w:rsid w:val="00394579"/>
    <w:rsid w:val="003949F8"/>
    <w:rsid w:val="00394F1C"/>
    <w:rsid w:val="003950AE"/>
    <w:rsid w:val="00395276"/>
    <w:rsid w:val="0039641D"/>
    <w:rsid w:val="00396896"/>
    <w:rsid w:val="00396FD0"/>
    <w:rsid w:val="003974F9"/>
    <w:rsid w:val="00397FAF"/>
    <w:rsid w:val="003A11E0"/>
    <w:rsid w:val="003A1986"/>
    <w:rsid w:val="003A1A7A"/>
    <w:rsid w:val="003A1B4E"/>
    <w:rsid w:val="003A1BF1"/>
    <w:rsid w:val="003A2392"/>
    <w:rsid w:val="003A23C6"/>
    <w:rsid w:val="003A2831"/>
    <w:rsid w:val="003A28D3"/>
    <w:rsid w:val="003A292A"/>
    <w:rsid w:val="003A2A54"/>
    <w:rsid w:val="003A3C1F"/>
    <w:rsid w:val="003A3CB6"/>
    <w:rsid w:val="003A3ED1"/>
    <w:rsid w:val="003A44DB"/>
    <w:rsid w:val="003A4696"/>
    <w:rsid w:val="003A4ACC"/>
    <w:rsid w:val="003A6EA7"/>
    <w:rsid w:val="003A7CC8"/>
    <w:rsid w:val="003B0693"/>
    <w:rsid w:val="003B18C2"/>
    <w:rsid w:val="003B2001"/>
    <w:rsid w:val="003B36A6"/>
    <w:rsid w:val="003B373A"/>
    <w:rsid w:val="003B3971"/>
    <w:rsid w:val="003B45D8"/>
    <w:rsid w:val="003B4758"/>
    <w:rsid w:val="003B4EDF"/>
    <w:rsid w:val="003B55D1"/>
    <w:rsid w:val="003B5903"/>
    <w:rsid w:val="003B5B61"/>
    <w:rsid w:val="003B5E82"/>
    <w:rsid w:val="003B6798"/>
    <w:rsid w:val="003B68E5"/>
    <w:rsid w:val="003B7616"/>
    <w:rsid w:val="003B773B"/>
    <w:rsid w:val="003B7EB6"/>
    <w:rsid w:val="003C0535"/>
    <w:rsid w:val="003C0F0C"/>
    <w:rsid w:val="003C1410"/>
    <w:rsid w:val="003C1654"/>
    <w:rsid w:val="003C234F"/>
    <w:rsid w:val="003C2529"/>
    <w:rsid w:val="003C2843"/>
    <w:rsid w:val="003C29F8"/>
    <w:rsid w:val="003C38CD"/>
    <w:rsid w:val="003C3AA4"/>
    <w:rsid w:val="003C3DA9"/>
    <w:rsid w:val="003C3E65"/>
    <w:rsid w:val="003C400F"/>
    <w:rsid w:val="003C4578"/>
    <w:rsid w:val="003C48D7"/>
    <w:rsid w:val="003C49C9"/>
    <w:rsid w:val="003C5542"/>
    <w:rsid w:val="003C56F2"/>
    <w:rsid w:val="003C6929"/>
    <w:rsid w:val="003C6AA7"/>
    <w:rsid w:val="003C6E3A"/>
    <w:rsid w:val="003C783E"/>
    <w:rsid w:val="003C7D19"/>
    <w:rsid w:val="003C7D2F"/>
    <w:rsid w:val="003C7DB5"/>
    <w:rsid w:val="003D04C5"/>
    <w:rsid w:val="003D13CB"/>
    <w:rsid w:val="003D1526"/>
    <w:rsid w:val="003D16F6"/>
    <w:rsid w:val="003D17AD"/>
    <w:rsid w:val="003D1828"/>
    <w:rsid w:val="003D1DE4"/>
    <w:rsid w:val="003D1E82"/>
    <w:rsid w:val="003D1E9A"/>
    <w:rsid w:val="003D2422"/>
    <w:rsid w:val="003D2455"/>
    <w:rsid w:val="003D2B93"/>
    <w:rsid w:val="003D3484"/>
    <w:rsid w:val="003D3890"/>
    <w:rsid w:val="003D39A1"/>
    <w:rsid w:val="003D3CE7"/>
    <w:rsid w:val="003D3FBF"/>
    <w:rsid w:val="003D4111"/>
    <w:rsid w:val="003D4A30"/>
    <w:rsid w:val="003D544A"/>
    <w:rsid w:val="003D5F1F"/>
    <w:rsid w:val="003D5F9D"/>
    <w:rsid w:val="003D5FD9"/>
    <w:rsid w:val="003D6A05"/>
    <w:rsid w:val="003D6D36"/>
    <w:rsid w:val="003D7452"/>
    <w:rsid w:val="003D79BB"/>
    <w:rsid w:val="003D7C98"/>
    <w:rsid w:val="003D7D9D"/>
    <w:rsid w:val="003E0543"/>
    <w:rsid w:val="003E07A5"/>
    <w:rsid w:val="003E0D8E"/>
    <w:rsid w:val="003E15B2"/>
    <w:rsid w:val="003E18D2"/>
    <w:rsid w:val="003E2A84"/>
    <w:rsid w:val="003E377C"/>
    <w:rsid w:val="003E3AAE"/>
    <w:rsid w:val="003E3DDC"/>
    <w:rsid w:val="003E3E1E"/>
    <w:rsid w:val="003E3F7F"/>
    <w:rsid w:val="003E449C"/>
    <w:rsid w:val="003E5617"/>
    <w:rsid w:val="003E5C72"/>
    <w:rsid w:val="003E615C"/>
    <w:rsid w:val="003E63CB"/>
    <w:rsid w:val="003E6420"/>
    <w:rsid w:val="003E6844"/>
    <w:rsid w:val="003E7170"/>
    <w:rsid w:val="003E71DF"/>
    <w:rsid w:val="003E749E"/>
    <w:rsid w:val="003E7916"/>
    <w:rsid w:val="003E7BC4"/>
    <w:rsid w:val="003F0A21"/>
    <w:rsid w:val="003F116C"/>
    <w:rsid w:val="003F13C0"/>
    <w:rsid w:val="003F1B55"/>
    <w:rsid w:val="003F2006"/>
    <w:rsid w:val="003F20C3"/>
    <w:rsid w:val="003F4156"/>
    <w:rsid w:val="003F54A0"/>
    <w:rsid w:val="003F5ADF"/>
    <w:rsid w:val="003F62D1"/>
    <w:rsid w:val="003F7256"/>
    <w:rsid w:val="003F7AA3"/>
    <w:rsid w:val="004000BB"/>
    <w:rsid w:val="0040034E"/>
    <w:rsid w:val="004005BB"/>
    <w:rsid w:val="00400B29"/>
    <w:rsid w:val="00400EB8"/>
    <w:rsid w:val="00402A21"/>
    <w:rsid w:val="00403703"/>
    <w:rsid w:val="004038BE"/>
    <w:rsid w:val="00404CF5"/>
    <w:rsid w:val="0040504B"/>
    <w:rsid w:val="0040504F"/>
    <w:rsid w:val="0040511F"/>
    <w:rsid w:val="004051C0"/>
    <w:rsid w:val="004059F4"/>
    <w:rsid w:val="00405A2B"/>
    <w:rsid w:val="00406196"/>
    <w:rsid w:val="00407B36"/>
    <w:rsid w:val="00407E5A"/>
    <w:rsid w:val="00407FE5"/>
    <w:rsid w:val="004101B0"/>
    <w:rsid w:val="00410326"/>
    <w:rsid w:val="00410708"/>
    <w:rsid w:val="00410EC7"/>
    <w:rsid w:val="00411344"/>
    <w:rsid w:val="00411885"/>
    <w:rsid w:val="00411B39"/>
    <w:rsid w:val="0041208B"/>
    <w:rsid w:val="004127A7"/>
    <w:rsid w:val="00412C6D"/>
    <w:rsid w:val="00413915"/>
    <w:rsid w:val="00413A1E"/>
    <w:rsid w:val="00414476"/>
    <w:rsid w:val="00414A78"/>
    <w:rsid w:val="00414C2E"/>
    <w:rsid w:val="004151CF"/>
    <w:rsid w:val="004152B4"/>
    <w:rsid w:val="0041598F"/>
    <w:rsid w:val="00415B59"/>
    <w:rsid w:val="00416364"/>
    <w:rsid w:val="00416656"/>
    <w:rsid w:val="004169AE"/>
    <w:rsid w:val="00417083"/>
    <w:rsid w:val="004174EC"/>
    <w:rsid w:val="00417777"/>
    <w:rsid w:val="004177C8"/>
    <w:rsid w:val="00417C96"/>
    <w:rsid w:val="0042047F"/>
    <w:rsid w:val="004206B7"/>
    <w:rsid w:val="00420AA6"/>
    <w:rsid w:val="00420B9F"/>
    <w:rsid w:val="0042134E"/>
    <w:rsid w:val="00421755"/>
    <w:rsid w:val="0042192C"/>
    <w:rsid w:val="004221FD"/>
    <w:rsid w:val="00422260"/>
    <w:rsid w:val="004222FB"/>
    <w:rsid w:val="004225AA"/>
    <w:rsid w:val="0042349E"/>
    <w:rsid w:val="0042413F"/>
    <w:rsid w:val="00424834"/>
    <w:rsid w:val="00426327"/>
    <w:rsid w:val="00426B57"/>
    <w:rsid w:val="00426C73"/>
    <w:rsid w:val="00430C35"/>
    <w:rsid w:val="00430ED6"/>
    <w:rsid w:val="004319F8"/>
    <w:rsid w:val="00431E55"/>
    <w:rsid w:val="00431F25"/>
    <w:rsid w:val="004321F6"/>
    <w:rsid w:val="004324EA"/>
    <w:rsid w:val="00432CCE"/>
    <w:rsid w:val="00432CEE"/>
    <w:rsid w:val="00433044"/>
    <w:rsid w:val="00434088"/>
    <w:rsid w:val="004356B9"/>
    <w:rsid w:val="00435E60"/>
    <w:rsid w:val="004360CD"/>
    <w:rsid w:val="004361ED"/>
    <w:rsid w:val="004361F2"/>
    <w:rsid w:val="00436787"/>
    <w:rsid w:val="00436A33"/>
    <w:rsid w:val="00437380"/>
    <w:rsid w:val="004375B9"/>
    <w:rsid w:val="00437953"/>
    <w:rsid w:val="004405E4"/>
    <w:rsid w:val="00440D56"/>
    <w:rsid w:val="00441114"/>
    <w:rsid w:val="00441975"/>
    <w:rsid w:val="004425F9"/>
    <w:rsid w:val="004428D0"/>
    <w:rsid w:val="00442A88"/>
    <w:rsid w:val="00443245"/>
    <w:rsid w:val="00443444"/>
    <w:rsid w:val="00443842"/>
    <w:rsid w:val="0044401B"/>
    <w:rsid w:val="00444185"/>
    <w:rsid w:val="004443A7"/>
    <w:rsid w:val="0044442C"/>
    <w:rsid w:val="00444E3A"/>
    <w:rsid w:val="0044506B"/>
    <w:rsid w:val="00445941"/>
    <w:rsid w:val="004464EB"/>
    <w:rsid w:val="00446A7E"/>
    <w:rsid w:val="004473CD"/>
    <w:rsid w:val="00447D26"/>
    <w:rsid w:val="00447D70"/>
    <w:rsid w:val="00447DFC"/>
    <w:rsid w:val="0045017A"/>
    <w:rsid w:val="00450B1B"/>
    <w:rsid w:val="0045143D"/>
    <w:rsid w:val="004516B9"/>
    <w:rsid w:val="004518F4"/>
    <w:rsid w:val="00451D32"/>
    <w:rsid w:val="0045375E"/>
    <w:rsid w:val="004538C3"/>
    <w:rsid w:val="00453BBD"/>
    <w:rsid w:val="00453CEF"/>
    <w:rsid w:val="0045406B"/>
    <w:rsid w:val="004545A3"/>
    <w:rsid w:val="00454F8A"/>
    <w:rsid w:val="00455317"/>
    <w:rsid w:val="00455590"/>
    <w:rsid w:val="00455D45"/>
    <w:rsid w:val="00457192"/>
    <w:rsid w:val="0045763A"/>
    <w:rsid w:val="0045788D"/>
    <w:rsid w:val="00460838"/>
    <w:rsid w:val="004608AE"/>
    <w:rsid w:val="004608BD"/>
    <w:rsid w:val="00460B91"/>
    <w:rsid w:val="00460FF0"/>
    <w:rsid w:val="00461A49"/>
    <w:rsid w:val="00461C15"/>
    <w:rsid w:val="004623E5"/>
    <w:rsid w:val="00462B0B"/>
    <w:rsid w:val="00462E41"/>
    <w:rsid w:val="004636E8"/>
    <w:rsid w:val="00463D93"/>
    <w:rsid w:val="00464595"/>
    <w:rsid w:val="00464C27"/>
    <w:rsid w:val="00464CC0"/>
    <w:rsid w:val="0046589E"/>
    <w:rsid w:val="004658B5"/>
    <w:rsid w:val="004658F6"/>
    <w:rsid w:val="00465DA5"/>
    <w:rsid w:val="00466B25"/>
    <w:rsid w:val="0046732A"/>
    <w:rsid w:val="0046764D"/>
    <w:rsid w:val="00470033"/>
    <w:rsid w:val="00470B8A"/>
    <w:rsid w:val="00470F1E"/>
    <w:rsid w:val="0047124A"/>
    <w:rsid w:val="0047179F"/>
    <w:rsid w:val="00471E8D"/>
    <w:rsid w:val="00471EA5"/>
    <w:rsid w:val="004721BF"/>
    <w:rsid w:val="00472A79"/>
    <w:rsid w:val="004739B9"/>
    <w:rsid w:val="00473F19"/>
    <w:rsid w:val="00474FA5"/>
    <w:rsid w:val="00475674"/>
    <w:rsid w:val="00475E22"/>
    <w:rsid w:val="00475FCD"/>
    <w:rsid w:val="00476115"/>
    <w:rsid w:val="004766D6"/>
    <w:rsid w:val="004769FB"/>
    <w:rsid w:val="00476BE1"/>
    <w:rsid w:val="004776CF"/>
    <w:rsid w:val="00480389"/>
    <w:rsid w:val="0048088E"/>
    <w:rsid w:val="004809C2"/>
    <w:rsid w:val="00480E6E"/>
    <w:rsid w:val="00480F2B"/>
    <w:rsid w:val="00481296"/>
    <w:rsid w:val="00481359"/>
    <w:rsid w:val="00482720"/>
    <w:rsid w:val="00482E69"/>
    <w:rsid w:val="004835E7"/>
    <w:rsid w:val="00483FA5"/>
    <w:rsid w:val="004845ED"/>
    <w:rsid w:val="00484608"/>
    <w:rsid w:val="00484698"/>
    <w:rsid w:val="00484A23"/>
    <w:rsid w:val="004857B9"/>
    <w:rsid w:val="0048581E"/>
    <w:rsid w:val="00485ADE"/>
    <w:rsid w:val="004867E2"/>
    <w:rsid w:val="00486F34"/>
    <w:rsid w:val="00487435"/>
    <w:rsid w:val="00487ABA"/>
    <w:rsid w:val="00487D73"/>
    <w:rsid w:val="00490593"/>
    <w:rsid w:val="00490B17"/>
    <w:rsid w:val="00490F07"/>
    <w:rsid w:val="00491B3A"/>
    <w:rsid w:val="00491BEE"/>
    <w:rsid w:val="00492CFD"/>
    <w:rsid w:val="004938E0"/>
    <w:rsid w:val="004940EC"/>
    <w:rsid w:val="00494207"/>
    <w:rsid w:val="0049433A"/>
    <w:rsid w:val="00494A97"/>
    <w:rsid w:val="00494C97"/>
    <w:rsid w:val="00494DD5"/>
    <w:rsid w:val="00495D4B"/>
    <w:rsid w:val="00495EE6"/>
    <w:rsid w:val="004962D2"/>
    <w:rsid w:val="004967AF"/>
    <w:rsid w:val="00496B4A"/>
    <w:rsid w:val="004A06C0"/>
    <w:rsid w:val="004A0DA1"/>
    <w:rsid w:val="004A13D6"/>
    <w:rsid w:val="004A18D9"/>
    <w:rsid w:val="004A1C9E"/>
    <w:rsid w:val="004A24EE"/>
    <w:rsid w:val="004A275A"/>
    <w:rsid w:val="004A28C7"/>
    <w:rsid w:val="004A3268"/>
    <w:rsid w:val="004A3A9D"/>
    <w:rsid w:val="004A4574"/>
    <w:rsid w:val="004A4856"/>
    <w:rsid w:val="004A4EE9"/>
    <w:rsid w:val="004A52E9"/>
    <w:rsid w:val="004A53EC"/>
    <w:rsid w:val="004A59AE"/>
    <w:rsid w:val="004A5DB3"/>
    <w:rsid w:val="004A6040"/>
    <w:rsid w:val="004A6073"/>
    <w:rsid w:val="004A62F6"/>
    <w:rsid w:val="004A6597"/>
    <w:rsid w:val="004A72EC"/>
    <w:rsid w:val="004A7848"/>
    <w:rsid w:val="004B02F9"/>
    <w:rsid w:val="004B0613"/>
    <w:rsid w:val="004B077B"/>
    <w:rsid w:val="004B14B4"/>
    <w:rsid w:val="004B1CB4"/>
    <w:rsid w:val="004B1CCA"/>
    <w:rsid w:val="004B296A"/>
    <w:rsid w:val="004B2F18"/>
    <w:rsid w:val="004B3D05"/>
    <w:rsid w:val="004B3DDB"/>
    <w:rsid w:val="004B44FD"/>
    <w:rsid w:val="004B4879"/>
    <w:rsid w:val="004B5404"/>
    <w:rsid w:val="004B5CFC"/>
    <w:rsid w:val="004B5DE1"/>
    <w:rsid w:val="004B6122"/>
    <w:rsid w:val="004B6AE3"/>
    <w:rsid w:val="004B6E57"/>
    <w:rsid w:val="004B6EB6"/>
    <w:rsid w:val="004B6F79"/>
    <w:rsid w:val="004B7127"/>
    <w:rsid w:val="004B7609"/>
    <w:rsid w:val="004B774D"/>
    <w:rsid w:val="004C15AA"/>
    <w:rsid w:val="004C170A"/>
    <w:rsid w:val="004C1EF0"/>
    <w:rsid w:val="004C2E12"/>
    <w:rsid w:val="004C316D"/>
    <w:rsid w:val="004C347B"/>
    <w:rsid w:val="004C376F"/>
    <w:rsid w:val="004C3EF7"/>
    <w:rsid w:val="004C4A93"/>
    <w:rsid w:val="004C4AED"/>
    <w:rsid w:val="004C4B90"/>
    <w:rsid w:val="004C5464"/>
    <w:rsid w:val="004C5FA4"/>
    <w:rsid w:val="004C6B56"/>
    <w:rsid w:val="004C6D28"/>
    <w:rsid w:val="004C73AA"/>
    <w:rsid w:val="004C77D5"/>
    <w:rsid w:val="004C787D"/>
    <w:rsid w:val="004C7BF2"/>
    <w:rsid w:val="004D0438"/>
    <w:rsid w:val="004D1C85"/>
    <w:rsid w:val="004D28B2"/>
    <w:rsid w:val="004D2A20"/>
    <w:rsid w:val="004D2C2D"/>
    <w:rsid w:val="004D3736"/>
    <w:rsid w:val="004D37F9"/>
    <w:rsid w:val="004D3E47"/>
    <w:rsid w:val="004D3F65"/>
    <w:rsid w:val="004D4019"/>
    <w:rsid w:val="004D40BD"/>
    <w:rsid w:val="004D4452"/>
    <w:rsid w:val="004D4616"/>
    <w:rsid w:val="004D47BC"/>
    <w:rsid w:val="004D4E99"/>
    <w:rsid w:val="004D5823"/>
    <w:rsid w:val="004D5837"/>
    <w:rsid w:val="004D5D37"/>
    <w:rsid w:val="004D6464"/>
    <w:rsid w:val="004D64F6"/>
    <w:rsid w:val="004D67F8"/>
    <w:rsid w:val="004D69B5"/>
    <w:rsid w:val="004D6CEC"/>
    <w:rsid w:val="004D7227"/>
    <w:rsid w:val="004E05B1"/>
    <w:rsid w:val="004E0E7F"/>
    <w:rsid w:val="004E0EB8"/>
    <w:rsid w:val="004E17C3"/>
    <w:rsid w:val="004E18E9"/>
    <w:rsid w:val="004E236B"/>
    <w:rsid w:val="004E23AA"/>
    <w:rsid w:val="004E25CB"/>
    <w:rsid w:val="004E2ADC"/>
    <w:rsid w:val="004E3481"/>
    <w:rsid w:val="004E43B2"/>
    <w:rsid w:val="004E5CC5"/>
    <w:rsid w:val="004E5EA6"/>
    <w:rsid w:val="004E5F82"/>
    <w:rsid w:val="004E62E9"/>
    <w:rsid w:val="004F02B9"/>
    <w:rsid w:val="004F1339"/>
    <w:rsid w:val="004F13E7"/>
    <w:rsid w:val="004F158C"/>
    <w:rsid w:val="004F1711"/>
    <w:rsid w:val="004F1AB1"/>
    <w:rsid w:val="004F1B7A"/>
    <w:rsid w:val="004F1CA0"/>
    <w:rsid w:val="004F1D02"/>
    <w:rsid w:val="004F2679"/>
    <w:rsid w:val="004F2A54"/>
    <w:rsid w:val="004F2E9B"/>
    <w:rsid w:val="004F2F21"/>
    <w:rsid w:val="004F3231"/>
    <w:rsid w:val="004F36D5"/>
    <w:rsid w:val="004F3CE7"/>
    <w:rsid w:val="004F3DE5"/>
    <w:rsid w:val="004F4D87"/>
    <w:rsid w:val="004F4F5B"/>
    <w:rsid w:val="004F52AD"/>
    <w:rsid w:val="004F56A2"/>
    <w:rsid w:val="004F5AA6"/>
    <w:rsid w:val="004F5BDE"/>
    <w:rsid w:val="004F68B4"/>
    <w:rsid w:val="004F6913"/>
    <w:rsid w:val="004F7865"/>
    <w:rsid w:val="004F7EC2"/>
    <w:rsid w:val="004F7F8A"/>
    <w:rsid w:val="00500311"/>
    <w:rsid w:val="00500694"/>
    <w:rsid w:val="0050174E"/>
    <w:rsid w:val="00501854"/>
    <w:rsid w:val="00501DDB"/>
    <w:rsid w:val="0050219B"/>
    <w:rsid w:val="00502813"/>
    <w:rsid w:val="005029EE"/>
    <w:rsid w:val="0050327E"/>
    <w:rsid w:val="005035CB"/>
    <w:rsid w:val="00503F17"/>
    <w:rsid w:val="00504245"/>
    <w:rsid w:val="005046E6"/>
    <w:rsid w:val="00504D25"/>
    <w:rsid w:val="00505030"/>
    <w:rsid w:val="00505A5F"/>
    <w:rsid w:val="00506928"/>
    <w:rsid w:val="00507463"/>
    <w:rsid w:val="005077EF"/>
    <w:rsid w:val="00507C45"/>
    <w:rsid w:val="00510EB5"/>
    <w:rsid w:val="00511AD5"/>
    <w:rsid w:val="00511DC7"/>
    <w:rsid w:val="00511EB7"/>
    <w:rsid w:val="005127C1"/>
    <w:rsid w:val="00513176"/>
    <w:rsid w:val="0051345F"/>
    <w:rsid w:val="005142C5"/>
    <w:rsid w:val="00514CA2"/>
    <w:rsid w:val="0051501B"/>
    <w:rsid w:val="005152B5"/>
    <w:rsid w:val="00515404"/>
    <w:rsid w:val="005154BD"/>
    <w:rsid w:val="00515512"/>
    <w:rsid w:val="00515A1B"/>
    <w:rsid w:val="00515D52"/>
    <w:rsid w:val="00516B64"/>
    <w:rsid w:val="00517153"/>
    <w:rsid w:val="00517F4F"/>
    <w:rsid w:val="0052123C"/>
    <w:rsid w:val="005212F7"/>
    <w:rsid w:val="00521319"/>
    <w:rsid w:val="0052152D"/>
    <w:rsid w:val="0052164E"/>
    <w:rsid w:val="00521F56"/>
    <w:rsid w:val="00522BC8"/>
    <w:rsid w:val="00522F58"/>
    <w:rsid w:val="00523168"/>
    <w:rsid w:val="0052337E"/>
    <w:rsid w:val="00523C28"/>
    <w:rsid w:val="00524021"/>
    <w:rsid w:val="0052463C"/>
    <w:rsid w:val="005247BD"/>
    <w:rsid w:val="00524818"/>
    <w:rsid w:val="00524A24"/>
    <w:rsid w:val="00524AC0"/>
    <w:rsid w:val="00524CE9"/>
    <w:rsid w:val="005254EC"/>
    <w:rsid w:val="00526BE8"/>
    <w:rsid w:val="00526FC9"/>
    <w:rsid w:val="005276A3"/>
    <w:rsid w:val="005302BE"/>
    <w:rsid w:val="00530751"/>
    <w:rsid w:val="00530FBD"/>
    <w:rsid w:val="0053176B"/>
    <w:rsid w:val="00531DE7"/>
    <w:rsid w:val="00532687"/>
    <w:rsid w:val="00533298"/>
    <w:rsid w:val="00533659"/>
    <w:rsid w:val="00533AC4"/>
    <w:rsid w:val="00533BDE"/>
    <w:rsid w:val="00533BE9"/>
    <w:rsid w:val="00535AB1"/>
    <w:rsid w:val="00536B40"/>
    <w:rsid w:val="00536F42"/>
    <w:rsid w:val="00537182"/>
    <w:rsid w:val="0054068D"/>
    <w:rsid w:val="00540ECB"/>
    <w:rsid w:val="00541EDD"/>
    <w:rsid w:val="005423D8"/>
    <w:rsid w:val="005426A0"/>
    <w:rsid w:val="00542743"/>
    <w:rsid w:val="00542C2D"/>
    <w:rsid w:val="00542E71"/>
    <w:rsid w:val="005438B4"/>
    <w:rsid w:val="00544205"/>
    <w:rsid w:val="0054589F"/>
    <w:rsid w:val="00545F4F"/>
    <w:rsid w:val="00546A6B"/>
    <w:rsid w:val="00546BFB"/>
    <w:rsid w:val="00546C2C"/>
    <w:rsid w:val="005478BD"/>
    <w:rsid w:val="005479E3"/>
    <w:rsid w:val="00547CE3"/>
    <w:rsid w:val="0055088F"/>
    <w:rsid w:val="0055127C"/>
    <w:rsid w:val="00551402"/>
    <w:rsid w:val="005516D9"/>
    <w:rsid w:val="00551985"/>
    <w:rsid w:val="005521A4"/>
    <w:rsid w:val="005524CC"/>
    <w:rsid w:val="00552BD3"/>
    <w:rsid w:val="00552E3C"/>
    <w:rsid w:val="00552F57"/>
    <w:rsid w:val="005532A0"/>
    <w:rsid w:val="00553835"/>
    <w:rsid w:val="00553B33"/>
    <w:rsid w:val="00553CBA"/>
    <w:rsid w:val="00553E9B"/>
    <w:rsid w:val="00553FA9"/>
    <w:rsid w:val="005541EC"/>
    <w:rsid w:val="00554346"/>
    <w:rsid w:val="005549E5"/>
    <w:rsid w:val="00554B33"/>
    <w:rsid w:val="00555109"/>
    <w:rsid w:val="0055514E"/>
    <w:rsid w:val="00555418"/>
    <w:rsid w:val="0055692A"/>
    <w:rsid w:val="005569D6"/>
    <w:rsid w:val="00556B35"/>
    <w:rsid w:val="0055741A"/>
    <w:rsid w:val="00557A32"/>
    <w:rsid w:val="00560B53"/>
    <w:rsid w:val="005611B7"/>
    <w:rsid w:val="005618A5"/>
    <w:rsid w:val="005618D4"/>
    <w:rsid w:val="00561E64"/>
    <w:rsid w:val="00563B3C"/>
    <w:rsid w:val="00563C56"/>
    <w:rsid w:val="00563E47"/>
    <w:rsid w:val="00564236"/>
    <w:rsid w:val="00564AEC"/>
    <w:rsid w:val="00564C14"/>
    <w:rsid w:val="005653A0"/>
    <w:rsid w:val="00565DF0"/>
    <w:rsid w:val="00566829"/>
    <w:rsid w:val="005668DB"/>
    <w:rsid w:val="0056696F"/>
    <w:rsid w:val="00567609"/>
    <w:rsid w:val="00567950"/>
    <w:rsid w:val="00567E91"/>
    <w:rsid w:val="00570126"/>
    <w:rsid w:val="00571A92"/>
    <w:rsid w:val="0057220B"/>
    <w:rsid w:val="00572269"/>
    <w:rsid w:val="0057244A"/>
    <w:rsid w:val="00572F26"/>
    <w:rsid w:val="00573CB5"/>
    <w:rsid w:val="005742CF"/>
    <w:rsid w:val="00574954"/>
    <w:rsid w:val="005750C5"/>
    <w:rsid w:val="005752DE"/>
    <w:rsid w:val="005753BD"/>
    <w:rsid w:val="00575D8D"/>
    <w:rsid w:val="00576372"/>
    <w:rsid w:val="005763AB"/>
    <w:rsid w:val="00576640"/>
    <w:rsid w:val="00576928"/>
    <w:rsid w:val="00576972"/>
    <w:rsid w:val="00577556"/>
    <w:rsid w:val="0057767B"/>
    <w:rsid w:val="00580BC0"/>
    <w:rsid w:val="00580C74"/>
    <w:rsid w:val="00582696"/>
    <w:rsid w:val="00582704"/>
    <w:rsid w:val="00583167"/>
    <w:rsid w:val="00583699"/>
    <w:rsid w:val="00584086"/>
    <w:rsid w:val="00584320"/>
    <w:rsid w:val="00584CC0"/>
    <w:rsid w:val="0058597A"/>
    <w:rsid w:val="00585CDD"/>
    <w:rsid w:val="00585D39"/>
    <w:rsid w:val="00587058"/>
    <w:rsid w:val="00587A04"/>
    <w:rsid w:val="00587C7F"/>
    <w:rsid w:val="00587E10"/>
    <w:rsid w:val="005904A3"/>
    <w:rsid w:val="00590735"/>
    <w:rsid w:val="0059105E"/>
    <w:rsid w:val="005914EF"/>
    <w:rsid w:val="00591957"/>
    <w:rsid w:val="00591BCC"/>
    <w:rsid w:val="00591C42"/>
    <w:rsid w:val="00591E6B"/>
    <w:rsid w:val="00592D94"/>
    <w:rsid w:val="00593093"/>
    <w:rsid w:val="005956A2"/>
    <w:rsid w:val="005957AB"/>
    <w:rsid w:val="00595C0A"/>
    <w:rsid w:val="00595E0A"/>
    <w:rsid w:val="00596054"/>
    <w:rsid w:val="00596726"/>
    <w:rsid w:val="00596783"/>
    <w:rsid w:val="00596FA7"/>
    <w:rsid w:val="00597BF9"/>
    <w:rsid w:val="005A0C6A"/>
    <w:rsid w:val="005A21B6"/>
    <w:rsid w:val="005A229F"/>
    <w:rsid w:val="005A22A4"/>
    <w:rsid w:val="005A2366"/>
    <w:rsid w:val="005A309A"/>
    <w:rsid w:val="005A373D"/>
    <w:rsid w:val="005A3816"/>
    <w:rsid w:val="005A450A"/>
    <w:rsid w:val="005A45AF"/>
    <w:rsid w:val="005A46EA"/>
    <w:rsid w:val="005A52E4"/>
    <w:rsid w:val="005A55AB"/>
    <w:rsid w:val="005A617E"/>
    <w:rsid w:val="005A6324"/>
    <w:rsid w:val="005A6683"/>
    <w:rsid w:val="005A680E"/>
    <w:rsid w:val="005A794B"/>
    <w:rsid w:val="005A7B1B"/>
    <w:rsid w:val="005B01ED"/>
    <w:rsid w:val="005B06F6"/>
    <w:rsid w:val="005B0B58"/>
    <w:rsid w:val="005B11B9"/>
    <w:rsid w:val="005B1C3E"/>
    <w:rsid w:val="005B2E88"/>
    <w:rsid w:val="005B44AF"/>
    <w:rsid w:val="005B490B"/>
    <w:rsid w:val="005B4A48"/>
    <w:rsid w:val="005B4E53"/>
    <w:rsid w:val="005B5341"/>
    <w:rsid w:val="005B57EF"/>
    <w:rsid w:val="005B5857"/>
    <w:rsid w:val="005B5C46"/>
    <w:rsid w:val="005B5DF3"/>
    <w:rsid w:val="005B6AC0"/>
    <w:rsid w:val="005B6E20"/>
    <w:rsid w:val="005B7450"/>
    <w:rsid w:val="005B7667"/>
    <w:rsid w:val="005B7ADE"/>
    <w:rsid w:val="005B7CAC"/>
    <w:rsid w:val="005B7E94"/>
    <w:rsid w:val="005B7EBA"/>
    <w:rsid w:val="005C0435"/>
    <w:rsid w:val="005C07A5"/>
    <w:rsid w:val="005C0DA2"/>
    <w:rsid w:val="005C1B83"/>
    <w:rsid w:val="005C2142"/>
    <w:rsid w:val="005C25FF"/>
    <w:rsid w:val="005C2D55"/>
    <w:rsid w:val="005C346B"/>
    <w:rsid w:val="005C3BE8"/>
    <w:rsid w:val="005C52AE"/>
    <w:rsid w:val="005C539D"/>
    <w:rsid w:val="005C5CE5"/>
    <w:rsid w:val="005C6474"/>
    <w:rsid w:val="005C68C9"/>
    <w:rsid w:val="005C68FB"/>
    <w:rsid w:val="005C7129"/>
    <w:rsid w:val="005C734A"/>
    <w:rsid w:val="005C75F0"/>
    <w:rsid w:val="005D032C"/>
    <w:rsid w:val="005D044D"/>
    <w:rsid w:val="005D0ABD"/>
    <w:rsid w:val="005D0C0E"/>
    <w:rsid w:val="005D1093"/>
    <w:rsid w:val="005D1115"/>
    <w:rsid w:val="005D18AD"/>
    <w:rsid w:val="005D1B8A"/>
    <w:rsid w:val="005D23A1"/>
    <w:rsid w:val="005D26B4"/>
    <w:rsid w:val="005D2F40"/>
    <w:rsid w:val="005D30C1"/>
    <w:rsid w:val="005D356A"/>
    <w:rsid w:val="005D395E"/>
    <w:rsid w:val="005D428F"/>
    <w:rsid w:val="005D4348"/>
    <w:rsid w:val="005D4C4D"/>
    <w:rsid w:val="005D4DDA"/>
    <w:rsid w:val="005D5118"/>
    <w:rsid w:val="005D551D"/>
    <w:rsid w:val="005D5792"/>
    <w:rsid w:val="005D5F93"/>
    <w:rsid w:val="005D67D3"/>
    <w:rsid w:val="005D6DE6"/>
    <w:rsid w:val="005D7738"/>
    <w:rsid w:val="005D773A"/>
    <w:rsid w:val="005E0413"/>
    <w:rsid w:val="005E0B2B"/>
    <w:rsid w:val="005E16D2"/>
    <w:rsid w:val="005E1875"/>
    <w:rsid w:val="005E193D"/>
    <w:rsid w:val="005E359D"/>
    <w:rsid w:val="005E44FA"/>
    <w:rsid w:val="005E5458"/>
    <w:rsid w:val="005E5E2B"/>
    <w:rsid w:val="005E6CBC"/>
    <w:rsid w:val="005E72FF"/>
    <w:rsid w:val="005E73C0"/>
    <w:rsid w:val="005E7B04"/>
    <w:rsid w:val="005E7E89"/>
    <w:rsid w:val="005F07A6"/>
    <w:rsid w:val="005F08CA"/>
    <w:rsid w:val="005F0B28"/>
    <w:rsid w:val="005F268F"/>
    <w:rsid w:val="005F2706"/>
    <w:rsid w:val="005F27AE"/>
    <w:rsid w:val="005F2AC6"/>
    <w:rsid w:val="005F41AD"/>
    <w:rsid w:val="005F4268"/>
    <w:rsid w:val="005F570F"/>
    <w:rsid w:val="005F651D"/>
    <w:rsid w:val="005F66EF"/>
    <w:rsid w:val="005F6A8F"/>
    <w:rsid w:val="005F6BB7"/>
    <w:rsid w:val="005F7588"/>
    <w:rsid w:val="005F7A24"/>
    <w:rsid w:val="005F7BD6"/>
    <w:rsid w:val="005F7D80"/>
    <w:rsid w:val="00600A5F"/>
    <w:rsid w:val="006011B4"/>
    <w:rsid w:val="00602DD1"/>
    <w:rsid w:val="0060307E"/>
    <w:rsid w:val="006033F1"/>
    <w:rsid w:val="0060394C"/>
    <w:rsid w:val="00603DB9"/>
    <w:rsid w:val="00603F47"/>
    <w:rsid w:val="006040F9"/>
    <w:rsid w:val="00604546"/>
    <w:rsid w:val="0060466A"/>
    <w:rsid w:val="006051D9"/>
    <w:rsid w:val="00605AB8"/>
    <w:rsid w:val="00605C0A"/>
    <w:rsid w:val="00605DBA"/>
    <w:rsid w:val="00605EE5"/>
    <w:rsid w:val="00606FBA"/>
    <w:rsid w:val="00607489"/>
    <w:rsid w:val="00607669"/>
    <w:rsid w:val="006076B2"/>
    <w:rsid w:val="006076F4"/>
    <w:rsid w:val="00607AFD"/>
    <w:rsid w:val="00607B67"/>
    <w:rsid w:val="00610499"/>
    <w:rsid w:val="006106DE"/>
    <w:rsid w:val="00611049"/>
    <w:rsid w:val="00611181"/>
    <w:rsid w:val="006114B3"/>
    <w:rsid w:val="00611527"/>
    <w:rsid w:val="0061266C"/>
    <w:rsid w:val="00612F97"/>
    <w:rsid w:val="0061324B"/>
    <w:rsid w:val="0061345D"/>
    <w:rsid w:val="00613845"/>
    <w:rsid w:val="00614200"/>
    <w:rsid w:val="00614B4F"/>
    <w:rsid w:val="00614E4A"/>
    <w:rsid w:val="00614FAE"/>
    <w:rsid w:val="0061549B"/>
    <w:rsid w:val="00616802"/>
    <w:rsid w:val="006168AE"/>
    <w:rsid w:val="006168CC"/>
    <w:rsid w:val="00616ED4"/>
    <w:rsid w:val="00617E12"/>
    <w:rsid w:val="00620241"/>
    <w:rsid w:val="0062081D"/>
    <w:rsid w:val="00620A07"/>
    <w:rsid w:val="00620C25"/>
    <w:rsid w:val="00620DDD"/>
    <w:rsid w:val="00621477"/>
    <w:rsid w:val="0062157E"/>
    <w:rsid w:val="006219A4"/>
    <w:rsid w:val="00621AAD"/>
    <w:rsid w:val="00621ADA"/>
    <w:rsid w:val="00621F20"/>
    <w:rsid w:val="00622033"/>
    <w:rsid w:val="006237F7"/>
    <w:rsid w:val="0062397B"/>
    <w:rsid w:val="00623F7B"/>
    <w:rsid w:val="006242F9"/>
    <w:rsid w:val="006250CB"/>
    <w:rsid w:val="006261E4"/>
    <w:rsid w:val="00626C78"/>
    <w:rsid w:val="006314EB"/>
    <w:rsid w:val="0063158F"/>
    <w:rsid w:val="00631D6B"/>
    <w:rsid w:val="00632183"/>
    <w:rsid w:val="00632D32"/>
    <w:rsid w:val="006330A1"/>
    <w:rsid w:val="00633D09"/>
    <w:rsid w:val="0063479F"/>
    <w:rsid w:val="00634F61"/>
    <w:rsid w:val="0063537E"/>
    <w:rsid w:val="006353F0"/>
    <w:rsid w:val="006357B5"/>
    <w:rsid w:val="00635FBA"/>
    <w:rsid w:val="0063646B"/>
    <w:rsid w:val="006364A1"/>
    <w:rsid w:val="0063678E"/>
    <w:rsid w:val="006369E2"/>
    <w:rsid w:val="00637050"/>
    <w:rsid w:val="006372A0"/>
    <w:rsid w:val="006378A8"/>
    <w:rsid w:val="00637BFD"/>
    <w:rsid w:val="00637D5F"/>
    <w:rsid w:val="006403D7"/>
    <w:rsid w:val="00641119"/>
    <w:rsid w:val="0064149D"/>
    <w:rsid w:val="00641845"/>
    <w:rsid w:val="00641B6F"/>
    <w:rsid w:val="00641C4E"/>
    <w:rsid w:val="00641FB3"/>
    <w:rsid w:val="006428A0"/>
    <w:rsid w:val="006430AF"/>
    <w:rsid w:val="00643896"/>
    <w:rsid w:val="00643C2D"/>
    <w:rsid w:val="00643CD0"/>
    <w:rsid w:val="00644018"/>
    <w:rsid w:val="0064434C"/>
    <w:rsid w:val="00644B69"/>
    <w:rsid w:val="006459C2"/>
    <w:rsid w:val="00645DB4"/>
    <w:rsid w:val="0064695C"/>
    <w:rsid w:val="00646BE1"/>
    <w:rsid w:val="006471CC"/>
    <w:rsid w:val="006474BF"/>
    <w:rsid w:val="0064786F"/>
    <w:rsid w:val="00647A29"/>
    <w:rsid w:val="00647AAE"/>
    <w:rsid w:val="00650546"/>
    <w:rsid w:val="0065079F"/>
    <w:rsid w:val="00650A61"/>
    <w:rsid w:val="00650BAF"/>
    <w:rsid w:val="00650D30"/>
    <w:rsid w:val="00652892"/>
    <w:rsid w:val="006529E1"/>
    <w:rsid w:val="00652A28"/>
    <w:rsid w:val="00652C32"/>
    <w:rsid w:val="00652C7B"/>
    <w:rsid w:val="00652DDC"/>
    <w:rsid w:val="0065379F"/>
    <w:rsid w:val="0065403B"/>
    <w:rsid w:val="0065433E"/>
    <w:rsid w:val="006547FC"/>
    <w:rsid w:val="0065497D"/>
    <w:rsid w:val="00654E05"/>
    <w:rsid w:val="00654E96"/>
    <w:rsid w:val="00654F9F"/>
    <w:rsid w:val="00655088"/>
    <w:rsid w:val="00655872"/>
    <w:rsid w:val="00656188"/>
    <w:rsid w:val="00656BA0"/>
    <w:rsid w:val="0065715A"/>
    <w:rsid w:val="006574E7"/>
    <w:rsid w:val="00657704"/>
    <w:rsid w:val="00657798"/>
    <w:rsid w:val="00657937"/>
    <w:rsid w:val="00657C3C"/>
    <w:rsid w:val="00660306"/>
    <w:rsid w:val="0066087A"/>
    <w:rsid w:val="00660C70"/>
    <w:rsid w:val="00660D0D"/>
    <w:rsid w:val="0066103A"/>
    <w:rsid w:val="006610F1"/>
    <w:rsid w:val="00661A69"/>
    <w:rsid w:val="00661C6B"/>
    <w:rsid w:val="006621B5"/>
    <w:rsid w:val="006626D7"/>
    <w:rsid w:val="00663031"/>
    <w:rsid w:val="00663170"/>
    <w:rsid w:val="006633E0"/>
    <w:rsid w:val="00663A99"/>
    <w:rsid w:val="00663AE3"/>
    <w:rsid w:val="006642EA"/>
    <w:rsid w:val="006643DE"/>
    <w:rsid w:val="00664EC3"/>
    <w:rsid w:val="00665B1B"/>
    <w:rsid w:val="00665CD8"/>
    <w:rsid w:val="0066625A"/>
    <w:rsid w:val="006668F2"/>
    <w:rsid w:val="00667294"/>
    <w:rsid w:val="0066732C"/>
    <w:rsid w:val="00667442"/>
    <w:rsid w:val="00670102"/>
    <w:rsid w:val="00670176"/>
    <w:rsid w:val="00670820"/>
    <w:rsid w:val="00670D49"/>
    <w:rsid w:val="00671004"/>
    <w:rsid w:val="00671507"/>
    <w:rsid w:val="00672435"/>
    <w:rsid w:val="00672646"/>
    <w:rsid w:val="00672B24"/>
    <w:rsid w:val="0067355B"/>
    <w:rsid w:val="00673B71"/>
    <w:rsid w:val="00673C04"/>
    <w:rsid w:val="006742DF"/>
    <w:rsid w:val="00674E42"/>
    <w:rsid w:val="00675889"/>
    <w:rsid w:val="00676FAB"/>
    <w:rsid w:val="006777C9"/>
    <w:rsid w:val="00680AA5"/>
    <w:rsid w:val="00680E49"/>
    <w:rsid w:val="00681089"/>
    <w:rsid w:val="006813F8"/>
    <w:rsid w:val="00682112"/>
    <w:rsid w:val="00682225"/>
    <w:rsid w:val="00682BA6"/>
    <w:rsid w:val="00682EE7"/>
    <w:rsid w:val="006830A0"/>
    <w:rsid w:val="00684359"/>
    <w:rsid w:val="006848FC"/>
    <w:rsid w:val="00684C13"/>
    <w:rsid w:val="0068559B"/>
    <w:rsid w:val="0068577D"/>
    <w:rsid w:val="00685B73"/>
    <w:rsid w:val="00686339"/>
    <w:rsid w:val="00686572"/>
    <w:rsid w:val="00686957"/>
    <w:rsid w:val="00686CC2"/>
    <w:rsid w:val="006872BA"/>
    <w:rsid w:val="00687369"/>
    <w:rsid w:val="006878AF"/>
    <w:rsid w:val="006906B7"/>
    <w:rsid w:val="00690795"/>
    <w:rsid w:val="00690D7F"/>
    <w:rsid w:val="00690F70"/>
    <w:rsid w:val="00691648"/>
    <w:rsid w:val="006917D7"/>
    <w:rsid w:val="00693589"/>
    <w:rsid w:val="00693E46"/>
    <w:rsid w:val="0069434C"/>
    <w:rsid w:val="00694457"/>
    <w:rsid w:val="00694F44"/>
    <w:rsid w:val="00695243"/>
    <w:rsid w:val="00695465"/>
    <w:rsid w:val="006954B2"/>
    <w:rsid w:val="006957B8"/>
    <w:rsid w:val="0069627C"/>
    <w:rsid w:val="00696F51"/>
    <w:rsid w:val="006971A2"/>
    <w:rsid w:val="006978DB"/>
    <w:rsid w:val="006979A5"/>
    <w:rsid w:val="00697A69"/>
    <w:rsid w:val="00697C75"/>
    <w:rsid w:val="006A08E4"/>
    <w:rsid w:val="006A0D5D"/>
    <w:rsid w:val="006A1004"/>
    <w:rsid w:val="006A121E"/>
    <w:rsid w:val="006A167C"/>
    <w:rsid w:val="006A2247"/>
    <w:rsid w:val="006A37BA"/>
    <w:rsid w:val="006A3E32"/>
    <w:rsid w:val="006A455B"/>
    <w:rsid w:val="006A4A13"/>
    <w:rsid w:val="006A4B7A"/>
    <w:rsid w:val="006A5AF8"/>
    <w:rsid w:val="006A6588"/>
    <w:rsid w:val="006A6778"/>
    <w:rsid w:val="006A68B9"/>
    <w:rsid w:val="006A69CD"/>
    <w:rsid w:val="006A69F3"/>
    <w:rsid w:val="006A6B99"/>
    <w:rsid w:val="006A6D52"/>
    <w:rsid w:val="006A7E5F"/>
    <w:rsid w:val="006B0975"/>
    <w:rsid w:val="006B1332"/>
    <w:rsid w:val="006B1686"/>
    <w:rsid w:val="006B261B"/>
    <w:rsid w:val="006B2C90"/>
    <w:rsid w:val="006B35E6"/>
    <w:rsid w:val="006B465A"/>
    <w:rsid w:val="006B4DB1"/>
    <w:rsid w:val="006B4E1A"/>
    <w:rsid w:val="006B52DF"/>
    <w:rsid w:val="006B5739"/>
    <w:rsid w:val="006B5AAB"/>
    <w:rsid w:val="006B687F"/>
    <w:rsid w:val="006B6DD0"/>
    <w:rsid w:val="006B6F49"/>
    <w:rsid w:val="006B7142"/>
    <w:rsid w:val="006B7D41"/>
    <w:rsid w:val="006C025F"/>
    <w:rsid w:val="006C0399"/>
    <w:rsid w:val="006C1C56"/>
    <w:rsid w:val="006C2A8E"/>
    <w:rsid w:val="006C2BBB"/>
    <w:rsid w:val="006C3255"/>
    <w:rsid w:val="006C33FE"/>
    <w:rsid w:val="006C383A"/>
    <w:rsid w:val="006C3A17"/>
    <w:rsid w:val="006C3D9A"/>
    <w:rsid w:val="006C3F26"/>
    <w:rsid w:val="006C4119"/>
    <w:rsid w:val="006C44A4"/>
    <w:rsid w:val="006C5167"/>
    <w:rsid w:val="006C52AD"/>
    <w:rsid w:val="006C5694"/>
    <w:rsid w:val="006C58D5"/>
    <w:rsid w:val="006C658E"/>
    <w:rsid w:val="006C66F0"/>
    <w:rsid w:val="006C6FC0"/>
    <w:rsid w:val="006C721F"/>
    <w:rsid w:val="006C7512"/>
    <w:rsid w:val="006C771C"/>
    <w:rsid w:val="006D069B"/>
    <w:rsid w:val="006D0B4D"/>
    <w:rsid w:val="006D0D17"/>
    <w:rsid w:val="006D101B"/>
    <w:rsid w:val="006D1569"/>
    <w:rsid w:val="006D1B71"/>
    <w:rsid w:val="006D2B5B"/>
    <w:rsid w:val="006D34CB"/>
    <w:rsid w:val="006D38C8"/>
    <w:rsid w:val="006D3AA4"/>
    <w:rsid w:val="006D3C7D"/>
    <w:rsid w:val="006D4659"/>
    <w:rsid w:val="006D51E6"/>
    <w:rsid w:val="006D5360"/>
    <w:rsid w:val="006D57C9"/>
    <w:rsid w:val="006D5C34"/>
    <w:rsid w:val="006D5D5F"/>
    <w:rsid w:val="006D6667"/>
    <w:rsid w:val="006D68FB"/>
    <w:rsid w:val="006D7437"/>
    <w:rsid w:val="006D7510"/>
    <w:rsid w:val="006D7605"/>
    <w:rsid w:val="006D78CE"/>
    <w:rsid w:val="006D7C8C"/>
    <w:rsid w:val="006D7E80"/>
    <w:rsid w:val="006D7FE2"/>
    <w:rsid w:val="006E1686"/>
    <w:rsid w:val="006E2096"/>
    <w:rsid w:val="006E224A"/>
    <w:rsid w:val="006E2868"/>
    <w:rsid w:val="006E2B0F"/>
    <w:rsid w:val="006E37B1"/>
    <w:rsid w:val="006E4851"/>
    <w:rsid w:val="006E4DB5"/>
    <w:rsid w:val="006E55BE"/>
    <w:rsid w:val="006E56E5"/>
    <w:rsid w:val="006E6301"/>
    <w:rsid w:val="006E63BD"/>
    <w:rsid w:val="006E6488"/>
    <w:rsid w:val="006E6BF6"/>
    <w:rsid w:val="006E6E72"/>
    <w:rsid w:val="006E6EA6"/>
    <w:rsid w:val="006E72E6"/>
    <w:rsid w:val="006E7A34"/>
    <w:rsid w:val="006E7E23"/>
    <w:rsid w:val="006F057E"/>
    <w:rsid w:val="006F06BB"/>
    <w:rsid w:val="006F07A8"/>
    <w:rsid w:val="006F0E9E"/>
    <w:rsid w:val="006F15CA"/>
    <w:rsid w:val="006F2533"/>
    <w:rsid w:val="006F2A6E"/>
    <w:rsid w:val="006F306C"/>
    <w:rsid w:val="006F3948"/>
    <w:rsid w:val="006F3E86"/>
    <w:rsid w:val="006F47FF"/>
    <w:rsid w:val="006F4A8D"/>
    <w:rsid w:val="006F4D6B"/>
    <w:rsid w:val="006F4DDF"/>
    <w:rsid w:val="006F59A6"/>
    <w:rsid w:val="006F5E18"/>
    <w:rsid w:val="006F60B1"/>
    <w:rsid w:val="006F6170"/>
    <w:rsid w:val="006F6325"/>
    <w:rsid w:val="006F63A5"/>
    <w:rsid w:val="006F7911"/>
    <w:rsid w:val="007004F4"/>
    <w:rsid w:val="007009F0"/>
    <w:rsid w:val="00700B63"/>
    <w:rsid w:val="0070142B"/>
    <w:rsid w:val="00701B6D"/>
    <w:rsid w:val="0070201E"/>
    <w:rsid w:val="00702676"/>
    <w:rsid w:val="0070276E"/>
    <w:rsid w:val="00702D02"/>
    <w:rsid w:val="00702F8F"/>
    <w:rsid w:val="0070365E"/>
    <w:rsid w:val="00703869"/>
    <w:rsid w:val="00703A34"/>
    <w:rsid w:val="00704B26"/>
    <w:rsid w:val="00704F43"/>
    <w:rsid w:val="007055C5"/>
    <w:rsid w:val="00706121"/>
    <w:rsid w:val="00707057"/>
    <w:rsid w:val="007079FC"/>
    <w:rsid w:val="007100D8"/>
    <w:rsid w:val="00710278"/>
    <w:rsid w:val="007105C2"/>
    <w:rsid w:val="0071079D"/>
    <w:rsid w:val="007110B3"/>
    <w:rsid w:val="007115BC"/>
    <w:rsid w:val="00711A36"/>
    <w:rsid w:val="00711B22"/>
    <w:rsid w:val="00714C26"/>
    <w:rsid w:val="0071529C"/>
    <w:rsid w:val="00715545"/>
    <w:rsid w:val="00715C06"/>
    <w:rsid w:val="00715C4A"/>
    <w:rsid w:val="00715E68"/>
    <w:rsid w:val="0071608F"/>
    <w:rsid w:val="00716ECD"/>
    <w:rsid w:val="007170DA"/>
    <w:rsid w:val="007172AD"/>
    <w:rsid w:val="007172DA"/>
    <w:rsid w:val="00717581"/>
    <w:rsid w:val="00717CB5"/>
    <w:rsid w:val="00720370"/>
    <w:rsid w:val="0072068A"/>
    <w:rsid w:val="00720801"/>
    <w:rsid w:val="00720E2B"/>
    <w:rsid w:val="00720F2E"/>
    <w:rsid w:val="00721757"/>
    <w:rsid w:val="00721AF0"/>
    <w:rsid w:val="007222DB"/>
    <w:rsid w:val="00722B1B"/>
    <w:rsid w:val="00723287"/>
    <w:rsid w:val="00723DD7"/>
    <w:rsid w:val="00724047"/>
    <w:rsid w:val="0072416F"/>
    <w:rsid w:val="00725247"/>
    <w:rsid w:val="00725B63"/>
    <w:rsid w:val="00726449"/>
    <w:rsid w:val="0072645D"/>
    <w:rsid w:val="007264FB"/>
    <w:rsid w:val="0072650E"/>
    <w:rsid w:val="007265C5"/>
    <w:rsid w:val="007270A0"/>
    <w:rsid w:val="00727BC3"/>
    <w:rsid w:val="00727C94"/>
    <w:rsid w:val="00730AF3"/>
    <w:rsid w:val="00730BBE"/>
    <w:rsid w:val="00731661"/>
    <w:rsid w:val="00731B0A"/>
    <w:rsid w:val="00731EAE"/>
    <w:rsid w:val="007323CB"/>
    <w:rsid w:val="00732BAF"/>
    <w:rsid w:val="00732FDA"/>
    <w:rsid w:val="00733073"/>
    <w:rsid w:val="00733435"/>
    <w:rsid w:val="00733D79"/>
    <w:rsid w:val="007342FB"/>
    <w:rsid w:val="00734560"/>
    <w:rsid w:val="00734AB0"/>
    <w:rsid w:val="00734F0B"/>
    <w:rsid w:val="00734F4B"/>
    <w:rsid w:val="00735033"/>
    <w:rsid w:val="00735328"/>
    <w:rsid w:val="007355A9"/>
    <w:rsid w:val="00736034"/>
    <w:rsid w:val="007367D1"/>
    <w:rsid w:val="00736804"/>
    <w:rsid w:val="0073685B"/>
    <w:rsid w:val="007372F8"/>
    <w:rsid w:val="00737FC8"/>
    <w:rsid w:val="00740475"/>
    <w:rsid w:val="00740BFC"/>
    <w:rsid w:val="00741467"/>
    <w:rsid w:val="007417A8"/>
    <w:rsid w:val="00741D9A"/>
    <w:rsid w:val="00741EA4"/>
    <w:rsid w:val="00741ED2"/>
    <w:rsid w:val="007429EE"/>
    <w:rsid w:val="0074381F"/>
    <w:rsid w:val="00743AA9"/>
    <w:rsid w:val="00743D9F"/>
    <w:rsid w:val="00744737"/>
    <w:rsid w:val="007449BF"/>
    <w:rsid w:val="0074563C"/>
    <w:rsid w:val="00745B37"/>
    <w:rsid w:val="007460CF"/>
    <w:rsid w:val="007462C6"/>
    <w:rsid w:val="007464E4"/>
    <w:rsid w:val="00746731"/>
    <w:rsid w:val="00746BC0"/>
    <w:rsid w:val="00746FB5"/>
    <w:rsid w:val="007471FD"/>
    <w:rsid w:val="00747244"/>
    <w:rsid w:val="007510B4"/>
    <w:rsid w:val="00751775"/>
    <w:rsid w:val="00752142"/>
    <w:rsid w:val="007522AC"/>
    <w:rsid w:val="0075237D"/>
    <w:rsid w:val="007523F9"/>
    <w:rsid w:val="00753323"/>
    <w:rsid w:val="0075357E"/>
    <w:rsid w:val="00753E64"/>
    <w:rsid w:val="0075405C"/>
    <w:rsid w:val="0075476A"/>
    <w:rsid w:val="00754929"/>
    <w:rsid w:val="00755062"/>
    <w:rsid w:val="0075557B"/>
    <w:rsid w:val="00756FA4"/>
    <w:rsid w:val="007573E8"/>
    <w:rsid w:val="007579B5"/>
    <w:rsid w:val="0076031D"/>
    <w:rsid w:val="007605D7"/>
    <w:rsid w:val="0076064B"/>
    <w:rsid w:val="00760C4E"/>
    <w:rsid w:val="00760C72"/>
    <w:rsid w:val="00760F9E"/>
    <w:rsid w:val="007610E6"/>
    <w:rsid w:val="00761D64"/>
    <w:rsid w:val="007627BE"/>
    <w:rsid w:val="00762C66"/>
    <w:rsid w:val="00762CF6"/>
    <w:rsid w:val="00762E46"/>
    <w:rsid w:val="00763B3C"/>
    <w:rsid w:val="00763C34"/>
    <w:rsid w:val="007647A8"/>
    <w:rsid w:val="007649D3"/>
    <w:rsid w:val="00764F03"/>
    <w:rsid w:val="0076538F"/>
    <w:rsid w:val="00765434"/>
    <w:rsid w:val="0076592D"/>
    <w:rsid w:val="00765A0D"/>
    <w:rsid w:val="00765B1A"/>
    <w:rsid w:val="00765B85"/>
    <w:rsid w:val="00766109"/>
    <w:rsid w:val="007664AE"/>
    <w:rsid w:val="0076679C"/>
    <w:rsid w:val="00767CCC"/>
    <w:rsid w:val="0077016A"/>
    <w:rsid w:val="007702DD"/>
    <w:rsid w:val="0077096D"/>
    <w:rsid w:val="00771C3E"/>
    <w:rsid w:val="00773224"/>
    <w:rsid w:val="007736A8"/>
    <w:rsid w:val="00773AD0"/>
    <w:rsid w:val="00773EBE"/>
    <w:rsid w:val="0077439E"/>
    <w:rsid w:val="00774892"/>
    <w:rsid w:val="00774960"/>
    <w:rsid w:val="00777071"/>
    <w:rsid w:val="00777335"/>
    <w:rsid w:val="00777C42"/>
    <w:rsid w:val="007807D1"/>
    <w:rsid w:val="00780C06"/>
    <w:rsid w:val="0078200A"/>
    <w:rsid w:val="0078254B"/>
    <w:rsid w:val="0078316E"/>
    <w:rsid w:val="00783325"/>
    <w:rsid w:val="00783451"/>
    <w:rsid w:val="00783ACA"/>
    <w:rsid w:val="00783B39"/>
    <w:rsid w:val="00783D01"/>
    <w:rsid w:val="007843F2"/>
    <w:rsid w:val="007846AA"/>
    <w:rsid w:val="007847D1"/>
    <w:rsid w:val="00784B6B"/>
    <w:rsid w:val="007857CE"/>
    <w:rsid w:val="00785A9F"/>
    <w:rsid w:val="007861B7"/>
    <w:rsid w:val="00787105"/>
    <w:rsid w:val="007877E4"/>
    <w:rsid w:val="00792107"/>
    <w:rsid w:val="007925DF"/>
    <w:rsid w:val="007929B8"/>
    <w:rsid w:val="007929D2"/>
    <w:rsid w:val="00792B06"/>
    <w:rsid w:val="00792F8F"/>
    <w:rsid w:val="007932F2"/>
    <w:rsid w:val="00793CFF"/>
    <w:rsid w:val="007950B5"/>
    <w:rsid w:val="0079558F"/>
    <w:rsid w:val="00795A9A"/>
    <w:rsid w:val="00795BFC"/>
    <w:rsid w:val="00796CE6"/>
    <w:rsid w:val="00796D00"/>
    <w:rsid w:val="00797EB2"/>
    <w:rsid w:val="007A02A8"/>
    <w:rsid w:val="007A08AA"/>
    <w:rsid w:val="007A0A12"/>
    <w:rsid w:val="007A132D"/>
    <w:rsid w:val="007A1345"/>
    <w:rsid w:val="007A163C"/>
    <w:rsid w:val="007A2DDB"/>
    <w:rsid w:val="007A2FC4"/>
    <w:rsid w:val="007A323F"/>
    <w:rsid w:val="007A3442"/>
    <w:rsid w:val="007A3EB4"/>
    <w:rsid w:val="007A51D2"/>
    <w:rsid w:val="007A5796"/>
    <w:rsid w:val="007A616C"/>
    <w:rsid w:val="007A6B65"/>
    <w:rsid w:val="007A70BA"/>
    <w:rsid w:val="007A779D"/>
    <w:rsid w:val="007A78B1"/>
    <w:rsid w:val="007A78C9"/>
    <w:rsid w:val="007A7FD1"/>
    <w:rsid w:val="007B0781"/>
    <w:rsid w:val="007B0865"/>
    <w:rsid w:val="007B0D68"/>
    <w:rsid w:val="007B12FE"/>
    <w:rsid w:val="007B1566"/>
    <w:rsid w:val="007B18F6"/>
    <w:rsid w:val="007B21DC"/>
    <w:rsid w:val="007B251D"/>
    <w:rsid w:val="007B25EC"/>
    <w:rsid w:val="007B38A2"/>
    <w:rsid w:val="007B3981"/>
    <w:rsid w:val="007B3EE9"/>
    <w:rsid w:val="007B3F4B"/>
    <w:rsid w:val="007B41AA"/>
    <w:rsid w:val="007B4F58"/>
    <w:rsid w:val="007B50AE"/>
    <w:rsid w:val="007B528D"/>
    <w:rsid w:val="007B52CD"/>
    <w:rsid w:val="007B57AF"/>
    <w:rsid w:val="007B5903"/>
    <w:rsid w:val="007B63CA"/>
    <w:rsid w:val="007B6B7E"/>
    <w:rsid w:val="007B77D1"/>
    <w:rsid w:val="007B798D"/>
    <w:rsid w:val="007B7D68"/>
    <w:rsid w:val="007C07C7"/>
    <w:rsid w:val="007C0823"/>
    <w:rsid w:val="007C12AD"/>
    <w:rsid w:val="007C19B0"/>
    <w:rsid w:val="007C1CD9"/>
    <w:rsid w:val="007C265A"/>
    <w:rsid w:val="007C2ACA"/>
    <w:rsid w:val="007C2CC5"/>
    <w:rsid w:val="007C32EF"/>
    <w:rsid w:val="007C33C8"/>
    <w:rsid w:val="007C361D"/>
    <w:rsid w:val="007C40F9"/>
    <w:rsid w:val="007C4B84"/>
    <w:rsid w:val="007C52C4"/>
    <w:rsid w:val="007C54F6"/>
    <w:rsid w:val="007C5EB6"/>
    <w:rsid w:val="007C70FF"/>
    <w:rsid w:val="007C77A6"/>
    <w:rsid w:val="007C7C25"/>
    <w:rsid w:val="007D004F"/>
    <w:rsid w:val="007D07C6"/>
    <w:rsid w:val="007D0B38"/>
    <w:rsid w:val="007D0F9B"/>
    <w:rsid w:val="007D2736"/>
    <w:rsid w:val="007D30EF"/>
    <w:rsid w:val="007D39EC"/>
    <w:rsid w:val="007D3B2F"/>
    <w:rsid w:val="007D490A"/>
    <w:rsid w:val="007D4CBA"/>
    <w:rsid w:val="007D5440"/>
    <w:rsid w:val="007D55A4"/>
    <w:rsid w:val="007D575A"/>
    <w:rsid w:val="007D69EB"/>
    <w:rsid w:val="007D6EDA"/>
    <w:rsid w:val="007D6F3A"/>
    <w:rsid w:val="007D70F4"/>
    <w:rsid w:val="007E07A3"/>
    <w:rsid w:val="007E128F"/>
    <w:rsid w:val="007E14BD"/>
    <w:rsid w:val="007E1EF5"/>
    <w:rsid w:val="007E1F76"/>
    <w:rsid w:val="007E2753"/>
    <w:rsid w:val="007E3579"/>
    <w:rsid w:val="007E36F0"/>
    <w:rsid w:val="007E4634"/>
    <w:rsid w:val="007E55C6"/>
    <w:rsid w:val="007E5AF1"/>
    <w:rsid w:val="007E5F8C"/>
    <w:rsid w:val="007E5FB5"/>
    <w:rsid w:val="007E665F"/>
    <w:rsid w:val="007E6E6D"/>
    <w:rsid w:val="007E70EC"/>
    <w:rsid w:val="007E7AEB"/>
    <w:rsid w:val="007E7E89"/>
    <w:rsid w:val="007F086F"/>
    <w:rsid w:val="007F0F10"/>
    <w:rsid w:val="007F1017"/>
    <w:rsid w:val="007F2664"/>
    <w:rsid w:val="007F2F8A"/>
    <w:rsid w:val="007F415C"/>
    <w:rsid w:val="007F4704"/>
    <w:rsid w:val="007F4A3F"/>
    <w:rsid w:val="007F4A61"/>
    <w:rsid w:val="007F4F51"/>
    <w:rsid w:val="007F5255"/>
    <w:rsid w:val="007F55AE"/>
    <w:rsid w:val="007F56CC"/>
    <w:rsid w:val="007F5922"/>
    <w:rsid w:val="007F5A89"/>
    <w:rsid w:val="007F61C2"/>
    <w:rsid w:val="007F6FFE"/>
    <w:rsid w:val="007F79A9"/>
    <w:rsid w:val="007F7D5C"/>
    <w:rsid w:val="007F7ED8"/>
    <w:rsid w:val="007F7FED"/>
    <w:rsid w:val="0080007A"/>
    <w:rsid w:val="00801CBA"/>
    <w:rsid w:val="00801D2C"/>
    <w:rsid w:val="0080218F"/>
    <w:rsid w:val="00802553"/>
    <w:rsid w:val="00802578"/>
    <w:rsid w:val="00802628"/>
    <w:rsid w:val="00802A7E"/>
    <w:rsid w:val="00803C44"/>
    <w:rsid w:val="008040D8"/>
    <w:rsid w:val="00804D5B"/>
    <w:rsid w:val="00804E8A"/>
    <w:rsid w:val="00805142"/>
    <w:rsid w:val="00805EAF"/>
    <w:rsid w:val="00805FCE"/>
    <w:rsid w:val="00806635"/>
    <w:rsid w:val="00806C23"/>
    <w:rsid w:val="00806C37"/>
    <w:rsid w:val="00807174"/>
    <w:rsid w:val="00807511"/>
    <w:rsid w:val="0080772A"/>
    <w:rsid w:val="0080774C"/>
    <w:rsid w:val="00807776"/>
    <w:rsid w:val="0080795D"/>
    <w:rsid w:val="00807A8B"/>
    <w:rsid w:val="00807E84"/>
    <w:rsid w:val="0081002B"/>
    <w:rsid w:val="00811383"/>
    <w:rsid w:val="00812149"/>
    <w:rsid w:val="00812A9F"/>
    <w:rsid w:val="00812CAC"/>
    <w:rsid w:val="008160C4"/>
    <w:rsid w:val="00816275"/>
    <w:rsid w:val="00816361"/>
    <w:rsid w:val="008166EF"/>
    <w:rsid w:val="00816791"/>
    <w:rsid w:val="00816972"/>
    <w:rsid w:val="00816981"/>
    <w:rsid w:val="00816FEF"/>
    <w:rsid w:val="008172D3"/>
    <w:rsid w:val="00817577"/>
    <w:rsid w:val="00817833"/>
    <w:rsid w:val="00817F59"/>
    <w:rsid w:val="008202F4"/>
    <w:rsid w:val="00820A8C"/>
    <w:rsid w:val="00820D07"/>
    <w:rsid w:val="00820DB2"/>
    <w:rsid w:val="008215FB"/>
    <w:rsid w:val="0082168C"/>
    <w:rsid w:val="008227FB"/>
    <w:rsid w:val="00822F02"/>
    <w:rsid w:val="00823174"/>
    <w:rsid w:val="00823A3D"/>
    <w:rsid w:val="0082542D"/>
    <w:rsid w:val="00825751"/>
    <w:rsid w:val="00825E0E"/>
    <w:rsid w:val="008264EB"/>
    <w:rsid w:val="008267C9"/>
    <w:rsid w:val="00826A72"/>
    <w:rsid w:val="008274A6"/>
    <w:rsid w:val="008279D2"/>
    <w:rsid w:val="00827C59"/>
    <w:rsid w:val="008307C5"/>
    <w:rsid w:val="00830E31"/>
    <w:rsid w:val="00831571"/>
    <w:rsid w:val="00831817"/>
    <w:rsid w:val="00831BD7"/>
    <w:rsid w:val="00832377"/>
    <w:rsid w:val="00833B05"/>
    <w:rsid w:val="00833E46"/>
    <w:rsid w:val="00833EE9"/>
    <w:rsid w:val="0083422D"/>
    <w:rsid w:val="00834357"/>
    <w:rsid w:val="0083473C"/>
    <w:rsid w:val="008358D1"/>
    <w:rsid w:val="008359F5"/>
    <w:rsid w:val="00835A3E"/>
    <w:rsid w:val="00835AC0"/>
    <w:rsid w:val="008362B4"/>
    <w:rsid w:val="008404A5"/>
    <w:rsid w:val="00840CA2"/>
    <w:rsid w:val="00841240"/>
    <w:rsid w:val="0084359F"/>
    <w:rsid w:val="0084374F"/>
    <w:rsid w:val="00843C2E"/>
    <w:rsid w:val="0084463F"/>
    <w:rsid w:val="00844A22"/>
    <w:rsid w:val="00845F00"/>
    <w:rsid w:val="008463BB"/>
    <w:rsid w:val="00846AA4"/>
    <w:rsid w:val="00846DB8"/>
    <w:rsid w:val="0084733E"/>
    <w:rsid w:val="00847703"/>
    <w:rsid w:val="00847A70"/>
    <w:rsid w:val="00847DF5"/>
    <w:rsid w:val="00850546"/>
    <w:rsid w:val="008507BF"/>
    <w:rsid w:val="00851517"/>
    <w:rsid w:val="00852AF3"/>
    <w:rsid w:val="0085309D"/>
    <w:rsid w:val="00853D78"/>
    <w:rsid w:val="00853DF1"/>
    <w:rsid w:val="00856056"/>
    <w:rsid w:val="00856897"/>
    <w:rsid w:val="008568AF"/>
    <w:rsid w:val="00856E9A"/>
    <w:rsid w:val="0085773B"/>
    <w:rsid w:val="008600CE"/>
    <w:rsid w:val="0086057C"/>
    <w:rsid w:val="008605C2"/>
    <w:rsid w:val="0086075D"/>
    <w:rsid w:val="00860793"/>
    <w:rsid w:val="00860A18"/>
    <w:rsid w:val="00860A40"/>
    <w:rsid w:val="00860B13"/>
    <w:rsid w:val="00861251"/>
    <w:rsid w:val="0086181C"/>
    <w:rsid w:val="00862197"/>
    <w:rsid w:val="008621BA"/>
    <w:rsid w:val="00862226"/>
    <w:rsid w:val="00862502"/>
    <w:rsid w:val="0086250E"/>
    <w:rsid w:val="0086273E"/>
    <w:rsid w:val="00862CC1"/>
    <w:rsid w:val="008632F6"/>
    <w:rsid w:val="00863310"/>
    <w:rsid w:val="00864F52"/>
    <w:rsid w:val="00865449"/>
    <w:rsid w:val="008656A9"/>
    <w:rsid w:val="00865D41"/>
    <w:rsid w:val="008660D4"/>
    <w:rsid w:val="0086639A"/>
    <w:rsid w:val="008665D4"/>
    <w:rsid w:val="00866809"/>
    <w:rsid w:val="00867848"/>
    <w:rsid w:val="00867C69"/>
    <w:rsid w:val="00867C78"/>
    <w:rsid w:val="008704B4"/>
    <w:rsid w:val="00870585"/>
    <w:rsid w:val="00871614"/>
    <w:rsid w:val="008718DE"/>
    <w:rsid w:val="00871FA9"/>
    <w:rsid w:val="008728E9"/>
    <w:rsid w:val="00872A6F"/>
    <w:rsid w:val="00872BB7"/>
    <w:rsid w:val="00872D8B"/>
    <w:rsid w:val="008733BA"/>
    <w:rsid w:val="00873E79"/>
    <w:rsid w:val="008749B9"/>
    <w:rsid w:val="00875567"/>
    <w:rsid w:val="008757B6"/>
    <w:rsid w:val="008757F9"/>
    <w:rsid w:val="00875D41"/>
    <w:rsid w:val="008761B0"/>
    <w:rsid w:val="00876566"/>
    <w:rsid w:val="00876762"/>
    <w:rsid w:val="00876F50"/>
    <w:rsid w:val="008777F9"/>
    <w:rsid w:val="008802DC"/>
    <w:rsid w:val="008803A3"/>
    <w:rsid w:val="0088088B"/>
    <w:rsid w:val="00880D55"/>
    <w:rsid w:val="00881688"/>
    <w:rsid w:val="00881D29"/>
    <w:rsid w:val="008820AC"/>
    <w:rsid w:val="00882874"/>
    <w:rsid w:val="008829F4"/>
    <w:rsid w:val="00882E3C"/>
    <w:rsid w:val="00883382"/>
    <w:rsid w:val="00883787"/>
    <w:rsid w:val="00883A63"/>
    <w:rsid w:val="00883ABF"/>
    <w:rsid w:val="00884BD2"/>
    <w:rsid w:val="00884C61"/>
    <w:rsid w:val="008854E4"/>
    <w:rsid w:val="008855E4"/>
    <w:rsid w:val="00886469"/>
    <w:rsid w:val="008866A8"/>
    <w:rsid w:val="00886CD2"/>
    <w:rsid w:val="00886D7B"/>
    <w:rsid w:val="0088731B"/>
    <w:rsid w:val="00887A22"/>
    <w:rsid w:val="00887A90"/>
    <w:rsid w:val="00890D1A"/>
    <w:rsid w:val="008917E5"/>
    <w:rsid w:val="0089180E"/>
    <w:rsid w:val="00891E6F"/>
    <w:rsid w:val="0089218B"/>
    <w:rsid w:val="0089275D"/>
    <w:rsid w:val="00892A36"/>
    <w:rsid w:val="00892D0F"/>
    <w:rsid w:val="00893239"/>
    <w:rsid w:val="00893310"/>
    <w:rsid w:val="00893430"/>
    <w:rsid w:val="00893AB6"/>
    <w:rsid w:val="00893FAF"/>
    <w:rsid w:val="00894489"/>
    <w:rsid w:val="008944CE"/>
    <w:rsid w:val="0089456D"/>
    <w:rsid w:val="00894672"/>
    <w:rsid w:val="00895361"/>
    <w:rsid w:val="00895701"/>
    <w:rsid w:val="00895CFB"/>
    <w:rsid w:val="00895E82"/>
    <w:rsid w:val="00896363"/>
    <w:rsid w:val="008963A5"/>
    <w:rsid w:val="00896D5D"/>
    <w:rsid w:val="008A08A5"/>
    <w:rsid w:val="008A0DF5"/>
    <w:rsid w:val="008A18E6"/>
    <w:rsid w:val="008A1D39"/>
    <w:rsid w:val="008A25C7"/>
    <w:rsid w:val="008A2E32"/>
    <w:rsid w:val="008A30F8"/>
    <w:rsid w:val="008A3363"/>
    <w:rsid w:val="008A3371"/>
    <w:rsid w:val="008A3C3E"/>
    <w:rsid w:val="008A4B3A"/>
    <w:rsid w:val="008A4B5D"/>
    <w:rsid w:val="008A4F47"/>
    <w:rsid w:val="008A4F68"/>
    <w:rsid w:val="008A50A9"/>
    <w:rsid w:val="008A54A1"/>
    <w:rsid w:val="008A5C1F"/>
    <w:rsid w:val="008A65C2"/>
    <w:rsid w:val="008A695F"/>
    <w:rsid w:val="008A6D96"/>
    <w:rsid w:val="008A6F46"/>
    <w:rsid w:val="008A7643"/>
    <w:rsid w:val="008A79DE"/>
    <w:rsid w:val="008A7F5B"/>
    <w:rsid w:val="008B0123"/>
    <w:rsid w:val="008B0F85"/>
    <w:rsid w:val="008B105D"/>
    <w:rsid w:val="008B11C4"/>
    <w:rsid w:val="008B1201"/>
    <w:rsid w:val="008B1757"/>
    <w:rsid w:val="008B1AB2"/>
    <w:rsid w:val="008B1DEC"/>
    <w:rsid w:val="008B2811"/>
    <w:rsid w:val="008B2950"/>
    <w:rsid w:val="008B47AB"/>
    <w:rsid w:val="008B48D3"/>
    <w:rsid w:val="008B50E4"/>
    <w:rsid w:val="008B50F1"/>
    <w:rsid w:val="008B557E"/>
    <w:rsid w:val="008B55F5"/>
    <w:rsid w:val="008B64CD"/>
    <w:rsid w:val="008B66D7"/>
    <w:rsid w:val="008B68FA"/>
    <w:rsid w:val="008B7992"/>
    <w:rsid w:val="008B7D7E"/>
    <w:rsid w:val="008B7F8B"/>
    <w:rsid w:val="008C05FE"/>
    <w:rsid w:val="008C086D"/>
    <w:rsid w:val="008C1504"/>
    <w:rsid w:val="008C1510"/>
    <w:rsid w:val="008C1636"/>
    <w:rsid w:val="008C1796"/>
    <w:rsid w:val="008C192E"/>
    <w:rsid w:val="008C2568"/>
    <w:rsid w:val="008C265A"/>
    <w:rsid w:val="008C3877"/>
    <w:rsid w:val="008C4704"/>
    <w:rsid w:val="008C4B6D"/>
    <w:rsid w:val="008C5610"/>
    <w:rsid w:val="008C5739"/>
    <w:rsid w:val="008C700F"/>
    <w:rsid w:val="008C738E"/>
    <w:rsid w:val="008C73A5"/>
    <w:rsid w:val="008C7ECB"/>
    <w:rsid w:val="008C7FFC"/>
    <w:rsid w:val="008D02DC"/>
    <w:rsid w:val="008D1337"/>
    <w:rsid w:val="008D1CBD"/>
    <w:rsid w:val="008D31D0"/>
    <w:rsid w:val="008D33CD"/>
    <w:rsid w:val="008D354D"/>
    <w:rsid w:val="008D3A81"/>
    <w:rsid w:val="008D3B86"/>
    <w:rsid w:val="008D43DF"/>
    <w:rsid w:val="008D45E1"/>
    <w:rsid w:val="008D4755"/>
    <w:rsid w:val="008D489F"/>
    <w:rsid w:val="008D4952"/>
    <w:rsid w:val="008D49CE"/>
    <w:rsid w:val="008D4BBA"/>
    <w:rsid w:val="008D4C3D"/>
    <w:rsid w:val="008D4D40"/>
    <w:rsid w:val="008D51BA"/>
    <w:rsid w:val="008D55A3"/>
    <w:rsid w:val="008D61A4"/>
    <w:rsid w:val="008D743C"/>
    <w:rsid w:val="008D75FA"/>
    <w:rsid w:val="008D7638"/>
    <w:rsid w:val="008E0644"/>
    <w:rsid w:val="008E0CFE"/>
    <w:rsid w:val="008E0D3C"/>
    <w:rsid w:val="008E1306"/>
    <w:rsid w:val="008E16DD"/>
    <w:rsid w:val="008E1B9E"/>
    <w:rsid w:val="008E1FB8"/>
    <w:rsid w:val="008E288D"/>
    <w:rsid w:val="008E28E2"/>
    <w:rsid w:val="008E2E3D"/>
    <w:rsid w:val="008E33B0"/>
    <w:rsid w:val="008E3866"/>
    <w:rsid w:val="008E3F42"/>
    <w:rsid w:val="008E4873"/>
    <w:rsid w:val="008E5242"/>
    <w:rsid w:val="008E55AB"/>
    <w:rsid w:val="008E55F5"/>
    <w:rsid w:val="008E5F72"/>
    <w:rsid w:val="008E6533"/>
    <w:rsid w:val="008E69FC"/>
    <w:rsid w:val="008E725E"/>
    <w:rsid w:val="008E7A71"/>
    <w:rsid w:val="008E7C96"/>
    <w:rsid w:val="008F00A4"/>
    <w:rsid w:val="008F06CD"/>
    <w:rsid w:val="008F0836"/>
    <w:rsid w:val="008F092B"/>
    <w:rsid w:val="008F120A"/>
    <w:rsid w:val="008F183A"/>
    <w:rsid w:val="008F1FE6"/>
    <w:rsid w:val="008F2330"/>
    <w:rsid w:val="008F258F"/>
    <w:rsid w:val="008F27E0"/>
    <w:rsid w:val="008F2E1F"/>
    <w:rsid w:val="008F2EAA"/>
    <w:rsid w:val="008F3156"/>
    <w:rsid w:val="008F48EB"/>
    <w:rsid w:val="008F4F0B"/>
    <w:rsid w:val="008F520F"/>
    <w:rsid w:val="008F529F"/>
    <w:rsid w:val="008F54B8"/>
    <w:rsid w:val="008F586B"/>
    <w:rsid w:val="008F744C"/>
    <w:rsid w:val="008F7BD5"/>
    <w:rsid w:val="00900C8A"/>
    <w:rsid w:val="00902379"/>
    <w:rsid w:val="009037CA"/>
    <w:rsid w:val="00903C7A"/>
    <w:rsid w:val="0090459D"/>
    <w:rsid w:val="009046C4"/>
    <w:rsid w:val="009046F7"/>
    <w:rsid w:val="0090582E"/>
    <w:rsid w:val="009058BE"/>
    <w:rsid w:val="00905F19"/>
    <w:rsid w:val="009062A5"/>
    <w:rsid w:val="009068E5"/>
    <w:rsid w:val="00906B40"/>
    <w:rsid w:val="0090700A"/>
    <w:rsid w:val="00907ED3"/>
    <w:rsid w:val="00910FA7"/>
    <w:rsid w:val="009110C6"/>
    <w:rsid w:val="00911272"/>
    <w:rsid w:val="00911AEE"/>
    <w:rsid w:val="0091246E"/>
    <w:rsid w:val="009125AC"/>
    <w:rsid w:val="009135D6"/>
    <w:rsid w:val="009138DE"/>
    <w:rsid w:val="00913B1F"/>
    <w:rsid w:val="00914C77"/>
    <w:rsid w:val="0091517D"/>
    <w:rsid w:val="00915670"/>
    <w:rsid w:val="00915A28"/>
    <w:rsid w:val="0091720B"/>
    <w:rsid w:val="0091724E"/>
    <w:rsid w:val="00917A3F"/>
    <w:rsid w:val="0092018A"/>
    <w:rsid w:val="009204FB"/>
    <w:rsid w:val="00920AD9"/>
    <w:rsid w:val="00921ACB"/>
    <w:rsid w:val="009225A5"/>
    <w:rsid w:val="00922D11"/>
    <w:rsid w:val="00922FFD"/>
    <w:rsid w:val="0092369B"/>
    <w:rsid w:val="0092390B"/>
    <w:rsid w:val="00923AB8"/>
    <w:rsid w:val="00924794"/>
    <w:rsid w:val="00924C05"/>
    <w:rsid w:val="00924E95"/>
    <w:rsid w:val="00925068"/>
    <w:rsid w:val="009250CA"/>
    <w:rsid w:val="009252AD"/>
    <w:rsid w:val="00925389"/>
    <w:rsid w:val="00925A1B"/>
    <w:rsid w:val="00925B4A"/>
    <w:rsid w:val="0093087F"/>
    <w:rsid w:val="00930FD0"/>
    <w:rsid w:val="00931028"/>
    <w:rsid w:val="0093103A"/>
    <w:rsid w:val="009310EB"/>
    <w:rsid w:val="009311A8"/>
    <w:rsid w:val="00931493"/>
    <w:rsid w:val="009314B6"/>
    <w:rsid w:val="00931764"/>
    <w:rsid w:val="009318AF"/>
    <w:rsid w:val="009322D2"/>
    <w:rsid w:val="009325A4"/>
    <w:rsid w:val="0093356B"/>
    <w:rsid w:val="00933A71"/>
    <w:rsid w:val="00934047"/>
    <w:rsid w:val="00934988"/>
    <w:rsid w:val="00935876"/>
    <w:rsid w:val="00936A8E"/>
    <w:rsid w:val="00937089"/>
    <w:rsid w:val="009372D1"/>
    <w:rsid w:val="009406B7"/>
    <w:rsid w:val="0094161A"/>
    <w:rsid w:val="0094252F"/>
    <w:rsid w:val="0094289B"/>
    <w:rsid w:val="009431DE"/>
    <w:rsid w:val="009434F5"/>
    <w:rsid w:val="0094373B"/>
    <w:rsid w:val="00944A61"/>
    <w:rsid w:val="00944E19"/>
    <w:rsid w:val="00944F8A"/>
    <w:rsid w:val="0094536C"/>
    <w:rsid w:val="009454BF"/>
    <w:rsid w:val="00945D88"/>
    <w:rsid w:val="0094611D"/>
    <w:rsid w:val="009466BF"/>
    <w:rsid w:val="00947869"/>
    <w:rsid w:val="009502A0"/>
    <w:rsid w:val="00950CA0"/>
    <w:rsid w:val="009510A2"/>
    <w:rsid w:val="009513EB"/>
    <w:rsid w:val="00951E7E"/>
    <w:rsid w:val="00952289"/>
    <w:rsid w:val="0095278D"/>
    <w:rsid w:val="00953257"/>
    <w:rsid w:val="00953502"/>
    <w:rsid w:val="00953731"/>
    <w:rsid w:val="0095379B"/>
    <w:rsid w:val="0095474C"/>
    <w:rsid w:val="009548B7"/>
    <w:rsid w:val="009549D1"/>
    <w:rsid w:val="00955053"/>
    <w:rsid w:val="0095573F"/>
    <w:rsid w:val="00955D4A"/>
    <w:rsid w:val="00955E53"/>
    <w:rsid w:val="00955EC6"/>
    <w:rsid w:val="00956157"/>
    <w:rsid w:val="00956875"/>
    <w:rsid w:val="00957002"/>
    <w:rsid w:val="00957991"/>
    <w:rsid w:val="00957E9F"/>
    <w:rsid w:val="0096087B"/>
    <w:rsid w:val="009617FB"/>
    <w:rsid w:val="0096230C"/>
    <w:rsid w:val="00962CB9"/>
    <w:rsid w:val="0096308E"/>
    <w:rsid w:val="0096330F"/>
    <w:rsid w:val="00964312"/>
    <w:rsid w:val="009644F6"/>
    <w:rsid w:val="00964E0A"/>
    <w:rsid w:val="00965158"/>
    <w:rsid w:val="009654DB"/>
    <w:rsid w:val="009657DF"/>
    <w:rsid w:val="00965B8A"/>
    <w:rsid w:val="00965F17"/>
    <w:rsid w:val="009663AB"/>
    <w:rsid w:val="00966666"/>
    <w:rsid w:val="00967156"/>
    <w:rsid w:val="009673AC"/>
    <w:rsid w:val="00967449"/>
    <w:rsid w:val="0097071F"/>
    <w:rsid w:val="0097138A"/>
    <w:rsid w:val="009717AC"/>
    <w:rsid w:val="0097191F"/>
    <w:rsid w:val="009720C5"/>
    <w:rsid w:val="0097226F"/>
    <w:rsid w:val="00972299"/>
    <w:rsid w:val="00972D40"/>
    <w:rsid w:val="00972EF5"/>
    <w:rsid w:val="009734E5"/>
    <w:rsid w:val="009743E9"/>
    <w:rsid w:val="0097467F"/>
    <w:rsid w:val="009749EB"/>
    <w:rsid w:val="00974BB5"/>
    <w:rsid w:val="00975110"/>
    <w:rsid w:val="009751C1"/>
    <w:rsid w:val="00975B54"/>
    <w:rsid w:val="0097613A"/>
    <w:rsid w:val="00977351"/>
    <w:rsid w:val="00980F1E"/>
    <w:rsid w:val="009811F1"/>
    <w:rsid w:val="00981AB4"/>
    <w:rsid w:val="009822A7"/>
    <w:rsid w:val="009831F7"/>
    <w:rsid w:val="00983E57"/>
    <w:rsid w:val="00984CC4"/>
    <w:rsid w:val="0098545A"/>
    <w:rsid w:val="00985542"/>
    <w:rsid w:val="00985A6F"/>
    <w:rsid w:val="00985DE2"/>
    <w:rsid w:val="0098675D"/>
    <w:rsid w:val="00986812"/>
    <w:rsid w:val="00986940"/>
    <w:rsid w:val="00987E5F"/>
    <w:rsid w:val="00987F39"/>
    <w:rsid w:val="00990CCB"/>
    <w:rsid w:val="00990D8F"/>
    <w:rsid w:val="009911AA"/>
    <w:rsid w:val="0099247B"/>
    <w:rsid w:val="009926E0"/>
    <w:rsid w:val="00992D7B"/>
    <w:rsid w:val="00992F67"/>
    <w:rsid w:val="00993476"/>
    <w:rsid w:val="0099350C"/>
    <w:rsid w:val="00993811"/>
    <w:rsid w:val="00993C01"/>
    <w:rsid w:val="0099451E"/>
    <w:rsid w:val="00994ABB"/>
    <w:rsid w:val="00994AD1"/>
    <w:rsid w:val="00994D35"/>
    <w:rsid w:val="009960EF"/>
    <w:rsid w:val="00996B1A"/>
    <w:rsid w:val="00996B5B"/>
    <w:rsid w:val="0099759C"/>
    <w:rsid w:val="0099781F"/>
    <w:rsid w:val="00997E48"/>
    <w:rsid w:val="009A1D47"/>
    <w:rsid w:val="009A1F46"/>
    <w:rsid w:val="009A2AB6"/>
    <w:rsid w:val="009A2AFD"/>
    <w:rsid w:val="009A2B1B"/>
    <w:rsid w:val="009A2DCC"/>
    <w:rsid w:val="009A2F10"/>
    <w:rsid w:val="009A3085"/>
    <w:rsid w:val="009A3130"/>
    <w:rsid w:val="009A31D4"/>
    <w:rsid w:val="009A4F6E"/>
    <w:rsid w:val="009A5347"/>
    <w:rsid w:val="009A56F6"/>
    <w:rsid w:val="009A5ABC"/>
    <w:rsid w:val="009A5C30"/>
    <w:rsid w:val="009A70D2"/>
    <w:rsid w:val="009A70EF"/>
    <w:rsid w:val="009A7F10"/>
    <w:rsid w:val="009B0267"/>
    <w:rsid w:val="009B0C51"/>
    <w:rsid w:val="009B11E7"/>
    <w:rsid w:val="009B163B"/>
    <w:rsid w:val="009B376F"/>
    <w:rsid w:val="009B3DA4"/>
    <w:rsid w:val="009B3E26"/>
    <w:rsid w:val="009B47BE"/>
    <w:rsid w:val="009B5980"/>
    <w:rsid w:val="009B61E9"/>
    <w:rsid w:val="009B64FE"/>
    <w:rsid w:val="009B7936"/>
    <w:rsid w:val="009B7FD7"/>
    <w:rsid w:val="009C00B5"/>
    <w:rsid w:val="009C08E5"/>
    <w:rsid w:val="009C0C0A"/>
    <w:rsid w:val="009C16B8"/>
    <w:rsid w:val="009C1C51"/>
    <w:rsid w:val="009C3706"/>
    <w:rsid w:val="009C3A3A"/>
    <w:rsid w:val="009C42B1"/>
    <w:rsid w:val="009C4B65"/>
    <w:rsid w:val="009C5F9C"/>
    <w:rsid w:val="009C5FA7"/>
    <w:rsid w:val="009C6AA3"/>
    <w:rsid w:val="009C6CEA"/>
    <w:rsid w:val="009C7228"/>
    <w:rsid w:val="009C7AEB"/>
    <w:rsid w:val="009C7B85"/>
    <w:rsid w:val="009C7DC5"/>
    <w:rsid w:val="009D0254"/>
    <w:rsid w:val="009D1053"/>
    <w:rsid w:val="009D1408"/>
    <w:rsid w:val="009D1485"/>
    <w:rsid w:val="009D1A64"/>
    <w:rsid w:val="009D1D6D"/>
    <w:rsid w:val="009D29EF"/>
    <w:rsid w:val="009D39C8"/>
    <w:rsid w:val="009D4B2F"/>
    <w:rsid w:val="009D54B6"/>
    <w:rsid w:val="009D5B91"/>
    <w:rsid w:val="009D610A"/>
    <w:rsid w:val="009D792E"/>
    <w:rsid w:val="009D7DCA"/>
    <w:rsid w:val="009E0D48"/>
    <w:rsid w:val="009E0DFE"/>
    <w:rsid w:val="009E0EAB"/>
    <w:rsid w:val="009E0F31"/>
    <w:rsid w:val="009E1A8A"/>
    <w:rsid w:val="009E1BC9"/>
    <w:rsid w:val="009E1C4C"/>
    <w:rsid w:val="009E23D5"/>
    <w:rsid w:val="009E28A9"/>
    <w:rsid w:val="009E31F6"/>
    <w:rsid w:val="009E3BAC"/>
    <w:rsid w:val="009E3E66"/>
    <w:rsid w:val="009E4120"/>
    <w:rsid w:val="009E4637"/>
    <w:rsid w:val="009E4BED"/>
    <w:rsid w:val="009E4C07"/>
    <w:rsid w:val="009E5774"/>
    <w:rsid w:val="009E5854"/>
    <w:rsid w:val="009E5A94"/>
    <w:rsid w:val="009E6231"/>
    <w:rsid w:val="009E668F"/>
    <w:rsid w:val="009E67C6"/>
    <w:rsid w:val="009E77A2"/>
    <w:rsid w:val="009E7988"/>
    <w:rsid w:val="009E7A6D"/>
    <w:rsid w:val="009E7D51"/>
    <w:rsid w:val="009F0163"/>
    <w:rsid w:val="009F0B9D"/>
    <w:rsid w:val="009F1282"/>
    <w:rsid w:val="009F1C41"/>
    <w:rsid w:val="009F4C87"/>
    <w:rsid w:val="009F5713"/>
    <w:rsid w:val="009F5D45"/>
    <w:rsid w:val="009F609F"/>
    <w:rsid w:val="009F62C3"/>
    <w:rsid w:val="009F6570"/>
    <w:rsid w:val="00A0035E"/>
    <w:rsid w:val="00A007C7"/>
    <w:rsid w:val="00A01184"/>
    <w:rsid w:val="00A012C2"/>
    <w:rsid w:val="00A01FDA"/>
    <w:rsid w:val="00A020C6"/>
    <w:rsid w:val="00A028CB"/>
    <w:rsid w:val="00A02CDD"/>
    <w:rsid w:val="00A02F10"/>
    <w:rsid w:val="00A037C2"/>
    <w:rsid w:val="00A03D43"/>
    <w:rsid w:val="00A04073"/>
    <w:rsid w:val="00A04380"/>
    <w:rsid w:val="00A05472"/>
    <w:rsid w:val="00A05C32"/>
    <w:rsid w:val="00A0653F"/>
    <w:rsid w:val="00A0660C"/>
    <w:rsid w:val="00A07773"/>
    <w:rsid w:val="00A10356"/>
    <w:rsid w:val="00A104A5"/>
    <w:rsid w:val="00A104BB"/>
    <w:rsid w:val="00A115DD"/>
    <w:rsid w:val="00A11B57"/>
    <w:rsid w:val="00A11CD0"/>
    <w:rsid w:val="00A11FB8"/>
    <w:rsid w:val="00A1207F"/>
    <w:rsid w:val="00A125BE"/>
    <w:rsid w:val="00A131BE"/>
    <w:rsid w:val="00A13948"/>
    <w:rsid w:val="00A139B7"/>
    <w:rsid w:val="00A13D09"/>
    <w:rsid w:val="00A141F6"/>
    <w:rsid w:val="00A1490B"/>
    <w:rsid w:val="00A14BE4"/>
    <w:rsid w:val="00A14F8C"/>
    <w:rsid w:val="00A1555B"/>
    <w:rsid w:val="00A155C5"/>
    <w:rsid w:val="00A15681"/>
    <w:rsid w:val="00A15BF7"/>
    <w:rsid w:val="00A166FD"/>
    <w:rsid w:val="00A16949"/>
    <w:rsid w:val="00A16AD8"/>
    <w:rsid w:val="00A17357"/>
    <w:rsid w:val="00A17FB8"/>
    <w:rsid w:val="00A21787"/>
    <w:rsid w:val="00A21C95"/>
    <w:rsid w:val="00A21CF3"/>
    <w:rsid w:val="00A21D5C"/>
    <w:rsid w:val="00A21F8A"/>
    <w:rsid w:val="00A22721"/>
    <w:rsid w:val="00A22978"/>
    <w:rsid w:val="00A22BED"/>
    <w:rsid w:val="00A239D1"/>
    <w:rsid w:val="00A23BDD"/>
    <w:rsid w:val="00A24338"/>
    <w:rsid w:val="00A2445F"/>
    <w:rsid w:val="00A24813"/>
    <w:rsid w:val="00A2506B"/>
    <w:rsid w:val="00A25DB2"/>
    <w:rsid w:val="00A263BD"/>
    <w:rsid w:val="00A26B31"/>
    <w:rsid w:val="00A26DDC"/>
    <w:rsid w:val="00A27411"/>
    <w:rsid w:val="00A27AEC"/>
    <w:rsid w:val="00A27E1A"/>
    <w:rsid w:val="00A31883"/>
    <w:rsid w:val="00A31981"/>
    <w:rsid w:val="00A320DB"/>
    <w:rsid w:val="00A32A3C"/>
    <w:rsid w:val="00A3357C"/>
    <w:rsid w:val="00A33A04"/>
    <w:rsid w:val="00A33EC1"/>
    <w:rsid w:val="00A33FCC"/>
    <w:rsid w:val="00A3517B"/>
    <w:rsid w:val="00A35D16"/>
    <w:rsid w:val="00A35E29"/>
    <w:rsid w:val="00A37BCD"/>
    <w:rsid w:val="00A37FEE"/>
    <w:rsid w:val="00A40B46"/>
    <w:rsid w:val="00A414A5"/>
    <w:rsid w:val="00A41689"/>
    <w:rsid w:val="00A41D39"/>
    <w:rsid w:val="00A4202D"/>
    <w:rsid w:val="00A42539"/>
    <w:rsid w:val="00A42592"/>
    <w:rsid w:val="00A42E32"/>
    <w:rsid w:val="00A42F10"/>
    <w:rsid w:val="00A431E0"/>
    <w:rsid w:val="00A4341A"/>
    <w:rsid w:val="00A43696"/>
    <w:rsid w:val="00A43C59"/>
    <w:rsid w:val="00A43F44"/>
    <w:rsid w:val="00A44392"/>
    <w:rsid w:val="00A44532"/>
    <w:rsid w:val="00A45421"/>
    <w:rsid w:val="00A45677"/>
    <w:rsid w:val="00A46560"/>
    <w:rsid w:val="00A472D1"/>
    <w:rsid w:val="00A477A9"/>
    <w:rsid w:val="00A47B13"/>
    <w:rsid w:val="00A47B89"/>
    <w:rsid w:val="00A502AD"/>
    <w:rsid w:val="00A50B63"/>
    <w:rsid w:val="00A50ECD"/>
    <w:rsid w:val="00A51208"/>
    <w:rsid w:val="00A518F3"/>
    <w:rsid w:val="00A519CA"/>
    <w:rsid w:val="00A51DF6"/>
    <w:rsid w:val="00A52729"/>
    <w:rsid w:val="00A529AB"/>
    <w:rsid w:val="00A53675"/>
    <w:rsid w:val="00A53827"/>
    <w:rsid w:val="00A538E4"/>
    <w:rsid w:val="00A53D98"/>
    <w:rsid w:val="00A53F3F"/>
    <w:rsid w:val="00A55367"/>
    <w:rsid w:val="00A55915"/>
    <w:rsid w:val="00A55EAC"/>
    <w:rsid w:val="00A55F40"/>
    <w:rsid w:val="00A562CF"/>
    <w:rsid w:val="00A5641B"/>
    <w:rsid w:val="00A564D7"/>
    <w:rsid w:val="00A5652A"/>
    <w:rsid w:val="00A569CE"/>
    <w:rsid w:val="00A569DC"/>
    <w:rsid w:val="00A56A13"/>
    <w:rsid w:val="00A56B6A"/>
    <w:rsid w:val="00A5766E"/>
    <w:rsid w:val="00A578DC"/>
    <w:rsid w:val="00A57F93"/>
    <w:rsid w:val="00A601E7"/>
    <w:rsid w:val="00A611AF"/>
    <w:rsid w:val="00A629AF"/>
    <w:rsid w:val="00A62A1D"/>
    <w:rsid w:val="00A62CCD"/>
    <w:rsid w:val="00A62D41"/>
    <w:rsid w:val="00A630A6"/>
    <w:rsid w:val="00A63AF4"/>
    <w:rsid w:val="00A640E2"/>
    <w:rsid w:val="00A64D65"/>
    <w:rsid w:val="00A65DD9"/>
    <w:rsid w:val="00A6606C"/>
    <w:rsid w:val="00A662D1"/>
    <w:rsid w:val="00A66AC2"/>
    <w:rsid w:val="00A6725B"/>
    <w:rsid w:val="00A67DEE"/>
    <w:rsid w:val="00A705BC"/>
    <w:rsid w:val="00A70605"/>
    <w:rsid w:val="00A7181F"/>
    <w:rsid w:val="00A72561"/>
    <w:rsid w:val="00A7294E"/>
    <w:rsid w:val="00A73134"/>
    <w:rsid w:val="00A7369C"/>
    <w:rsid w:val="00A737A9"/>
    <w:rsid w:val="00A73D2F"/>
    <w:rsid w:val="00A741FF"/>
    <w:rsid w:val="00A74A8C"/>
    <w:rsid w:val="00A758CB"/>
    <w:rsid w:val="00A76001"/>
    <w:rsid w:val="00A776CF"/>
    <w:rsid w:val="00A777B2"/>
    <w:rsid w:val="00A77A6B"/>
    <w:rsid w:val="00A77C5C"/>
    <w:rsid w:val="00A80996"/>
    <w:rsid w:val="00A81032"/>
    <w:rsid w:val="00A81E3F"/>
    <w:rsid w:val="00A82182"/>
    <w:rsid w:val="00A825D4"/>
    <w:rsid w:val="00A828F6"/>
    <w:rsid w:val="00A82938"/>
    <w:rsid w:val="00A82A3D"/>
    <w:rsid w:val="00A82B73"/>
    <w:rsid w:val="00A82BF5"/>
    <w:rsid w:val="00A836B8"/>
    <w:rsid w:val="00A8471B"/>
    <w:rsid w:val="00A848B2"/>
    <w:rsid w:val="00A8514B"/>
    <w:rsid w:val="00A853C1"/>
    <w:rsid w:val="00A8547B"/>
    <w:rsid w:val="00A86228"/>
    <w:rsid w:val="00A86825"/>
    <w:rsid w:val="00A86A83"/>
    <w:rsid w:val="00A86D27"/>
    <w:rsid w:val="00A86E8B"/>
    <w:rsid w:val="00A87164"/>
    <w:rsid w:val="00A87A3A"/>
    <w:rsid w:val="00A87FC6"/>
    <w:rsid w:val="00A90E7F"/>
    <w:rsid w:val="00A910A3"/>
    <w:rsid w:val="00A9158E"/>
    <w:rsid w:val="00A915C2"/>
    <w:rsid w:val="00A915CE"/>
    <w:rsid w:val="00A93072"/>
    <w:rsid w:val="00A938BD"/>
    <w:rsid w:val="00A93953"/>
    <w:rsid w:val="00A94148"/>
    <w:rsid w:val="00A959D8"/>
    <w:rsid w:val="00A96814"/>
    <w:rsid w:val="00A96C52"/>
    <w:rsid w:val="00A9713D"/>
    <w:rsid w:val="00A9746A"/>
    <w:rsid w:val="00A974DF"/>
    <w:rsid w:val="00A976C9"/>
    <w:rsid w:val="00AA015A"/>
    <w:rsid w:val="00AA01AA"/>
    <w:rsid w:val="00AA0613"/>
    <w:rsid w:val="00AA113D"/>
    <w:rsid w:val="00AA1713"/>
    <w:rsid w:val="00AA17BE"/>
    <w:rsid w:val="00AA1D8D"/>
    <w:rsid w:val="00AA214E"/>
    <w:rsid w:val="00AA2D72"/>
    <w:rsid w:val="00AA3037"/>
    <w:rsid w:val="00AA3DE5"/>
    <w:rsid w:val="00AA4146"/>
    <w:rsid w:val="00AA4B08"/>
    <w:rsid w:val="00AA4B1C"/>
    <w:rsid w:val="00AA52E9"/>
    <w:rsid w:val="00AA5343"/>
    <w:rsid w:val="00AA62CE"/>
    <w:rsid w:val="00AA64AB"/>
    <w:rsid w:val="00AA6680"/>
    <w:rsid w:val="00AA6BD5"/>
    <w:rsid w:val="00AA6BD8"/>
    <w:rsid w:val="00AA6C7D"/>
    <w:rsid w:val="00AA77DD"/>
    <w:rsid w:val="00AA79DC"/>
    <w:rsid w:val="00AA7FB7"/>
    <w:rsid w:val="00AA7FD6"/>
    <w:rsid w:val="00AB042A"/>
    <w:rsid w:val="00AB0A43"/>
    <w:rsid w:val="00AB0AF3"/>
    <w:rsid w:val="00AB0C3F"/>
    <w:rsid w:val="00AB1807"/>
    <w:rsid w:val="00AB19EF"/>
    <w:rsid w:val="00AB1B40"/>
    <w:rsid w:val="00AB2074"/>
    <w:rsid w:val="00AB21D4"/>
    <w:rsid w:val="00AB2799"/>
    <w:rsid w:val="00AB2D34"/>
    <w:rsid w:val="00AB3430"/>
    <w:rsid w:val="00AB37B9"/>
    <w:rsid w:val="00AB3C10"/>
    <w:rsid w:val="00AB3E97"/>
    <w:rsid w:val="00AB3FDE"/>
    <w:rsid w:val="00AB4898"/>
    <w:rsid w:val="00AB49D4"/>
    <w:rsid w:val="00AB4AD1"/>
    <w:rsid w:val="00AB4E26"/>
    <w:rsid w:val="00AB5E07"/>
    <w:rsid w:val="00AB68C4"/>
    <w:rsid w:val="00AB705A"/>
    <w:rsid w:val="00AB7CFA"/>
    <w:rsid w:val="00AC0219"/>
    <w:rsid w:val="00AC07E7"/>
    <w:rsid w:val="00AC0870"/>
    <w:rsid w:val="00AC223C"/>
    <w:rsid w:val="00AC3E1F"/>
    <w:rsid w:val="00AC42F7"/>
    <w:rsid w:val="00AC435D"/>
    <w:rsid w:val="00AC57ED"/>
    <w:rsid w:val="00AC59F5"/>
    <w:rsid w:val="00AC5B48"/>
    <w:rsid w:val="00AC6486"/>
    <w:rsid w:val="00AC6782"/>
    <w:rsid w:val="00AC6AFE"/>
    <w:rsid w:val="00AC7BF1"/>
    <w:rsid w:val="00AD081B"/>
    <w:rsid w:val="00AD1450"/>
    <w:rsid w:val="00AD239D"/>
    <w:rsid w:val="00AD2BA6"/>
    <w:rsid w:val="00AD34E5"/>
    <w:rsid w:val="00AD3B20"/>
    <w:rsid w:val="00AD3CDF"/>
    <w:rsid w:val="00AD54B8"/>
    <w:rsid w:val="00AD5FF3"/>
    <w:rsid w:val="00AD6502"/>
    <w:rsid w:val="00AD6A41"/>
    <w:rsid w:val="00AD6B42"/>
    <w:rsid w:val="00AD75FE"/>
    <w:rsid w:val="00AE03B6"/>
    <w:rsid w:val="00AE0553"/>
    <w:rsid w:val="00AE0695"/>
    <w:rsid w:val="00AE0D47"/>
    <w:rsid w:val="00AE0E54"/>
    <w:rsid w:val="00AE1323"/>
    <w:rsid w:val="00AE227C"/>
    <w:rsid w:val="00AE2894"/>
    <w:rsid w:val="00AE2B66"/>
    <w:rsid w:val="00AE3E7E"/>
    <w:rsid w:val="00AE3E88"/>
    <w:rsid w:val="00AE4B2D"/>
    <w:rsid w:val="00AE50E6"/>
    <w:rsid w:val="00AE5A30"/>
    <w:rsid w:val="00AE5E56"/>
    <w:rsid w:val="00AE684D"/>
    <w:rsid w:val="00AE709B"/>
    <w:rsid w:val="00AE72BC"/>
    <w:rsid w:val="00AF0249"/>
    <w:rsid w:val="00AF0A07"/>
    <w:rsid w:val="00AF0B21"/>
    <w:rsid w:val="00AF0C2B"/>
    <w:rsid w:val="00AF0FCA"/>
    <w:rsid w:val="00AF102D"/>
    <w:rsid w:val="00AF1094"/>
    <w:rsid w:val="00AF1315"/>
    <w:rsid w:val="00AF19BF"/>
    <w:rsid w:val="00AF2DC3"/>
    <w:rsid w:val="00AF42DC"/>
    <w:rsid w:val="00AF4303"/>
    <w:rsid w:val="00AF4602"/>
    <w:rsid w:val="00AF5CCB"/>
    <w:rsid w:val="00AF5F1A"/>
    <w:rsid w:val="00AF6889"/>
    <w:rsid w:val="00AF6A7D"/>
    <w:rsid w:val="00AF72ED"/>
    <w:rsid w:val="00AF77A4"/>
    <w:rsid w:val="00AF7DDB"/>
    <w:rsid w:val="00B00953"/>
    <w:rsid w:val="00B00B36"/>
    <w:rsid w:val="00B00DD5"/>
    <w:rsid w:val="00B01762"/>
    <w:rsid w:val="00B01B8A"/>
    <w:rsid w:val="00B01E48"/>
    <w:rsid w:val="00B0321A"/>
    <w:rsid w:val="00B033E5"/>
    <w:rsid w:val="00B03409"/>
    <w:rsid w:val="00B03630"/>
    <w:rsid w:val="00B03A63"/>
    <w:rsid w:val="00B03F12"/>
    <w:rsid w:val="00B0517F"/>
    <w:rsid w:val="00B05347"/>
    <w:rsid w:val="00B05FCF"/>
    <w:rsid w:val="00B06514"/>
    <w:rsid w:val="00B06567"/>
    <w:rsid w:val="00B06BA5"/>
    <w:rsid w:val="00B06F25"/>
    <w:rsid w:val="00B07614"/>
    <w:rsid w:val="00B07DBE"/>
    <w:rsid w:val="00B10BDC"/>
    <w:rsid w:val="00B10E08"/>
    <w:rsid w:val="00B1118A"/>
    <w:rsid w:val="00B131B0"/>
    <w:rsid w:val="00B1393B"/>
    <w:rsid w:val="00B14CCD"/>
    <w:rsid w:val="00B14ECB"/>
    <w:rsid w:val="00B14F8C"/>
    <w:rsid w:val="00B15687"/>
    <w:rsid w:val="00B16647"/>
    <w:rsid w:val="00B17016"/>
    <w:rsid w:val="00B173E6"/>
    <w:rsid w:val="00B17BB1"/>
    <w:rsid w:val="00B201A4"/>
    <w:rsid w:val="00B201D1"/>
    <w:rsid w:val="00B20CC0"/>
    <w:rsid w:val="00B2110C"/>
    <w:rsid w:val="00B211BB"/>
    <w:rsid w:val="00B213A6"/>
    <w:rsid w:val="00B233B5"/>
    <w:rsid w:val="00B235B0"/>
    <w:rsid w:val="00B238B6"/>
    <w:rsid w:val="00B2393F"/>
    <w:rsid w:val="00B23F8D"/>
    <w:rsid w:val="00B24DF6"/>
    <w:rsid w:val="00B26B63"/>
    <w:rsid w:val="00B31181"/>
    <w:rsid w:val="00B3154E"/>
    <w:rsid w:val="00B316EE"/>
    <w:rsid w:val="00B3196B"/>
    <w:rsid w:val="00B31FF3"/>
    <w:rsid w:val="00B33096"/>
    <w:rsid w:val="00B33591"/>
    <w:rsid w:val="00B3443B"/>
    <w:rsid w:val="00B3448B"/>
    <w:rsid w:val="00B34FE2"/>
    <w:rsid w:val="00B35166"/>
    <w:rsid w:val="00B357D8"/>
    <w:rsid w:val="00B35966"/>
    <w:rsid w:val="00B35C40"/>
    <w:rsid w:val="00B35EF7"/>
    <w:rsid w:val="00B360F4"/>
    <w:rsid w:val="00B36A00"/>
    <w:rsid w:val="00B36F1D"/>
    <w:rsid w:val="00B373A3"/>
    <w:rsid w:val="00B37BFC"/>
    <w:rsid w:val="00B37C2E"/>
    <w:rsid w:val="00B37C86"/>
    <w:rsid w:val="00B37E86"/>
    <w:rsid w:val="00B37FA1"/>
    <w:rsid w:val="00B40358"/>
    <w:rsid w:val="00B40418"/>
    <w:rsid w:val="00B41614"/>
    <w:rsid w:val="00B41916"/>
    <w:rsid w:val="00B41D7F"/>
    <w:rsid w:val="00B41F82"/>
    <w:rsid w:val="00B4235A"/>
    <w:rsid w:val="00B42851"/>
    <w:rsid w:val="00B42F80"/>
    <w:rsid w:val="00B4317C"/>
    <w:rsid w:val="00B435CB"/>
    <w:rsid w:val="00B43B85"/>
    <w:rsid w:val="00B4456A"/>
    <w:rsid w:val="00B44DF0"/>
    <w:rsid w:val="00B45559"/>
    <w:rsid w:val="00B457E6"/>
    <w:rsid w:val="00B45823"/>
    <w:rsid w:val="00B45CD0"/>
    <w:rsid w:val="00B46623"/>
    <w:rsid w:val="00B469DD"/>
    <w:rsid w:val="00B47DB0"/>
    <w:rsid w:val="00B505C8"/>
    <w:rsid w:val="00B50817"/>
    <w:rsid w:val="00B50DB8"/>
    <w:rsid w:val="00B510D6"/>
    <w:rsid w:val="00B51444"/>
    <w:rsid w:val="00B517D2"/>
    <w:rsid w:val="00B51B9C"/>
    <w:rsid w:val="00B520DF"/>
    <w:rsid w:val="00B52B08"/>
    <w:rsid w:val="00B52B5D"/>
    <w:rsid w:val="00B52CF0"/>
    <w:rsid w:val="00B52E28"/>
    <w:rsid w:val="00B53654"/>
    <w:rsid w:val="00B53905"/>
    <w:rsid w:val="00B54494"/>
    <w:rsid w:val="00B548CA"/>
    <w:rsid w:val="00B54B5B"/>
    <w:rsid w:val="00B54CE2"/>
    <w:rsid w:val="00B5540B"/>
    <w:rsid w:val="00B5562E"/>
    <w:rsid w:val="00B558EE"/>
    <w:rsid w:val="00B55BE4"/>
    <w:rsid w:val="00B55D65"/>
    <w:rsid w:val="00B56091"/>
    <w:rsid w:val="00B56211"/>
    <w:rsid w:val="00B5632E"/>
    <w:rsid w:val="00B5677F"/>
    <w:rsid w:val="00B57000"/>
    <w:rsid w:val="00B57C6B"/>
    <w:rsid w:val="00B57CF1"/>
    <w:rsid w:val="00B60289"/>
    <w:rsid w:val="00B60939"/>
    <w:rsid w:val="00B60AFD"/>
    <w:rsid w:val="00B60E43"/>
    <w:rsid w:val="00B61AA2"/>
    <w:rsid w:val="00B6223D"/>
    <w:rsid w:val="00B62715"/>
    <w:rsid w:val="00B639E3"/>
    <w:rsid w:val="00B63D4F"/>
    <w:rsid w:val="00B63FD5"/>
    <w:rsid w:val="00B640B5"/>
    <w:rsid w:val="00B64215"/>
    <w:rsid w:val="00B642AE"/>
    <w:rsid w:val="00B64A45"/>
    <w:rsid w:val="00B65075"/>
    <w:rsid w:val="00B65611"/>
    <w:rsid w:val="00B65615"/>
    <w:rsid w:val="00B65B0C"/>
    <w:rsid w:val="00B66748"/>
    <w:rsid w:val="00B66919"/>
    <w:rsid w:val="00B67F20"/>
    <w:rsid w:val="00B70E8E"/>
    <w:rsid w:val="00B7110E"/>
    <w:rsid w:val="00B71853"/>
    <w:rsid w:val="00B71E05"/>
    <w:rsid w:val="00B72572"/>
    <w:rsid w:val="00B72803"/>
    <w:rsid w:val="00B72FFE"/>
    <w:rsid w:val="00B7431E"/>
    <w:rsid w:val="00B755F1"/>
    <w:rsid w:val="00B756D6"/>
    <w:rsid w:val="00B75A5C"/>
    <w:rsid w:val="00B76395"/>
    <w:rsid w:val="00B76C92"/>
    <w:rsid w:val="00B77423"/>
    <w:rsid w:val="00B80158"/>
    <w:rsid w:val="00B80AC0"/>
    <w:rsid w:val="00B80F13"/>
    <w:rsid w:val="00B80FA4"/>
    <w:rsid w:val="00B80FBA"/>
    <w:rsid w:val="00B81031"/>
    <w:rsid w:val="00B81629"/>
    <w:rsid w:val="00B818A4"/>
    <w:rsid w:val="00B827DF"/>
    <w:rsid w:val="00B82DFF"/>
    <w:rsid w:val="00B84117"/>
    <w:rsid w:val="00B84295"/>
    <w:rsid w:val="00B84615"/>
    <w:rsid w:val="00B858F0"/>
    <w:rsid w:val="00B85AA2"/>
    <w:rsid w:val="00B85D88"/>
    <w:rsid w:val="00B8649C"/>
    <w:rsid w:val="00B8695D"/>
    <w:rsid w:val="00B86D72"/>
    <w:rsid w:val="00B86E0A"/>
    <w:rsid w:val="00B879B4"/>
    <w:rsid w:val="00B87F0A"/>
    <w:rsid w:val="00B90589"/>
    <w:rsid w:val="00B9085E"/>
    <w:rsid w:val="00B92D0B"/>
    <w:rsid w:val="00B93173"/>
    <w:rsid w:val="00B931A9"/>
    <w:rsid w:val="00B93903"/>
    <w:rsid w:val="00B9414C"/>
    <w:rsid w:val="00B9437D"/>
    <w:rsid w:val="00B94590"/>
    <w:rsid w:val="00B94945"/>
    <w:rsid w:val="00B94DD6"/>
    <w:rsid w:val="00B94E1B"/>
    <w:rsid w:val="00B95057"/>
    <w:rsid w:val="00B9553C"/>
    <w:rsid w:val="00B97570"/>
    <w:rsid w:val="00B976BE"/>
    <w:rsid w:val="00B97D0B"/>
    <w:rsid w:val="00B97F73"/>
    <w:rsid w:val="00BA0753"/>
    <w:rsid w:val="00BA0848"/>
    <w:rsid w:val="00BA149B"/>
    <w:rsid w:val="00BA1E2B"/>
    <w:rsid w:val="00BA1E30"/>
    <w:rsid w:val="00BA24D6"/>
    <w:rsid w:val="00BA3121"/>
    <w:rsid w:val="00BA322D"/>
    <w:rsid w:val="00BA32C8"/>
    <w:rsid w:val="00BA355C"/>
    <w:rsid w:val="00BA38FC"/>
    <w:rsid w:val="00BA3EF2"/>
    <w:rsid w:val="00BA4881"/>
    <w:rsid w:val="00BA4C7F"/>
    <w:rsid w:val="00BA5069"/>
    <w:rsid w:val="00BA53B8"/>
    <w:rsid w:val="00BA595C"/>
    <w:rsid w:val="00BA5B1E"/>
    <w:rsid w:val="00BA5CB2"/>
    <w:rsid w:val="00BA5DA3"/>
    <w:rsid w:val="00BA63FA"/>
    <w:rsid w:val="00BA656E"/>
    <w:rsid w:val="00BA7318"/>
    <w:rsid w:val="00BB00B3"/>
    <w:rsid w:val="00BB0BDD"/>
    <w:rsid w:val="00BB176C"/>
    <w:rsid w:val="00BB17A7"/>
    <w:rsid w:val="00BB2468"/>
    <w:rsid w:val="00BB24A6"/>
    <w:rsid w:val="00BB2989"/>
    <w:rsid w:val="00BB2A73"/>
    <w:rsid w:val="00BB3A45"/>
    <w:rsid w:val="00BB3B69"/>
    <w:rsid w:val="00BB3BD9"/>
    <w:rsid w:val="00BB4ACC"/>
    <w:rsid w:val="00BB5040"/>
    <w:rsid w:val="00BB504E"/>
    <w:rsid w:val="00BB515E"/>
    <w:rsid w:val="00BB55EA"/>
    <w:rsid w:val="00BB59D2"/>
    <w:rsid w:val="00BB5D33"/>
    <w:rsid w:val="00BB5D9B"/>
    <w:rsid w:val="00BB60FC"/>
    <w:rsid w:val="00BB6E2C"/>
    <w:rsid w:val="00BB703E"/>
    <w:rsid w:val="00BB732D"/>
    <w:rsid w:val="00BB7405"/>
    <w:rsid w:val="00BB7DA3"/>
    <w:rsid w:val="00BC0AD1"/>
    <w:rsid w:val="00BC1B15"/>
    <w:rsid w:val="00BC20EE"/>
    <w:rsid w:val="00BC22F1"/>
    <w:rsid w:val="00BC3238"/>
    <w:rsid w:val="00BC338E"/>
    <w:rsid w:val="00BC34CC"/>
    <w:rsid w:val="00BC34D2"/>
    <w:rsid w:val="00BC3631"/>
    <w:rsid w:val="00BC3E45"/>
    <w:rsid w:val="00BC4680"/>
    <w:rsid w:val="00BC47D4"/>
    <w:rsid w:val="00BC5030"/>
    <w:rsid w:val="00BC5077"/>
    <w:rsid w:val="00BC5160"/>
    <w:rsid w:val="00BC591F"/>
    <w:rsid w:val="00BC5CEC"/>
    <w:rsid w:val="00BC5EE4"/>
    <w:rsid w:val="00BC61DC"/>
    <w:rsid w:val="00BC6CDB"/>
    <w:rsid w:val="00BC78AD"/>
    <w:rsid w:val="00BC78AF"/>
    <w:rsid w:val="00BC7D6D"/>
    <w:rsid w:val="00BD03D3"/>
    <w:rsid w:val="00BD2108"/>
    <w:rsid w:val="00BD2E3D"/>
    <w:rsid w:val="00BD56D8"/>
    <w:rsid w:val="00BD57B8"/>
    <w:rsid w:val="00BD5B84"/>
    <w:rsid w:val="00BD6457"/>
    <w:rsid w:val="00BD65E1"/>
    <w:rsid w:val="00BD68A3"/>
    <w:rsid w:val="00BD6938"/>
    <w:rsid w:val="00BD6A14"/>
    <w:rsid w:val="00BD6CF3"/>
    <w:rsid w:val="00BD7650"/>
    <w:rsid w:val="00BD7864"/>
    <w:rsid w:val="00BD7B58"/>
    <w:rsid w:val="00BD7BFD"/>
    <w:rsid w:val="00BD7DA8"/>
    <w:rsid w:val="00BD7E08"/>
    <w:rsid w:val="00BD7E60"/>
    <w:rsid w:val="00BE0455"/>
    <w:rsid w:val="00BE0B66"/>
    <w:rsid w:val="00BE0ECA"/>
    <w:rsid w:val="00BE1B2B"/>
    <w:rsid w:val="00BE2180"/>
    <w:rsid w:val="00BE21F2"/>
    <w:rsid w:val="00BE2BF1"/>
    <w:rsid w:val="00BE395E"/>
    <w:rsid w:val="00BE4275"/>
    <w:rsid w:val="00BE4769"/>
    <w:rsid w:val="00BE48F1"/>
    <w:rsid w:val="00BE4CDE"/>
    <w:rsid w:val="00BE59F8"/>
    <w:rsid w:val="00BE5A72"/>
    <w:rsid w:val="00BE652B"/>
    <w:rsid w:val="00BE70D3"/>
    <w:rsid w:val="00BF0191"/>
    <w:rsid w:val="00BF06AE"/>
    <w:rsid w:val="00BF0E0E"/>
    <w:rsid w:val="00BF0F95"/>
    <w:rsid w:val="00BF101B"/>
    <w:rsid w:val="00BF1731"/>
    <w:rsid w:val="00BF1809"/>
    <w:rsid w:val="00BF1F7F"/>
    <w:rsid w:val="00BF2433"/>
    <w:rsid w:val="00BF28FF"/>
    <w:rsid w:val="00BF384C"/>
    <w:rsid w:val="00BF3DFD"/>
    <w:rsid w:val="00BF4451"/>
    <w:rsid w:val="00BF4852"/>
    <w:rsid w:val="00BF4B94"/>
    <w:rsid w:val="00BF539F"/>
    <w:rsid w:val="00BF54BF"/>
    <w:rsid w:val="00BF5A14"/>
    <w:rsid w:val="00BF61C9"/>
    <w:rsid w:val="00BF6C4B"/>
    <w:rsid w:val="00BF6C94"/>
    <w:rsid w:val="00BF7132"/>
    <w:rsid w:val="00BF72D6"/>
    <w:rsid w:val="00BF7302"/>
    <w:rsid w:val="00C002DA"/>
    <w:rsid w:val="00C00424"/>
    <w:rsid w:val="00C00892"/>
    <w:rsid w:val="00C01241"/>
    <w:rsid w:val="00C013A5"/>
    <w:rsid w:val="00C01524"/>
    <w:rsid w:val="00C022DB"/>
    <w:rsid w:val="00C02A59"/>
    <w:rsid w:val="00C02B59"/>
    <w:rsid w:val="00C0321C"/>
    <w:rsid w:val="00C03CAA"/>
    <w:rsid w:val="00C03ED4"/>
    <w:rsid w:val="00C044BB"/>
    <w:rsid w:val="00C0573B"/>
    <w:rsid w:val="00C0575D"/>
    <w:rsid w:val="00C05A77"/>
    <w:rsid w:val="00C05C13"/>
    <w:rsid w:val="00C05F98"/>
    <w:rsid w:val="00C100B8"/>
    <w:rsid w:val="00C10F2C"/>
    <w:rsid w:val="00C1179F"/>
    <w:rsid w:val="00C11D5B"/>
    <w:rsid w:val="00C12C14"/>
    <w:rsid w:val="00C140AE"/>
    <w:rsid w:val="00C14104"/>
    <w:rsid w:val="00C14131"/>
    <w:rsid w:val="00C151D4"/>
    <w:rsid w:val="00C153AB"/>
    <w:rsid w:val="00C158BD"/>
    <w:rsid w:val="00C15B97"/>
    <w:rsid w:val="00C15F04"/>
    <w:rsid w:val="00C164CD"/>
    <w:rsid w:val="00C173DD"/>
    <w:rsid w:val="00C179B3"/>
    <w:rsid w:val="00C17E3F"/>
    <w:rsid w:val="00C200AA"/>
    <w:rsid w:val="00C208EB"/>
    <w:rsid w:val="00C20955"/>
    <w:rsid w:val="00C20BD7"/>
    <w:rsid w:val="00C20DD2"/>
    <w:rsid w:val="00C20FF9"/>
    <w:rsid w:val="00C2160E"/>
    <w:rsid w:val="00C218F7"/>
    <w:rsid w:val="00C21F6E"/>
    <w:rsid w:val="00C22F8D"/>
    <w:rsid w:val="00C230C6"/>
    <w:rsid w:val="00C237ED"/>
    <w:rsid w:val="00C23D92"/>
    <w:rsid w:val="00C24632"/>
    <w:rsid w:val="00C24E7A"/>
    <w:rsid w:val="00C25418"/>
    <w:rsid w:val="00C25926"/>
    <w:rsid w:val="00C25AEE"/>
    <w:rsid w:val="00C25D9C"/>
    <w:rsid w:val="00C2610D"/>
    <w:rsid w:val="00C267A9"/>
    <w:rsid w:val="00C26884"/>
    <w:rsid w:val="00C26B24"/>
    <w:rsid w:val="00C27645"/>
    <w:rsid w:val="00C2775A"/>
    <w:rsid w:val="00C2778B"/>
    <w:rsid w:val="00C27A82"/>
    <w:rsid w:val="00C27D48"/>
    <w:rsid w:val="00C3089F"/>
    <w:rsid w:val="00C31649"/>
    <w:rsid w:val="00C317A0"/>
    <w:rsid w:val="00C321EB"/>
    <w:rsid w:val="00C32CEA"/>
    <w:rsid w:val="00C33C92"/>
    <w:rsid w:val="00C3434C"/>
    <w:rsid w:val="00C34A6A"/>
    <w:rsid w:val="00C35631"/>
    <w:rsid w:val="00C36248"/>
    <w:rsid w:val="00C36726"/>
    <w:rsid w:val="00C3708B"/>
    <w:rsid w:val="00C37405"/>
    <w:rsid w:val="00C40385"/>
    <w:rsid w:val="00C40454"/>
    <w:rsid w:val="00C40EC3"/>
    <w:rsid w:val="00C412D5"/>
    <w:rsid w:val="00C414D4"/>
    <w:rsid w:val="00C414E7"/>
    <w:rsid w:val="00C41768"/>
    <w:rsid w:val="00C41FC4"/>
    <w:rsid w:val="00C4225E"/>
    <w:rsid w:val="00C4289A"/>
    <w:rsid w:val="00C42AF2"/>
    <w:rsid w:val="00C4339E"/>
    <w:rsid w:val="00C43739"/>
    <w:rsid w:val="00C43B01"/>
    <w:rsid w:val="00C44503"/>
    <w:rsid w:val="00C451D9"/>
    <w:rsid w:val="00C452C1"/>
    <w:rsid w:val="00C469DF"/>
    <w:rsid w:val="00C46AA9"/>
    <w:rsid w:val="00C475AA"/>
    <w:rsid w:val="00C51B94"/>
    <w:rsid w:val="00C51FE8"/>
    <w:rsid w:val="00C5216C"/>
    <w:rsid w:val="00C534FE"/>
    <w:rsid w:val="00C53524"/>
    <w:rsid w:val="00C53C98"/>
    <w:rsid w:val="00C53D3B"/>
    <w:rsid w:val="00C550B0"/>
    <w:rsid w:val="00C55CE7"/>
    <w:rsid w:val="00C55EA5"/>
    <w:rsid w:val="00C568DF"/>
    <w:rsid w:val="00C56E03"/>
    <w:rsid w:val="00C56FCF"/>
    <w:rsid w:val="00C57B6C"/>
    <w:rsid w:val="00C57BEB"/>
    <w:rsid w:val="00C605DE"/>
    <w:rsid w:val="00C60DEC"/>
    <w:rsid w:val="00C60F33"/>
    <w:rsid w:val="00C625A4"/>
    <w:rsid w:val="00C62852"/>
    <w:rsid w:val="00C628A6"/>
    <w:rsid w:val="00C62C8A"/>
    <w:rsid w:val="00C62E7A"/>
    <w:rsid w:val="00C6300C"/>
    <w:rsid w:val="00C6340C"/>
    <w:rsid w:val="00C6377D"/>
    <w:rsid w:val="00C64344"/>
    <w:rsid w:val="00C6452A"/>
    <w:rsid w:val="00C64531"/>
    <w:rsid w:val="00C64FEB"/>
    <w:rsid w:val="00C65108"/>
    <w:rsid w:val="00C6539D"/>
    <w:rsid w:val="00C65576"/>
    <w:rsid w:val="00C65E96"/>
    <w:rsid w:val="00C66165"/>
    <w:rsid w:val="00C701EF"/>
    <w:rsid w:val="00C7060A"/>
    <w:rsid w:val="00C70896"/>
    <w:rsid w:val="00C70B4D"/>
    <w:rsid w:val="00C71162"/>
    <w:rsid w:val="00C7151A"/>
    <w:rsid w:val="00C7174E"/>
    <w:rsid w:val="00C717E3"/>
    <w:rsid w:val="00C71A81"/>
    <w:rsid w:val="00C71AC5"/>
    <w:rsid w:val="00C71F60"/>
    <w:rsid w:val="00C72241"/>
    <w:rsid w:val="00C723EC"/>
    <w:rsid w:val="00C724A6"/>
    <w:rsid w:val="00C72D31"/>
    <w:rsid w:val="00C730AE"/>
    <w:rsid w:val="00C73C1B"/>
    <w:rsid w:val="00C73CD5"/>
    <w:rsid w:val="00C73EB2"/>
    <w:rsid w:val="00C7402F"/>
    <w:rsid w:val="00C7438B"/>
    <w:rsid w:val="00C74BA4"/>
    <w:rsid w:val="00C750C8"/>
    <w:rsid w:val="00C7539B"/>
    <w:rsid w:val="00C7560F"/>
    <w:rsid w:val="00C7663D"/>
    <w:rsid w:val="00C76AFD"/>
    <w:rsid w:val="00C77302"/>
    <w:rsid w:val="00C7781C"/>
    <w:rsid w:val="00C8049C"/>
    <w:rsid w:val="00C80A0E"/>
    <w:rsid w:val="00C8127E"/>
    <w:rsid w:val="00C812FE"/>
    <w:rsid w:val="00C8213F"/>
    <w:rsid w:val="00C831C9"/>
    <w:rsid w:val="00C835CE"/>
    <w:rsid w:val="00C842BB"/>
    <w:rsid w:val="00C843D4"/>
    <w:rsid w:val="00C84509"/>
    <w:rsid w:val="00C85154"/>
    <w:rsid w:val="00C85443"/>
    <w:rsid w:val="00C86BCD"/>
    <w:rsid w:val="00C86F54"/>
    <w:rsid w:val="00C87570"/>
    <w:rsid w:val="00C8797A"/>
    <w:rsid w:val="00C87AF5"/>
    <w:rsid w:val="00C87CC4"/>
    <w:rsid w:val="00C900B8"/>
    <w:rsid w:val="00C9039A"/>
    <w:rsid w:val="00C90A4C"/>
    <w:rsid w:val="00C90C71"/>
    <w:rsid w:val="00C90CCF"/>
    <w:rsid w:val="00C90F50"/>
    <w:rsid w:val="00C9132F"/>
    <w:rsid w:val="00C91A72"/>
    <w:rsid w:val="00C91C4B"/>
    <w:rsid w:val="00C91FD1"/>
    <w:rsid w:val="00C92676"/>
    <w:rsid w:val="00C92948"/>
    <w:rsid w:val="00C92EFF"/>
    <w:rsid w:val="00C931CF"/>
    <w:rsid w:val="00C93252"/>
    <w:rsid w:val="00C936F8"/>
    <w:rsid w:val="00C937FB"/>
    <w:rsid w:val="00C938CF"/>
    <w:rsid w:val="00C94053"/>
    <w:rsid w:val="00C94121"/>
    <w:rsid w:val="00C945BF"/>
    <w:rsid w:val="00C95255"/>
    <w:rsid w:val="00C9601F"/>
    <w:rsid w:val="00C9624D"/>
    <w:rsid w:val="00C969DA"/>
    <w:rsid w:val="00C9744A"/>
    <w:rsid w:val="00C9789E"/>
    <w:rsid w:val="00C978A9"/>
    <w:rsid w:val="00C9790D"/>
    <w:rsid w:val="00C97BF8"/>
    <w:rsid w:val="00CA0A5E"/>
    <w:rsid w:val="00CA0C1F"/>
    <w:rsid w:val="00CA1CED"/>
    <w:rsid w:val="00CA20C2"/>
    <w:rsid w:val="00CA2C77"/>
    <w:rsid w:val="00CA3AFD"/>
    <w:rsid w:val="00CA3B48"/>
    <w:rsid w:val="00CA3D0E"/>
    <w:rsid w:val="00CA3E45"/>
    <w:rsid w:val="00CA444F"/>
    <w:rsid w:val="00CA461E"/>
    <w:rsid w:val="00CA4A86"/>
    <w:rsid w:val="00CA4B51"/>
    <w:rsid w:val="00CA5245"/>
    <w:rsid w:val="00CA5863"/>
    <w:rsid w:val="00CA71F4"/>
    <w:rsid w:val="00CA7B09"/>
    <w:rsid w:val="00CB0A22"/>
    <w:rsid w:val="00CB0F10"/>
    <w:rsid w:val="00CB0F40"/>
    <w:rsid w:val="00CB12A5"/>
    <w:rsid w:val="00CB1B69"/>
    <w:rsid w:val="00CB1CAC"/>
    <w:rsid w:val="00CB22CC"/>
    <w:rsid w:val="00CB2839"/>
    <w:rsid w:val="00CB2CE8"/>
    <w:rsid w:val="00CB2F2A"/>
    <w:rsid w:val="00CB460E"/>
    <w:rsid w:val="00CB47B5"/>
    <w:rsid w:val="00CB4EFB"/>
    <w:rsid w:val="00CB546D"/>
    <w:rsid w:val="00CB5B1A"/>
    <w:rsid w:val="00CB68DD"/>
    <w:rsid w:val="00CB6B22"/>
    <w:rsid w:val="00CB71B4"/>
    <w:rsid w:val="00CB723E"/>
    <w:rsid w:val="00CB7F5F"/>
    <w:rsid w:val="00CC0632"/>
    <w:rsid w:val="00CC09FC"/>
    <w:rsid w:val="00CC0C5F"/>
    <w:rsid w:val="00CC0CB9"/>
    <w:rsid w:val="00CC1107"/>
    <w:rsid w:val="00CC15E7"/>
    <w:rsid w:val="00CC1B39"/>
    <w:rsid w:val="00CC30D8"/>
    <w:rsid w:val="00CC35EA"/>
    <w:rsid w:val="00CC3848"/>
    <w:rsid w:val="00CC3D09"/>
    <w:rsid w:val="00CC40A5"/>
    <w:rsid w:val="00CC4135"/>
    <w:rsid w:val="00CC4150"/>
    <w:rsid w:val="00CC4246"/>
    <w:rsid w:val="00CC4B13"/>
    <w:rsid w:val="00CC4D75"/>
    <w:rsid w:val="00CC4E7B"/>
    <w:rsid w:val="00CC581B"/>
    <w:rsid w:val="00CC5FD4"/>
    <w:rsid w:val="00CC64F1"/>
    <w:rsid w:val="00CC6941"/>
    <w:rsid w:val="00CC712C"/>
    <w:rsid w:val="00CC7E89"/>
    <w:rsid w:val="00CD0CDD"/>
    <w:rsid w:val="00CD0E25"/>
    <w:rsid w:val="00CD165C"/>
    <w:rsid w:val="00CD1759"/>
    <w:rsid w:val="00CD25B5"/>
    <w:rsid w:val="00CD3096"/>
    <w:rsid w:val="00CD39BE"/>
    <w:rsid w:val="00CD3F77"/>
    <w:rsid w:val="00CD410E"/>
    <w:rsid w:val="00CD4E54"/>
    <w:rsid w:val="00CD5679"/>
    <w:rsid w:val="00CD5A4A"/>
    <w:rsid w:val="00CD64D4"/>
    <w:rsid w:val="00CD6716"/>
    <w:rsid w:val="00CD6ADC"/>
    <w:rsid w:val="00CD6FAE"/>
    <w:rsid w:val="00CD7079"/>
    <w:rsid w:val="00CD7193"/>
    <w:rsid w:val="00CD725F"/>
    <w:rsid w:val="00CD76F7"/>
    <w:rsid w:val="00CD7716"/>
    <w:rsid w:val="00CD7BEC"/>
    <w:rsid w:val="00CE07C9"/>
    <w:rsid w:val="00CE0A4C"/>
    <w:rsid w:val="00CE0BF2"/>
    <w:rsid w:val="00CE0E9C"/>
    <w:rsid w:val="00CE1517"/>
    <w:rsid w:val="00CE16DB"/>
    <w:rsid w:val="00CE1A97"/>
    <w:rsid w:val="00CE1DD7"/>
    <w:rsid w:val="00CE1EDE"/>
    <w:rsid w:val="00CE1FB9"/>
    <w:rsid w:val="00CE2778"/>
    <w:rsid w:val="00CE28CF"/>
    <w:rsid w:val="00CE2AE4"/>
    <w:rsid w:val="00CE30EA"/>
    <w:rsid w:val="00CE32E1"/>
    <w:rsid w:val="00CE3330"/>
    <w:rsid w:val="00CE37D8"/>
    <w:rsid w:val="00CE38C8"/>
    <w:rsid w:val="00CE3C18"/>
    <w:rsid w:val="00CE429C"/>
    <w:rsid w:val="00CE4464"/>
    <w:rsid w:val="00CE4C84"/>
    <w:rsid w:val="00CE548E"/>
    <w:rsid w:val="00CE57D1"/>
    <w:rsid w:val="00CE5B4B"/>
    <w:rsid w:val="00CE6203"/>
    <w:rsid w:val="00CE6274"/>
    <w:rsid w:val="00CE69F6"/>
    <w:rsid w:val="00CE6F10"/>
    <w:rsid w:val="00CE77B6"/>
    <w:rsid w:val="00CE7BFE"/>
    <w:rsid w:val="00CE7FCB"/>
    <w:rsid w:val="00CF0257"/>
    <w:rsid w:val="00CF0337"/>
    <w:rsid w:val="00CF0741"/>
    <w:rsid w:val="00CF0C39"/>
    <w:rsid w:val="00CF11CE"/>
    <w:rsid w:val="00CF1F45"/>
    <w:rsid w:val="00CF23F5"/>
    <w:rsid w:val="00CF2631"/>
    <w:rsid w:val="00CF2B8D"/>
    <w:rsid w:val="00CF2F18"/>
    <w:rsid w:val="00CF456B"/>
    <w:rsid w:val="00CF46F7"/>
    <w:rsid w:val="00CF4779"/>
    <w:rsid w:val="00CF4D2A"/>
    <w:rsid w:val="00CF5A22"/>
    <w:rsid w:val="00CF5B80"/>
    <w:rsid w:val="00CF6066"/>
    <w:rsid w:val="00CF6145"/>
    <w:rsid w:val="00CF71F6"/>
    <w:rsid w:val="00CF75BF"/>
    <w:rsid w:val="00CF79FE"/>
    <w:rsid w:val="00CF7CE8"/>
    <w:rsid w:val="00D002A1"/>
    <w:rsid w:val="00D005F0"/>
    <w:rsid w:val="00D011B2"/>
    <w:rsid w:val="00D0183F"/>
    <w:rsid w:val="00D01B84"/>
    <w:rsid w:val="00D023D3"/>
    <w:rsid w:val="00D0262E"/>
    <w:rsid w:val="00D02817"/>
    <w:rsid w:val="00D02856"/>
    <w:rsid w:val="00D02CF2"/>
    <w:rsid w:val="00D03EED"/>
    <w:rsid w:val="00D04C51"/>
    <w:rsid w:val="00D0533E"/>
    <w:rsid w:val="00D05378"/>
    <w:rsid w:val="00D053FB"/>
    <w:rsid w:val="00D055D1"/>
    <w:rsid w:val="00D05695"/>
    <w:rsid w:val="00D05E3D"/>
    <w:rsid w:val="00D06139"/>
    <w:rsid w:val="00D065B4"/>
    <w:rsid w:val="00D06752"/>
    <w:rsid w:val="00D072E4"/>
    <w:rsid w:val="00D07369"/>
    <w:rsid w:val="00D07444"/>
    <w:rsid w:val="00D07E1F"/>
    <w:rsid w:val="00D110BD"/>
    <w:rsid w:val="00D11834"/>
    <w:rsid w:val="00D11B3E"/>
    <w:rsid w:val="00D12C2D"/>
    <w:rsid w:val="00D12CE1"/>
    <w:rsid w:val="00D13306"/>
    <w:rsid w:val="00D13675"/>
    <w:rsid w:val="00D141E1"/>
    <w:rsid w:val="00D146BD"/>
    <w:rsid w:val="00D14872"/>
    <w:rsid w:val="00D14B8B"/>
    <w:rsid w:val="00D14CFD"/>
    <w:rsid w:val="00D15314"/>
    <w:rsid w:val="00D157C3"/>
    <w:rsid w:val="00D15D2B"/>
    <w:rsid w:val="00D167AC"/>
    <w:rsid w:val="00D1729C"/>
    <w:rsid w:val="00D17CA8"/>
    <w:rsid w:val="00D17D6C"/>
    <w:rsid w:val="00D17F1C"/>
    <w:rsid w:val="00D20080"/>
    <w:rsid w:val="00D2024F"/>
    <w:rsid w:val="00D206C5"/>
    <w:rsid w:val="00D213E3"/>
    <w:rsid w:val="00D2155B"/>
    <w:rsid w:val="00D231EF"/>
    <w:rsid w:val="00D233D5"/>
    <w:rsid w:val="00D23961"/>
    <w:rsid w:val="00D23D11"/>
    <w:rsid w:val="00D244B6"/>
    <w:rsid w:val="00D259FF"/>
    <w:rsid w:val="00D26C97"/>
    <w:rsid w:val="00D26CB2"/>
    <w:rsid w:val="00D2754D"/>
    <w:rsid w:val="00D27B27"/>
    <w:rsid w:val="00D308D0"/>
    <w:rsid w:val="00D30B90"/>
    <w:rsid w:val="00D30E00"/>
    <w:rsid w:val="00D31349"/>
    <w:rsid w:val="00D31C7E"/>
    <w:rsid w:val="00D31EBA"/>
    <w:rsid w:val="00D330E7"/>
    <w:rsid w:val="00D33643"/>
    <w:rsid w:val="00D33BE9"/>
    <w:rsid w:val="00D33C3C"/>
    <w:rsid w:val="00D33F8A"/>
    <w:rsid w:val="00D33F93"/>
    <w:rsid w:val="00D34A2B"/>
    <w:rsid w:val="00D34FB1"/>
    <w:rsid w:val="00D351B8"/>
    <w:rsid w:val="00D357FF"/>
    <w:rsid w:val="00D35E91"/>
    <w:rsid w:val="00D36242"/>
    <w:rsid w:val="00D36EA3"/>
    <w:rsid w:val="00D37CF9"/>
    <w:rsid w:val="00D40238"/>
    <w:rsid w:val="00D40655"/>
    <w:rsid w:val="00D40954"/>
    <w:rsid w:val="00D415B2"/>
    <w:rsid w:val="00D420D0"/>
    <w:rsid w:val="00D420DF"/>
    <w:rsid w:val="00D421C6"/>
    <w:rsid w:val="00D421E5"/>
    <w:rsid w:val="00D424C7"/>
    <w:rsid w:val="00D426B9"/>
    <w:rsid w:val="00D42AB4"/>
    <w:rsid w:val="00D42BED"/>
    <w:rsid w:val="00D43B2A"/>
    <w:rsid w:val="00D43D83"/>
    <w:rsid w:val="00D4557A"/>
    <w:rsid w:val="00D461B7"/>
    <w:rsid w:val="00D46897"/>
    <w:rsid w:val="00D47322"/>
    <w:rsid w:val="00D47575"/>
    <w:rsid w:val="00D47AD0"/>
    <w:rsid w:val="00D47B25"/>
    <w:rsid w:val="00D50204"/>
    <w:rsid w:val="00D50579"/>
    <w:rsid w:val="00D507C6"/>
    <w:rsid w:val="00D5243B"/>
    <w:rsid w:val="00D5246F"/>
    <w:rsid w:val="00D52D9A"/>
    <w:rsid w:val="00D52DAD"/>
    <w:rsid w:val="00D533EC"/>
    <w:rsid w:val="00D53A2D"/>
    <w:rsid w:val="00D53CD2"/>
    <w:rsid w:val="00D543B8"/>
    <w:rsid w:val="00D543EA"/>
    <w:rsid w:val="00D54E77"/>
    <w:rsid w:val="00D55837"/>
    <w:rsid w:val="00D5586B"/>
    <w:rsid w:val="00D56A95"/>
    <w:rsid w:val="00D6097E"/>
    <w:rsid w:val="00D61663"/>
    <w:rsid w:val="00D6175A"/>
    <w:rsid w:val="00D6185F"/>
    <w:rsid w:val="00D61C54"/>
    <w:rsid w:val="00D6273B"/>
    <w:rsid w:val="00D62883"/>
    <w:rsid w:val="00D62C28"/>
    <w:rsid w:val="00D634C2"/>
    <w:rsid w:val="00D64011"/>
    <w:rsid w:val="00D64835"/>
    <w:rsid w:val="00D64EED"/>
    <w:rsid w:val="00D65192"/>
    <w:rsid w:val="00D653A4"/>
    <w:rsid w:val="00D659CB"/>
    <w:rsid w:val="00D65DD2"/>
    <w:rsid w:val="00D6728F"/>
    <w:rsid w:val="00D673E1"/>
    <w:rsid w:val="00D67865"/>
    <w:rsid w:val="00D70019"/>
    <w:rsid w:val="00D7054C"/>
    <w:rsid w:val="00D70808"/>
    <w:rsid w:val="00D70F16"/>
    <w:rsid w:val="00D70FAD"/>
    <w:rsid w:val="00D7153F"/>
    <w:rsid w:val="00D71775"/>
    <w:rsid w:val="00D71872"/>
    <w:rsid w:val="00D720D8"/>
    <w:rsid w:val="00D726A8"/>
    <w:rsid w:val="00D72D50"/>
    <w:rsid w:val="00D72E95"/>
    <w:rsid w:val="00D72F57"/>
    <w:rsid w:val="00D74018"/>
    <w:rsid w:val="00D74687"/>
    <w:rsid w:val="00D74902"/>
    <w:rsid w:val="00D74993"/>
    <w:rsid w:val="00D75124"/>
    <w:rsid w:val="00D76349"/>
    <w:rsid w:val="00D76A44"/>
    <w:rsid w:val="00D7788D"/>
    <w:rsid w:val="00D77A80"/>
    <w:rsid w:val="00D77CC2"/>
    <w:rsid w:val="00D77DF6"/>
    <w:rsid w:val="00D77FFB"/>
    <w:rsid w:val="00D801FF"/>
    <w:rsid w:val="00D80614"/>
    <w:rsid w:val="00D815EF"/>
    <w:rsid w:val="00D81727"/>
    <w:rsid w:val="00D81AA1"/>
    <w:rsid w:val="00D81F26"/>
    <w:rsid w:val="00D824BF"/>
    <w:rsid w:val="00D828D5"/>
    <w:rsid w:val="00D834D3"/>
    <w:rsid w:val="00D83BE9"/>
    <w:rsid w:val="00D849E7"/>
    <w:rsid w:val="00D84CD3"/>
    <w:rsid w:val="00D84F0B"/>
    <w:rsid w:val="00D85E22"/>
    <w:rsid w:val="00D85FFD"/>
    <w:rsid w:val="00D86231"/>
    <w:rsid w:val="00D86363"/>
    <w:rsid w:val="00D86365"/>
    <w:rsid w:val="00D86E50"/>
    <w:rsid w:val="00D86F00"/>
    <w:rsid w:val="00D876E7"/>
    <w:rsid w:val="00D87819"/>
    <w:rsid w:val="00D8782A"/>
    <w:rsid w:val="00D9065D"/>
    <w:rsid w:val="00D90F9E"/>
    <w:rsid w:val="00D91867"/>
    <w:rsid w:val="00D91923"/>
    <w:rsid w:val="00D92095"/>
    <w:rsid w:val="00D92BB6"/>
    <w:rsid w:val="00D93753"/>
    <w:rsid w:val="00D93BC9"/>
    <w:rsid w:val="00D93E18"/>
    <w:rsid w:val="00D9494E"/>
    <w:rsid w:val="00D94F59"/>
    <w:rsid w:val="00D95B21"/>
    <w:rsid w:val="00D95E5D"/>
    <w:rsid w:val="00D961F2"/>
    <w:rsid w:val="00D9637D"/>
    <w:rsid w:val="00D96B78"/>
    <w:rsid w:val="00D977FA"/>
    <w:rsid w:val="00D97A9B"/>
    <w:rsid w:val="00D97F45"/>
    <w:rsid w:val="00DA0AB3"/>
    <w:rsid w:val="00DA1423"/>
    <w:rsid w:val="00DA2126"/>
    <w:rsid w:val="00DA22E4"/>
    <w:rsid w:val="00DA3167"/>
    <w:rsid w:val="00DA31FA"/>
    <w:rsid w:val="00DA4196"/>
    <w:rsid w:val="00DA4A13"/>
    <w:rsid w:val="00DA4DC3"/>
    <w:rsid w:val="00DA5B59"/>
    <w:rsid w:val="00DA7104"/>
    <w:rsid w:val="00DA77A5"/>
    <w:rsid w:val="00DA7942"/>
    <w:rsid w:val="00DB0D62"/>
    <w:rsid w:val="00DB0FFB"/>
    <w:rsid w:val="00DB2B93"/>
    <w:rsid w:val="00DB2BDF"/>
    <w:rsid w:val="00DB33E8"/>
    <w:rsid w:val="00DB356D"/>
    <w:rsid w:val="00DB3CFF"/>
    <w:rsid w:val="00DB3DBF"/>
    <w:rsid w:val="00DB3E18"/>
    <w:rsid w:val="00DB484F"/>
    <w:rsid w:val="00DB5201"/>
    <w:rsid w:val="00DB578D"/>
    <w:rsid w:val="00DB581C"/>
    <w:rsid w:val="00DB5981"/>
    <w:rsid w:val="00DB5AEA"/>
    <w:rsid w:val="00DB6060"/>
    <w:rsid w:val="00DB6C9A"/>
    <w:rsid w:val="00DB704B"/>
    <w:rsid w:val="00DB789E"/>
    <w:rsid w:val="00DB7C77"/>
    <w:rsid w:val="00DC0106"/>
    <w:rsid w:val="00DC04F6"/>
    <w:rsid w:val="00DC0690"/>
    <w:rsid w:val="00DC0E5C"/>
    <w:rsid w:val="00DC1D65"/>
    <w:rsid w:val="00DC2C59"/>
    <w:rsid w:val="00DC2C7C"/>
    <w:rsid w:val="00DC3495"/>
    <w:rsid w:val="00DC3729"/>
    <w:rsid w:val="00DC3772"/>
    <w:rsid w:val="00DC3C57"/>
    <w:rsid w:val="00DC3D31"/>
    <w:rsid w:val="00DC4676"/>
    <w:rsid w:val="00DC475F"/>
    <w:rsid w:val="00DC47B0"/>
    <w:rsid w:val="00DC5501"/>
    <w:rsid w:val="00DC676F"/>
    <w:rsid w:val="00DC7154"/>
    <w:rsid w:val="00DC7360"/>
    <w:rsid w:val="00DC7E8A"/>
    <w:rsid w:val="00DC7FEE"/>
    <w:rsid w:val="00DD0028"/>
    <w:rsid w:val="00DD0F78"/>
    <w:rsid w:val="00DD1EAC"/>
    <w:rsid w:val="00DD205B"/>
    <w:rsid w:val="00DD273C"/>
    <w:rsid w:val="00DD2D1F"/>
    <w:rsid w:val="00DD31F0"/>
    <w:rsid w:val="00DD3E22"/>
    <w:rsid w:val="00DD3E8C"/>
    <w:rsid w:val="00DD3F28"/>
    <w:rsid w:val="00DD4455"/>
    <w:rsid w:val="00DD4537"/>
    <w:rsid w:val="00DD4B5E"/>
    <w:rsid w:val="00DD4E15"/>
    <w:rsid w:val="00DD593A"/>
    <w:rsid w:val="00DD59D8"/>
    <w:rsid w:val="00DD65F4"/>
    <w:rsid w:val="00DD79BA"/>
    <w:rsid w:val="00DE10F8"/>
    <w:rsid w:val="00DE147D"/>
    <w:rsid w:val="00DE1810"/>
    <w:rsid w:val="00DE1A9E"/>
    <w:rsid w:val="00DE1F76"/>
    <w:rsid w:val="00DE2273"/>
    <w:rsid w:val="00DE2304"/>
    <w:rsid w:val="00DE2462"/>
    <w:rsid w:val="00DE268D"/>
    <w:rsid w:val="00DE2FF0"/>
    <w:rsid w:val="00DE3138"/>
    <w:rsid w:val="00DE3332"/>
    <w:rsid w:val="00DE33BA"/>
    <w:rsid w:val="00DE347B"/>
    <w:rsid w:val="00DE349C"/>
    <w:rsid w:val="00DE37F8"/>
    <w:rsid w:val="00DE3EAB"/>
    <w:rsid w:val="00DE416B"/>
    <w:rsid w:val="00DE45B5"/>
    <w:rsid w:val="00DE4FCB"/>
    <w:rsid w:val="00DE516B"/>
    <w:rsid w:val="00DE53B7"/>
    <w:rsid w:val="00DE5D07"/>
    <w:rsid w:val="00DE663D"/>
    <w:rsid w:val="00DE68F3"/>
    <w:rsid w:val="00DE69B2"/>
    <w:rsid w:val="00DE6AED"/>
    <w:rsid w:val="00DE71CC"/>
    <w:rsid w:val="00DE72A7"/>
    <w:rsid w:val="00DE72AA"/>
    <w:rsid w:val="00DE746B"/>
    <w:rsid w:val="00DE7832"/>
    <w:rsid w:val="00DE7D51"/>
    <w:rsid w:val="00DF02C1"/>
    <w:rsid w:val="00DF0D10"/>
    <w:rsid w:val="00DF14F4"/>
    <w:rsid w:val="00DF18FC"/>
    <w:rsid w:val="00DF1E11"/>
    <w:rsid w:val="00DF28CA"/>
    <w:rsid w:val="00DF2D1F"/>
    <w:rsid w:val="00DF2EDF"/>
    <w:rsid w:val="00DF30D6"/>
    <w:rsid w:val="00DF3842"/>
    <w:rsid w:val="00DF5255"/>
    <w:rsid w:val="00DF5D2B"/>
    <w:rsid w:val="00DF65BE"/>
    <w:rsid w:val="00DF79C5"/>
    <w:rsid w:val="00DF7A48"/>
    <w:rsid w:val="00E0090D"/>
    <w:rsid w:val="00E009C1"/>
    <w:rsid w:val="00E00C20"/>
    <w:rsid w:val="00E00E8E"/>
    <w:rsid w:val="00E00EE3"/>
    <w:rsid w:val="00E01094"/>
    <w:rsid w:val="00E01AD4"/>
    <w:rsid w:val="00E020DF"/>
    <w:rsid w:val="00E03256"/>
    <w:rsid w:val="00E039EA"/>
    <w:rsid w:val="00E05630"/>
    <w:rsid w:val="00E05F36"/>
    <w:rsid w:val="00E06AB8"/>
    <w:rsid w:val="00E06DBB"/>
    <w:rsid w:val="00E06FD9"/>
    <w:rsid w:val="00E0752E"/>
    <w:rsid w:val="00E07745"/>
    <w:rsid w:val="00E07ACF"/>
    <w:rsid w:val="00E10149"/>
    <w:rsid w:val="00E102AD"/>
    <w:rsid w:val="00E104B1"/>
    <w:rsid w:val="00E1050D"/>
    <w:rsid w:val="00E10A5B"/>
    <w:rsid w:val="00E11340"/>
    <w:rsid w:val="00E114D5"/>
    <w:rsid w:val="00E11D31"/>
    <w:rsid w:val="00E122A1"/>
    <w:rsid w:val="00E12A70"/>
    <w:rsid w:val="00E12BE2"/>
    <w:rsid w:val="00E13864"/>
    <w:rsid w:val="00E13D13"/>
    <w:rsid w:val="00E14FAF"/>
    <w:rsid w:val="00E15B37"/>
    <w:rsid w:val="00E16372"/>
    <w:rsid w:val="00E1759D"/>
    <w:rsid w:val="00E17CC5"/>
    <w:rsid w:val="00E17E7B"/>
    <w:rsid w:val="00E209F2"/>
    <w:rsid w:val="00E20E41"/>
    <w:rsid w:val="00E20E4D"/>
    <w:rsid w:val="00E20ED6"/>
    <w:rsid w:val="00E2113A"/>
    <w:rsid w:val="00E21358"/>
    <w:rsid w:val="00E2139A"/>
    <w:rsid w:val="00E21AE7"/>
    <w:rsid w:val="00E2249B"/>
    <w:rsid w:val="00E2264B"/>
    <w:rsid w:val="00E22A0D"/>
    <w:rsid w:val="00E22E76"/>
    <w:rsid w:val="00E23419"/>
    <w:rsid w:val="00E2384A"/>
    <w:rsid w:val="00E240B2"/>
    <w:rsid w:val="00E244F6"/>
    <w:rsid w:val="00E24AA9"/>
    <w:rsid w:val="00E25372"/>
    <w:rsid w:val="00E25E8A"/>
    <w:rsid w:val="00E25EC3"/>
    <w:rsid w:val="00E25FD5"/>
    <w:rsid w:val="00E26121"/>
    <w:rsid w:val="00E26236"/>
    <w:rsid w:val="00E266E1"/>
    <w:rsid w:val="00E26A6F"/>
    <w:rsid w:val="00E26E2E"/>
    <w:rsid w:val="00E271D7"/>
    <w:rsid w:val="00E2771E"/>
    <w:rsid w:val="00E277A8"/>
    <w:rsid w:val="00E27BFA"/>
    <w:rsid w:val="00E31114"/>
    <w:rsid w:val="00E311EF"/>
    <w:rsid w:val="00E3196E"/>
    <w:rsid w:val="00E32180"/>
    <w:rsid w:val="00E32233"/>
    <w:rsid w:val="00E322BE"/>
    <w:rsid w:val="00E3257F"/>
    <w:rsid w:val="00E3333A"/>
    <w:rsid w:val="00E333CD"/>
    <w:rsid w:val="00E33646"/>
    <w:rsid w:val="00E336C9"/>
    <w:rsid w:val="00E34948"/>
    <w:rsid w:val="00E3500B"/>
    <w:rsid w:val="00E3539E"/>
    <w:rsid w:val="00E35DAE"/>
    <w:rsid w:val="00E35ED8"/>
    <w:rsid w:val="00E37034"/>
    <w:rsid w:val="00E37398"/>
    <w:rsid w:val="00E374F0"/>
    <w:rsid w:val="00E37569"/>
    <w:rsid w:val="00E3799D"/>
    <w:rsid w:val="00E37AAC"/>
    <w:rsid w:val="00E37E81"/>
    <w:rsid w:val="00E401B2"/>
    <w:rsid w:val="00E40B9D"/>
    <w:rsid w:val="00E40D7B"/>
    <w:rsid w:val="00E41E1D"/>
    <w:rsid w:val="00E41E30"/>
    <w:rsid w:val="00E42DC3"/>
    <w:rsid w:val="00E42F73"/>
    <w:rsid w:val="00E43D70"/>
    <w:rsid w:val="00E4423B"/>
    <w:rsid w:val="00E44506"/>
    <w:rsid w:val="00E45266"/>
    <w:rsid w:val="00E45D6D"/>
    <w:rsid w:val="00E45E2B"/>
    <w:rsid w:val="00E46099"/>
    <w:rsid w:val="00E466F3"/>
    <w:rsid w:val="00E46954"/>
    <w:rsid w:val="00E4705A"/>
    <w:rsid w:val="00E4724E"/>
    <w:rsid w:val="00E479BA"/>
    <w:rsid w:val="00E47B2C"/>
    <w:rsid w:val="00E51560"/>
    <w:rsid w:val="00E51975"/>
    <w:rsid w:val="00E51EAC"/>
    <w:rsid w:val="00E5329C"/>
    <w:rsid w:val="00E5398C"/>
    <w:rsid w:val="00E53FC8"/>
    <w:rsid w:val="00E54347"/>
    <w:rsid w:val="00E54C17"/>
    <w:rsid w:val="00E55265"/>
    <w:rsid w:val="00E55424"/>
    <w:rsid w:val="00E558AB"/>
    <w:rsid w:val="00E55915"/>
    <w:rsid w:val="00E55BB5"/>
    <w:rsid w:val="00E55F91"/>
    <w:rsid w:val="00E55FBC"/>
    <w:rsid w:val="00E56321"/>
    <w:rsid w:val="00E5726D"/>
    <w:rsid w:val="00E57F95"/>
    <w:rsid w:val="00E61955"/>
    <w:rsid w:val="00E61CCC"/>
    <w:rsid w:val="00E61FF0"/>
    <w:rsid w:val="00E628EA"/>
    <w:rsid w:val="00E6299B"/>
    <w:rsid w:val="00E62BE8"/>
    <w:rsid w:val="00E62DA6"/>
    <w:rsid w:val="00E63408"/>
    <w:rsid w:val="00E63493"/>
    <w:rsid w:val="00E634E4"/>
    <w:rsid w:val="00E63545"/>
    <w:rsid w:val="00E63D0B"/>
    <w:rsid w:val="00E63F35"/>
    <w:rsid w:val="00E6413F"/>
    <w:rsid w:val="00E6416B"/>
    <w:rsid w:val="00E655B5"/>
    <w:rsid w:val="00E655DE"/>
    <w:rsid w:val="00E655EC"/>
    <w:rsid w:val="00E657E6"/>
    <w:rsid w:val="00E6598F"/>
    <w:rsid w:val="00E65E79"/>
    <w:rsid w:val="00E669B1"/>
    <w:rsid w:val="00E66BA2"/>
    <w:rsid w:val="00E66F97"/>
    <w:rsid w:val="00E67416"/>
    <w:rsid w:val="00E679D5"/>
    <w:rsid w:val="00E679FE"/>
    <w:rsid w:val="00E67DFC"/>
    <w:rsid w:val="00E708D8"/>
    <w:rsid w:val="00E7102C"/>
    <w:rsid w:val="00E7135E"/>
    <w:rsid w:val="00E715FF"/>
    <w:rsid w:val="00E71893"/>
    <w:rsid w:val="00E718B6"/>
    <w:rsid w:val="00E7231E"/>
    <w:rsid w:val="00E7234B"/>
    <w:rsid w:val="00E723BA"/>
    <w:rsid w:val="00E724E0"/>
    <w:rsid w:val="00E725B3"/>
    <w:rsid w:val="00E72BD5"/>
    <w:rsid w:val="00E73581"/>
    <w:rsid w:val="00E73DB4"/>
    <w:rsid w:val="00E749E5"/>
    <w:rsid w:val="00E75217"/>
    <w:rsid w:val="00E754E1"/>
    <w:rsid w:val="00E75F7D"/>
    <w:rsid w:val="00E76813"/>
    <w:rsid w:val="00E76F2D"/>
    <w:rsid w:val="00E7750F"/>
    <w:rsid w:val="00E8097F"/>
    <w:rsid w:val="00E80DDC"/>
    <w:rsid w:val="00E80F5F"/>
    <w:rsid w:val="00E81160"/>
    <w:rsid w:val="00E81839"/>
    <w:rsid w:val="00E81DC2"/>
    <w:rsid w:val="00E82E84"/>
    <w:rsid w:val="00E8318C"/>
    <w:rsid w:val="00E8323D"/>
    <w:rsid w:val="00E833F7"/>
    <w:rsid w:val="00E83BDF"/>
    <w:rsid w:val="00E84587"/>
    <w:rsid w:val="00E846AF"/>
    <w:rsid w:val="00E84920"/>
    <w:rsid w:val="00E8665F"/>
    <w:rsid w:val="00E86F5C"/>
    <w:rsid w:val="00E87A1D"/>
    <w:rsid w:val="00E90001"/>
    <w:rsid w:val="00E904D7"/>
    <w:rsid w:val="00E9094A"/>
    <w:rsid w:val="00E91031"/>
    <w:rsid w:val="00E91D35"/>
    <w:rsid w:val="00E91E34"/>
    <w:rsid w:val="00E926A5"/>
    <w:rsid w:val="00E92F93"/>
    <w:rsid w:val="00E933F3"/>
    <w:rsid w:val="00E934AF"/>
    <w:rsid w:val="00E93E87"/>
    <w:rsid w:val="00E94890"/>
    <w:rsid w:val="00E96839"/>
    <w:rsid w:val="00E9695F"/>
    <w:rsid w:val="00E9718C"/>
    <w:rsid w:val="00EA0678"/>
    <w:rsid w:val="00EA0CBE"/>
    <w:rsid w:val="00EA0F2E"/>
    <w:rsid w:val="00EA12F8"/>
    <w:rsid w:val="00EA17C3"/>
    <w:rsid w:val="00EA21CB"/>
    <w:rsid w:val="00EA2CAA"/>
    <w:rsid w:val="00EA3677"/>
    <w:rsid w:val="00EA3864"/>
    <w:rsid w:val="00EA43C0"/>
    <w:rsid w:val="00EA6E62"/>
    <w:rsid w:val="00EA73F3"/>
    <w:rsid w:val="00EA7438"/>
    <w:rsid w:val="00EA7F1C"/>
    <w:rsid w:val="00EB0258"/>
    <w:rsid w:val="00EB0DCB"/>
    <w:rsid w:val="00EB15B6"/>
    <w:rsid w:val="00EB1CC9"/>
    <w:rsid w:val="00EB246C"/>
    <w:rsid w:val="00EB31C3"/>
    <w:rsid w:val="00EB375F"/>
    <w:rsid w:val="00EB3933"/>
    <w:rsid w:val="00EB3D06"/>
    <w:rsid w:val="00EB3F7E"/>
    <w:rsid w:val="00EB417A"/>
    <w:rsid w:val="00EB42E2"/>
    <w:rsid w:val="00EB4916"/>
    <w:rsid w:val="00EB4981"/>
    <w:rsid w:val="00EB4D83"/>
    <w:rsid w:val="00EB55D3"/>
    <w:rsid w:val="00EB56AD"/>
    <w:rsid w:val="00EB57A4"/>
    <w:rsid w:val="00EB5D5E"/>
    <w:rsid w:val="00EB6770"/>
    <w:rsid w:val="00EB683A"/>
    <w:rsid w:val="00EB724C"/>
    <w:rsid w:val="00EB7E45"/>
    <w:rsid w:val="00EC00C9"/>
    <w:rsid w:val="00EC02A1"/>
    <w:rsid w:val="00EC0305"/>
    <w:rsid w:val="00EC0C68"/>
    <w:rsid w:val="00EC0DD9"/>
    <w:rsid w:val="00EC1396"/>
    <w:rsid w:val="00EC1669"/>
    <w:rsid w:val="00EC2357"/>
    <w:rsid w:val="00EC2649"/>
    <w:rsid w:val="00EC31ED"/>
    <w:rsid w:val="00EC3D3F"/>
    <w:rsid w:val="00EC4D78"/>
    <w:rsid w:val="00EC4F27"/>
    <w:rsid w:val="00EC5836"/>
    <w:rsid w:val="00EC59CA"/>
    <w:rsid w:val="00EC61A7"/>
    <w:rsid w:val="00EC688C"/>
    <w:rsid w:val="00EC6E4E"/>
    <w:rsid w:val="00EC79F0"/>
    <w:rsid w:val="00ED01D4"/>
    <w:rsid w:val="00ED0582"/>
    <w:rsid w:val="00ED096B"/>
    <w:rsid w:val="00ED104A"/>
    <w:rsid w:val="00ED11D0"/>
    <w:rsid w:val="00ED1419"/>
    <w:rsid w:val="00ED1D09"/>
    <w:rsid w:val="00ED2091"/>
    <w:rsid w:val="00ED28A4"/>
    <w:rsid w:val="00ED3E48"/>
    <w:rsid w:val="00ED417F"/>
    <w:rsid w:val="00ED4788"/>
    <w:rsid w:val="00ED4B40"/>
    <w:rsid w:val="00ED4DEF"/>
    <w:rsid w:val="00ED52A9"/>
    <w:rsid w:val="00ED555E"/>
    <w:rsid w:val="00ED57EA"/>
    <w:rsid w:val="00ED5BD4"/>
    <w:rsid w:val="00ED64C6"/>
    <w:rsid w:val="00ED6BD0"/>
    <w:rsid w:val="00ED6E71"/>
    <w:rsid w:val="00ED76F7"/>
    <w:rsid w:val="00EE07D3"/>
    <w:rsid w:val="00EE0921"/>
    <w:rsid w:val="00EE0C80"/>
    <w:rsid w:val="00EE0F68"/>
    <w:rsid w:val="00EE112E"/>
    <w:rsid w:val="00EE144E"/>
    <w:rsid w:val="00EE1996"/>
    <w:rsid w:val="00EE1C01"/>
    <w:rsid w:val="00EE1F5C"/>
    <w:rsid w:val="00EE2179"/>
    <w:rsid w:val="00EE222A"/>
    <w:rsid w:val="00EE22AF"/>
    <w:rsid w:val="00EE2537"/>
    <w:rsid w:val="00EE272B"/>
    <w:rsid w:val="00EE3415"/>
    <w:rsid w:val="00EE39BE"/>
    <w:rsid w:val="00EE3CD2"/>
    <w:rsid w:val="00EE4097"/>
    <w:rsid w:val="00EE4189"/>
    <w:rsid w:val="00EE4249"/>
    <w:rsid w:val="00EE498E"/>
    <w:rsid w:val="00EE54CF"/>
    <w:rsid w:val="00EE57CD"/>
    <w:rsid w:val="00EE59EA"/>
    <w:rsid w:val="00EE5F1F"/>
    <w:rsid w:val="00EE5F6C"/>
    <w:rsid w:val="00EE65A9"/>
    <w:rsid w:val="00EE6CB2"/>
    <w:rsid w:val="00EE702D"/>
    <w:rsid w:val="00EE785A"/>
    <w:rsid w:val="00EE7D9A"/>
    <w:rsid w:val="00EE7F6A"/>
    <w:rsid w:val="00EF0171"/>
    <w:rsid w:val="00EF081E"/>
    <w:rsid w:val="00EF0CCD"/>
    <w:rsid w:val="00EF1536"/>
    <w:rsid w:val="00EF1B25"/>
    <w:rsid w:val="00EF1DA0"/>
    <w:rsid w:val="00EF1FDF"/>
    <w:rsid w:val="00EF25DA"/>
    <w:rsid w:val="00EF2C79"/>
    <w:rsid w:val="00EF3311"/>
    <w:rsid w:val="00EF343D"/>
    <w:rsid w:val="00EF3BB6"/>
    <w:rsid w:val="00EF468D"/>
    <w:rsid w:val="00EF4747"/>
    <w:rsid w:val="00EF4BF8"/>
    <w:rsid w:val="00EF5345"/>
    <w:rsid w:val="00EF58D8"/>
    <w:rsid w:val="00EF62D4"/>
    <w:rsid w:val="00EF6391"/>
    <w:rsid w:val="00EF7889"/>
    <w:rsid w:val="00EF78D4"/>
    <w:rsid w:val="00F00627"/>
    <w:rsid w:val="00F01211"/>
    <w:rsid w:val="00F02233"/>
    <w:rsid w:val="00F02253"/>
    <w:rsid w:val="00F0246C"/>
    <w:rsid w:val="00F0275B"/>
    <w:rsid w:val="00F028FF"/>
    <w:rsid w:val="00F03C2E"/>
    <w:rsid w:val="00F04A66"/>
    <w:rsid w:val="00F04B4B"/>
    <w:rsid w:val="00F0516C"/>
    <w:rsid w:val="00F05875"/>
    <w:rsid w:val="00F06071"/>
    <w:rsid w:val="00F067A2"/>
    <w:rsid w:val="00F073DE"/>
    <w:rsid w:val="00F07B9E"/>
    <w:rsid w:val="00F10641"/>
    <w:rsid w:val="00F1116F"/>
    <w:rsid w:val="00F112C4"/>
    <w:rsid w:val="00F1263A"/>
    <w:rsid w:val="00F12945"/>
    <w:rsid w:val="00F12C34"/>
    <w:rsid w:val="00F13242"/>
    <w:rsid w:val="00F143FE"/>
    <w:rsid w:val="00F145EF"/>
    <w:rsid w:val="00F14996"/>
    <w:rsid w:val="00F15B77"/>
    <w:rsid w:val="00F15BE9"/>
    <w:rsid w:val="00F15DCC"/>
    <w:rsid w:val="00F17CC6"/>
    <w:rsid w:val="00F200BF"/>
    <w:rsid w:val="00F2062A"/>
    <w:rsid w:val="00F20EF4"/>
    <w:rsid w:val="00F21457"/>
    <w:rsid w:val="00F21B0F"/>
    <w:rsid w:val="00F21E5D"/>
    <w:rsid w:val="00F22140"/>
    <w:rsid w:val="00F22E24"/>
    <w:rsid w:val="00F2302D"/>
    <w:rsid w:val="00F2373C"/>
    <w:rsid w:val="00F23863"/>
    <w:rsid w:val="00F23B8B"/>
    <w:rsid w:val="00F24072"/>
    <w:rsid w:val="00F24837"/>
    <w:rsid w:val="00F24C9B"/>
    <w:rsid w:val="00F25396"/>
    <w:rsid w:val="00F2575F"/>
    <w:rsid w:val="00F25E65"/>
    <w:rsid w:val="00F26DDD"/>
    <w:rsid w:val="00F272B6"/>
    <w:rsid w:val="00F27565"/>
    <w:rsid w:val="00F27897"/>
    <w:rsid w:val="00F2792B"/>
    <w:rsid w:val="00F27982"/>
    <w:rsid w:val="00F30090"/>
    <w:rsid w:val="00F303F7"/>
    <w:rsid w:val="00F3064D"/>
    <w:rsid w:val="00F310D4"/>
    <w:rsid w:val="00F31D5A"/>
    <w:rsid w:val="00F32499"/>
    <w:rsid w:val="00F325DC"/>
    <w:rsid w:val="00F32BC2"/>
    <w:rsid w:val="00F33352"/>
    <w:rsid w:val="00F3337D"/>
    <w:rsid w:val="00F33975"/>
    <w:rsid w:val="00F33DE9"/>
    <w:rsid w:val="00F340EF"/>
    <w:rsid w:val="00F345C8"/>
    <w:rsid w:val="00F34926"/>
    <w:rsid w:val="00F34A9A"/>
    <w:rsid w:val="00F34B56"/>
    <w:rsid w:val="00F34DD6"/>
    <w:rsid w:val="00F35063"/>
    <w:rsid w:val="00F35E6D"/>
    <w:rsid w:val="00F3619A"/>
    <w:rsid w:val="00F36632"/>
    <w:rsid w:val="00F366FE"/>
    <w:rsid w:val="00F36D9C"/>
    <w:rsid w:val="00F40051"/>
    <w:rsid w:val="00F401F6"/>
    <w:rsid w:val="00F408C9"/>
    <w:rsid w:val="00F408E2"/>
    <w:rsid w:val="00F40AAA"/>
    <w:rsid w:val="00F40BA7"/>
    <w:rsid w:val="00F40F9D"/>
    <w:rsid w:val="00F41ACD"/>
    <w:rsid w:val="00F42B38"/>
    <w:rsid w:val="00F42E1A"/>
    <w:rsid w:val="00F43DFE"/>
    <w:rsid w:val="00F4403B"/>
    <w:rsid w:val="00F44085"/>
    <w:rsid w:val="00F44138"/>
    <w:rsid w:val="00F45118"/>
    <w:rsid w:val="00F45685"/>
    <w:rsid w:val="00F458C6"/>
    <w:rsid w:val="00F46CB6"/>
    <w:rsid w:val="00F46CC0"/>
    <w:rsid w:val="00F46F9A"/>
    <w:rsid w:val="00F4745B"/>
    <w:rsid w:val="00F4756D"/>
    <w:rsid w:val="00F4760B"/>
    <w:rsid w:val="00F47DE8"/>
    <w:rsid w:val="00F50077"/>
    <w:rsid w:val="00F50128"/>
    <w:rsid w:val="00F50DEC"/>
    <w:rsid w:val="00F51A38"/>
    <w:rsid w:val="00F51F0C"/>
    <w:rsid w:val="00F5213B"/>
    <w:rsid w:val="00F529A6"/>
    <w:rsid w:val="00F52A70"/>
    <w:rsid w:val="00F52CF0"/>
    <w:rsid w:val="00F53DC0"/>
    <w:rsid w:val="00F54105"/>
    <w:rsid w:val="00F5418A"/>
    <w:rsid w:val="00F542C1"/>
    <w:rsid w:val="00F54A86"/>
    <w:rsid w:val="00F55461"/>
    <w:rsid w:val="00F55556"/>
    <w:rsid w:val="00F55E73"/>
    <w:rsid w:val="00F55EB6"/>
    <w:rsid w:val="00F55EDA"/>
    <w:rsid w:val="00F566E6"/>
    <w:rsid w:val="00F568D8"/>
    <w:rsid w:val="00F56C80"/>
    <w:rsid w:val="00F56DA6"/>
    <w:rsid w:val="00F57ABD"/>
    <w:rsid w:val="00F60092"/>
    <w:rsid w:val="00F60388"/>
    <w:rsid w:val="00F61381"/>
    <w:rsid w:val="00F61C18"/>
    <w:rsid w:val="00F62EB1"/>
    <w:rsid w:val="00F6379E"/>
    <w:rsid w:val="00F641C7"/>
    <w:rsid w:val="00F64212"/>
    <w:rsid w:val="00F64882"/>
    <w:rsid w:val="00F65F4B"/>
    <w:rsid w:val="00F662C2"/>
    <w:rsid w:val="00F6687F"/>
    <w:rsid w:val="00F66FB6"/>
    <w:rsid w:val="00F67857"/>
    <w:rsid w:val="00F67A69"/>
    <w:rsid w:val="00F70033"/>
    <w:rsid w:val="00F70BFF"/>
    <w:rsid w:val="00F70C9D"/>
    <w:rsid w:val="00F71561"/>
    <w:rsid w:val="00F71935"/>
    <w:rsid w:val="00F71962"/>
    <w:rsid w:val="00F725CF"/>
    <w:rsid w:val="00F72701"/>
    <w:rsid w:val="00F73DFC"/>
    <w:rsid w:val="00F73F22"/>
    <w:rsid w:val="00F7455B"/>
    <w:rsid w:val="00F74621"/>
    <w:rsid w:val="00F74B65"/>
    <w:rsid w:val="00F74CD9"/>
    <w:rsid w:val="00F74DEA"/>
    <w:rsid w:val="00F74F2C"/>
    <w:rsid w:val="00F75980"/>
    <w:rsid w:val="00F7608E"/>
    <w:rsid w:val="00F76490"/>
    <w:rsid w:val="00F77246"/>
    <w:rsid w:val="00F779DD"/>
    <w:rsid w:val="00F77CAB"/>
    <w:rsid w:val="00F77CF7"/>
    <w:rsid w:val="00F77D66"/>
    <w:rsid w:val="00F80167"/>
    <w:rsid w:val="00F80A7B"/>
    <w:rsid w:val="00F80E5D"/>
    <w:rsid w:val="00F81394"/>
    <w:rsid w:val="00F81469"/>
    <w:rsid w:val="00F819A0"/>
    <w:rsid w:val="00F81CD2"/>
    <w:rsid w:val="00F81DB4"/>
    <w:rsid w:val="00F81DE1"/>
    <w:rsid w:val="00F81E78"/>
    <w:rsid w:val="00F82F50"/>
    <w:rsid w:val="00F83989"/>
    <w:rsid w:val="00F844BA"/>
    <w:rsid w:val="00F84623"/>
    <w:rsid w:val="00F85180"/>
    <w:rsid w:val="00F851CE"/>
    <w:rsid w:val="00F86626"/>
    <w:rsid w:val="00F873EA"/>
    <w:rsid w:val="00F879A7"/>
    <w:rsid w:val="00F90BDC"/>
    <w:rsid w:val="00F911EB"/>
    <w:rsid w:val="00F91219"/>
    <w:rsid w:val="00F91772"/>
    <w:rsid w:val="00F91A9D"/>
    <w:rsid w:val="00F91AA4"/>
    <w:rsid w:val="00F91CDE"/>
    <w:rsid w:val="00F91E37"/>
    <w:rsid w:val="00F92444"/>
    <w:rsid w:val="00F9268A"/>
    <w:rsid w:val="00F9393E"/>
    <w:rsid w:val="00F94A89"/>
    <w:rsid w:val="00F958A0"/>
    <w:rsid w:val="00F95AFC"/>
    <w:rsid w:val="00F95BA0"/>
    <w:rsid w:val="00F961EB"/>
    <w:rsid w:val="00F9638F"/>
    <w:rsid w:val="00F9662D"/>
    <w:rsid w:val="00F966B5"/>
    <w:rsid w:val="00F96877"/>
    <w:rsid w:val="00F96FD0"/>
    <w:rsid w:val="00F97A78"/>
    <w:rsid w:val="00FA093B"/>
    <w:rsid w:val="00FA0B20"/>
    <w:rsid w:val="00FA0EB2"/>
    <w:rsid w:val="00FA24E7"/>
    <w:rsid w:val="00FA2B8D"/>
    <w:rsid w:val="00FA30D4"/>
    <w:rsid w:val="00FA33A2"/>
    <w:rsid w:val="00FA3934"/>
    <w:rsid w:val="00FA4190"/>
    <w:rsid w:val="00FA4DD8"/>
    <w:rsid w:val="00FA5EE6"/>
    <w:rsid w:val="00FA6643"/>
    <w:rsid w:val="00FA6809"/>
    <w:rsid w:val="00FA6963"/>
    <w:rsid w:val="00FA70CE"/>
    <w:rsid w:val="00FA766F"/>
    <w:rsid w:val="00FA76E5"/>
    <w:rsid w:val="00FA7956"/>
    <w:rsid w:val="00FA7E9A"/>
    <w:rsid w:val="00FB01AA"/>
    <w:rsid w:val="00FB1C7C"/>
    <w:rsid w:val="00FB2955"/>
    <w:rsid w:val="00FB2FCB"/>
    <w:rsid w:val="00FB39F5"/>
    <w:rsid w:val="00FB3D49"/>
    <w:rsid w:val="00FB42D6"/>
    <w:rsid w:val="00FB4696"/>
    <w:rsid w:val="00FB4C49"/>
    <w:rsid w:val="00FB4EC4"/>
    <w:rsid w:val="00FB5C62"/>
    <w:rsid w:val="00FB6034"/>
    <w:rsid w:val="00FB64D6"/>
    <w:rsid w:val="00FB6817"/>
    <w:rsid w:val="00FB6CB5"/>
    <w:rsid w:val="00FB784F"/>
    <w:rsid w:val="00FB78F4"/>
    <w:rsid w:val="00FB7A07"/>
    <w:rsid w:val="00FB7A10"/>
    <w:rsid w:val="00FB7C55"/>
    <w:rsid w:val="00FB7C98"/>
    <w:rsid w:val="00FB7ED2"/>
    <w:rsid w:val="00FC0406"/>
    <w:rsid w:val="00FC0F10"/>
    <w:rsid w:val="00FC1074"/>
    <w:rsid w:val="00FC10B0"/>
    <w:rsid w:val="00FC15DB"/>
    <w:rsid w:val="00FC1884"/>
    <w:rsid w:val="00FC1F5F"/>
    <w:rsid w:val="00FC20F2"/>
    <w:rsid w:val="00FC225A"/>
    <w:rsid w:val="00FC29B4"/>
    <w:rsid w:val="00FC327E"/>
    <w:rsid w:val="00FC371D"/>
    <w:rsid w:val="00FC3E75"/>
    <w:rsid w:val="00FC46FC"/>
    <w:rsid w:val="00FC489B"/>
    <w:rsid w:val="00FC5040"/>
    <w:rsid w:val="00FC520E"/>
    <w:rsid w:val="00FC5F0B"/>
    <w:rsid w:val="00FC6306"/>
    <w:rsid w:val="00FC7233"/>
    <w:rsid w:val="00FD0035"/>
    <w:rsid w:val="00FD01F1"/>
    <w:rsid w:val="00FD0594"/>
    <w:rsid w:val="00FD147E"/>
    <w:rsid w:val="00FD1FF6"/>
    <w:rsid w:val="00FD2100"/>
    <w:rsid w:val="00FD2916"/>
    <w:rsid w:val="00FD3060"/>
    <w:rsid w:val="00FD38BF"/>
    <w:rsid w:val="00FD436C"/>
    <w:rsid w:val="00FD446D"/>
    <w:rsid w:val="00FD493B"/>
    <w:rsid w:val="00FD4F2C"/>
    <w:rsid w:val="00FD6394"/>
    <w:rsid w:val="00FD6649"/>
    <w:rsid w:val="00FD6A0B"/>
    <w:rsid w:val="00FD6E92"/>
    <w:rsid w:val="00FD7046"/>
    <w:rsid w:val="00FD7E1E"/>
    <w:rsid w:val="00FE0304"/>
    <w:rsid w:val="00FE04F6"/>
    <w:rsid w:val="00FE05C3"/>
    <w:rsid w:val="00FE0C5D"/>
    <w:rsid w:val="00FE0E6C"/>
    <w:rsid w:val="00FE1BC3"/>
    <w:rsid w:val="00FE1CDC"/>
    <w:rsid w:val="00FE1F8F"/>
    <w:rsid w:val="00FE2535"/>
    <w:rsid w:val="00FE329B"/>
    <w:rsid w:val="00FE384A"/>
    <w:rsid w:val="00FE3F99"/>
    <w:rsid w:val="00FE416B"/>
    <w:rsid w:val="00FE45D3"/>
    <w:rsid w:val="00FE47D7"/>
    <w:rsid w:val="00FE509F"/>
    <w:rsid w:val="00FE510F"/>
    <w:rsid w:val="00FE52AE"/>
    <w:rsid w:val="00FE5508"/>
    <w:rsid w:val="00FE5F08"/>
    <w:rsid w:val="00FE605C"/>
    <w:rsid w:val="00FE70C3"/>
    <w:rsid w:val="00FE75EE"/>
    <w:rsid w:val="00FE7BCC"/>
    <w:rsid w:val="00FE7F8D"/>
    <w:rsid w:val="00FF0891"/>
    <w:rsid w:val="00FF107F"/>
    <w:rsid w:val="00FF121A"/>
    <w:rsid w:val="00FF15EC"/>
    <w:rsid w:val="00FF20A3"/>
    <w:rsid w:val="00FF292A"/>
    <w:rsid w:val="00FF2A26"/>
    <w:rsid w:val="00FF2AD9"/>
    <w:rsid w:val="00FF32F4"/>
    <w:rsid w:val="00FF3506"/>
    <w:rsid w:val="00FF359F"/>
    <w:rsid w:val="00FF3DAC"/>
    <w:rsid w:val="00FF3DCF"/>
    <w:rsid w:val="00FF3DE0"/>
    <w:rsid w:val="00FF3E5F"/>
    <w:rsid w:val="00FF492C"/>
    <w:rsid w:val="00FF49B6"/>
    <w:rsid w:val="00FF4A21"/>
    <w:rsid w:val="00FF4C1D"/>
    <w:rsid w:val="00FF4E96"/>
    <w:rsid w:val="00FF5350"/>
    <w:rsid w:val="00FF58A8"/>
    <w:rsid w:val="00FF5AA3"/>
    <w:rsid w:val="00FF5AD8"/>
    <w:rsid w:val="00FF5FB9"/>
    <w:rsid w:val="00FF64F4"/>
    <w:rsid w:val="00FF7704"/>
    <w:rsid w:val="00FF7C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5" w:qFormat="1"/>
    <w:lsdException w:name="heading 6" w:qFormat="1"/>
    <w:lsdException w:name="heading 7" w:semiHidden="1" w:unhideWhenUsed="1" w:qFormat="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687"/>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862226"/>
    <w:pPr>
      <w:spacing w:before="240" w:after="240"/>
      <w:outlineLvl w:val="1"/>
    </w:pPr>
    <w:rPr>
      <w:b/>
      <w:i/>
      <w:sz w:val="28"/>
    </w:rPr>
  </w:style>
  <w:style w:type="paragraph" w:styleId="Heading3">
    <w:name w:val="heading 3"/>
    <w:basedOn w:val="Normal"/>
    <w:next w:val="Normal"/>
    <w:link w:val="Heading3Char"/>
    <w:rsid w:val="00292969"/>
    <w:pPr>
      <w:spacing w:before="240" w:after="240"/>
      <w:outlineLvl w:val="2"/>
    </w:pPr>
    <w:rPr>
      <w:b/>
      <w:sz w:val="28"/>
    </w:rPr>
  </w:style>
  <w:style w:type="paragraph" w:styleId="Heading4">
    <w:name w:val="heading 4"/>
    <w:basedOn w:val="Normal"/>
    <w:next w:val="Normal"/>
    <w:link w:val="Heading4Char"/>
    <w:rsid w:val="005D773A"/>
    <w:pPr>
      <w:keepNext/>
      <w:spacing w:before="240" w:after="240"/>
      <w:outlineLvl w:val="3"/>
    </w:pPr>
    <w:rPr>
      <w:b/>
      <w:bCs/>
      <w:i/>
      <w:sz w:val="26"/>
      <w:szCs w:val="28"/>
    </w:rPr>
  </w:style>
  <w:style w:type="paragraph" w:styleId="Heading5">
    <w:name w:val="heading 5"/>
    <w:basedOn w:val="Normal"/>
    <w:next w:val="Normal"/>
    <w:link w:val="Heading5Char"/>
    <w:qFormat/>
    <w:rsid w:val="00D543EA"/>
    <w:pPr>
      <w:spacing w:before="240" w:after="240"/>
      <w:outlineLvl w:val="4"/>
    </w:pPr>
    <w:rPr>
      <w:bCs/>
      <w:iCs/>
      <w:szCs w:val="26"/>
      <w:u w:val="single"/>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62226"/>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72"/>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H19,Comment Text Char1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Comment Text Char1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B15687"/>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1962B8"/>
    <w:pPr>
      <w:spacing w:after="240"/>
      <w:contextualSpacing/>
    </w:pPr>
    <w:rPr>
      <w:rFonts w:ascii="Arial Narrow" w:hAnsi="Arial Narrow"/>
      <w:snapToGrid w:val="0"/>
      <w:sz w:val="18"/>
      <w:szCs w:val="22"/>
    </w:rPr>
  </w:style>
  <w:style w:type="character" w:customStyle="1" w:styleId="TableFigureFooterChar">
    <w:name w:val="Table/Figure Footer Char"/>
    <w:link w:val="TableFigureFooter"/>
    <w:rsid w:val="001962B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val="0"/>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val="0"/>
      <w:color w:val="000000" w:themeColor="text1"/>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226E2E"/>
    <w:rPr>
      <w:color w:val="605E5C"/>
      <w:shd w:val="clear" w:color="auto" w:fill="E1DFDD"/>
    </w:rPr>
  </w:style>
  <w:style w:type="paragraph" w:styleId="FootnoteText">
    <w:name w:val="footnote text"/>
    <w:basedOn w:val="Normal"/>
    <w:link w:val="FootnoteTextChar"/>
    <w:semiHidden/>
    <w:unhideWhenUsed/>
    <w:rsid w:val="00F20EF4"/>
    <w:rPr>
      <w:sz w:val="20"/>
      <w:szCs w:val="20"/>
    </w:rPr>
  </w:style>
  <w:style w:type="character" w:customStyle="1" w:styleId="FootnoteTextChar">
    <w:name w:val="Footnote Text Char"/>
    <w:basedOn w:val="DefaultParagraphFont"/>
    <w:link w:val="FootnoteText"/>
    <w:semiHidden/>
    <w:rsid w:val="00F20EF4"/>
    <w:rPr>
      <w:rFonts w:ascii="Calibri" w:hAnsi="Calibri" w:cs="Arial"/>
    </w:rPr>
  </w:style>
  <w:style w:type="character" w:styleId="FootnoteReference">
    <w:name w:val="footnote reference"/>
    <w:basedOn w:val="DefaultParagraphFont"/>
    <w:semiHidden/>
    <w:unhideWhenUsed/>
    <w:rsid w:val="00F20EF4"/>
    <w:rPr>
      <w:vertAlign w:val="superscript"/>
    </w:rPr>
  </w:style>
  <w:style w:type="character" w:customStyle="1" w:styleId="Heading3Char">
    <w:name w:val="Heading 3 Char"/>
    <w:basedOn w:val="DefaultParagraphFont"/>
    <w:link w:val="Heading3"/>
    <w:uiPriority w:val="9"/>
    <w:rsid w:val="00292969"/>
    <w:rPr>
      <w:rFonts w:ascii="Calibri" w:hAnsi="Calibri" w:cs="Arial"/>
      <w:b/>
      <w:sz w:val="28"/>
      <w:szCs w:val="24"/>
    </w:rPr>
  </w:style>
  <w:style w:type="table" w:styleId="TableTheme">
    <w:name w:val="Table Theme"/>
    <w:basedOn w:val="TableNormal"/>
    <w:semiHidden/>
    <w:unhideWhenUsed/>
    <w:rsid w:val="00B335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842BB"/>
  </w:style>
  <w:style w:type="character" w:customStyle="1" w:styleId="Heading1Char">
    <w:name w:val="Heading 1 Char"/>
    <w:basedOn w:val="DefaultParagraphFont"/>
    <w:link w:val="Heading1"/>
    <w:uiPriority w:val="9"/>
    <w:rsid w:val="00C842BB"/>
    <w:rPr>
      <w:rFonts w:ascii="Calibri" w:hAnsi="Calibri" w:cs="Arial"/>
      <w:b/>
      <w:caps/>
      <w:sz w:val="32"/>
      <w:szCs w:val="24"/>
    </w:rPr>
  </w:style>
  <w:style w:type="character" w:customStyle="1" w:styleId="Heading4Char">
    <w:name w:val="Heading 4 Char"/>
    <w:basedOn w:val="DefaultParagraphFont"/>
    <w:link w:val="Heading4"/>
    <w:uiPriority w:val="9"/>
    <w:rsid w:val="00C842BB"/>
    <w:rPr>
      <w:rFonts w:ascii="Calibri" w:hAnsi="Calibri" w:cs="Arial"/>
      <w:b/>
      <w:bCs/>
      <w:i/>
      <w:sz w:val="26"/>
      <w:szCs w:val="28"/>
    </w:rPr>
  </w:style>
  <w:style w:type="table" w:customStyle="1" w:styleId="TableGrid1">
    <w:name w:val="Table Grid1"/>
    <w:basedOn w:val="TableNormal"/>
    <w:next w:val="TableGrid"/>
    <w:uiPriority w:val="39"/>
    <w:rsid w:val="00C842B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842BB"/>
    <w:rPr>
      <w:rFonts w:ascii="Calibri" w:hAnsi="Calibri" w:cs="Arial"/>
      <w:bCs/>
      <w:iCs/>
      <w:sz w:val="24"/>
      <w:szCs w:val="26"/>
      <w:u w:val="single"/>
    </w:rPr>
  </w:style>
  <w:style w:type="character" w:customStyle="1" w:styleId="Heading6Char">
    <w:name w:val="Heading 6 Char"/>
    <w:basedOn w:val="DefaultParagraphFont"/>
    <w:link w:val="Heading6"/>
    <w:rsid w:val="00C842BB"/>
    <w:rPr>
      <w:rFonts w:ascii="Calibri" w:hAnsi="Calibri" w:cs="Arial"/>
      <w:b/>
      <w:bCs/>
      <w:i/>
      <w:sz w:val="24"/>
      <w:szCs w:val="24"/>
    </w:rPr>
  </w:style>
  <w:style w:type="table" w:customStyle="1" w:styleId="TableGrid7">
    <w:name w:val="Table Grid7"/>
    <w:basedOn w:val="TableNormal"/>
    <w:next w:val="TableGrid"/>
    <w:uiPriority w:val="59"/>
    <w:rsid w:val="00C842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41FC4"/>
  </w:style>
  <w:style w:type="table" w:customStyle="1" w:styleId="TableGrid2">
    <w:name w:val="Table Grid2"/>
    <w:basedOn w:val="TableNormal"/>
    <w:next w:val="TableGrid"/>
    <w:uiPriority w:val="39"/>
    <w:rsid w:val="00C41FC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41F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TableChar">
    <w:name w:val="Caption Table Char"/>
    <w:link w:val="CaptionTable"/>
    <w:locked/>
    <w:rsid w:val="00A31981"/>
    <w:rPr>
      <w:rFonts w:ascii="Arial Narrow" w:hAnsi="Arial Narrow"/>
      <w:b/>
      <w:bCs/>
      <w:lang w:bidi="en-US"/>
    </w:rPr>
  </w:style>
  <w:style w:type="paragraph" w:customStyle="1" w:styleId="CaptionTable">
    <w:name w:val="Caption Table"/>
    <w:basedOn w:val="Normal"/>
    <w:next w:val="Normal"/>
    <w:link w:val="CaptionTableChar"/>
    <w:autoRedefine/>
    <w:rsid w:val="00A31981"/>
    <w:pPr>
      <w:keepNext/>
    </w:pPr>
    <w:rPr>
      <w:rFonts w:ascii="Arial Narrow" w:hAnsi="Arial Narrow" w:cs="Times New Roman"/>
      <w:b/>
      <w:bCs/>
      <w:sz w:val="20"/>
      <w:szCs w:val="20"/>
      <w:lang w:bidi="en-US"/>
    </w:rPr>
  </w:style>
  <w:style w:type="table" w:customStyle="1" w:styleId="Summarybox21">
    <w:name w:val="Summary box21"/>
    <w:basedOn w:val="TableNormal"/>
    <w:next w:val="TableGrid"/>
    <w:uiPriority w:val="59"/>
    <w:rsid w:val="00A319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6">
    <w:name w:val="Summary box16"/>
    <w:basedOn w:val="TableNormal"/>
    <w:next w:val="TableGrid"/>
    <w:uiPriority w:val="59"/>
    <w:rsid w:val="00A319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qFormat/>
    <w:rsid w:val="00A31981"/>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A31981"/>
    <w:rPr>
      <w:rFonts w:asciiTheme="minorHAnsi" w:hAnsiTheme="minorHAnsi"/>
      <w:sz w:val="22"/>
      <w:lang w:val="en-US" w:eastAsia="en-US"/>
    </w:rPr>
  </w:style>
  <w:style w:type="table" w:customStyle="1" w:styleId="Summarybox29">
    <w:name w:val="Summary box29"/>
    <w:basedOn w:val="TableNormal"/>
    <w:next w:val="TableGrid"/>
    <w:uiPriority w:val="59"/>
    <w:rsid w:val="00A319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ource">
    <w:name w:val="Table Source"/>
    <w:basedOn w:val="Normal"/>
    <w:next w:val="Normal"/>
    <w:link w:val="TableSourceChar"/>
    <w:autoRedefine/>
    <w:qFormat/>
    <w:rsid w:val="00A31981"/>
    <w:pPr>
      <w:tabs>
        <w:tab w:val="left" w:pos="709"/>
      </w:tabs>
    </w:pPr>
    <w:rPr>
      <w:rFonts w:ascii="Arial Narrow" w:hAnsi="Arial Narrow" w:cstheme="minorHAnsi"/>
      <w:iCs/>
      <w:sz w:val="18"/>
      <w:szCs w:val="18"/>
    </w:rPr>
  </w:style>
  <w:style w:type="character" w:customStyle="1" w:styleId="TableSourceChar">
    <w:name w:val="Table Source Char"/>
    <w:link w:val="TableSource"/>
    <w:rsid w:val="00A31981"/>
    <w:rPr>
      <w:rFonts w:ascii="Arial Narrow" w:hAnsi="Arial Narrow" w:cstheme="minorHAnsi"/>
      <w:iCs/>
      <w:sz w:val="18"/>
      <w:szCs w:val="18"/>
    </w:rPr>
  </w:style>
  <w:style w:type="table" w:customStyle="1" w:styleId="Summarybox37">
    <w:name w:val="Summary box37"/>
    <w:basedOn w:val="TableNormal"/>
    <w:next w:val="TableGrid"/>
    <w:uiPriority w:val="59"/>
    <w:rsid w:val="00A319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abletext"/>
    <w:link w:val="TabletitleChar"/>
    <w:qFormat/>
    <w:rsid w:val="006C52AD"/>
    <w:rPr>
      <w:rFonts w:eastAsia="Calibri" w:cs="Arial"/>
      <w:b/>
      <w:snapToGrid/>
      <w:szCs w:val="20"/>
      <w:lang w:eastAsia="en-US"/>
    </w:rPr>
  </w:style>
  <w:style w:type="character" w:customStyle="1" w:styleId="TabletitleChar">
    <w:name w:val="Table title Char"/>
    <w:basedOn w:val="TabletextChar"/>
    <w:link w:val="Tabletitle"/>
    <w:rsid w:val="006C52AD"/>
    <w:rPr>
      <w:rFonts w:ascii="Arial Narrow" w:eastAsia="Calibri" w:hAnsi="Arial Narrow" w:cs="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076">
      <w:bodyDiv w:val="1"/>
      <w:marLeft w:val="0"/>
      <w:marRight w:val="0"/>
      <w:marTop w:val="0"/>
      <w:marBottom w:val="0"/>
      <w:divBdr>
        <w:top w:val="none" w:sz="0" w:space="0" w:color="auto"/>
        <w:left w:val="none" w:sz="0" w:space="0" w:color="auto"/>
        <w:bottom w:val="none" w:sz="0" w:space="0" w:color="auto"/>
        <w:right w:val="none" w:sz="0" w:space="0" w:color="auto"/>
      </w:divBdr>
    </w:div>
    <w:div w:id="38551230">
      <w:bodyDiv w:val="1"/>
      <w:marLeft w:val="0"/>
      <w:marRight w:val="0"/>
      <w:marTop w:val="0"/>
      <w:marBottom w:val="0"/>
      <w:divBdr>
        <w:top w:val="none" w:sz="0" w:space="0" w:color="auto"/>
        <w:left w:val="none" w:sz="0" w:space="0" w:color="auto"/>
        <w:bottom w:val="none" w:sz="0" w:space="0" w:color="auto"/>
        <w:right w:val="none" w:sz="0" w:space="0" w:color="auto"/>
      </w:divBdr>
    </w:div>
    <w:div w:id="40251259">
      <w:bodyDiv w:val="1"/>
      <w:marLeft w:val="0"/>
      <w:marRight w:val="0"/>
      <w:marTop w:val="0"/>
      <w:marBottom w:val="0"/>
      <w:divBdr>
        <w:top w:val="none" w:sz="0" w:space="0" w:color="auto"/>
        <w:left w:val="none" w:sz="0" w:space="0" w:color="auto"/>
        <w:bottom w:val="none" w:sz="0" w:space="0" w:color="auto"/>
        <w:right w:val="none" w:sz="0" w:space="0" w:color="auto"/>
      </w:divBdr>
    </w:div>
    <w:div w:id="49887667">
      <w:bodyDiv w:val="1"/>
      <w:marLeft w:val="0"/>
      <w:marRight w:val="0"/>
      <w:marTop w:val="0"/>
      <w:marBottom w:val="0"/>
      <w:divBdr>
        <w:top w:val="none" w:sz="0" w:space="0" w:color="auto"/>
        <w:left w:val="none" w:sz="0" w:space="0" w:color="auto"/>
        <w:bottom w:val="none" w:sz="0" w:space="0" w:color="auto"/>
        <w:right w:val="none" w:sz="0" w:space="0" w:color="auto"/>
      </w:divBdr>
    </w:div>
    <w:div w:id="58408401">
      <w:bodyDiv w:val="1"/>
      <w:marLeft w:val="0"/>
      <w:marRight w:val="0"/>
      <w:marTop w:val="0"/>
      <w:marBottom w:val="0"/>
      <w:divBdr>
        <w:top w:val="none" w:sz="0" w:space="0" w:color="auto"/>
        <w:left w:val="none" w:sz="0" w:space="0" w:color="auto"/>
        <w:bottom w:val="none" w:sz="0" w:space="0" w:color="auto"/>
        <w:right w:val="none" w:sz="0" w:space="0" w:color="auto"/>
      </w:divBdr>
    </w:div>
    <w:div w:id="80415421">
      <w:bodyDiv w:val="1"/>
      <w:marLeft w:val="0"/>
      <w:marRight w:val="0"/>
      <w:marTop w:val="0"/>
      <w:marBottom w:val="0"/>
      <w:divBdr>
        <w:top w:val="none" w:sz="0" w:space="0" w:color="auto"/>
        <w:left w:val="none" w:sz="0" w:space="0" w:color="auto"/>
        <w:bottom w:val="none" w:sz="0" w:space="0" w:color="auto"/>
        <w:right w:val="none" w:sz="0" w:space="0" w:color="auto"/>
      </w:divBdr>
    </w:div>
    <w:div w:id="85229110">
      <w:bodyDiv w:val="1"/>
      <w:marLeft w:val="0"/>
      <w:marRight w:val="0"/>
      <w:marTop w:val="0"/>
      <w:marBottom w:val="0"/>
      <w:divBdr>
        <w:top w:val="none" w:sz="0" w:space="0" w:color="auto"/>
        <w:left w:val="none" w:sz="0" w:space="0" w:color="auto"/>
        <w:bottom w:val="none" w:sz="0" w:space="0" w:color="auto"/>
        <w:right w:val="none" w:sz="0" w:space="0" w:color="auto"/>
      </w:divBdr>
    </w:div>
    <w:div w:id="94521198">
      <w:bodyDiv w:val="1"/>
      <w:marLeft w:val="0"/>
      <w:marRight w:val="0"/>
      <w:marTop w:val="0"/>
      <w:marBottom w:val="0"/>
      <w:divBdr>
        <w:top w:val="none" w:sz="0" w:space="0" w:color="auto"/>
        <w:left w:val="none" w:sz="0" w:space="0" w:color="auto"/>
        <w:bottom w:val="none" w:sz="0" w:space="0" w:color="auto"/>
        <w:right w:val="none" w:sz="0" w:space="0" w:color="auto"/>
      </w:divBdr>
    </w:div>
    <w:div w:id="9668327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4099590">
      <w:bodyDiv w:val="1"/>
      <w:marLeft w:val="0"/>
      <w:marRight w:val="0"/>
      <w:marTop w:val="0"/>
      <w:marBottom w:val="0"/>
      <w:divBdr>
        <w:top w:val="none" w:sz="0" w:space="0" w:color="auto"/>
        <w:left w:val="none" w:sz="0" w:space="0" w:color="auto"/>
        <w:bottom w:val="none" w:sz="0" w:space="0" w:color="auto"/>
        <w:right w:val="none" w:sz="0" w:space="0" w:color="auto"/>
      </w:divBdr>
    </w:div>
    <w:div w:id="11521721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5898059">
      <w:bodyDiv w:val="1"/>
      <w:marLeft w:val="0"/>
      <w:marRight w:val="0"/>
      <w:marTop w:val="0"/>
      <w:marBottom w:val="0"/>
      <w:divBdr>
        <w:top w:val="none" w:sz="0" w:space="0" w:color="auto"/>
        <w:left w:val="none" w:sz="0" w:space="0" w:color="auto"/>
        <w:bottom w:val="none" w:sz="0" w:space="0" w:color="auto"/>
        <w:right w:val="none" w:sz="0" w:space="0" w:color="auto"/>
      </w:divBdr>
    </w:div>
    <w:div w:id="157771547">
      <w:bodyDiv w:val="1"/>
      <w:marLeft w:val="0"/>
      <w:marRight w:val="0"/>
      <w:marTop w:val="0"/>
      <w:marBottom w:val="0"/>
      <w:divBdr>
        <w:top w:val="none" w:sz="0" w:space="0" w:color="auto"/>
        <w:left w:val="none" w:sz="0" w:space="0" w:color="auto"/>
        <w:bottom w:val="none" w:sz="0" w:space="0" w:color="auto"/>
        <w:right w:val="none" w:sz="0" w:space="0" w:color="auto"/>
      </w:divBdr>
    </w:div>
    <w:div w:id="161119916">
      <w:bodyDiv w:val="1"/>
      <w:marLeft w:val="0"/>
      <w:marRight w:val="0"/>
      <w:marTop w:val="0"/>
      <w:marBottom w:val="0"/>
      <w:divBdr>
        <w:top w:val="none" w:sz="0" w:space="0" w:color="auto"/>
        <w:left w:val="none" w:sz="0" w:space="0" w:color="auto"/>
        <w:bottom w:val="none" w:sz="0" w:space="0" w:color="auto"/>
        <w:right w:val="none" w:sz="0" w:space="0" w:color="auto"/>
      </w:divBdr>
    </w:div>
    <w:div w:id="164905856">
      <w:bodyDiv w:val="1"/>
      <w:marLeft w:val="0"/>
      <w:marRight w:val="0"/>
      <w:marTop w:val="0"/>
      <w:marBottom w:val="0"/>
      <w:divBdr>
        <w:top w:val="none" w:sz="0" w:space="0" w:color="auto"/>
        <w:left w:val="none" w:sz="0" w:space="0" w:color="auto"/>
        <w:bottom w:val="none" w:sz="0" w:space="0" w:color="auto"/>
        <w:right w:val="none" w:sz="0" w:space="0" w:color="auto"/>
      </w:divBdr>
    </w:div>
    <w:div w:id="167452717">
      <w:bodyDiv w:val="1"/>
      <w:marLeft w:val="0"/>
      <w:marRight w:val="0"/>
      <w:marTop w:val="0"/>
      <w:marBottom w:val="0"/>
      <w:divBdr>
        <w:top w:val="none" w:sz="0" w:space="0" w:color="auto"/>
        <w:left w:val="none" w:sz="0" w:space="0" w:color="auto"/>
        <w:bottom w:val="none" w:sz="0" w:space="0" w:color="auto"/>
        <w:right w:val="none" w:sz="0" w:space="0" w:color="auto"/>
      </w:divBdr>
    </w:div>
    <w:div w:id="179897721">
      <w:bodyDiv w:val="1"/>
      <w:marLeft w:val="0"/>
      <w:marRight w:val="0"/>
      <w:marTop w:val="0"/>
      <w:marBottom w:val="0"/>
      <w:divBdr>
        <w:top w:val="none" w:sz="0" w:space="0" w:color="auto"/>
        <w:left w:val="none" w:sz="0" w:space="0" w:color="auto"/>
        <w:bottom w:val="none" w:sz="0" w:space="0" w:color="auto"/>
        <w:right w:val="none" w:sz="0" w:space="0" w:color="auto"/>
      </w:divBdr>
    </w:div>
    <w:div w:id="192152162">
      <w:bodyDiv w:val="1"/>
      <w:marLeft w:val="0"/>
      <w:marRight w:val="0"/>
      <w:marTop w:val="0"/>
      <w:marBottom w:val="0"/>
      <w:divBdr>
        <w:top w:val="none" w:sz="0" w:space="0" w:color="auto"/>
        <w:left w:val="none" w:sz="0" w:space="0" w:color="auto"/>
        <w:bottom w:val="none" w:sz="0" w:space="0" w:color="auto"/>
        <w:right w:val="none" w:sz="0" w:space="0" w:color="auto"/>
      </w:divBdr>
    </w:div>
    <w:div w:id="226453263">
      <w:bodyDiv w:val="1"/>
      <w:marLeft w:val="0"/>
      <w:marRight w:val="0"/>
      <w:marTop w:val="0"/>
      <w:marBottom w:val="0"/>
      <w:divBdr>
        <w:top w:val="none" w:sz="0" w:space="0" w:color="auto"/>
        <w:left w:val="none" w:sz="0" w:space="0" w:color="auto"/>
        <w:bottom w:val="none" w:sz="0" w:space="0" w:color="auto"/>
        <w:right w:val="none" w:sz="0" w:space="0" w:color="auto"/>
      </w:divBdr>
    </w:div>
    <w:div w:id="262693079">
      <w:bodyDiv w:val="1"/>
      <w:marLeft w:val="0"/>
      <w:marRight w:val="0"/>
      <w:marTop w:val="0"/>
      <w:marBottom w:val="0"/>
      <w:divBdr>
        <w:top w:val="none" w:sz="0" w:space="0" w:color="auto"/>
        <w:left w:val="none" w:sz="0" w:space="0" w:color="auto"/>
        <w:bottom w:val="none" w:sz="0" w:space="0" w:color="auto"/>
        <w:right w:val="none" w:sz="0" w:space="0" w:color="auto"/>
      </w:divBdr>
    </w:div>
    <w:div w:id="283851472">
      <w:bodyDiv w:val="1"/>
      <w:marLeft w:val="0"/>
      <w:marRight w:val="0"/>
      <w:marTop w:val="0"/>
      <w:marBottom w:val="0"/>
      <w:divBdr>
        <w:top w:val="none" w:sz="0" w:space="0" w:color="auto"/>
        <w:left w:val="none" w:sz="0" w:space="0" w:color="auto"/>
        <w:bottom w:val="none" w:sz="0" w:space="0" w:color="auto"/>
        <w:right w:val="none" w:sz="0" w:space="0" w:color="auto"/>
      </w:divBdr>
    </w:div>
    <w:div w:id="31064361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2725345">
      <w:bodyDiv w:val="1"/>
      <w:marLeft w:val="0"/>
      <w:marRight w:val="0"/>
      <w:marTop w:val="0"/>
      <w:marBottom w:val="0"/>
      <w:divBdr>
        <w:top w:val="none" w:sz="0" w:space="0" w:color="auto"/>
        <w:left w:val="none" w:sz="0" w:space="0" w:color="auto"/>
        <w:bottom w:val="none" w:sz="0" w:space="0" w:color="auto"/>
        <w:right w:val="none" w:sz="0" w:space="0" w:color="auto"/>
      </w:divBdr>
    </w:div>
    <w:div w:id="356346619">
      <w:bodyDiv w:val="1"/>
      <w:marLeft w:val="0"/>
      <w:marRight w:val="0"/>
      <w:marTop w:val="0"/>
      <w:marBottom w:val="0"/>
      <w:divBdr>
        <w:top w:val="none" w:sz="0" w:space="0" w:color="auto"/>
        <w:left w:val="none" w:sz="0" w:space="0" w:color="auto"/>
        <w:bottom w:val="none" w:sz="0" w:space="0" w:color="auto"/>
        <w:right w:val="none" w:sz="0" w:space="0" w:color="auto"/>
      </w:divBdr>
    </w:div>
    <w:div w:id="357387953">
      <w:bodyDiv w:val="1"/>
      <w:marLeft w:val="0"/>
      <w:marRight w:val="0"/>
      <w:marTop w:val="0"/>
      <w:marBottom w:val="0"/>
      <w:divBdr>
        <w:top w:val="none" w:sz="0" w:space="0" w:color="auto"/>
        <w:left w:val="none" w:sz="0" w:space="0" w:color="auto"/>
        <w:bottom w:val="none" w:sz="0" w:space="0" w:color="auto"/>
        <w:right w:val="none" w:sz="0" w:space="0" w:color="auto"/>
      </w:divBdr>
    </w:div>
    <w:div w:id="359088964">
      <w:bodyDiv w:val="1"/>
      <w:marLeft w:val="0"/>
      <w:marRight w:val="0"/>
      <w:marTop w:val="0"/>
      <w:marBottom w:val="0"/>
      <w:divBdr>
        <w:top w:val="none" w:sz="0" w:space="0" w:color="auto"/>
        <w:left w:val="none" w:sz="0" w:space="0" w:color="auto"/>
        <w:bottom w:val="none" w:sz="0" w:space="0" w:color="auto"/>
        <w:right w:val="none" w:sz="0" w:space="0" w:color="auto"/>
      </w:divBdr>
    </w:div>
    <w:div w:id="369112747">
      <w:bodyDiv w:val="1"/>
      <w:marLeft w:val="0"/>
      <w:marRight w:val="0"/>
      <w:marTop w:val="0"/>
      <w:marBottom w:val="0"/>
      <w:divBdr>
        <w:top w:val="none" w:sz="0" w:space="0" w:color="auto"/>
        <w:left w:val="none" w:sz="0" w:space="0" w:color="auto"/>
        <w:bottom w:val="none" w:sz="0" w:space="0" w:color="auto"/>
        <w:right w:val="none" w:sz="0" w:space="0" w:color="auto"/>
      </w:divBdr>
    </w:div>
    <w:div w:id="370498764">
      <w:bodyDiv w:val="1"/>
      <w:marLeft w:val="0"/>
      <w:marRight w:val="0"/>
      <w:marTop w:val="0"/>
      <w:marBottom w:val="0"/>
      <w:divBdr>
        <w:top w:val="none" w:sz="0" w:space="0" w:color="auto"/>
        <w:left w:val="none" w:sz="0" w:space="0" w:color="auto"/>
        <w:bottom w:val="none" w:sz="0" w:space="0" w:color="auto"/>
        <w:right w:val="none" w:sz="0" w:space="0" w:color="auto"/>
      </w:divBdr>
    </w:div>
    <w:div w:id="384378746">
      <w:bodyDiv w:val="1"/>
      <w:marLeft w:val="0"/>
      <w:marRight w:val="0"/>
      <w:marTop w:val="0"/>
      <w:marBottom w:val="0"/>
      <w:divBdr>
        <w:top w:val="none" w:sz="0" w:space="0" w:color="auto"/>
        <w:left w:val="none" w:sz="0" w:space="0" w:color="auto"/>
        <w:bottom w:val="none" w:sz="0" w:space="0" w:color="auto"/>
        <w:right w:val="none" w:sz="0" w:space="0" w:color="auto"/>
      </w:divBdr>
    </w:div>
    <w:div w:id="448400688">
      <w:bodyDiv w:val="1"/>
      <w:marLeft w:val="0"/>
      <w:marRight w:val="0"/>
      <w:marTop w:val="0"/>
      <w:marBottom w:val="0"/>
      <w:divBdr>
        <w:top w:val="none" w:sz="0" w:space="0" w:color="auto"/>
        <w:left w:val="none" w:sz="0" w:space="0" w:color="auto"/>
        <w:bottom w:val="none" w:sz="0" w:space="0" w:color="auto"/>
        <w:right w:val="none" w:sz="0" w:space="0" w:color="auto"/>
      </w:divBdr>
    </w:div>
    <w:div w:id="498275143">
      <w:bodyDiv w:val="1"/>
      <w:marLeft w:val="0"/>
      <w:marRight w:val="0"/>
      <w:marTop w:val="0"/>
      <w:marBottom w:val="0"/>
      <w:divBdr>
        <w:top w:val="none" w:sz="0" w:space="0" w:color="auto"/>
        <w:left w:val="none" w:sz="0" w:space="0" w:color="auto"/>
        <w:bottom w:val="none" w:sz="0" w:space="0" w:color="auto"/>
        <w:right w:val="none" w:sz="0" w:space="0" w:color="auto"/>
      </w:divBdr>
    </w:div>
    <w:div w:id="513492245">
      <w:bodyDiv w:val="1"/>
      <w:marLeft w:val="0"/>
      <w:marRight w:val="0"/>
      <w:marTop w:val="0"/>
      <w:marBottom w:val="0"/>
      <w:divBdr>
        <w:top w:val="none" w:sz="0" w:space="0" w:color="auto"/>
        <w:left w:val="none" w:sz="0" w:space="0" w:color="auto"/>
        <w:bottom w:val="none" w:sz="0" w:space="0" w:color="auto"/>
        <w:right w:val="none" w:sz="0" w:space="0" w:color="auto"/>
      </w:divBdr>
    </w:div>
    <w:div w:id="521628759">
      <w:bodyDiv w:val="1"/>
      <w:marLeft w:val="0"/>
      <w:marRight w:val="0"/>
      <w:marTop w:val="0"/>
      <w:marBottom w:val="0"/>
      <w:divBdr>
        <w:top w:val="none" w:sz="0" w:space="0" w:color="auto"/>
        <w:left w:val="none" w:sz="0" w:space="0" w:color="auto"/>
        <w:bottom w:val="none" w:sz="0" w:space="0" w:color="auto"/>
        <w:right w:val="none" w:sz="0" w:space="0" w:color="auto"/>
      </w:divBdr>
    </w:div>
    <w:div w:id="535585980">
      <w:bodyDiv w:val="1"/>
      <w:marLeft w:val="0"/>
      <w:marRight w:val="0"/>
      <w:marTop w:val="0"/>
      <w:marBottom w:val="0"/>
      <w:divBdr>
        <w:top w:val="none" w:sz="0" w:space="0" w:color="auto"/>
        <w:left w:val="none" w:sz="0" w:space="0" w:color="auto"/>
        <w:bottom w:val="none" w:sz="0" w:space="0" w:color="auto"/>
        <w:right w:val="none" w:sz="0" w:space="0" w:color="auto"/>
      </w:divBdr>
    </w:div>
    <w:div w:id="537930803">
      <w:bodyDiv w:val="1"/>
      <w:marLeft w:val="0"/>
      <w:marRight w:val="0"/>
      <w:marTop w:val="0"/>
      <w:marBottom w:val="0"/>
      <w:divBdr>
        <w:top w:val="none" w:sz="0" w:space="0" w:color="auto"/>
        <w:left w:val="none" w:sz="0" w:space="0" w:color="auto"/>
        <w:bottom w:val="none" w:sz="0" w:space="0" w:color="auto"/>
        <w:right w:val="none" w:sz="0" w:space="0" w:color="auto"/>
      </w:divBdr>
    </w:div>
    <w:div w:id="545800062">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624972483">
      <w:bodyDiv w:val="1"/>
      <w:marLeft w:val="0"/>
      <w:marRight w:val="0"/>
      <w:marTop w:val="0"/>
      <w:marBottom w:val="0"/>
      <w:divBdr>
        <w:top w:val="none" w:sz="0" w:space="0" w:color="auto"/>
        <w:left w:val="none" w:sz="0" w:space="0" w:color="auto"/>
        <w:bottom w:val="none" w:sz="0" w:space="0" w:color="auto"/>
        <w:right w:val="none" w:sz="0" w:space="0" w:color="auto"/>
      </w:divBdr>
    </w:div>
    <w:div w:id="674841109">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93118153">
      <w:bodyDiv w:val="1"/>
      <w:marLeft w:val="0"/>
      <w:marRight w:val="0"/>
      <w:marTop w:val="0"/>
      <w:marBottom w:val="0"/>
      <w:divBdr>
        <w:top w:val="none" w:sz="0" w:space="0" w:color="auto"/>
        <w:left w:val="none" w:sz="0" w:space="0" w:color="auto"/>
        <w:bottom w:val="none" w:sz="0" w:space="0" w:color="auto"/>
        <w:right w:val="none" w:sz="0" w:space="0" w:color="auto"/>
      </w:divBdr>
    </w:div>
    <w:div w:id="702369779">
      <w:bodyDiv w:val="1"/>
      <w:marLeft w:val="0"/>
      <w:marRight w:val="0"/>
      <w:marTop w:val="0"/>
      <w:marBottom w:val="0"/>
      <w:divBdr>
        <w:top w:val="none" w:sz="0" w:space="0" w:color="auto"/>
        <w:left w:val="none" w:sz="0" w:space="0" w:color="auto"/>
        <w:bottom w:val="none" w:sz="0" w:space="0" w:color="auto"/>
        <w:right w:val="none" w:sz="0" w:space="0" w:color="auto"/>
      </w:divBdr>
    </w:div>
    <w:div w:id="724644041">
      <w:bodyDiv w:val="1"/>
      <w:marLeft w:val="0"/>
      <w:marRight w:val="0"/>
      <w:marTop w:val="0"/>
      <w:marBottom w:val="0"/>
      <w:divBdr>
        <w:top w:val="none" w:sz="0" w:space="0" w:color="auto"/>
        <w:left w:val="none" w:sz="0" w:space="0" w:color="auto"/>
        <w:bottom w:val="none" w:sz="0" w:space="0" w:color="auto"/>
        <w:right w:val="none" w:sz="0" w:space="0" w:color="auto"/>
      </w:divBdr>
    </w:div>
    <w:div w:id="746194789">
      <w:bodyDiv w:val="1"/>
      <w:marLeft w:val="0"/>
      <w:marRight w:val="0"/>
      <w:marTop w:val="0"/>
      <w:marBottom w:val="0"/>
      <w:divBdr>
        <w:top w:val="none" w:sz="0" w:space="0" w:color="auto"/>
        <w:left w:val="none" w:sz="0" w:space="0" w:color="auto"/>
        <w:bottom w:val="none" w:sz="0" w:space="0" w:color="auto"/>
        <w:right w:val="none" w:sz="0" w:space="0" w:color="auto"/>
      </w:divBdr>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747533978">
      <w:bodyDiv w:val="1"/>
      <w:marLeft w:val="0"/>
      <w:marRight w:val="0"/>
      <w:marTop w:val="0"/>
      <w:marBottom w:val="0"/>
      <w:divBdr>
        <w:top w:val="none" w:sz="0" w:space="0" w:color="auto"/>
        <w:left w:val="none" w:sz="0" w:space="0" w:color="auto"/>
        <w:bottom w:val="none" w:sz="0" w:space="0" w:color="auto"/>
        <w:right w:val="none" w:sz="0" w:space="0" w:color="auto"/>
      </w:divBdr>
    </w:div>
    <w:div w:id="767847946">
      <w:bodyDiv w:val="1"/>
      <w:marLeft w:val="0"/>
      <w:marRight w:val="0"/>
      <w:marTop w:val="0"/>
      <w:marBottom w:val="0"/>
      <w:divBdr>
        <w:top w:val="none" w:sz="0" w:space="0" w:color="auto"/>
        <w:left w:val="none" w:sz="0" w:space="0" w:color="auto"/>
        <w:bottom w:val="none" w:sz="0" w:space="0" w:color="auto"/>
        <w:right w:val="none" w:sz="0" w:space="0" w:color="auto"/>
      </w:divBdr>
    </w:div>
    <w:div w:id="771052989">
      <w:bodyDiv w:val="1"/>
      <w:marLeft w:val="0"/>
      <w:marRight w:val="0"/>
      <w:marTop w:val="0"/>
      <w:marBottom w:val="0"/>
      <w:divBdr>
        <w:top w:val="none" w:sz="0" w:space="0" w:color="auto"/>
        <w:left w:val="none" w:sz="0" w:space="0" w:color="auto"/>
        <w:bottom w:val="none" w:sz="0" w:space="0" w:color="auto"/>
        <w:right w:val="none" w:sz="0" w:space="0" w:color="auto"/>
      </w:divBdr>
    </w:div>
    <w:div w:id="788007386">
      <w:bodyDiv w:val="1"/>
      <w:marLeft w:val="0"/>
      <w:marRight w:val="0"/>
      <w:marTop w:val="0"/>
      <w:marBottom w:val="0"/>
      <w:divBdr>
        <w:top w:val="none" w:sz="0" w:space="0" w:color="auto"/>
        <w:left w:val="none" w:sz="0" w:space="0" w:color="auto"/>
        <w:bottom w:val="none" w:sz="0" w:space="0" w:color="auto"/>
        <w:right w:val="none" w:sz="0" w:space="0" w:color="auto"/>
      </w:divBdr>
    </w:div>
    <w:div w:id="796684972">
      <w:bodyDiv w:val="1"/>
      <w:marLeft w:val="0"/>
      <w:marRight w:val="0"/>
      <w:marTop w:val="0"/>
      <w:marBottom w:val="0"/>
      <w:divBdr>
        <w:top w:val="none" w:sz="0" w:space="0" w:color="auto"/>
        <w:left w:val="none" w:sz="0" w:space="0" w:color="auto"/>
        <w:bottom w:val="none" w:sz="0" w:space="0" w:color="auto"/>
        <w:right w:val="none" w:sz="0" w:space="0" w:color="auto"/>
      </w:divBdr>
    </w:div>
    <w:div w:id="842547097">
      <w:bodyDiv w:val="1"/>
      <w:marLeft w:val="0"/>
      <w:marRight w:val="0"/>
      <w:marTop w:val="0"/>
      <w:marBottom w:val="0"/>
      <w:divBdr>
        <w:top w:val="none" w:sz="0" w:space="0" w:color="auto"/>
        <w:left w:val="none" w:sz="0" w:space="0" w:color="auto"/>
        <w:bottom w:val="none" w:sz="0" w:space="0" w:color="auto"/>
        <w:right w:val="none" w:sz="0" w:space="0" w:color="auto"/>
      </w:divBdr>
    </w:div>
    <w:div w:id="845285395">
      <w:bodyDiv w:val="1"/>
      <w:marLeft w:val="0"/>
      <w:marRight w:val="0"/>
      <w:marTop w:val="0"/>
      <w:marBottom w:val="0"/>
      <w:divBdr>
        <w:top w:val="none" w:sz="0" w:space="0" w:color="auto"/>
        <w:left w:val="none" w:sz="0" w:space="0" w:color="auto"/>
        <w:bottom w:val="none" w:sz="0" w:space="0" w:color="auto"/>
        <w:right w:val="none" w:sz="0" w:space="0" w:color="auto"/>
      </w:divBdr>
    </w:div>
    <w:div w:id="858473470">
      <w:bodyDiv w:val="1"/>
      <w:marLeft w:val="0"/>
      <w:marRight w:val="0"/>
      <w:marTop w:val="0"/>
      <w:marBottom w:val="0"/>
      <w:divBdr>
        <w:top w:val="none" w:sz="0" w:space="0" w:color="auto"/>
        <w:left w:val="none" w:sz="0" w:space="0" w:color="auto"/>
        <w:bottom w:val="none" w:sz="0" w:space="0" w:color="auto"/>
        <w:right w:val="none" w:sz="0" w:space="0" w:color="auto"/>
      </w:divBdr>
    </w:div>
    <w:div w:id="877620058">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532690">
      <w:bodyDiv w:val="1"/>
      <w:marLeft w:val="0"/>
      <w:marRight w:val="0"/>
      <w:marTop w:val="0"/>
      <w:marBottom w:val="0"/>
      <w:divBdr>
        <w:top w:val="none" w:sz="0" w:space="0" w:color="auto"/>
        <w:left w:val="none" w:sz="0" w:space="0" w:color="auto"/>
        <w:bottom w:val="none" w:sz="0" w:space="0" w:color="auto"/>
        <w:right w:val="none" w:sz="0" w:space="0" w:color="auto"/>
      </w:divBdr>
    </w:div>
    <w:div w:id="933172394">
      <w:bodyDiv w:val="1"/>
      <w:marLeft w:val="0"/>
      <w:marRight w:val="0"/>
      <w:marTop w:val="0"/>
      <w:marBottom w:val="0"/>
      <w:divBdr>
        <w:top w:val="none" w:sz="0" w:space="0" w:color="auto"/>
        <w:left w:val="none" w:sz="0" w:space="0" w:color="auto"/>
        <w:bottom w:val="none" w:sz="0" w:space="0" w:color="auto"/>
        <w:right w:val="none" w:sz="0" w:space="0" w:color="auto"/>
      </w:divBdr>
    </w:div>
    <w:div w:id="938759517">
      <w:bodyDiv w:val="1"/>
      <w:marLeft w:val="0"/>
      <w:marRight w:val="0"/>
      <w:marTop w:val="0"/>
      <w:marBottom w:val="0"/>
      <w:divBdr>
        <w:top w:val="none" w:sz="0" w:space="0" w:color="auto"/>
        <w:left w:val="none" w:sz="0" w:space="0" w:color="auto"/>
        <w:bottom w:val="none" w:sz="0" w:space="0" w:color="auto"/>
        <w:right w:val="none" w:sz="0" w:space="0" w:color="auto"/>
      </w:divBdr>
    </w:div>
    <w:div w:id="945188292">
      <w:bodyDiv w:val="1"/>
      <w:marLeft w:val="0"/>
      <w:marRight w:val="0"/>
      <w:marTop w:val="0"/>
      <w:marBottom w:val="0"/>
      <w:divBdr>
        <w:top w:val="none" w:sz="0" w:space="0" w:color="auto"/>
        <w:left w:val="none" w:sz="0" w:space="0" w:color="auto"/>
        <w:bottom w:val="none" w:sz="0" w:space="0" w:color="auto"/>
        <w:right w:val="none" w:sz="0" w:space="0" w:color="auto"/>
      </w:divBdr>
    </w:div>
    <w:div w:id="947395847">
      <w:bodyDiv w:val="1"/>
      <w:marLeft w:val="0"/>
      <w:marRight w:val="0"/>
      <w:marTop w:val="0"/>
      <w:marBottom w:val="0"/>
      <w:divBdr>
        <w:top w:val="none" w:sz="0" w:space="0" w:color="auto"/>
        <w:left w:val="none" w:sz="0" w:space="0" w:color="auto"/>
        <w:bottom w:val="none" w:sz="0" w:space="0" w:color="auto"/>
        <w:right w:val="none" w:sz="0" w:space="0" w:color="auto"/>
      </w:divBdr>
    </w:div>
    <w:div w:id="987632658">
      <w:bodyDiv w:val="1"/>
      <w:marLeft w:val="0"/>
      <w:marRight w:val="0"/>
      <w:marTop w:val="0"/>
      <w:marBottom w:val="0"/>
      <w:divBdr>
        <w:top w:val="none" w:sz="0" w:space="0" w:color="auto"/>
        <w:left w:val="none" w:sz="0" w:space="0" w:color="auto"/>
        <w:bottom w:val="none" w:sz="0" w:space="0" w:color="auto"/>
        <w:right w:val="none" w:sz="0" w:space="0" w:color="auto"/>
      </w:divBdr>
    </w:div>
    <w:div w:id="1005018304">
      <w:bodyDiv w:val="1"/>
      <w:marLeft w:val="0"/>
      <w:marRight w:val="0"/>
      <w:marTop w:val="0"/>
      <w:marBottom w:val="0"/>
      <w:divBdr>
        <w:top w:val="none" w:sz="0" w:space="0" w:color="auto"/>
        <w:left w:val="none" w:sz="0" w:space="0" w:color="auto"/>
        <w:bottom w:val="none" w:sz="0" w:space="0" w:color="auto"/>
        <w:right w:val="none" w:sz="0" w:space="0" w:color="auto"/>
      </w:divBdr>
    </w:div>
    <w:div w:id="1014261920">
      <w:bodyDiv w:val="1"/>
      <w:marLeft w:val="0"/>
      <w:marRight w:val="0"/>
      <w:marTop w:val="0"/>
      <w:marBottom w:val="0"/>
      <w:divBdr>
        <w:top w:val="none" w:sz="0" w:space="0" w:color="auto"/>
        <w:left w:val="none" w:sz="0" w:space="0" w:color="auto"/>
        <w:bottom w:val="none" w:sz="0" w:space="0" w:color="auto"/>
        <w:right w:val="none" w:sz="0" w:space="0" w:color="auto"/>
      </w:divBdr>
    </w:div>
    <w:div w:id="1023288208">
      <w:bodyDiv w:val="1"/>
      <w:marLeft w:val="0"/>
      <w:marRight w:val="0"/>
      <w:marTop w:val="0"/>
      <w:marBottom w:val="0"/>
      <w:divBdr>
        <w:top w:val="none" w:sz="0" w:space="0" w:color="auto"/>
        <w:left w:val="none" w:sz="0" w:space="0" w:color="auto"/>
        <w:bottom w:val="none" w:sz="0" w:space="0" w:color="auto"/>
        <w:right w:val="none" w:sz="0" w:space="0" w:color="auto"/>
      </w:divBdr>
    </w:div>
    <w:div w:id="1031615952">
      <w:bodyDiv w:val="1"/>
      <w:marLeft w:val="0"/>
      <w:marRight w:val="0"/>
      <w:marTop w:val="0"/>
      <w:marBottom w:val="0"/>
      <w:divBdr>
        <w:top w:val="none" w:sz="0" w:space="0" w:color="auto"/>
        <w:left w:val="none" w:sz="0" w:space="0" w:color="auto"/>
        <w:bottom w:val="none" w:sz="0" w:space="0" w:color="auto"/>
        <w:right w:val="none" w:sz="0" w:space="0" w:color="auto"/>
      </w:divBdr>
    </w:div>
    <w:div w:id="1033308656">
      <w:bodyDiv w:val="1"/>
      <w:marLeft w:val="0"/>
      <w:marRight w:val="0"/>
      <w:marTop w:val="0"/>
      <w:marBottom w:val="0"/>
      <w:divBdr>
        <w:top w:val="none" w:sz="0" w:space="0" w:color="auto"/>
        <w:left w:val="none" w:sz="0" w:space="0" w:color="auto"/>
        <w:bottom w:val="none" w:sz="0" w:space="0" w:color="auto"/>
        <w:right w:val="none" w:sz="0" w:space="0" w:color="auto"/>
      </w:divBdr>
    </w:div>
    <w:div w:id="1059013827">
      <w:bodyDiv w:val="1"/>
      <w:marLeft w:val="0"/>
      <w:marRight w:val="0"/>
      <w:marTop w:val="0"/>
      <w:marBottom w:val="0"/>
      <w:divBdr>
        <w:top w:val="none" w:sz="0" w:space="0" w:color="auto"/>
        <w:left w:val="none" w:sz="0" w:space="0" w:color="auto"/>
        <w:bottom w:val="none" w:sz="0" w:space="0" w:color="auto"/>
        <w:right w:val="none" w:sz="0" w:space="0" w:color="auto"/>
      </w:divBdr>
    </w:div>
    <w:div w:id="1076636520">
      <w:bodyDiv w:val="1"/>
      <w:marLeft w:val="0"/>
      <w:marRight w:val="0"/>
      <w:marTop w:val="0"/>
      <w:marBottom w:val="0"/>
      <w:divBdr>
        <w:top w:val="none" w:sz="0" w:space="0" w:color="auto"/>
        <w:left w:val="none" w:sz="0" w:space="0" w:color="auto"/>
        <w:bottom w:val="none" w:sz="0" w:space="0" w:color="auto"/>
        <w:right w:val="none" w:sz="0" w:space="0" w:color="auto"/>
      </w:divBdr>
    </w:div>
    <w:div w:id="1077629228">
      <w:bodyDiv w:val="1"/>
      <w:marLeft w:val="0"/>
      <w:marRight w:val="0"/>
      <w:marTop w:val="0"/>
      <w:marBottom w:val="0"/>
      <w:divBdr>
        <w:top w:val="none" w:sz="0" w:space="0" w:color="auto"/>
        <w:left w:val="none" w:sz="0" w:space="0" w:color="auto"/>
        <w:bottom w:val="none" w:sz="0" w:space="0" w:color="auto"/>
        <w:right w:val="none" w:sz="0" w:space="0" w:color="auto"/>
      </w:divBdr>
    </w:div>
    <w:div w:id="1089306345">
      <w:bodyDiv w:val="1"/>
      <w:marLeft w:val="0"/>
      <w:marRight w:val="0"/>
      <w:marTop w:val="0"/>
      <w:marBottom w:val="0"/>
      <w:divBdr>
        <w:top w:val="none" w:sz="0" w:space="0" w:color="auto"/>
        <w:left w:val="none" w:sz="0" w:space="0" w:color="auto"/>
        <w:bottom w:val="none" w:sz="0" w:space="0" w:color="auto"/>
        <w:right w:val="none" w:sz="0" w:space="0" w:color="auto"/>
      </w:divBdr>
    </w:div>
    <w:div w:id="1095324180">
      <w:bodyDiv w:val="1"/>
      <w:marLeft w:val="0"/>
      <w:marRight w:val="0"/>
      <w:marTop w:val="0"/>
      <w:marBottom w:val="0"/>
      <w:divBdr>
        <w:top w:val="none" w:sz="0" w:space="0" w:color="auto"/>
        <w:left w:val="none" w:sz="0" w:space="0" w:color="auto"/>
        <w:bottom w:val="none" w:sz="0" w:space="0" w:color="auto"/>
        <w:right w:val="none" w:sz="0" w:space="0" w:color="auto"/>
      </w:divBdr>
    </w:div>
    <w:div w:id="1097601574">
      <w:bodyDiv w:val="1"/>
      <w:marLeft w:val="0"/>
      <w:marRight w:val="0"/>
      <w:marTop w:val="0"/>
      <w:marBottom w:val="0"/>
      <w:divBdr>
        <w:top w:val="none" w:sz="0" w:space="0" w:color="auto"/>
        <w:left w:val="none" w:sz="0" w:space="0" w:color="auto"/>
        <w:bottom w:val="none" w:sz="0" w:space="0" w:color="auto"/>
        <w:right w:val="none" w:sz="0" w:space="0" w:color="auto"/>
      </w:divBdr>
    </w:div>
    <w:div w:id="1125732633">
      <w:bodyDiv w:val="1"/>
      <w:marLeft w:val="0"/>
      <w:marRight w:val="0"/>
      <w:marTop w:val="0"/>
      <w:marBottom w:val="0"/>
      <w:divBdr>
        <w:top w:val="none" w:sz="0" w:space="0" w:color="auto"/>
        <w:left w:val="none" w:sz="0" w:space="0" w:color="auto"/>
        <w:bottom w:val="none" w:sz="0" w:space="0" w:color="auto"/>
        <w:right w:val="none" w:sz="0" w:space="0" w:color="auto"/>
      </w:divBdr>
    </w:div>
    <w:div w:id="1147674540">
      <w:bodyDiv w:val="1"/>
      <w:marLeft w:val="0"/>
      <w:marRight w:val="0"/>
      <w:marTop w:val="0"/>
      <w:marBottom w:val="0"/>
      <w:divBdr>
        <w:top w:val="none" w:sz="0" w:space="0" w:color="auto"/>
        <w:left w:val="none" w:sz="0" w:space="0" w:color="auto"/>
        <w:bottom w:val="none" w:sz="0" w:space="0" w:color="auto"/>
        <w:right w:val="none" w:sz="0" w:space="0" w:color="auto"/>
      </w:divBdr>
    </w:div>
    <w:div w:id="114917552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6772">
      <w:bodyDiv w:val="1"/>
      <w:marLeft w:val="0"/>
      <w:marRight w:val="0"/>
      <w:marTop w:val="0"/>
      <w:marBottom w:val="0"/>
      <w:divBdr>
        <w:top w:val="none" w:sz="0" w:space="0" w:color="auto"/>
        <w:left w:val="none" w:sz="0" w:space="0" w:color="auto"/>
        <w:bottom w:val="none" w:sz="0" w:space="0" w:color="auto"/>
        <w:right w:val="none" w:sz="0" w:space="0" w:color="auto"/>
      </w:divBdr>
    </w:div>
    <w:div w:id="1176772662">
      <w:bodyDiv w:val="1"/>
      <w:marLeft w:val="0"/>
      <w:marRight w:val="0"/>
      <w:marTop w:val="0"/>
      <w:marBottom w:val="0"/>
      <w:divBdr>
        <w:top w:val="none" w:sz="0" w:space="0" w:color="auto"/>
        <w:left w:val="none" w:sz="0" w:space="0" w:color="auto"/>
        <w:bottom w:val="none" w:sz="0" w:space="0" w:color="auto"/>
        <w:right w:val="none" w:sz="0" w:space="0" w:color="auto"/>
      </w:divBdr>
    </w:div>
    <w:div w:id="1176774128">
      <w:bodyDiv w:val="1"/>
      <w:marLeft w:val="0"/>
      <w:marRight w:val="0"/>
      <w:marTop w:val="0"/>
      <w:marBottom w:val="0"/>
      <w:divBdr>
        <w:top w:val="none" w:sz="0" w:space="0" w:color="auto"/>
        <w:left w:val="none" w:sz="0" w:space="0" w:color="auto"/>
        <w:bottom w:val="none" w:sz="0" w:space="0" w:color="auto"/>
        <w:right w:val="none" w:sz="0" w:space="0" w:color="auto"/>
      </w:divBdr>
    </w:div>
    <w:div w:id="1182167799">
      <w:bodyDiv w:val="1"/>
      <w:marLeft w:val="0"/>
      <w:marRight w:val="0"/>
      <w:marTop w:val="0"/>
      <w:marBottom w:val="0"/>
      <w:divBdr>
        <w:top w:val="none" w:sz="0" w:space="0" w:color="auto"/>
        <w:left w:val="none" w:sz="0" w:space="0" w:color="auto"/>
        <w:bottom w:val="none" w:sz="0" w:space="0" w:color="auto"/>
        <w:right w:val="none" w:sz="0" w:space="0" w:color="auto"/>
      </w:divBdr>
    </w:div>
    <w:div w:id="1192916161">
      <w:bodyDiv w:val="1"/>
      <w:marLeft w:val="0"/>
      <w:marRight w:val="0"/>
      <w:marTop w:val="0"/>
      <w:marBottom w:val="0"/>
      <w:divBdr>
        <w:top w:val="none" w:sz="0" w:space="0" w:color="auto"/>
        <w:left w:val="none" w:sz="0" w:space="0" w:color="auto"/>
        <w:bottom w:val="none" w:sz="0" w:space="0" w:color="auto"/>
        <w:right w:val="none" w:sz="0" w:space="0" w:color="auto"/>
      </w:divBdr>
    </w:div>
    <w:div w:id="1196188259">
      <w:bodyDiv w:val="1"/>
      <w:marLeft w:val="0"/>
      <w:marRight w:val="0"/>
      <w:marTop w:val="0"/>
      <w:marBottom w:val="0"/>
      <w:divBdr>
        <w:top w:val="none" w:sz="0" w:space="0" w:color="auto"/>
        <w:left w:val="none" w:sz="0" w:space="0" w:color="auto"/>
        <w:bottom w:val="none" w:sz="0" w:space="0" w:color="auto"/>
        <w:right w:val="none" w:sz="0" w:space="0" w:color="auto"/>
      </w:divBdr>
    </w:div>
    <w:div w:id="1206260906">
      <w:bodyDiv w:val="1"/>
      <w:marLeft w:val="0"/>
      <w:marRight w:val="0"/>
      <w:marTop w:val="0"/>
      <w:marBottom w:val="0"/>
      <w:divBdr>
        <w:top w:val="none" w:sz="0" w:space="0" w:color="auto"/>
        <w:left w:val="none" w:sz="0" w:space="0" w:color="auto"/>
        <w:bottom w:val="none" w:sz="0" w:space="0" w:color="auto"/>
        <w:right w:val="none" w:sz="0" w:space="0" w:color="auto"/>
      </w:divBdr>
    </w:div>
    <w:div w:id="1234311553">
      <w:bodyDiv w:val="1"/>
      <w:marLeft w:val="0"/>
      <w:marRight w:val="0"/>
      <w:marTop w:val="0"/>
      <w:marBottom w:val="0"/>
      <w:divBdr>
        <w:top w:val="none" w:sz="0" w:space="0" w:color="auto"/>
        <w:left w:val="none" w:sz="0" w:space="0" w:color="auto"/>
        <w:bottom w:val="none" w:sz="0" w:space="0" w:color="auto"/>
        <w:right w:val="none" w:sz="0" w:space="0" w:color="auto"/>
      </w:divBdr>
    </w:div>
    <w:div w:id="1240748559">
      <w:bodyDiv w:val="1"/>
      <w:marLeft w:val="0"/>
      <w:marRight w:val="0"/>
      <w:marTop w:val="0"/>
      <w:marBottom w:val="0"/>
      <w:divBdr>
        <w:top w:val="none" w:sz="0" w:space="0" w:color="auto"/>
        <w:left w:val="none" w:sz="0" w:space="0" w:color="auto"/>
        <w:bottom w:val="none" w:sz="0" w:space="0" w:color="auto"/>
        <w:right w:val="none" w:sz="0" w:space="0" w:color="auto"/>
      </w:divBdr>
    </w:div>
    <w:div w:id="1260606227">
      <w:bodyDiv w:val="1"/>
      <w:marLeft w:val="0"/>
      <w:marRight w:val="0"/>
      <w:marTop w:val="0"/>
      <w:marBottom w:val="0"/>
      <w:divBdr>
        <w:top w:val="none" w:sz="0" w:space="0" w:color="auto"/>
        <w:left w:val="none" w:sz="0" w:space="0" w:color="auto"/>
        <w:bottom w:val="none" w:sz="0" w:space="0" w:color="auto"/>
        <w:right w:val="none" w:sz="0" w:space="0" w:color="auto"/>
      </w:divBdr>
    </w:div>
    <w:div w:id="1261791086">
      <w:bodyDiv w:val="1"/>
      <w:marLeft w:val="0"/>
      <w:marRight w:val="0"/>
      <w:marTop w:val="0"/>
      <w:marBottom w:val="0"/>
      <w:divBdr>
        <w:top w:val="none" w:sz="0" w:space="0" w:color="auto"/>
        <w:left w:val="none" w:sz="0" w:space="0" w:color="auto"/>
        <w:bottom w:val="none" w:sz="0" w:space="0" w:color="auto"/>
        <w:right w:val="none" w:sz="0" w:space="0" w:color="auto"/>
      </w:divBdr>
    </w:div>
    <w:div w:id="1261841464">
      <w:bodyDiv w:val="1"/>
      <w:marLeft w:val="0"/>
      <w:marRight w:val="0"/>
      <w:marTop w:val="0"/>
      <w:marBottom w:val="0"/>
      <w:divBdr>
        <w:top w:val="none" w:sz="0" w:space="0" w:color="auto"/>
        <w:left w:val="none" w:sz="0" w:space="0" w:color="auto"/>
        <w:bottom w:val="none" w:sz="0" w:space="0" w:color="auto"/>
        <w:right w:val="none" w:sz="0" w:space="0" w:color="auto"/>
      </w:divBdr>
    </w:div>
    <w:div w:id="1267035287">
      <w:bodyDiv w:val="1"/>
      <w:marLeft w:val="0"/>
      <w:marRight w:val="0"/>
      <w:marTop w:val="0"/>
      <w:marBottom w:val="0"/>
      <w:divBdr>
        <w:top w:val="none" w:sz="0" w:space="0" w:color="auto"/>
        <w:left w:val="none" w:sz="0" w:space="0" w:color="auto"/>
        <w:bottom w:val="none" w:sz="0" w:space="0" w:color="auto"/>
        <w:right w:val="none" w:sz="0" w:space="0" w:color="auto"/>
      </w:divBdr>
    </w:div>
    <w:div w:id="1295714806">
      <w:bodyDiv w:val="1"/>
      <w:marLeft w:val="0"/>
      <w:marRight w:val="0"/>
      <w:marTop w:val="0"/>
      <w:marBottom w:val="0"/>
      <w:divBdr>
        <w:top w:val="none" w:sz="0" w:space="0" w:color="auto"/>
        <w:left w:val="none" w:sz="0" w:space="0" w:color="auto"/>
        <w:bottom w:val="none" w:sz="0" w:space="0" w:color="auto"/>
        <w:right w:val="none" w:sz="0" w:space="0" w:color="auto"/>
      </w:divBdr>
    </w:div>
    <w:div w:id="1305037800">
      <w:bodyDiv w:val="1"/>
      <w:marLeft w:val="0"/>
      <w:marRight w:val="0"/>
      <w:marTop w:val="0"/>
      <w:marBottom w:val="0"/>
      <w:divBdr>
        <w:top w:val="none" w:sz="0" w:space="0" w:color="auto"/>
        <w:left w:val="none" w:sz="0" w:space="0" w:color="auto"/>
        <w:bottom w:val="none" w:sz="0" w:space="0" w:color="auto"/>
        <w:right w:val="none" w:sz="0" w:space="0" w:color="auto"/>
      </w:divBdr>
    </w:div>
    <w:div w:id="1311985314">
      <w:bodyDiv w:val="1"/>
      <w:marLeft w:val="0"/>
      <w:marRight w:val="0"/>
      <w:marTop w:val="0"/>
      <w:marBottom w:val="0"/>
      <w:divBdr>
        <w:top w:val="none" w:sz="0" w:space="0" w:color="auto"/>
        <w:left w:val="none" w:sz="0" w:space="0" w:color="auto"/>
        <w:bottom w:val="none" w:sz="0" w:space="0" w:color="auto"/>
        <w:right w:val="none" w:sz="0" w:space="0" w:color="auto"/>
      </w:divBdr>
    </w:div>
    <w:div w:id="1344088472">
      <w:bodyDiv w:val="1"/>
      <w:marLeft w:val="0"/>
      <w:marRight w:val="0"/>
      <w:marTop w:val="0"/>
      <w:marBottom w:val="0"/>
      <w:divBdr>
        <w:top w:val="none" w:sz="0" w:space="0" w:color="auto"/>
        <w:left w:val="none" w:sz="0" w:space="0" w:color="auto"/>
        <w:bottom w:val="none" w:sz="0" w:space="0" w:color="auto"/>
        <w:right w:val="none" w:sz="0" w:space="0" w:color="auto"/>
      </w:divBdr>
    </w:div>
    <w:div w:id="1346323905">
      <w:bodyDiv w:val="1"/>
      <w:marLeft w:val="0"/>
      <w:marRight w:val="0"/>
      <w:marTop w:val="0"/>
      <w:marBottom w:val="0"/>
      <w:divBdr>
        <w:top w:val="none" w:sz="0" w:space="0" w:color="auto"/>
        <w:left w:val="none" w:sz="0" w:space="0" w:color="auto"/>
        <w:bottom w:val="none" w:sz="0" w:space="0" w:color="auto"/>
        <w:right w:val="none" w:sz="0" w:space="0" w:color="auto"/>
      </w:divBdr>
    </w:div>
    <w:div w:id="1378624179">
      <w:bodyDiv w:val="1"/>
      <w:marLeft w:val="0"/>
      <w:marRight w:val="0"/>
      <w:marTop w:val="0"/>
      <w:marBottom w:val="0"/>
      <w:divBdr>
        <w:top w:val="none" w:sz="0" w:space="0" w:color="auto"/>
        <w:left w:val="none" w:sz="0" w:space="0" w:color="auto"/>
        <w:bottom w:val="none" w:sz="0" w:space="0" w:color="auto"/>
        <w:right w:val="none" w:sz="0" w:space="0" w:color="auto"/>
      </w:divBdr>
    </w:div>
    <w:div w:id="1397821800">
      <w:bodyDiv w:val="1"/>
      <w:marLeft w:val="0"/>
      <w:marRight w:val="0"/>
      <w:marTop w:val="0"/>
      <w:marBottom w:val="0"/>
      <w:divBdr>
        <w:top w:val="none" w:sz="0" w:space="0" w:color="auto"/>
        <w:left w:val="none" w:sz="0" w:space="0" w:color="auto"/>
        <w:bottom w:val="none" w:sz="0" w:space="0" w:color="auto"/>
        <w:right w:val="none" w:sz="0" w:space="0" w:color="auto"/>
      </w:divBdr>
    </w:div>
    <w:div w:id="1436562884">
      <w:bodyDiv w:val="1"/>
      <w:marLeft w:val="0"/>
      <w:marRight w:val="0"/>
      <w:marTop w:val="0"/>
      <w:marBottom w:val="0"/>
      <w:divBdr>
        <w:top w:val="none" w:sz="0" w:space="0" w:color="auto"/>
        <w:left w:val="none" w:sz="0" w:space="0" w:color="auto"/>
        <w:bottom w:val="none" w:sz="0" w:space="0" w:color="auto"/>
        <w:right w:val="none" w:sz="0" w:space="0" w:color="auto"/>
      </w:divBdr>
    </w:div>
    <w:div w:id="1447964327">
      <w:bodyDiv w:val="1"/>
      <w:marLeft w:val="0"/>
      <w:marRight w:val="0"/>
      <w:marTop w:val="0"/>
      <w:marBottom w:val="0"/>
      <w:divBdr>
        <w:top w:val="none" w:sz="0" w:space="0" w:color="auto"/>
        <w:left w:val="none" w:sz="0" w:space="0" w:color="auto"/>
        <w:bottom w:val="none" w:sz="0" w:space="0" w:color="auto"/>
        <w:right w:val="none" w:sz="0" w:space="0" w:color="auto"/>
      </w:divBdr>
    </w:div>
    <w:div w:id="1462261792">
      <w:bodyDiv w:val="1"/>
      <w:marLeft w:val="0"/>
      <w:marRight w:val="0"/>
      <w:marTop w:val="0"/>
      <w:marBottom w:val="0"/>
      <w:divBdr>
        <w:top w:val="none" w:sz="0" w:space="0" w:color="auto"/>
        <w:left w:val="none" w:sz="0" w:space="0" w:color="auto"/>
        <w:bottom w:val="none" w:sz="0" w:space="0" w:color="auto"/>
        <w:right w:val="none" w:sz="0" w:space="0" w:color="auto"/>
      </w:divBdr>
      <w:divsChild>
        <w:div w:id="173963206">
          <w:marLeft w:val="360"/>
          <w:marRight w:val="0"/>
          <w:marTop w:val="200"/>
          <w:marBottom w:val="0"/>
          <w:divBdr>
            <w:top w:val="none" w:sz="0" w:space="0" w:color="auto"/>
            <w:left w:val="none" w:sz="0" w:space="0" w:color="auto"/>
            <w:bottom w:val="none" w:sz="0" w:space="0" w:color="auto"/>
            <w:right w:val="none" w:sz="0" w:space="0" w:color="auto"/>
          </w:divBdr>
        </w:div>
        <w:div w:id="1864903314">
          <w:marLeft w:val="1080"/>
          <w:marRight w:val="0"/>
          <w:marTop w:val="100"/>
          <w:marBottom w:val="0"/>
          <w:divBdr>
            <w:top w:val="none" w:sz="0" w:space="0" w:color="auto"/>
            <w:left w:val="none" w:sz="0" w:space="0" w:color="auto"/>
            <w:bottom w:val="none" w:sz="0" w:space="0" w:color="auto"/>
            <w:right w:val="none" w:sz="0" w:space="0" w:color="auto"/>
          </w:divBdr>
        </w:div>
        <w:div w:id="96104995">
          <w:marLeft w:val="1080"/>
          <w:marRight w:val="0"/>
          <w:marTop w:val="100"/>
          <w:marBottom w:val="0"/>
          <w:divBdr>
            <w:top w:val="none" w:sz="0" w:space="0" w:color="auto"/>
            <w:left w:val="none" w:sz="0" w:space="0" w:color="auto"/>
            <w:bottom w:val="none" w:sz="0" w:space="0" w:color="auto"/>
            <w:right w:val="none" w:sz="0" w:space="0" w:color="auto"/>
          </w:divBdr>
        </w:div>
      </w:divsChild>
    </w:div>
    <w:div w:id="1471705841">
      <w:bodyDiv w:val="1"/>
      <w:marLeft w:val="0"/>
      <w:marRight w:val="0"/>
      <w:marTop w:val="0"/>
      <w:marBottom w:val="0"/>
      <w:divBdr>
        <w:top w:val="none" w:sz="0" w:space="0" w:color="auto"/>
        <w:left w:val="none" w:sz="0" w:space="0" w:color="auto"/>
        <w:bottom w:val="none" w:sz="0" w:space="0" w:color="auto"/>
        <w:right w:val="none" w:sz="0" w:space="0" w:color="auto"/>
      </w:divBdr>
    </w:div>
    <w:div w:id="1472167749">
      <w:bodyDiv w:val="1"/>
      <w:marLeft w:val="0"/>
      <w:marRight w:val="0"/>
      <w:marTop w:val="0"/>
      <w:marBottom w:val="0"/>
      <w:divBdr>
        <w:top w:val="none" w:sz="0" w:space="0" w:color="auto"/>
        <w:left w:val="none" w:sz="0" w:space="0" w:color="auto"/>
        <w:bottom w:val="none" w:sz="0" w:space="0" w:color="auto"/>
        <w:right w:val="none" w:sz="0" w:space="0" w:color="auto"/>
      </w:divBdr>
    </w:div>
    <w:div w:id="1518108668">
      <w:bodyDiv w:val="1"/>
      <w:marLeft w:val="0"/>
      <w:marRight w:val="0"/>
      <w:marTop w:val="0"/>
      <w:marBottom w:val="0"/>
      <w:divBdr>
        <w:top w:val="none" w:sz="0" w:space="0" w:color="auto"/>
        <w:left w:val="none" w:sz="0" w:space="0" w:color="auto"/>
        <w:bottom w:val="none" w:sz="0" w:space="0" w:color="auto"/>
        <w:right w:val="none" w:sz="0" w:space="0" w:color="auto"/>
      </w:divBdr>
    </w:div>
    <w:div w:id="1518543987">
      <w:bodyDiv w:val="1"/>
      <w:marLeft w:val="0"/>
      <w:marRight w:val="0"/>
      <w:marTop w:val="0"/>
      <w:marBottom w:val="0"/>
      <w:divBdr>
        <w:top w:val="none" w:sz="0" w:space="0" w:color="auto"/>
        <w:left w:val="none" w:sz="0" w:space="0" w:color="auto"/>
        <w:bottom w:val="none" w:sz="0" w:space="0" w:color="auto"/>
        <w:right w:val="none" w:sz="0" w:space="0" w:color="auto"/>
      </w:divBdr>
    </w:div>
    <w:div w:id="1526559920">
      <w:bodyDiv w:val="1"/>
      <w:marLeft w:val="0"/>
      <w:marRight w:val="0"/>
      <w:marTop w:val="0"/>
      <w:marBottom w:val="0"/>
      <w:divBdr>
        <w:top w:val="none" w:sz="0" w:space="0" w:color="auto"/>
        <w:left w:val="none" w:sz="0" w:space="0" w:color="auto"/>
        <w:bottom w:val="none" w:sz="0" w:space="0" w:color="auto"/>
        <w:right w:val="none" w:sz="0" w:space="0" w:color="auto"/>
      </w:divBdr>
    </w:div>
    <w:div w:id="1530144233">
      <w:bodyDiv w:val="1"/>
      <w:marLeft w:val="0"/>
      <w:marRight w:val="0"/>
      <w:marTop w:val="0"/>
      <w:marBottom w:val="0"/>
      <w:divBdr>
        <w:top w:val="none" w:sz="0" w:space="0" w:color="auto"/>
        <w:left w:val="none" w:sz="0" w:space="0" w:color="auto"/>
        <w:bottom w:val="none" w:sz="0" w:space="0" w:color="auto"/>
        <w:right w:val="none" w:sz="0" w:space="0" w:color="auto"/>
      </w:divBdr>
    </w:div>
    <w:div w:id="1530607880">
      <w:bodyDiv w:val="1"/>
      <w:marLeft w:val="0"/>
      <w:marRight w:val="0"/>
      <w:marTop w:val="0"/>
      <w:marBottom w:val="0"/>
      <w:divBdr>
        <w:top w:val="none" w:sz="0" w:space="0" w:color="auto"/>
        <w:left w:val="none" w:sz="0" w:space="0" w:color="auto"/>
        <w:bottom w:val="none" w:sz="0" w:space="0" w:color="auto"/>
        <w:right w:val="none" w:sz="0" w:space="0" w:color="auto"/>
      </w:divBdr>
    </w:div>
    <w:div w:id="1537697740">
      <w:bodyDiv w:val="1"/>
      <w:marLeft w:val="0"/>
      <w:marRight w:val="0"/>
      <w:marTop w:val="0"/>
      <w:marBottom w:val="0"/>
      <w:divBdr>
        <w:top w:val="none" w:sz="0" w:space="0" w:color="auto"/>
        <w:left w:val="none" w:sz="0" w:space="0" w:color="auto"/>
        <w:bottom w:val="none" w:sz="0" w:space="0" w:color="auto"/>
        <w:right w:val="none" w:sz="0" w:space="0" w:color="auto"/>
      </w:divBdr>
    </w:div>
    <w:div w:id="1542981218">
      <w:bodyDiv w:val="1"/>
      <w:marLeft w:val="0"/>
      <w:marRight w:val="0"/>
      <w:marTop w:val="0"/>
      <w:marBottom w:val="0"/>
      <w:divBdr>
        <w:top w:val="none" w:sz="0" w:space="0" w:color="auto"/>
        <w:left w:val="none" w:sz="0" w:space="0" w:color="auto"/>
        <w:bottom w:val="none" w:sz="0" w:space="0" w:color="auto"/>
        <w:right w:val="none" w:sz="0" w:space="0" w:color="auto"/>
      </w:divBdr>
    </w:div>
    <w:div w:id="1545287094">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595632631">
      <w:bodyDiv w:val="1"/>
      <w:marLeft w:val="0"/>
      <w:marRight w:val="0"/>
      <w:marTop w:val="0"/>
      <w:marBottom w:val="0"/>
      <w:divBdr>
        <w:top w:val="none" w:sz="0" w:space="0" w:color="auto"/>
        <w:left w:val="none" w:sz="0" w:space="0" w:color="auto"/>
        <w:bottom w:val="none" w:sz="0" w:space="0" w:color="auto"/>
        <w:right w:val="none" w:sz="0" w:space="0" w:color="auto"/>
      </w:divBdr>
    </w:div>
    <w:div w:id="1610118748">
      <w:bodyDiv w:val="1"/>
      <w:marLeft w:val="0"/>
      <w:marRight w:val="0"/>
      <w:marTop w:val="0"/>
      <w:marBottom w:val="0"/>
      <w:divBdr>
        <w:top w:val="none" w:sz="0" w:space="0" w:color="auto"/>
        <w:left w:val="none" w:sz="0" w:space="0" w:color="auto"/>
        <w:bottom w:val="none" w:sz="0" w:space="0" w:color="auto"/>
        <w:right w:val="none" w:sz="0" w:space="0" w:color="auto"/>
      </w:divBdr>
    </w:div>
    <w:div w:id="1622766416">
      <w:bodyDiv w:val="1"/>
      <w:marLeft w:val="0"/>
      <w:marRight w:val="0"/>
      <w:marTop w:val="0"/>
      <w:marBottom w:val="0"/>
      <w:divBdr>
        <w:top w:val="none" w:sz="0" w:space="0" w:color="auto"/>
        <w:left w:val="none" w:sz="0" w:space="0" w:color="auto"/>
        <w:bottom w:val="none" w:sz="0" w:space="0" w:color="auto"/>
        <w:right w:val="none" w:sz="0" w:space="0" w:color="auto"/>
      </w:divBdr>
    </w:div>
    <w:div w:id="1624456848">
      <w:bodyDiv w:val="1"/>
      <w:marLeft w:val="0"/>
      <w:marRight w:val="0"/>
      <w:marTop w:val="0"/>
      <w:marBottom w:val="0"/>
      <w:divBdr>
        <w:top w:val="none" w:sz="0" w:space="0" w:color="auto"/>
        <w:left w:val="none" w:sz="0" w:space="0" w:color="auto"/>
        <w:bottom w:val="none" w:sz="0" w:space="0" w:color="auto"/>
        <w:right w:val="none" w:sz="0" w:space="0" w:color="auto"/>
      </w:divBdr>
    </w:div>
    <w:div w:id="1638023965">
      <w:bodyDiv w:val="1"/>
      <w:marLeft w:val="0"/>
      <w:marRight w:val="0"/>
      <w:marTop w:val="0"/>
      <w:marBottom w:val="0"/>
      <w:divBdr>
        <w:top w:val="none" w:sz="0" w:space="0" w:color="auto"/>
        <w:left w:val="none" w:sz="0" w:space="0" w:color="auto"/>
        <w:bottom w:val="none" w:sz="0" w:space="0" w:color="auto"/>
        <w:right w:val="none" w:sz="0" w:space="0" w:color="auto"/>
      </w:divBdr>
    </w:div>
    <w:div w:id="1670209847">
      <w:bodyDiv w:val="1"/>
      <w:marLeft w:val="0"/>
      <w:marRight w:val="0"/>
      <w:marTop w:val="0"/>
      <w:marBottom w:val="0"/>
      <w:divBdr>
        <w:top w:val="none" w:sz="0" w:space="0" w:color="auto"/>
        <w:left w:val="none" w:sz="0" w:space="0" w:color="auto"/>
        <w:bottom w:val="none" w:sz="0" w:space="0" w:color="auto"/>
        <w:right w:val="none" w:sz="0" w:space="0" w:color="auto"/>
      </w:divBdr>
    </w:div>
    <w:div w:id="1705448261">
      <w:bodyDiv w:val="1"/>
      <w:marLeft w:val="0"/>
      <w:marRight w:val="0"/>
      <w:marTop w:val="0"/>
      <w:marBottom w:val="0"/>
      <w:divBdr>
        <w:top w:val="none" w:sz="0" w:space="0" w:color="auto"/>
        <w:left w:val="none" w:sz="0" w:space="0" w:color="auto"/>
        <w:bottom w:val="none" w:sz="0" w:space="0" w:color="auto"/>
        <w:right w:val="none" w:sz="0" w:space="0" w:color="auto"/>
      </w:divBdr>
    </w:div>
    <w:div w:id="1705473322">
      <w:bodyDiv w:val="1"/>
      <w:marLeft w:val="0"/>
      <w:marRight w:val="0"/>
      <w:marTop w:val="0"/>
      <w:marBottom w:val="0"/>
      <w:divBdr>
        <w:top w:val="none" w:sz="0" w:space="0" w:color="auto"/>
        <w:left w:val="none" w:sz="0" w:space="0" w:color="auto"/>
        <w:bottom w:val="none" w:sz="0" w:space="0" w:color="auto"/>
        <w:right w:val="none" w:sz="0" w:space="0" w:color="auto"/>
      </w:divBdr>
    </w:div>
    <w:div w:id="1710103444">
      <w:bodyDiv w:val="1"/>
      <w:marLeft w:val="0"/>
      <w:marRight w:val="0"/>
      <w:marTop w:val="0"/>
      <w:marBottom w:val="0"/>
      <w:divBdr>
        <w:top w:val="none" w:sz="0" w:space="0" w:color="auto"/>
        <w:left w:val="none" w:sz="0" w:space="0" w:color="auto"/>
        <w:bottom w:val="none" w:sz="0" w:space="0" w:color="auto"/>
        <w:right w:val="none" w:sz="0" w:space="0" w:color="auto"/>
      </w:divBdr>
    </w:div>
    <w:div w:id="1723283800">
      <w:bodyDiv w:val="1"/>
      <w:marLeft w:val="0"/>
      <w:marRight w:val="0"/>
      <w:marTop w:val="0"/>
      <w:marBottom w:val="0"/>
      <w:divBdr>
        <w:top w:val="none" w:sz="0" w:space="0" w:color="auto"/>
        <w:left w:val="none" w:sz="0" w:space="0" w:color="auto"/>
        <w:bottom w:val="none" w:sz="0" w:space="0" w:color="auto"/>
        <w:right w:val="none" w:sz="0" w:space="0" w:color="auto"/>
      </w:divBdr>
    </w:div>
    <w:div w:id="1736317009">
      <w:bodyDiv w:val="1"/>
      <w:marLeft w:val="0"/>
      <w:marRight w:val="0"/>
      <w:marTop w:val="0"/>
      <w:marBottom w:val="0"/>
      <w:divBdr>
        <w:top w:val="none" w:sz="0" w:space="0" w:color="auto"/>
        <w:left w:val="none" w:sz="0" w:space="0" w:color="auto"/>
        <w:bottom w:val="none" w:sz="0" w:space="0" w:color="auto"/>
        <w:right w:val="none" w:sz="0" w:space="0" w:color="auto"/>
      </w:divBdr>
    </w:div>
    <w:div w:id="1754400484">
      <w:bodyDiv w:val="1"/>
      <w:marLeft w:val="0"/>
      <w:marRight w:val="0"/>
      <w:marTop w:val="0"/>
      <w:marBottom w:val="0"/>
      <w:divBdr>
        <w:top w:val="none" w:sz="0" w:space="0" w:color="auto"/>
        <w:left w:val="none" w:sz="0" w:space="0" w:color="auto"/>
        <w:bottom w:val="none" w:sz="0" w:space="0" w:color="auto"/>
        <w:right w:val="none" w:sz="0" w:space="0" w:color="auto"/>
      </w:divBdr>
    </w:div>
    <w:div w:id="1758943325">
      <w:bodyDiv w:val="1"/>
      <w:marLeft w:val="0"/>
      <w:marRight w:val="0"/>
      <w:marTop w:val="0"/>
      <w:marBottom w:val="0"/>
      <w:divBdr>
        <w:top w:val="none" w:sz="0" w:space="0" w:color="auto"/>
        <w:left w:val="none" w:sz="0" w:space="0" w:color="auto"/>
        <w:bottom w:val="none" w:sz="0" w:space="0" w:color="auto"/>
        <w:right w:val="none" w:sz="0" w:space="0" w:color="auto"/>
      </w:divBdr>
    </w:div>
    <w:div w:id="1762331079">
      <w:bodyDiv w:val="1"/>
      <w:marLeft w:val="0"/>
      <w:marRight w:val="0"/>
      <w:marTop w:val="0"/>
      <w:marBottom w:val="0"/>
      <w:divBdr>
        <w:top w:val="none" w:sz="0" w:space="0" w:color="auto"/>
        <w:left w:val="none" w:sz="0" w:space="0" w:color="auto"/>
        <w:bottom w:val="none" w:sz="0" w:space="0" w:color="auto"/>
        <w:right w:val="none" w:sz="0" w:space="0" w:color="auto"/>
      </w:divBdr>
    </w:div>
    <w:div w:id="1785533247">
      <w:bodyDiv w:val="1"/>
      <w:marLeft w:val="0"/>
      <w:marRight w:val="0"/>
      <w:marTop w:val="0"/>
      <w:marBottom w:val="0"/>
      <w:divBdr>
        <w:top w:val="none" w:sz="0" w:space="0" w:color="auto"/>
        <w:left w:val="none" w:sz="0" w:space="0" w:color="auto"/>
        <w:bottom w:val="none" w:sz="0" w:space="0" w:color="auto"/>
        <w:right w:val="none" w:sz="0" w:space="0" w:color="auto"/>
      </w:divBdr>
    </w:div>
    <w:div w:id="1790934911">
      <w:bodyDiv w:val="1"/>
      <w:marLeft w:val="0"/>
      <w:marRight w:val="0"/>
      <w:marTop w:val="0"/>
      <w:marBottom w:val="0"/>
      <w:divBdr>
        <w:top w:val="none" w:sz="0" w:space="0" w:color="auto"/>
        <w:left w:val="none" w:sz="0" w:space="0" w:color="auto"/>
        <w:bottom w:val="none" w:sz="0" w:space="0" w:color="auto"/>
        <w:right w:val="none" w:sz="0" w:space="0" w:color="auto"/>
      </w:divBdr>
    </w:div>
    <w:div w:id="1798452065">
      <w:bodyDiv w:val="1"/>
      <w:marLeft w:val="0"/>
      <w:marRight w:val="0"/>
      <w:marTop w:val="0"/>
      <w:marBottom w:val="0"/>
      <w:divBdr>
        <w:top w:val="none" w:sz="0" w:space="0" w:color="auto"/>
        <w:left w:val="none" w:sz="0" w:space="0" w:color="auto"/>
        <w:bottom w:val="none" w:sz="0" w:space="0" w:color="auto"/>
        <w:right w:val="none" w:sz="0" w:space="0" w:color="auto"/>
      </w:divBdr>
    </w:div>
    <w:div w:id="1799910855">
      <w:bodyDiv w:val="1"/>
      <w:marLeft w:val="0"/>
      <w:marRight w:val="0"/>
      <w:marTop w:val="0"/>
      <w:marBottom w:val="0"/>
      <w:divBdr>
        <w:top w:val="none" w:sz="0" w:space="0" w:color="auto"/>
        <w:left w:val="none" w:sz="0" w:space="0" w:color="auto"/>
        <w:bottom w:val="none" w:sz="0" w:space="0" w:color="auto"/>
        <w:right w:val="none" w:sz="0" w:space="0" w:color="auto"/>
      </w:divBdr>
    </w:div>
    <w:div w:id="1877306650">
      <w:bodyDiv w:val="1"/>
      <w:marLeft w:val="0"/>
      <w:marRight w:val="0"/>
      <w:marTop w:val="0"/>
      <w:marBottom w:val="0"/>
      <w:divBdr>
        <w:top w:val="none" w:sz="0" w:space="0" w:color="auto"/>
        <w:left w:val="none" w:sz="0" w:space="0" w:color="auto"/>
        <w:bottom w:val="none" w:sz="0" w:space="0" w:color="auto"/>
        <w:right w:val="none" w:sz="0" w:space="0" w:color="auto"/>
      </w:divBdr>
    </w:div>
    <w:div w:id="1892958408">
      <w:bodyDiv w:val="1"/>
      <w:marLeft w:val="0"/>
      <w:marRight w:val="0"/>
      <w:marTop w:val="0"/>
      <w:marBottom w:val="0"/>
      <w:divBdr>
        <w:top w:val="none" w:sz="0" w:space="0" w:color="auto"/>
        <w:left w:val="none" w:sz="0" w:space="0" w:color="auto"/>
        <w:bottom w:val="none" w:sz="0" w:space="0" w:color="auto"/>
        <w:right w:val="none" w:sz="0" w:space="0" w:color="auto"/>
      </w:divBdr>
    </w:div>
    <w:div w:id="194546104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7826226">
      <w:bodyDiv w:val="1"/>
      <w:marLeft w:val="0"/>
      <w:marRight w:val="0"/>
      <w:marTop w:val="0"/>
      <w:marBottom w:val="0"/>
      <w:divBdr>
        <w:top w:val="none" w:sz="0" w:space="0" w:color="auto"/>
        <w:left w:val="none" w:sz="0" w:space="0" w:color="auto"/>
        <w:bottom w:val="none" w:sz="0" w:space="0" w:color="auto"/>
        <w:right w:val="none" w:sz="0" w:space="0" w:color="auto"/>
      </w:divBdr>
    </w:div>
    <w:div w:id="1962300125">
      <w:bodyDiv w:val="1"/>
      <w:marLeft w:val="0"/>
      <w:marRight w:val="0"/>
      <w:marTop w:val="0"/>
      <w:marBottom w:val="0"/>
      <w:divBdr>
        <w:top w:val="none" w:sz="0" w:space="0" w:color="auto"/>
        <w:left w:val="none" w:sz="0" w:space="0" w:color="auto"/>
        <w:bottom w:val="none" w:sz="0" w:space="0" w:color="auto"/>
        <w:right w:val="none" w:sz="0" w:space="0" w:color="auto"/>
      </w:divBdr>
    </w:div>
    <w:div w:id="1994068777">
      <w:bodyDiv w:val="1"/>
      <w:marLeft w:val="0"/>
      <w:marRight w:val="0"/>
      <w:marTop w:val="0"/>
      <w:marBottom w:val="0"/>
      <w:divBdr>
        <w:top w:val="none" w:sz="0" w:space="0" w:color="auto"/>
        <w:left w:val="none" w:sz="0" w:space="0" w:color="auto"/>
        <w:bottom w:val="none" w:sz="0" w:space="0" w:color="auto"/>
        <w:right w:val="none" w:sz="0" w:space="0" w:color="auto"/>
      </w:divBdr>
    </w:div>
    <w:div w:id="2004698646">
      <w:bodyDiv w:val="1"/>
      <w:marLeft w:val="0"/>
      <w:marRight w:val="0"/>
      <w:marTop w:val="0"/>
      <w:marBottom w:val="0"/>
      <w:divBdr>
        <w:top w:val="none" w:sz="0" w:space="0" w:color="auto"/>
        <w:left w:val="none" w:sz="0" w:space="0" w:color="auto"/>
        <w:bottom w:val="none" w:sz="0" w:space="0" w:color="auto"/>
        <w:right w:val="none" w:sz="0" w:space="0" w:color="auto"/>
      </w:divBdr>
    </w:div>
    <w:div w:id="2036811044">
      <w:bodyDiv w:val="1"/>
      <w:marLeft w:val="0"/>
      <w:marRight w:val="0"/>
      <w:marTop w:val="0"/>
      <w:marBottom w:val="0"/>
      <w:divBdr>
        <w:top w:val="none" w:sz="0" w:space="0" w:color="auto"/>
        <w:left w:val="none" w:sz="0" w:space="0" w:color="auto"/>
        <w:bottom w:val="none" w:sz="0" w:space="0" w:color="auto"/>
        <w:right w:val="none" w:sz="0" w:space="0" w:color="auto"/>
      </w:divBdr>
    </w:div>
    <w:div w:id="2078286766">
      <w:bodyDiv w:val="1"/>
      <w:marLeft w:val="0"/>
      <w:marRight w:val="0"/>
      <w:marTop w:val="0"/>
      <w:marBottom w:val="0"/>
      <w:divBdr>
        <w:top w:val="none" w:sz="0" w:space="0" w:color="auto"/>
        <w:left w:val="none" w:sz="0" w:space="0" w:color="auto"/>
        <w:bottom w:val="none" w:sz="0" w:space="0" w:color="auto"/>
        <w:right w:val="none" w:sz="0" w:space="0" w:color="auto"/>
      </w:divBdr>
    </w:div>
    <w:div w:id="2104916992">
      <w:bodyDiv w:val="1"/>
      <w:marLeft w:val="0"/>
      <w:marRight w:val="0"/>
      <w:marTop w:val="0"/>
      <w:marBottom w:val="0"/>
      <w:divBdr>
        <w:top w:val="none" w:sz="0" w:space="0" w:color="auto"/>
        <w:left w:val="none" w:sz="0" w:space="0" w:color="auto"/>
        <w:bottom w:val="none" w:sz="0" w:space="0" w:color="auto"/>
        <w:right w:val="none" w:sz="0" w:space="0" w:color="auto"/>
      </w:divBdr>
    </w:div>
    <w:div w:id="2106883018">
      <w:bodyDiv w:val="1"/>
      <w:marLeft w:val="0"/>
      <w:marRight w:val="0"/>
      <w:marTop w:val="0"/>
      <w:marBottom w:val="0"/>
      <w:divBdr>
        <w:top w:val="none" w:sz="0" w:space="0" w:color="auto"/>
        <w:left w:val="none" w:sz="0" w:space="0" w:color="auto"/>
        <w:bottom w:val="none" w:sz="0" w:space="0" w:color="auto"/>
        <w:right w:val="none" w:sz="0" w:space="0" w:color="auto"/>
      </w:divBdr>
    </w:div>
    <w:div w:id="2117283516">
      <w:bodyDiv w:val="1"/>
      <w:marLeft w:val="0"/>
      <w:marRight w:val="0"/>
      <w:marTop w:val="0"/>
      <w:marBottom w:val="0"/>
      <w:divBdr>
        <w:top w:val="none" w:sz="0" w:space="0" w:color="auto"/>
        <w:left w:val="none" w:sz="0" w:space="0" w:color="auto"/>
        <w:bottom w:val="none" w:sz="0" w:space="0" w:color="auto"/>
        <w:right w:val="none" w:sz="0" w:space="0" w:color="auto"/>
      </w:divBdr>
    </w:div>
    <w:div w:id="21314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10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10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3FE31-BBD7-47BF-9079-F2879420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13218</Words>
  <Characters>75518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2021-07-08T05:05:00Z</dcterms:created>
  <dcterms:modified xsi:type="dcterms:W3CDTF">2021-07-08T05:05:00Z</dcterms:modified>
</cp:coreProperties>
</file>