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286" w:rsidRPr="00796FB8" w:rsidRDefault="000D48A7" w:rsidP="00BF3C38">
      <w:pPr>
        <w:pStyle w:val="1-MainHeading"/>
        <w:spacing w:before="0" w:after="0"/>
      </w:pPr>
      <w:bookmarkStart w:id="0" w:name="_Toc62035358"/>
      <w:r w:rsidRPr="00796FB8">
        <w:t>5.0</w:t>
      </w:r>
      <w:r w:rsidR="006967A9" w:rsidRPr="00796FB8">
        <w:t>8</w:t>
      </w:r>
      <w:r w:rsidR="00163F66" w:rsidRPr="00796FB8">
        <w:tab/>
      </w:r>
      <w:r w:rsidR="00543E15" w:rsidRPr="00796FB8">
        <w:t>ESLICARBAZEPINE</w:t>
      </w:r>
      <w:r w:rsidR="00163F66" w:rsidRPr="00796FB8">
        <w:t>,</w:t>
      </w:r>
      <w:r w:rsidR="00163F66" w:rsidRPr="00796FB8">
        <w:br/>
      </w:r>
      <w:r w:rsidR="00543E15" w:rsidRPr="00796FB8">
        <w:t>Tablet 80</w:t>
      </w:r>
      <w:r w:rsidR="00262AC6" w:rsidRPr="00796FB8">
        <w:t>0 mg</w:t>
      </w:r>
      <w:r w:rsidR="00543E15" w:rsidRPr="00796FB8">
        <w:t xml:space="preserve">, </w:t>
      </w:r>
      <w:r w:rsidR="00163F66" w:rsidRPr="00796FB8">
        <w:br/>
      </w:r>
      <w:r w:rsidR="00543E15" w:rsidRPr="00796FB8">
        <w:t>Zebinix</w:t>
      </w:r>
      <w:r w:rsidR="00B60939" w:rsidRPr="00796FB8">
        <w:rPr>
          <w:vertAlign w:val="superscript"/>
        </w:rPr>
        <w:t>®</w:t>
      </w:r>
      <w:r w:rsidR="004A6040" w:rsidRPr="00796FB8">
        <w:t>,</w:t>
      </w:r>
      <w:r w:rsidR="004A6040" w:rsidRPr="00796FB8">
        <w:br/>
      </w:r>
      <w:r w:rsidR="00543E15" w:rsidRPr="00796FB8">
        <w:t>Stada Pharmaceuticals Australia Pty Ltd</w:t>
      </w:r>
      <w:bookmarkStart w:id="1" w:name="_Toc22897637"/>
      <w:bookmarkStart w:id="2" w:name="_Toc62035359"/>
      <w:bookmarkEnd w:id="0"/>
    </w:p>
    <w:p w:rsidR="00B50DB8" w:rsidRPr="00796FB8" w:rsidRDefault="00B50DB8" w:rsidP="00BF3C38">
      <w:pPr>
        <w:pStyle w:val="2-SectionHeading"/>
      </w:pPr>
      <w:bookmarkStart w:id="3" w:name="_Toc62035360"/>
      <w:bookmarkEnd w:id="1"/>
      <w:bookmarkEnd w:id="2"/>
      <w:r w:rsidRPr="00796FB8">
        <w:t xml:space="preserve">Purpose of </w:t>
      </w:r>
      <w:r w:rsidR="00CD7193" w:rsidRPr="00796FB8">
        <w:t>s</w:t>
      </w:r>
      <w:r w:rsidR="00BB3A45" w:rsidRPr="00796FB8">
        <w:t>ubmission</w:t>
      </w:r>
      <w:bookmarkEnd w:id="3"/>
    </w:p>
    <w:p w:rsidR="00963558" w:rsidRPr="00796FB8" w:rsidRDefault="00963558" w:rsidP="00BF3C38">
      <w:pPr>
        <w:pStyle w:val="3-BodyText"/>
      </w:pPr>
      <w:r w:rsidRPr="00796FB8">
        <w:t>The submission requested a</w:t>
      </w:r>
      <w:r w:rsidR="00D31F40" w:rsidRPr="00796FB8">
        <w:t>n</w:t>
      </w:r>
      <w:r w:rsidRPr="00796FB8">
        <w:t xml:space="preserve"> Authority Required</w:t>
      </w:r>
      <w:r w:rsidR="00D31F40" w:rsidRPr="00796FB8">
        <w:t xml:space="preserve"> (S</w:t>
      </w:r>
      <w:r w:rsidR="00AF713C" w:rsidRPr="00796FB8">
        <w:t>TREAMLINED</w:t>
      </w:r>
      <w:r w:rsidR="00D31F40" w:rsidRPr="00796FB8">
        <w:t>)</w:t>
      </w:r>
      <w:r w:rsidRPr="00796FB8">
        <w:t xml:space="preserve"> listing for </w:t>
      </w:r>
      <w:r w:rsidR="00063AFB" w:rsidRPr="00796FB8">
        <w:t>e</w:t>
      </w:r>
      <w:r w:rsidRPr="00796FB8">
        <w:t xml:space="preserve">slicarbazepine acetate (ESL) for the treatment of intractable partial </w:t>
      </w:r>
      <w:r w:rsidR="00411F14" w:rsidRPr="00796FB8">
        <w:t>epileptic seizures</w:t>
      </w:r>
      <w:r w:rsidRPr="00796FB8">
        <w:t>, with or without secondary generali</w:t>
      </w:r>
      <w:r w:rsidR="00D31F40" w:rsidRPr="00796FB8">
        <w:t>s</w:t>
      </w:r>
      <w:r w:rsidRPr="00796FB8">
        <w:t xml:space="preserve">ed seizures. </w:t>
      </w:r>
      <w:r w:rsidR="00B1008C" w:rsidRPr="00796FB8">
        <w:rPr>
          <w:iCs/>
        </w:rPr>
        <w:t>ESL has not been previously considered by the PBAC. Lacosamide, perampanel and most recently brivaracetam (in 2017) have been PBS-listed for the target population.</w:t>
      </w:r>
    </w:p>
    <w:p w:rsidR="00963558" w:rsidRPr="00796FB8" w:rsidRDefault="00963558" w:rsidP="00BF3C38">
      <w:pPr>
        <w:pStyle w:val="3-BodyText"/>
      </w:pPr>
      <w:r w:rsidRPr="00796FB8">
        <w:t xml:space="preserve">Listing was requested on the basis of a cost-minimisation analysis </w:t>
      </w:r>
      <w:r w:rsidR="00FD6986" w:rsidRPr="00796FB8">
        <w:t xml:space="preserve">approach </w:t>
      </w:r>
      <w:r w:rsidRPr="00796FB8">
        <w:t>versus lacosamide (LAC). The key components of the clinical issues addressed by the submission are summarised below.</w:t>
      </w:r>
    </w:p>
    <w:p w:rsidR="00963558" w:rsidRPr="00796FB8" w:rsidRDefault="00963558" w:rsidP="00BF3C38">
      <w:pPr>
        <w:pStyle w:val="TableFigureHeading"/>
        <w:rPr>
          <w:rStyle w:val="CommentReference"/>
          <w:b/>
          <w:szCs w:val="24"/>
        </w:rPr>
      </w:pPr>
      <w:r w:rsidRPr="00796FB8">
        <w:t xml:space="preserve">Table </w:t>
      </w:r>
      <w:r w:rsidR="002C71DF" w:rsidRPr="00796FB8">
        <w:t>1</w:t>
      </w:r>
      <w:r w:rsidRPr="00796FB8">
        <w:rPr>
          <w:rStyle w:val="CommentReference"/>
          <w:b/>
          <w:szCs w:val="24"/>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963558" w:rsidRPr="00796FB8" w:rsidTr="00A116FD">
        <w:trPr>
          <w:cantSplit/>
          <w:tblHeader/>
        </w:trPr>
        <w:tc>
          <w:tcPr>
            <w:tcW w:w="924" w:type="pct"/>
            <w:shd w:val="clear" w:color="auto" w:fill="auto"/>
          </w:tcPr>
          <w:p w:rsidR="00963558" w:rsidRPr="00796FB8" w:rsidRDefault="00963558" w:rsidP="00BF3C38">
            <w:pPr>
              <w:pStyle w:val="In-tableHeading"/>
              <w:rPr>
                <w:szCs w:val="20"/>
                <w:lang w:val="en-AU"/>
              </w:rPr>
            </w:pPr>
            <w:r w:rsidRPr="00796FB8">
              <w:rPr>
                <w:lang w:val="en-AU"/>
              </w:rPr>
              <w:t>Component</w:t>
            </w:r>
          </w:p>
        </w:tc>
        <w:tc>
          <w:tcPr>
            <w:tcW w:w="4076" w:type="pct"/>
            <w:shd w:val="clear" w:color="auto" w:fill="auto"/>
          </w:tcPr>
          <w:p w:rsidR="00963558" w:rsidRPr="00796FB8" w:rsidRDefault="00963558" w:rsidP="00BF3C38">
            <w:pPr>
              <w:pStyle w:val="In-tableHeading"/>
              <w:rPr>
                <w:lang w:val="en-AU"/>
              </w:rPr>
            </w:pPr>
            <w:r w:rsidRPr="00796FB8">
              <w:rPr>
                <w:lang w:val="en-AU"/>
              </w:rPr>
              <w:t>Description</w:t>
            </w:r>
          </w:p>
        </w:tc>
      </w:tr>
      <w:tr w:rsidR="00963558" w:rsidRPr="00796FB8" w:rsidTr="00A116FD">
        <w:trPr>
          <w:cantSplit/>
        </w:trPr>
        <w:tc>
          <w:tcPr>
            <w:tcW w:w="924" w:type="pct"/>
            <w:shd w:val="clear" w:color="auto" w:fill="auto"/>
          </w:tcPr>
          <w:p w:rsidR="00963558" w:rsidRPr="00796FB8" w:rsidRDefault="00963558" w:rsidP="00BF3C38">
            <w:pPr>
              <w:pStyle w:val="TableText0"/>
            </w:pPr>
            <w:r w:rsidRPr="00796FB8">
              <w:t>Population</w:t>
            </w:r>
          </w:p>
        </w:tc>
        <w:tc>
          <w:tcPr>
            <w:tcW w:w="4076" w:type="pct"/>
            <w:shd w:val="clear" w:color="auto" w:fill="auto"/>
          </w:tcPr>
          <w:p w:rsidR="00963558" w:rsidRPr="00796FB8" w:rsidRDefault="00963558" w:rsidP="00BF3C38">
            <w:pPr>
              <w:pStyle w:val="TableText0"/>
              <w:rPr>
                <w:szCs w:val="20"/>
              </w:rPr>
            </w:pPr>
            <w:r w:rsidRPr="00796FB8">
              <w:t xml:space="preserve">Adjunctive therapy for patients aged above 16 years, with partial onset seizures </w:t>
            </w:r>
            <w:r w:rsidR="00D75616" w:rsidRPr="00796FB8">
              <w:t xml:space="preserve">(POS) </w:t>
            </w:r>
            <w:r w:rsidRPr="00796FB8">
              <w:t>with or without secondary generalisation</w:t>
            </w:r>
          </w:p>
        </w:tc>
      </w:tr>
      <w:tr w:rsidR="00963558" w:rsidRPr="00796FB8" w:rsidTr="00A116FD">
        <w:trPr>
          <w:cantSplit/>
        </w:trPr>
        <w:tc>
          <w:tcPr>
            <w:tcW w:w="924" w:type="pct"/>
            <w:shd w:val="clear" w:color="auto" w:fill="auto"/>
          </w:tcPr>
          <w:p w:rsidR="00963558" w:rsidRPr="00796FB8" w:rsidRDefault="00963558" w:rsidP="00BF3C38">
            <w:pPr>
              <w:pStyle w:val="TableText0"/>
            </w:pPr>
            <w:r w:rsidRPr="00796FB8">
              <w:t>Intervention</w:t>
            </w:r>
          </w:p>
        </w:tc>
        <w:tc>
          <w:tcPr>
            <w:tcW w:w="4076" w:type="pct"/>
            <w:shd w:val="clear" w:color="auto" w:fill="auto"/>
          </w:tcPr>
          <w:p w:rsidR="00963558" w:rsidRPr="00796FB8" w:rsidRDefault="00963558" w:rsidP="00BF3C38">
            <w:pPr>
              <w:pStyle w:val="TableText0"/>
            </w:pPr>
            <w:r w:rsidRPr="00796FB8">
              <w:t>Eslicarbazepine acetate (ESL) (tradename: ZEBINIX) 800</w:t>
            </w:r>
            <w:r w:rsidR="003174D3" w:rsidRPr="00796FB8">
              <w:t xml:space="preserve"> </w:t>
            </w:r>
            <w:r w:rsidRPr="00796FB8">
              <w:t>mg tablet</w:t>
            </w:r>
          </w:p>
        </w:tc>
      </w:tr>
      <w:tr w:rsidR="00963558" w:rsidRPr="00796FB8" w:rsidTr="00A116FD">
        <w:trPr>
          <w:cantSplit/>
        </w:trPr>
        <w:tc>
          <w:tcPr>
            <w:tcW w:w="924" w:type="pct"/>
            <w:shd w:val="clear" w:color="auto" w:fill="auto"/>
          </w:tcPr>
          <w:p w:rsidR="00963558" w:rsidRPr="00796FB8" w:rsidRDefault="00963558" w:rsidP="00BF3C38">
            <w:pPr>
              <w:pStyle w:val="TableText0"/>
            </w:pPr>
            <w:r w:rsidRPr="00796FB8">
              <w:t>Comparator</w:t>
            </w:r>
          </w:p>
        </w:tc>
        <w:tc>
          <w:tcPr>
            <w:tcW w:w="4076" w:type="pct"/>
            <w:shd w:val="clear" w:color="auto" w:fill="auto"/>
          </w:tcPr>
          <w:p w:rsidR="00963558" w:rsidRPr="00796FB8" w:rsidRDefault="00963558" w:rsidP="00BF3C38">
            <w:pPr>
              <w:pStyle w:val="TableText0"/>
            </w:pPr>
            <w:r w:rsidRPr="00796FB8">
              <w:rPr>
                <w:rStyle w:val="SmallItalics"/>
                <w:rFonts w:ascii="Arial Narrow" w:hAnsi="Arial Narrow"/>
                <w:i w:val="0"/>
              </w:rPr>
              <w:t>Lacosamide (LAC)</w:t>
            </w:r>
          </w:p>
        </w:tc>
      </w:tr>
      <w:tr w:rsidR="00963558" w:rsidRPr="00796FB8" w:rsidTr="00A116FD">
        <w:trPr>
          <w:cantSplit/>
        </w:trPr>
        <w:tc>
          <w:tcPr>
            <w:tcW w:w="924" w:type="pct"/>
            <w:shd w:val="clear" w:color="auto" w:fill="auto"/>
          </w:tcPr>
          <w:p w:rsidR="00963558" w:rsidRPr="00796FB8" w:rsidRDefault="00963558" w:rsidP="00BF3C38">
            <w:pPr>
              <w:pStyle w:val="TableText0"/>
            </w:pPr>
            <w:r w:rsidRPr="00796FB8">
              <w:t>Outcomes</w:t>
            </w:r>
          </w:p>
        </w:tc>
        <w:tc>
          <w:tcPr>
            <w:tcW w:w="4076" w:type="pct"/>
            <w:shd w:val="clear" w:color="auto" w:fill="auto"/>
          </w:tcPr>
          <w:p w:rsidR="00963558" w:rsidRPr="00796FB8" w:rsidRDefault="00963558" w:rsidP="00BF3C38">
            <w:pPr>
              <w:pStyle w:val="TableText0"/>
              <w:rPr>
                <w:rFonts w:eastAsia="Times New Roman" w:cs="Arial"/>
                <w:bCs w:val="0"/>
                <w:snapToGrid w:val="0"/>
                <w:color w:val="0066FF"/>
                <w:szCs w:val="20"/>
              </w:rPr>
            </w:pPr>
            <w:r w:rsidRPr="00796FB8">
              <w:rPr>
                <w:rStyle w:val="SmallItalics"/>
                <w:rFonts w:ascii="Arial Narrow" w:hAnsi="Arial Narrow"/>
                <w:i w:val="0"/>
              </w:rPr>
              <w:t xml:space="preserve">Patients achieving a </w:t>
            </w:r>
            <w:r w:rsidRPr="00796FB8">
              <w:rPr>
                <w:rStyle w:val="SmallItalics"/>
                <w:rFonts w:ascii="Arial Narrow" w:hAnsi="Arial Narrow" w:cstheme="minorHAnsi"/>
                <w:i w:val="0"/>
              </w:rPr>
              <w:t>≥</w:t>
            </w:r>
            <w:r w:rsidRPr="00796FB8">
              <w:rPr>
                <w:rStyle w:val="SmallItalics"/>
                <w:rFonts w:ascii="Arial Narrow" w:hAnsi="Arial Narrow"/>
                <w:i w:val="0"/>
              </w:rPr>
              <w:t>50% reduction in 28-day seizure frequency, seizure freedom</w:t>
            </w:r>
          </w:p>
        </w:tc>
      </w:tr>
      <w:tr w:rsidR="00963558" w:rsidRPr="00796FB8" w:rsidTr="00A116FD">
        <w:trPr>
          <w:cantSplit/>
        </w:trPr>
        <w:tc>
          <w:tcPr>
            <w:tcW w:w="924" w:type="pct"/>
            <w:shd w:val="clear" w:color="auto" w:fill="auto"/>
          </w:tcPr>
          <w:p w:rsidR="00963558" w:rsidRPr="00796FB8" w:rsidRDefault="00963558" w:rsidP="00BF3C38">
            <w:pPr>
              <w:pStyle w:val="TableText0"/>
            </w:pPr>
            <w:r w:rsidRPr="00796FB8">
              <w:t>Clinical claim</w:t>
            </w:r>
          </w:p>
        </w:tc>
        <w:tc>
          <w:tcPr>
            <w:tcW w:w="4076" w:type="pct"/>
            <w:shd w:val="clear" w:color="auto" w:fill="auto"/>
          </w:tcPr>
          <w:p w:rsidR="00963558" w:rsidRPr="00796FB8" w:rsidRDefault="00963558" w:rsidP="00BF3C38">
            <w:pPr>
              <w:pStyle w:val="TableText0"/>
              <w:rPr>
                <w:rFonts w:eastAsia="Times New Roman" w:cs="Arial"/>
                <w:bCs w:val="0"/>
                <w:snapToGrid w:val="0"/>
                <w:color w:val="0066FF"/>
                <w:szCs w:val="20"/>
              </w:rPr>
            </w:pPr>
            <w:r w:rsidRPr="00796FB8">
              <w:rPr>
                <w:rStyle w:val="SmallItalics"/>
                <w:rFonts w:ascii="Arial Narrow" w:hAnsi="Arial Narrow"/>
                <w:i w:val="0"/>
              </w:rPr>
              <w:t>In patients aged 16 years and older with</w:t>
            </w:r>
            <w:r w:rsidR="00E776F6" w:rsidRPr="00796FB8">
              <w:rPr>
                <w:rStyle w:val="SmallItalics"/>
                <w:rFonts w:ascii="Arial Narrow" w:hAnsi="Arial Narrow"/>
                <w:i w:val="0"/>
              </w:rPr>
              <w:t xml:space="preserve"> treatment-resistant</w:t>
            </w:r>
            <w:r w:rsidRPr="00796FB8">
              <w:rPr>
                <w:rStyle w:val="SmallItalics"/>
                <w:rFonts w:ascii="Arial Narrow" w:hAnsi="Arial Narrow"/>
                <w:i w:val="0"/>
              </w:rPr>
              <w:t xml:space="preserve"> </w:t>
            </w:r>
            <w:r w:rsidR="00F64194" w:rsidRPr="00796FB8">
              <w:rPr>
                <w:rStyle w:val="SmallItalics"/>
                <w:rFonts w:ascii="Arial Narrow" w:hAnsi="Arial Narrow"/>
                <w:i w:val="0"/>
              </w:rPr>
              <w:t>POS</w:t>
            </w:r>
            <w:r w:rsidRPr="00796FB8">
              <w:rPr>
                <w:rStyle w:val="SmallItalics"/>
                <w:rFonts w:ascii="Arial Narrow" w:hAnsi="Arial Narrow"/>
                <w:i w:val="0"/>
              </w:rPr>
              <w:t xml:space="preserve"> with </w:t>
            </w:r>
            <w:r w:rsidR="003174D3" w:rsidRPr="00796FB8">
              <w:rPr>
                <w:rStyle w:val="SmallItalics"/>
                <w:rFonts w:ascii="Arial Narrow" w:hAnsi="Arial Narrow"/>
                <w:i w:val="0"/>
              </w:rPr>
              <w:t>or</w:t>
            </w:r>
            <w:r w:rsidRPr="00796FB8">
              <w:rPr>
                <w:rStyle w:val="SmallItalics"/>
                <w:rFonts w:ascii="Arial Narrow" w:hAnsi="Arial Narrow"/>
                <w:i w:val="0"/>
              </w:rPr>
              <w:t xml:space="preserve"> without secondary generalisations, ESL is non-inferior compared with LAC at reducing seizure frequency and has comparable tolerability</w:t>
            </w:r>
          </w:p>
        </w:tc>
      </w:tr>
    </w:tbl>
    <w:p w:rsidR="00963558" w:rsidRPr="00796FB8" w:rsidRDefault="00963558" w:rsidP="00BF3C38">
      <w:pPr>
        <w:pStyle w:val="TableFigureFooter"/>
      </w:pPr>
      <w:r w:rsidRPr="00796FB8">
        <w:t>Source: Table 1-1, p 13 of the submission.</w:t>
      </w:r>
    </w:p>
    <w:p w:rsidR="005C25FF" w:rsidRPr="00796FB8" w:rsidRDefault="005C25FF" w:rsidP="00BF3C38">
      <w:pPr>
        <w:pStyle w:val="2-SectionHeading"/>
      </w:pPr>
      <w:bookmarkStart w:id="4" w:name="_Toc62035361"/>
      <w:r w:rsidRPr="00796FB8">
        <w:t>Background</w:t>
      </w:r>
      <w:bookmarkEnd w:id="4"/>
    </w:p>
    <w:p w:rsidR="005C25FF" w:rsidRPr="00796FB8" w:rsidRDefault="005C25FF" w:rsidP="00BF3C38">
      <w:pPr>
        <w:pStyle w:val="4-SubsectionHeading"/>
      </w:pPr>
      <w:bookmarkStart w:id="5" w:name="_Toc22897638"/>
      <w:bookmarkStart w:id="6" w:name="_Toc62035362"/>
      <w:r w:rsidRPr="00796FB8">
        <w:t>Registration status</w:t>
      </w:r>
      <w:bookmarkEnd w:id="5"/>
      <w:bookmarkEnd w:id="6"/>
      <w:r w:rsidR="00F82242" w:rsidRPr="00796FB8">
        <w:t xml:space="preserve"> </w:t>
      </w:r>
    </w:p>
    <w:p w:rsidR="00F63F24" w:rsidRPr="00796FB8" w:rsidRDefault="00963558" w:rsidP="00BF3C38">
      <w:pPr>
        <w:pStyle w:val="3-BodyText"/>
      </w:pPr>
      <w:r w:rsidRPr="00796FB8">
        <w:t xml:space="preserve">The submission was made under the TGA/PBAC Parallel Process. </w:t>
      </w:r>
      <w:r w:rsidR="00954F9C">
        <w:t>The s</w:t>
      </w:r>
      <w:r w:rsidR="0044509A" w:rsidRPr="00796FB8">
        <w:t xml:space="preserve">ponsor has requested </w:t>
      </w:r>
      <w:r w:rsidR="00E002FE" w:rsidRPr="00796FB8">
        <w:t>TGA registration of ESL for</w:t>
      </w:r>
      <w:r w:rsidR="00493F44" w:rsidRPr="00796FB8">
        <w:t xml:space="preserve"> use as monotherapy in adults, and as adjunctive therapy in adults, adolescents and children aged above 6 years with POS with or without secondary generalisation.</w:t>
      </w:r>
      <w:r w:rsidRPr="00796FB8">
        <w:t xml:space="preserve"> </w:t>
      </w:r>
    </w:p>
    <w:p w:rsidR="00FF09A6" w:rsidRPr="00796FB8" w:rsidRDefault="004956E0" w:rsidP="00BF3C38">
      <w:pPr>
        <w:pStyle w:val="3-BodyText"/>
        <w:rPr>
          <w:i/>
        </w:rPr>
      </w:pPr>
      <w:r w:rsidRPr="00796FB8">
        <w:t xml:space="preserve">The PBAC noted the TGA Delegate informed the </w:t>
      </w:r>
      <w:r w:rsidR="00954F9C">
        <w:t>s</w:t>
      </w:r>
      <w:r w:rsidRPr="00796FB8">
        <w:t>ponsor</w:t>
      </w:r>
      <w:r w:rsidR="008D30E5" w:rsidRPr="00796FB8">
        <w:t xml:space="preserve"> on 2 March 2021</w:t>
      </w:r>
      <w:r w:rsidRPr="00796FB8">
        <w:t xml:space="preserve"> that the submission</w:t>
      </w:r>
      <w:r w:rsidR="00F63F24" w:rsidRPr="00796FB8">
        <w:t xml:space="preserve"> did not require</w:t>
      </w:r>
      <w:r w:rsidRPr="00796FB8">
        <w:t xml:space="preserve"> </w:t>
      </w:r>
      <w:r w:rsidR="004261FE" w:rsidRPr="00796FB8">
        <w:t>consider</w:t>
      </w:r>
      <w:r w:rsidR="00F63F24" w:rsidRPr="00796FB8">
        <w:t>ation</w:t>
      </w:r>
      <w:r w:rsidR="004261FE" w:rsidRPr="00796FB8">
        <w:t xml:space="preserve"> by the</w:t>
      </w:r>
      <w:r w:rsidR="00F63F24" w:rsidRPr="00796FB8">
        <w:t xml:space="preserve"> Advisory Committee on Medicines</w:t>
      </w:r>
      <w:r w:rsidRPr="00796FB8">
        <w:t xml:space="preserve"> </w:t>
      </w:r>
      <w:r w:rsidR="00F63F24" w:rsidRPr="00796FB8">
        <w:t>(</w:t>
      </w:r>
      <w:r w:rsidRPr="00796FB8">
        <w:t>ACM</w:t>
      </w:r>
      <w:r w:rsidR="00F63F24" w:rsidRPr="00796FB8">
        <w:t>)</w:t>
      </w:r>
      <w:r w:rsidR="003A175F" w:rsidRPr="00796FB8">
        <w:t>.</w:t>
      </w:r>
    </w:p>
    <w:p w:rsidR="00B60939" w:rsidRPr="00796FB8" w:rsidRDefault="00B50DB8" w:rsidP="00BF3C38">
      <w:pPr>
        <w:pStyle w:val="2-SectionHeading"/>
      </w:pPr>
      <w:bookmarkStart w:id="7" w:name="_Toc62035363"/>
      <w:r w:rsidRPr="00796FB8">
        <w:t>Requested listing</w:t>
      </w:r>
      <w:bookmarkEnd w:id="7"/>
    </w:p>
    <w:p w:rsidR="000446B1" w:rsidRPr="00796FB8" w:rsidRDefault="000C01BB" w:rsidP="00BF3C38">
      <w:pPr>
        <w:pStyle w:val="3-BodyText"/>
      </w:pPr>
      <w:r w:rsidRPr="00796FB8">
        <w:t>The requested listing is presented below. Suggestions and additions proposed by the Secretariat are added in italics and suggested deletions are crossed out with strikethrough.</w:t>
      </w:r>
    </w:p>
    <w:p w:rsidR="00963558" w:rsidRPr="00796FB8" w:rsidRDefault="00963558" w:rsidP="00BF3C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20"/>
        <w:gridCol w:w="678"/>
        <w:gridCol w:w="846"/>
        <w:gridCol w:w="655"/>
        <w:gridCol w:w="655"/>
        <w:gridCol w:w="1185"/>
        <w:gridCol w:w="1778"/>
      </w:tblGrid>
      <w:tr w:rsidR="000446B1" w:rsidRPr="00796FB8" w:rsidTr="008A1CB3">
        <w:trPr>
          <w:cantSplit/>
          <w:trHeight w:val="463"/>
        </w:trPr>
        <w:tc>
          <w:tcPr>
            <w:tcW w:w="1786" w:type="pct"/>
            <w:vAlign w:val="center"/>
          </w:tcPr>
          <w:p w:rsidR="000446B1" w:rsidRPr="00796FB8" w:rsidRDefault="00DC7F6A" w:rsidP="00BF3C38">
            <w:pPr>
              <w:keepNext/>
              <w:jc w:val="left"/>
              <w:rPr>
                <w:rFonts w:ascii="Arial Narrow" w:hAnsi="Arial Narrow"/>
                <w:b/>
                <w:sz w:val="20"/>
              </w:rPr>
            </w:pPr>
            <w:r w:rsidRPr="00796FB8">
              <w:rPr>
                <w:rFonts w:ascii="Arial Narrow" w:hAnsi="Arial Narrow"/>
                <w:b/>
                <w:sz w:val="20"/>
              </w:rPr>
              <w:t>MEDICINAL PRODUCT</w:t>
            </w:r>
          </w:p>
          <w:p w:rsidR="00DC7F6A" w:rsidRPr="00796FB8" w:rsidRDefault="00DC7F6A" w:rsidP="00BF3C38">
            <w:pPr>
              <w:keepNext/>
              <w:jc w:val="left"/>
              <w:rPr>
                <w:rFonts w:ascii="Arial Narrow" w:hAnsi="Arial Narrow"/>
                <w:b/>
                <w:sz w:val="20"/>
              </w:rPr>
            </w:pPr>
            <w:r w:rsidRPr="00796FB8">
              <w:rPr>
                <w:rFonts w:ascii="Arial Narrow" w:hAnsi="Arial Narrow"/>
                <w:b/>
                <w:sz w:val="20"/>
              </w:rPr>
              <w:t>medicinal product pack</w:t>
            </w:r>
          </w:p>
        </w:tc>
        <w:tc>
          <w:tcPr>
            <w:tcW w:w="376" w:type="pct"/>
          </w:tcPr>
          <w:p w:rsidR="000446B1" w:rsidRPr="00796FB8" w:rsidRDefault="000446B1" w:rsidP="00BF3C38">
            <w:pPr>
              <w:keepNext/>
              <w:jc w:val="center"/>
              <w:rPr>
                <w:rFonts w:ascii="Arial Narrow" w:hAnsi="Arial Narrow"/>
                <w:b/>
                <w:sz w:val="20"/>
              </w:rPr>
            </w:pPr>
            <w:r w:rsidRPr="00796FB8">
              <w:rPr>
                <w:rFonts w:ascii="Arial Narrow" w:hAnsi="Arial Narrow"/>
                <w:b/>
                <w:sz w:val="20"/>
              </w:rPr>
              <w:t>PBS item code</w:t>
            </w:r>
          </w:p>
        </w:tc>
        <w:tc>
          <w:tcPr>
            <w:tcW w:w="469" w:type="pct"/>
            <w:vAlign w:val="center"/>
          </w:tcPr>
          <w:p w:rsidR="000446B1" w:rsidRPr="00796FB8" w:rsidRDefault="000446B1" w:rsidP="00BF3C38">
            <w:pPr>
              <w:keepNext/>
              <w:jc w:val="center"/>
              <w:rPr>
                <w:rFonts w:ascii="Arial Narrow" w:hAnsi="Arial Narrow"/>
                <w:b/>
                <w:sz w:val="20"/>
              </w:rPr>
            </w:pPr>
            <w:r w:rsidRPr="00796FB8">
              <w:rPr>
                <w:rFonts w:ascii="Arial Narrow" w:hAnsi="Arial Narrow"/>
                <w:b/>
                <w:sz w:val="20"/>
              </w:rPr>
              <w:t>Max.</w:t>
            </w:r>
          </w:p>
          <w:p w:rsidR="000446B1" w:rsidRPr="00796FB8" w:rsidRDefault="000446B1" w:rsidP="00BF3C38">
            <w:pPr>
              <w:keepNext/>
              <w:jc w:val="center"/>
              <w:rPr>
                <w:rFonts w:ascii="Arial Narrow" w:hAnsi="Arial Narrow"/>
                <w:b/>
                <w:sz w:val="20"/>
              </w:rPr>
            </w:pPr>
            <w:r w:rsidRPr="00796FB8">
              <w:rPr>
                <w:rFonts w:ascii="Arial Narrow" w:hAnsi="Arial Narrow"/>
                <w:b/>
                <w:sz w:val="20"/>
              </w:rPr>
              <w:t xml:space="preserve">Qty </w:t>
            </w:r>
          </w:p>
          <w:p w:rsidR="000446B1" w:rsidRPr="00796FB8" w:rsidRDefault="000446B1" w:rsidP="00BF3C38">
            <w:pPr>
              <w:keepNext/>
              <w:jc w:val="center"/>
              <w:rPr>
                <w:rFonts w:ascii="Arial Narrow" w:hAnsi="Arial Narrow"/>
                <w:b/>
                <w:sz w:val="20"/>
              </w:rPr>
            </w:pPr>
            <w:r w:rsidRPr="00796FB8">
              <w:rPr>
                <w:rFonts w:ascii="Arial Narrow" w:hAnsi="Arial Narrow"/>
                <w:b/>
                <w:sz w:val="20"/>
              </w:rPr>
              <w:t>Packs</w:t>
            </w:r>
          </w:p>
        </w:tc>
        <w:tc>
          <w:tcPr>
            <w:tcW w:w="363" w:type="pct"/>
            <w:vAlign w:val="center"/>
          </w:tcPr>
          <w:p w:rsidR="000446B1" w:rsidRPr="00796FB8" w:rsidRDefault="000446B1" w:rsidP="00BF3C38">
            <w:pPr>
              <w:keepNext/>
              <w:jc w:val="center"/>
              <w:rPr>
                <w:rFonts w:ascii="Arial Narrow" w:hAnsi="Arial Narrow"/>
                <w:b/>
                <w:sz w:val="20"/>
              </w:rPr>
            </w:pPr>
            <w:r w:rsidRPr="00796FB8">
              <w:rPr>
                <w:rFonts w:ascii="Arial Narrow" w:hAnsi="Arial Narrow"/>
                <w:b/>
                <w:sz w:val="20"/>
              </w:rPr>
              <w:t>Max.</w:t>
            </w:r>
          </w:p>
          <w:p w:rsidR="000446B1" w:rsidRPr="00796FB8" w:rsidRDefault="000446B1" w:rsidP="00BF3C38">
            <w:pPr>
              <w:keepNext/>
              <w:jc w:val="center"/>
              <w:rPr>
                <w:rFonts w:ascii="Arial Narrow" w:hAnsi="Arial Narrow"/>
                <w:b/>
                <w:sz w:val="20"/>
              </w:rPr>
            </w:pPr>
            <w:r w:rsidRPr="00796FB8">
              <w:rPr>
                <w:rFonts w:ascii="Arial Narrow" w:hAnsi="Arial Narrow"/>
                <w:b/>
                <w:sz w:val="20"/>
              </w:rPr>
              <w:t xml:space="preserve">Qty </w:t>
            </w:r>
          </w:p>
          <w:p w:rsidR="000446B1" w:rsidRPr="00796FB8" w:rsidRDefault="000446B1" w:rsidP="00BF3C38">
            <w:pPr>
              <w:keepNext/>
              <w:jc w:val="center"/>
              <w:rPr>
                <w:rFonts w:ascii="Arial Narrow" w:hAnsi="Arial Narrow" w:cs="Times New Roman"/>
                <w:b/>
                <w:sz w:val="20"/>
              </w:rPr>
            </w:pPr>
            <w:r w:rsidRPr="00796FB8">
              <w:rPr>
                <w:rFonts w:ascii="Arial Narrow" w:hAnsi="Arial Narrow"/>
                <w:b/>
                <w:sz w:val="20"/>
              </w:rPr>
              <w:t>Units</w:t>
            </w:r>
          </w:p>
        </w:tc>
        <w:tc>
          <w:tcPr>
            <w:tcW w:w="363" w:type="pct"/>
            <w:vAlign w:val="center"/>
          </w:tcPr>
          <w:p w:rsidR="000446B1" w:rsidRPr="00796FB8" w:rsidRDefault="000446B1" w:rsidP="00BF3C38">
            <w:pPr>
              <w:keepNext/>
              <w:jc w:val="center"/>
              <w:rPr>
                <w:rFonts w:ascii="Arial Narrow" w:hAnsi="Arial Narrow"/>
                <w:b/>
                <w:sz w:val="20"/>
              </w:rPr>
            </w:pPr>
            <w:r w:rsidRPr="00796FB8">
              <w:rPr>
                <w:rFonts w:ascii="Arial Narrow" w:hAnsi="Arial Narrow" w:cs="Times New Roman"/>
                <w:b/>
                <w:sz w:val="20"/>
              </w:rPr>
              <w:t>№</w:t>
            </w:r>
            <w:r w:rsidRPr="00796FB8">
              <w:rPr>
                <w:rFonts w:ascii="Arial Narrow" w:hAnsi="Arial Narrow"/>
                <w:b/>
                <w:sz w:val="20"/>
              </w:rPr>
              <w:t>.of</w:t>
            </w:r>
          </w:p>
          <w:p w:rsidR="000446B1" w:rsidRPr="00796FB8" w:rsidRDefault="000446B1" w:rsidP="00BF3C38">
            <w:pPr>
              <w:keepNext/>
              <w:jc w:val="center"/>
              <w:rPr>
                <w:rFonts w:ascii="Arial Narrow" w:hAnsi="Arial Narrow"/>
                <w:b/>
                <w:sz w:val="20"/>
              </w:rPr>
            </w:pPr>
            <w:r w:rsidRPr="00796FB8">
              <w:rPr>
                <w:rFonts w:ascii="Arial Narrow" w:hAnsi="Arial Narrow"/>
                <w:b/>
                <w:sz w:val="20"/>
              </w:rPr>
              <w:t>Rpts</w:t>
            </w:r>
          </w:p>
        </w:tc>
        <w:tc>
          <w:tcPr>
            <w:tcW w:w="657" w:type="pct"/>
            <w:vAlign w:val="center"/>
          </w:tcPr>
          <w:p w:rsidR="000446B1" w:rsidRPr="00796FB8" w:rsidRDefault="000446B1" w:rsidP="00BF3C38">
            <w:pPr>
              <w:keepNext/>
              <w:jc w:val="center"/>
              <w:rPr>
                <w:rFonts w:ascii="Arial Narrow" w:hAnsi="Arial Narrow"/>
                <w:b/>
                <w:sz w:val="20"/>
              </w:rPr>
            </w:pPr>
            <w:r w:rsidRPr="00796FB8">
              <w:rPr>
                <w:rFonts w:ascii="Arial Narrow" w:hAnsi="Arial Narrow"/>
                <w:b/>
                <w:sz w:val="20"/>
              </w:rPr>
              <w:t>Dispensed Price for Max. Qty</w:t>
            </w:r>
          </w:p>
        </w:tc>
        <w:tc>
          <w:tcPr>
            <w:tcW w:w="986" w:type="pct"/>
            <w:vAlign w:val="center"/>
          </w:tcPr>
          <w:p w:rsidR="000446B1" w:rsidRPr="00796FB8" w:rsidRDefault="000446B1" w:rsidP="00BF3C38">
            <w:pPr>
              <w:keepNext/>
              <w:jc w:val="center"/>
              <w:rPr>
                <w:rFonts w:ascii="Arial Narrow" w:hAnsi="Arial Narrow"/>
                <w:b/>
                <w:sz w:val="20"/>
              </w:rPr>
            </w:pPr>
            <w:r w:rsidRPr="00796FB8">
              <w:rPr>
                <w:rFonts w:ascii="Arial Narrow" w:hAnsi="Arial Narrow"/>
                <w:b/>
                <w:sz w:val="20"/>
              </w:rPr>
              <w:t>Proprietary Name and Manufacturer</w:t>
            </w:r>
          </w:p>
        </w:tc>
      </w:tr>
      <w:tr w:rsidR="000446B1" w:rsidRPr="00796FB8" w:rsidTr="008A1CB3">
        <w:trPr>
          <w:cantSplit/>
          <w:trHeight w:val="567"/>
        </w:trPr>
        <w:tc>
          <w:tcPr>
            <w:tcW w:w="1786" w:type="pct"/>
          </w:tcPr>
          <w:p w:rsidR="000446B1" w:rsidRPr="00796FB8" w:rsidRDefault="000446B1" w:rsidP="00BF3C38">
            <w:pPr>
              <w:keepNext/>
              <w:jc w:val="left"/>
              <w:rPr>
                <w:rFonts w:ascii="Arial Narrow" w:hAnsi="Arial Narrow"/>
                <w:sz w:val="18"/>
                <w:szCs w:val="18"/>
              </w:rPr>
            </w:pPr>
            <w:r w:rsidRPr="00796FB8">
              <w:rPr>
                <w:rFonts w:ascii="Arial Narrow" w:hAnsi="Arial Narrow"/>
                <w:sz w:val="18"/>
                <w:szCs w:val="18"/>
              </w:rPr>
              <w:t>ESLICARBAZEPINE</w:t>
            </w:r>
            <w:r w:rsidR="00C4771F">
              <w:rPr>
                <w:rFonts w:ascii="Arial Narrow" w:hAnsi="Arial Narrow"/>
                <w:sz w:val="18"/>
                <w:szCs w:val="18"/>
              </w:rPr>
              <w:t xml:space="preserve"> </w:t>
            </w:r>
          </w:p>
          <w:p w:rsidR="000446B1" w:rsidRPr="00796FB8" w:rsidRDefault="0092237A" w:rsidP="00BF3C38">
            <w:pPr>
              <w:keepNext/>
              <w:jc w:val="left"/>
              <w:rPr>
                <w:rFonts w:ascii="Arial Narrow" w:hAnsi="Arial Narrow"/>
                <w:i/>
                <w:sz w:val="20"/>
              </w:rPr>
            </w:pPr>
            <w:r w:rsidRPr="00796FB8">
              <w:rPr>
                <w:rFonts w:ascii="Arial Narrow" w:hAnsi="Arial Narrow"/>
                <w:i/>
                <w:sz w:val="20"/>
              </w:rPr>
              <w:t>e</w:t>
            </w:r>
            <w:r w:rsidR="000446B1" w:rsidRPr="00796FB8">
              <w:rPr>
                <w:rFonts w:ascii="Arial Narrow" w:hAnsi="Arial Narrow"/>
                <w:i/>
                <w:sz w:val="20"/>
              </w:rPr>
              <w:t xml:space="preserve">slicarbazepine </w:t>
            </w:r>
            <w:r w:rsidR="009357CA" w:rsidRPr="00796FB8">
              <w:rPr>
                <w:rFonts w:ascii="Arial Narrow" w:hAnsi="Arial Narrow"/>
                <w:i/>
                <w:sz w:val="20"/>
              </w:rPr>
              <w:t xml:space="preserve">acetate </w:t>
            </w:r>
            <w:r w:rsidR="000446B1" w:rsidRPr="00796FB8">
              <w:rPr>
                <w:rFonts w:ascii="Arial Narrow" w:hAnsi="Arial Narrow"/>
                <w:i/>
                <w:sz w:val="20"/>
              </w:rPr>
              <w:t>200 mg table</w:t>
            </w:r>
            <w:r w:rsidRPr="00796FB8">
              <w:rPr>
                <w:rFonts w:ascii="Arial Narrow" w:hAnsi="Arial Narrow"/>
                <w:i/>
                <w:sz w:val="20"/>
              </w:rPr>
              <w:t>t</w:t>
            </w:r>
            <w:r w:rsidR="000446B1" w:rsidRPr="00796FB8">
              <w:rPr>
                <w:rFonts w:ascii="Arial Narrow" w:hAnsi="Arial Narrow"/>
                <w:i/>
                <w:sz w:val="20"/>
              </w:rPr>
              <w:t>, 60</w:t>
            </w:r>
          </w:p>
          <w:p w:rsidR="0092237A" w:rsidRPr="00796FB8" w:rsidRDefault="0092237A" w:rsidP="00BF3C38">
            <w:pPr>
              <w:keepNext/>
              <w:jc w:val="left"/>
              <w:rPr>
                <w:rFonts w:ascii="Arial Narrow" w:hAnsi="Arial Narrow"/>
                <w:sz w:val="20"/>
              </w:rPr>
            </w:pPr>
            <w:r w:rsidRPr="00796FB8">
              <w:rPr>
                <w:rFonts w:ascii="Arial Narrow" w:hAnsi="Arial Narrow"/>
                <w:sz w:val="20"/>
              </w:rPr>
              <w:t>eslicarbazepine</w:t>
            </w:r>
            <w:r w:rsidR="009357CA" w:rsidRPr="00796FB8">
              <w:rPr>
                <w:rFonts w:ascii="Arial Narrow" w:hAnsi="Arial Narrow"/>
                <w:sz w:val="20"/>
              </w:rPr>
              <w:t xml:space="preserve"> acetate</w:t>
            </w:r>
            <w:r w:rsidRPr="00796FB8">
              <w:rPr>
                <w:rFonts w:ascii="Arial Narrow" w:hAnsi="Arial Narrow"/>
                <w:sz w:val="20"/>
              </w:rPr>
              <w:t xml:space="preserve"> 800 mg tablet, 30 </w:t>
            </w:r>
          </w:p>
        </w:tc>
        <w:tc>
          <w:tcPr>
            <w:tcW w:w="376" w:type="pct"/>
          </w:tcPr>
          <w:p w:rsidR="0092237A" w:rsidRPr="00796FB8" w:rsidRDefault="0092237A" w:rsidP="00BF3C38">
            <w:pPr>
              <w:keepNext/>
              <w:jc w:val="center"/>
              <w:rPr>
                <w:rFonts w:ascii="Arial Narrow" w:hAnsi="Arial Narrow"/>
                <w:sz w:val="20"/>
              </w:rPr>
            </w:pPr>
          </w:p>
          <w:p w:rsidR="0092237A" w:rsidRPr="00796FB8" w:rsidRDefault="0092237A" w:rsidP="00BF3C38">
            <w:pPr>
              <w:keepNext/>
              <w:jc w:val="center"/>
              <w:rPr>
                <w:rFonts w:ascii="Arial Narrow" w:hAnsi="Arial Narrow"/>
                <w:i/>
                <w:sz w:val="20"/>
              </w:rPr>
            </w:pPr>
            <w:r w:rsidRPr="00796FB8">
              <w:rPr>
                <w:rFonts w:ascii="Arial Narrow" w:hAnsi="Arial Narrow"/>
                <w:i/>
                <w:sz w:val="20"/>
              </w:rPr>
              <w:t xml:space="preserve">NEW </w:t>
            </w:r>
          </w:p>
          <w:p w:rsidR="000446B1" w:rsidRPr="00796FB8" w:rsidRDefault="0092237A" w:rsidP="00BF3C38">
            <w:pPr>
              <w:keepNext/>
              <w:jc w:val="center"/>
              <w:rPr>
                <w:rFonts w:ascii="Arial Narrow" w:hAnsi="Arial Narrow"/>
                <w:sz w:val="20"/>
              </w:rPr>
            </w:pPr>
            <w:r w:rsidRPr="00796FB8">
              <w:rPr>
                <w:rFonts w:ascii="Arial Narrow" w:hAnsi="Arial Narrow"/>
                <w:sz w:val="20"/>
              </w:rPr>
              <w:t>NEW</w:t>
            </w:r>
          </w:p>
        </w:tc>
        <w:tc>
          <w:tcPr>
            <w:tcW w:w="469" w:type="pct"/>
          </w:tcPr>
          <w:p w:rsidR="0092237A" w:rsidRPr="00796FB8" w:rsidRDefault="0092237A" w:rsidP="00BF3C38">
            <w:pPr>
              <w:keepNext/>
              <w:jc w:val="center"/>
              <w:rPr>
                <w:rFonts w:ascii="Arial Narrow" w:hAnsi="Arial Narrow"/>
                <w:sz w:val="20"/>
              </w:rPr>
            </w:pPr>
          </w:p>
          <w:p w:rsidR="0092237A" w:rsidRPr="00796FB8" w:rsidRDefault="0092237A" w:rsidP="00BF3C38">
            <w:pPr>
              <w:keepNext/>
              <w:jc w:val="center"/>
              <w:rPr>
                <w:rFonts w:ascii="Arial Narrow" w:hAnsi="Arial Narrow"/>
                <w:i/>
                <w:sz w:val="20"/>
              </w:rPr>
            </w:pPr>
            <w:r w:rsidRPr="00796FB8">
              <w:rPr>
                <w:rFonts w:ascii="Arial Narrow" w:hAnsi="Arial Narrow"/>
                <w:i/>
                <w:sz w:val="20"/>
              </w:rPr>
              <w:t>1</w:t>
            </w:r>
          </w:p>
          <w:p w:rsidR="000446B1" w:rsidRPr="00796FB8" w:rsidRDefault="000446B1" w:rsidP="00BF3C38">
            <w:pPr>
              <w:keepNext/>
              <w:jc w:val="center"/>
              <w:rPr>
                <w:rFonts w:ascii="Arial Narrow" w:hAnsi="Arial Narrow"/>
                <w:sz w:val="20"/>
              </w:rPr>
            </w:pPr>
            <w:r w:rsidRPr="00796FB8">
              <w:rPr>
                <w:rFonts w:ascii="Arial Narrow" w:hAnsi="Arial Narrow"/>
                <w:sz w:val="20"/>
              </w:rPr>
              <w:t>1</w:t>
            </w:r>
          </w:p>
        </w:tc>
        <w:tc>
          <w:tcPr>
            <w:tcW w:w="363" w:type="pct"/>
          </w:tcPr>
          <w:p w:rsidR="0092237A" w:rsidRPr="00796FB8" w:rsidRDefault="0092237A" w:rsidP="00BF3C38">
            <w:pPr>
              <w:keepNext/>
              <w:jc w:val="center"/>
              <w:rPr>
                <w:rFonts w:ascii="Arial Narrow" w:hAnsi="Arial Narrow"/>
                <w:sz w:val="20"/>
              </w:rPr>
            </w:pPr>
          </w:p>
          <w:p w:rsidR="0092237A" w:rsidRPr="00796FB8" w:rsidRDefault="0092237A" w:rsidP="00BF3C38">
            <w:pPr>
              <w:keepNext/>
              <w:jc w:val="center"/>
              <w:rPr>
                <w:rFonts w:ascii="Arial Narrow" w:hAnsi="Arial Narrow"/>
                <w:i/>
                <w:sz w:val="20"/>
              </w:rPr>
            </w:pPr>
            <w:r w:rsidRPr="00796FB8">
              <w:rPr>
                <w:rFonts w:ascii="Arial Narrow" w:hAnsi="Arial Narrow"/>
                <w:i/>
                <w:sz w:val="20"/>
              </w:rPr>
              <w:t>60</w:t>
            </w:r>
          </w:p>
          <w:p w:rsidR="000446B1" w:rsidRPr="00796FB8" w:rsidRDefault="000446B1" w:rsidP="00BF3C38">
            <w:pPr>
              <w:keepNext/>
              <w:jc w:val="center"/>
              <w:rPr>
                <w:rFonts w:ascii="Arial Narrow" w:hAnsi="Arial Narrow"/>
                <w:sz w:val="20"/>
              </w:rPr>
            </w:pPr>
            <w:r w:rsidRPr="00796FB8">
              <w:rPr>
                <w:rFonts w:ascii="Arial Narrow" w:hAnsi="Arial Narrow"/>
                <w:sz w:val="20"/>
              </w:rPr>
              <w:t>30</w:t>
            </w:r>
          </w:p>
        </w:tc>
        <w:tc>
          <w:tcPr>
            <w:tcW w:w="363" w:type="pct"/>
          </w:tcPr>
          <w:p w:rsidR="0092237A" w:rsidRPr="00796FB8" w:rsidRDefault="0092237A" w:rsidP="00BF3C38">
            <w:pPr>
              <w:keepNext/>
              <w:jc w:val="center"/>
              <w:rPr>
                <w:rFonts w:ascii="Arial Narrow" w:hAnsi="Arial Narrow"/>
                <w:sz w:val="20"/>
              </w:rPr>
            </w:pPr>
          </w:p>
          <w:p w:rsidR="0092237A" w:rsidRPr="00796FB8" w:rsidRDefault="0092237A" w:rsidP="00BF3C38">
            <w:pPr>
              <w:keepNext/>
              <w:jc w:val="center"/>
              <w:rPr>
                <w:rFonts w:ascii="Arial Narrow" w:hAnsi="Arial Narrow"/>
                <w:i/>
                <w:sz w:val="20"/>
              </w:rPr>
            </w:pPr>
            <w:r w:rsidRPr="00796FB8">
              <w:rPr>
                <w:rFonts w:ascii="Arial Narrow" w:hAnsi="Arial Narrow"/>
                <w:i/>
                <w:sz w:val="20"/>
              </w:rPr>
              <w:t>5</w:t>
            </w:r>
          </w:p>
          <w:p w:rsidR="000446B1" w:rsidRPr="00796FB8" w:rsidRDefault="000446B1" w:rsidP="00BF3C38">
            <w:pPr>
              <w:keepNext/>
              <w:jc w:val="center"/>
              <w:rPr>
                <w:rFonts w:ascii="Arial Narrow" w:hAnsi="Arial Narrow"/>
                <w:sz w:val="20"/>
              </w:rPr>
            </w:pPr>
            <w:r w:rsidRPr="00796FB8">
              <w:rPr>
                <w:rFonts w:ascii="Arial Narrow" w:hAnsi="Arial Narrow"/>
                <w:sz w:val="20"/>
              </w:rPr>
              <w:t>5</w:t>
            </w:r>
          </w:p>
        </w:tc>
        <w:tc>
          <w:tcPr>
            <w:tcW w:w="657" w:type="pct"/>
          </w:tcPr>
          <w:p w:rsidR="0092237A" w:rsidRPr="00796FB8" w:rsidRDefault="0092237A" w:rsidP="00BF3C38">
            <w:pPr>
              <w:keepNext/>
              <w:jc w:val="center"/>
              <w:rPr>
                <w:rFonts w:ascii="Arial Narrow" w:hAnsi="Arial Narrow"/>
                <w:sz w:val="20"/>
              </w:rPr>
            </w:pPr>
          </w:p>
          <w:p w:rsidR="0092237A" w:rsidRPr="00796FB8" w:rsidRDefault="0092237A" w:rsidP="00BF3C38">
            <w:pPr>
              <w:keepNext/>
              <w:jc w:val="center"/>
              <w:rPr>
                <w:rFonts w:ascii="Arial Narrow" w:hAnsi="Arial Narrow"/>
                <w:sz w:val="20"/>
              </w:rPr>
            </w:pPr>
          </w:p>
          <w:p w:rsidR="000446B1" w:rsidRPr="00796FB8" w:rsidRDefault="000446B1" w:rsidP="00BF3C38">
            <w:pPr>
              <w:keepNext/>
              <w:jc w:val="center"/>
              <w:rPr>
                <w:rFonts w:ascii="Arial Narrow" w:hAnsi="Arial Narrow"/>
                <w:sz w:val="20"/>
              </w:rPr>
            </w:pPr>
            <w:r w:rsidRPr="00796FB8">
              <w:rPr>
                <w:rFonts w:ascii="Arial Narrow" w:hAnsi="Arial Narrow"/>
                <w:sz w:val="20"/>
              </w:rPr>
              <w:t>$</w:t>
            </w:r>
            <w:r w:rsidR="004C4B81">
              <w:rPr>
                <w:rFonts w:ascii="Arial Narrow" w:hAnsi="Arial Narrow"/>
                <w:noProof/>
                <w:color w:val="000000"/>
                <w:sz w:val="20"/>
                <w:highlight w:val="black"/>
              </w:rPr>
              <w:t>''''''''''''''''''</w:t>
            </w:r>
          </w:p>
        </w:tc>
        <w:tc>
          <w:tcPr>
            <w:tcW w:w="986" w:type="pct"/>
          </w:tcPr>
          <w:p w:rsidR="000446B1" w:rsidRPr="00796FB8" w:rsidRDefault="000446B1" w:rsidP="00BF3C38">
            <w:pPr>
              <w:pStyle w:val="Tabletext"/>
              <w:jc w:val="center"/>
            </w:pPr>
            <w:r w:rsidRPr="00796FB8">
              <w:t>Z</w:t>
            </w:r>
            <w:r w:rsidR="00DF37A2" w:rsidRPr="00796FB8">
              <w:t>ebinix</w:t>
            </w:r>
          </w:p>
          <w:p w:rsidR="000446B1" w:rsidRPr="00796FB8" w:rsidRDefault="000446B1" w:rsidP="00BF3C38">
            <w:pPr>
              <w:keepNext/>
              <w:jc w:val="center"/>
              <w:rPr>
                <w:rFonts w:ascii="Arial Narrow" w:hAnsi="Arial Narrow"/>
                <w:sz w:val="20"/>
              </w:rPr>
            </w:pPr>
            <w:r w:rsidRPr="00796FB8">
              <w:rPr>
                <w:rFonts w:ascii="Arial Narrow" w:hAnsi="Arial Narrow"/>
                <w:sz w:val="20"/>
              </w:rPr>
              <w:t>Stada Pharmaceuticals Australia Pty Ltd</w:t>
            </w:r>
          </w:p>
        </w:tc>
      </w:tr>
      <w:tr w:rsidR="00DF37A2"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right w:val="single" w:sz="4" w:space="0" w:color="auto"/>
            </w:tcBorders>
          </w:tcPr>
          <w:p w:rsidR="00DF37A2" w:rsidRPr="00796FB8" w:rsidRDefault="00DF37A2" w:rsidP="00BF3C38">
            <w:pPr>
              <w:pStyle w:val="Tabletext"/>
              <w:rPr>
                <w:b/>
                <w:sz w:val="18"/>
                <w:szCs w:val="18"/>
              </w:rPr>
            </w:pPr>
            <w:bookmarkStart w:id="8" w:name="_Hlk58189973"/>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right w:val="single" w:sz="4" w:space="0" w:color="auto"/>
            </w:tcBorders>
          </w:tcPr>
          <w:p w:rsidR="008A1CB3" w:rsidRPr="00796FB8" w:rsidRDefault="008A1CB3" w:rsidP="00BF3C38">
            <w:pPr>
              <w:pStyle w:val="Tabletext"/>
              <w:rPr>
                <w:sz w:val="18"/>
                <w:szCs w:val="18"/>
              </w:rPr>
            </w:pPr>
            <w:r w:rsidRPr="00796FB8">
              <w:rPr>
                <w:b/>
                <w:sz w:val="18"/>
                <w:szCs w:val="18"/>
              </w:rPr>
              <w:t>Category / Program:</w:t>
            </w:r>
            <w:r w:rsidRPr="00796FB8">
              <w:rPr>
                <w:sz w:val="18"/>
                <w:szCs w:val="18"/>
              </w:rPr>
              <w:t xml:space="preserve"> General Schedule - Section 85 </w:t>
            </w:r>
          </w:p>
        </w:tc>
      </w:tr>
      <w:tr w:rsidR="008A1CB3" w:rsidRPr="00796FB8" w:rsidTr="008A1CB3">
        <w:tblPrEx>
          <w:tblLook w:val="04A0" w:firstRow="1" w:lastRow="0" w:firstColumn="1" w:lastColumn="0" w:noHBand="0" w:noVBand="1"/>
        </w:tblPrEx>
        <w:trPr>
          <w:trHeight w:val="284"/>
        </w:trPr>
        <w:tc>
          <w:tcPr>
            <w:tcW w:w="5000" w:type="pct"/>
            <w:gridSpan w:val="7"/>
            <w:tcBorders>
              <w:left w:val="single" w:sz="4" w:space="0" w:color="auto"/>
              <w:right w:val="single" w:sz="4" w:space="0" w:color="auto"/>
            </w:tcBorders>
          </w:tcPr>
          <w:p w:rsidR="008A1CB3" w:rsidRPr="00796FB8" w:rsidRDefault="008A1CB3" w:rsidP="00BF3C38">
            <w:pPr>
              <w:pStyle w:val="Tabletext"/>
              <w:rPr>
                <w:sz w:val="18"/>
                <w:szCs w:val="18"/>
              </w:rPr>
            </w:pPr>
            <w:r w:rsidRPr="00796FB8">
              <w:rPr>
                <w:b/>
                <w:sz w:val="18"/>
                <w:szCs w:val="18"/>
              </w:rPr>
              <w:t xml:space="preserve">Prescriber type: </w:t>
            </w:r>
            <w:r w:rsidRPr="00796FB8">
              <w:rPr>
                <w:rFonts w:cs="Arial"/>
                <w:sz w:val="18"/>
                <w:szCs w:val="18"/>
              </w:rPr>
              <w:fldChar w:fldCharType="begin">
                <w:ffData>
                  <w:name w:val=""/>
                  <w:enabled/>
                  <w:calcOnExit w:val="0"/>
                  <w:checkBox>
                    <w:sizeAuto/>
                    <w:default w:val="1"/>
                  </w:checkBox>
                </w:ffData>
              </w:fldChar>
            </w:r>
            <w:r w:rsidRPr="00796FB8">
              <w:rPr>
                <w:rFonts w:cs="Arial"/>
                <w:sz w:val="18"/>
                <w:szCs w:val="18"/>
              </w:rPr>
              <w:instrText xml:space="preserve"> FORMCHECKBOX </w:instrText>
            </w:r>
            <w:r w:rsidR="009D651D">
              <w:rPr>
                <w:rFonts w:cs="Arial"/>
                <w:sz w:val="18"/>
                <w:szCs w:val="18"/>
              </w:rPr>
            </w:r>
            <w:r w:rsidR="009D651D">
              <w:rPr>
                <w:rFonts w:cs="Arial"/>
                <w:sz w:val="18"/>
                <w:szCs w:val="18"/>
              </w:rPr>
              <w:fldChar w:fldCharType="separate"/>
            </w:r>
            <w:r w:rsidRPr="00796FB8">
              <w:rPr>
                <w:rFonts w:cs="Arial"/>
                <w:sz w:val="18"/>
                <w:szCs w:val="18"/>
              </w:rPr>
              <w:fldChar w:fldCharType="end"/>
            </w:r>
            <w:r w:rsidRPr="00796FB8">
              <w:rPr>
                <w:rFonts w:cs="Arial"/>
                <w:sz w:val="18"/>
                <w:szCs w:val="18"/>
              </w:rPr>
              <w:t xml:space="preserve"> Medical Practitioners    </w:t>
            </w:r>
          </w:p>
        </w:tc>
      </w:tr>
      <w:tr w:rsidR="008A1CB3" w:rsidRPr="00796FB8" w:rsidTr="008A1CB3">
        <w:tblPrEx>
          <w:tblLook w:val="04A0" w:firstRow="1" w:lastRow="0" w:firstColumn="1" w:lastColumn="0" w:noHBand="0" w:noVBand="1"/>
        </w:tblPrEx>
        <w:trPr>
          <w:trHeight w:val="284"/>
        </w:trPr>
        <w:tc>
          <w:tcPr>
            <w:tcW w:w="5000" w:type="pct"/>
            <w:gridSpan w:val="7"/>
            <w:tcBorders>
              <w:left w:val="single" w:sz="4" w:space="0" w:color="auto"/>
              <w:right w:val="single" w:sz="4" w:space="0" w:color="auto"/>
            </w:tcBorders>
          </w:tcPr>
          <w:p w:rsidR="008A1CB3" w:rsidRPr="00796FB8" w:rsidRDefault="008A1CB3" w:rsidP="00BF3C38">
            <w:pPr>
              <w:pStyle w:val="Tabletext"/>
              <w:rPr>
                <w:rFonts w:cs="Arial"/>
                <w:sz w:val="18"/>
                <w:szCs w:val="18"/>
              </w:rPr>
            </w:pPr>
            <w:r w:rsidRPr="00796FB8">
              <w:rPr>
                <w:b/>
                <w:sz w:val="18"/>
                <w:szCs w:val="18"/>
              </w:rPr>
              <w:t xml:space="preserve">Restriction: </w:t>
            </w:r>
            <w:r w:rsidRPr="00796FB8">
              <w:rPr>
                <w:sz w:val="18"/>
                <w:szCs w:val="18"/>
              </w:rPr>
              <w:fldChar w:fldCharType="begin">
                <w:ffData>
                  <w:name w:val="Check5"/>
                  <w:enabled/>
                  <w:calcOnExit w:val="0"/>
                  <w:checkBox>
                    <w:sizeAuto/>
                    <w:default w:val="1"/>
                  </w:checkBox>
                </w:ffData>
              </w:fldChar>
            </w:r>
            <w:r w:rsidRPr="00796FB8">
              <w:rPr>
                <w:sz w:val="18"/>
                <w:szCs w:val="18"/>
              </w:rPr>
              <w:instrText xml:space="preserve"> FORMCHECKBOX </w:instrText>
            </w:r>
            <w:r w:rsidR="009D651D">
              <w:rPr>
                <w:sz w:val="18"/>
                <w:szCs w:val="18"/>
              </w:rPr>
            </w:r>
            <w:r w:rsidR="009D651D">
              <w:rPr>
                <w:sz w:val="18"/>
                <w:szCs w:val="18"/>
              </w:rPr>
              <w:fldChar w:fldCharType="separate"/>
            </w:r>
            <w:r w:rsidRPr="00796FB8">
              <w:rPr>
                <w:sz w:val="18"/>
                <w:szCs w:val="18"/>
              </w:rPr>
              <w:fldChar w:fldCharType="end"/>
            </w:r>
            <w:r w:rsidRPr="00796FB8">
              <w:rPr>
                <w:sz w:val="18"/>
                <w:szCs w:val="18"/>
              </w:rPr>
              <w:t xml:space="preserve"> Authority Required – (Streamlined) [8770]</w:t>
            </w:r>
          </w:p>
        </w:tc>
      </w:tr>
      <w:tr w:rsidR="008A1CB3" w:rsidRPr="00796FB8" w:rsidTr="008A1CB3">
        <w:tblPrEx>
          <w:tblLook w:val="04A0" w:firstRow="1" w:lastRow="0" w:firstColumn="1" w:lastColumn="0" w:noHBand="0" w:noVBand="1"/>
        </w:tblPrEx>
        <w:trPr>
          <w:trHeight w:val="284"/>
        </w:trPr>
        <w:tc>
          <w:tcPr>
            <w:tcW w:w="5000" w:type="pct"/>
            <w:gridSpan w:val="7"/>
            <w:tcBorders>
              <w:left w:val="single" w:sz="4" w:space="0" w:color="auto"/>
              <w:right w:val="single" w:sz="4" w:space="0" w:color="auto"/>
            </w:tcBorders>
            <w:vAlign w:val="center"/>
          </w:tcPr>
          <w:p w:rsidR="008A1CB3" w:rsidRPr="00796FB8" w:rsidRDefault="008A1CB3" w:rsidP="00BF3C38">
            <w:pPr>
              <w:pStyle w:val="Tabletext"/>
              <w:rPr>
                <w:i/>
                <w:sz w:val="18"/>
                <w:szCs w:val="18"/>
              </w:rPr>
            </w:pPr>
            <w:r w:rsidRPr="00796FB8">
              <w:rPr>
                <w:b/>
                <w:sz w:val="18"/>
                <w:szCs w:val="18"/>
              </w:rPr>
              <w:t>Episodicity:</w:t>
            </w:r>
            <w:r w:rsidRPr="00796FB8">
              <w:rPr>
                <w:b/>
                <w:strike/>
                <w:sz w:val="18"/>
                <w:szCs w:val="18"/>
              </w:rPr>
              <w:t xml:space="preserve"> </w:t>
            </w:r>
            <w:r w:rsidRPr="00796FB8">
              <w:rPr>
                <w:strike/>
                <w:sz w:val="18"/>
                <w:szCs w:val="18"/>
              </w:rPr>
              <w:t>Partial</w:t>
            </w:r>
            <w:r w:rsidRPr="00796FB8">
              <w:rPr>
                <w:sz w:val="18"/>
                <w:szCs w:val="18"/>
              </w:rPr>
              <w:t xml:space="preserve"> </w:t>
            </w:r>
            <w:r w:rsidRPr="00796FB8">
              <w:rPr>
                <w:strike/>
                <w:sz w:val="18"/>
                <w:szCs w:val="18"/>
              </w:rPr>
              <w:t xml:space="preserve">onset </w:t>
            </w:r>
            <w:r w:rsidRPr="00796FB8">
              <w:rPr>
                <w:i/>
                <w:sz w:val="18"/>
                <w:szCs w:val="18"/>
              </w:rPr>
              <w:t>[blank]</w:t>
            </w:r>
          </w:p>
        </w:tc>
      </w:tr>
      <w:tr w:rsidR="008A1CB3" w:rsidRPr="00796FB8" w:rsidTr="008A1CB3">
        <w:tblPrEx>
          <w:tblLook w:val="04A0" w:firstRow="1" w:lastRow="0" w:firstColumn="1" w:lastColumn="0" w:noHBand="0" w:noVBand="1"/>
        </w:tblPrEx>
        <w:trPr>
          <w:trHeight w:val="284"/>
        </w:trPr>
        <w:tc>
          <w:tcPr>
            <w:tcW w:w="5000" w:type="pct"/>
            <w:gridSpan w:val="7"/>
            <w:tcBorders>
              <w:left w:val="single" w:sz="4" w:space="0" w:color="auto"/>
              <w:right w:val="single" w:sz="4" w:space="0" w:color="auto"/>
            </w:tcBorders>
            <w:vAlign w:val="center"/>
          </w:tcPr>
          <w:p w:rsidR="008A1CB3" w:rsidRPr="00796FB8" w:rsidRDefault="008A1CB3" w:rsidP="00BF3C38">
            <w:pPr>
              <w:pStyle w:val="Tabletext"/>
              <w:rPr>
                <w:i/>
                <w:sz w:val="18"/>
                <w:szCs w:val="18"/>
              </w:rPr>
            </w:pPr>
            <w:r w:rsidRPr="00796FB8">
              <w:rPr>
                <w:b/>
                <w:sz w:val="18"/>
                <w:szCs w:val="18"/>
              </w:rPr>
              <w:t xml:space="preserve">Severity: </w:t>
            </w:r>
            <w:r w:rsidRPr="00796FB8">
              <w:rPr>
                <w:strike/>
                <w:sz w:val="18"/>
                <w:szCs w:val="18"/>
              </w:rPr>
              <w:t xml:space="preserve">Intractable </w:t>
            </w:r>
            <w:r w:rsidRPr="00796FB8">
              <w:rPr>
                <w:i/>
                <w:sz w:val="18"/>
                <w:szCs w:val="18"/>
              </w:rPr>
              <w:t>[blank]</w:t>
            </w:r>
          </w:p>
        </w:tc>
      </w:tr>
      <w:tr w:rsidR="008A1CB3" w:rsidRPr="00796FB8" w:rsidTr="008A1CB3">
        <w:tblPrEx>
          <w:tblLook w:val="04A0" w:firstRow="1" w:lastRow="0" w:firstColumn="1" w:lastColumn="0" w:noHBand="0" w:noVBand="1"/>
        </w:tblPrEx>
        <w:trPr>
          <w:trHeight w:val="284"/>
        </w:trPr>
        <w:tc>
          <w:tcPr>
            <w:tcW w:w="5000" w:type="pct"/>
            <w:gridSpan w:val="7"/>
            <w:tcBorders>
              <w:left w:val="single" w:sz="4" w:space="0" w:color="auto"/>
              <w:bottom w:val="single" w:sz="4" w:space="0" w:color="auto"/>
              <w:right w:val="single" w:sz="4" w:space="0" w:color="auto"/>
            </w:tcBorders>
            <w:vAlign w:val="center"/>
          </w:tcPr>
          <w:p w:rsidR="008A1CB3" w:rsidRPr="00796FB8" w:rsidRDefault="008A1CB3" w:rsidP="00BF3C38">
            <w:pPr>
              <w:pStyle w:val="Tabletext"/>
              <w:rPr>
                <w:b/>
                <w:i/>
                <w:sz w:val="18"/>
                <w:szCs w:val="18"/>
              </w:rPr>
            </w:pPr>
            <w:r w:rsidRPr="00796FB8">
              <w:rPr>
                <w:b/>
                <w:sz w:val="18"/>
                <w:szCs w:val="18"/>
              </w:rPr>
              <w:t xml:space="preserve">Condition: </w:t>
            </w:r>
            <w:r w:rsidRPr="00796FB8">
              <w:rPr>
                <w:i/>
                <w:sz w:val="18"/>
                <w:szCs w:val="18"/>
              </w:rPr>
              <w:t xml:space="preserve">Intractable partial </w:t>
            </w:r>
            <w:r w:rsidRPr="00796FB8">
              <w:rPr>
                <w:i/>
                <w:strike/>
                <w:sz w:val="18"/>
                <w:szCs w:val="18"/>
              </w:rPr>
              <w:t>E</w:t>
            </w:r>
            <w:r w:rsidRPr="00796FB8">
              <w:rPr>
                <w:i/>
                <w:sz w:val="18"/>
                <w:szCs w:val="18"/>
              </w:rPr>
              <w:t>epilep</w:t>
            </w:r>
            <w:r w:rsidRPr="00796FB8">
              <w:rPr>
                <w:i/>
                <w:strike/>
                <w:sz w:val="18"/>
                <w:szCs w:val="18"/>
              </w:rPr>
              <w:t>sy</w:t>
            </w:r>
            <w:r w:rsidRPr="00796FB8">
              <w:rPr>
                <w:i/>
                <w:sz w:val="18"/>
                <w:szCs w:val="18"/>
              </w:rPr>
              <w:t xml:space="preserve">tic seizures </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
              <w:rPr>
                <w:b/>
                <w:sz w:val="18"/>
                <w:szCs w:val="18"/>
              </w:rPr>
            </w:pPr>
            <w:r w:rsidRPr="00796FB8">
              <w:rPr>
                <w:b/>
                <w:sz w:val="18"/>
                <w:szCs w:val="18"/>
              </w:rPr>
              <w:t xml:space="preserve">PBS Indication: </w:t>
            </w:r>
            <w:r w:rsidRPr="00796FB8">
              <w:rPr>
                <w:sz w:val="18"/>
                <w:szCs w:val="18"/>
              </w:rPr>
              <w:t xml:space="preserve">Intractable partial </w:t>
            </w:r>
            <w:r w:rsidRPr="00796FB8">
              <w:rPr>
                <w:strike/>
                <w:sz w:val="18"/>
                <w:szCs w:val="18"/>
              </w:rPr>
              <w:t>onset</w:t>
            </w:r>
            <w:r w:rsidRPr="00796FB8">
              <w:rPr>
                <w:sz w:val="18"/>
                <w:szCs w:val="18"/>
              </w:rPr>
              <w:t xml:space="preserve"> epileptic seizures</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
              <w:rPr>
                <w:sz w:val="18"/>
                <w:szCs w:val="18"/>
              </w:rPr>
            </w:pPr>
            <w:r w:rsidRPr="00796FB8">
              <w:rPr>
                <w:b/>
                <w:sz w:val="18"/>
                <w:szCs w:val="18"/>
              </w:rPr>
              <w:t xml:space="preserve">Treatment phase: </w:t>
            </w:r>
            <w:r w:rsidRPr="00796FB8">
              <w:rPr>
                <w:sz w:val="18"/>
                <w:szCs w:val="18"/>
              </w:rPr>
              <w:t>Initial treatment</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0"/>
              <w:rPr>
                <w:color w:val="000000"/>
                <w:sz w:val="18"/>
                <w:szCs w:val="18"/>
              </w:rPr>
            </w:pPr>
            <w:r w:rsidRPr="00796FB8">
              <w:rPr>
                <w:b/>
                <w:sz w:val="18"/>
                <w:szCs w:val="18"/>
              </w:rPr>
              <w:t xml:space="preserve">Treatment criteria: </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0"/>
              <w:rPr>
                <w:sz w:val="18"/>
                <w:szCs w:val="18"/>
              </w:rPr>
            </w:pPr>
            <w:r w:rsidRPr="00796FB8">
              <w:rPr>
                <w:sz w:val="18"/>
                <w:szCs w:val="18"/>
              </w:rPr>
              <w:t>Must be treated by a neurologist</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0"/>
              <w:rPr>
                <w:b/>
                <w:sz w:val="18"/>
                <w:szCs w:val="18"/>
              </w:rPr>
            </w:pPr>
            <w:r w:rsidRPr="00796FB8">
              <w:rPr>
                <w:b/>
                <w:sz w:val="18"/>
                <w:szCs w:val="18"/>
              </w:rPr>
              <w:t>AND</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
              <w:rPr>
                <w:rFonts w:eastAsiaTheme="majorEastAsia" w:cstheme="majorBidi"/>
                <w:bCs/>
                <w:sz w:val="18"/>
                <w:szCs w:val="18"/>
              </w:rPr>
            </w:pPr>
            <w:r w:rsidRPr="00796FB8">
              <w:rPr>
                <w:b/>
                <w:sz w:val="18"/>
                <w:szCs w:val="18"/>
              </w:rPr>
              <w:t>Clinical criteria:</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
              <w:rPr>
                <w:rFonts w:eastAsiaTheme="majorEastAsia" w:cstheme="majorBidi"/>
                <w:bCs/>
                <w:sz w:val="18"/>
                <w:szCs w:val="18"/>
              </w:rPr>
            </w:pPr>
            <w:r w:rsidRPr="00796FB8">
              <w:rPr>
                <w:rFonts w:eastAsiaTheme="majorEastAsia" w:cstheme="majorBidi"/>
                <w:bCs/>
                <w:sz w:val="18"/>
                <w:szCs w:val="18"/>
              </w:rPr>
              <w:t>The treatment must be in combination with two or more anti-epileptic drugs which includes one second-line adjunctive agent</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
              <w:rPr>
                <w:rFonts w:eastAsiaTheme="majorEastAsia" w:cstheme="majorBidi"/>
                <w:b/>
                <w:bCs/>
                <w:sz w:val="18"/>
                <w:szCs w:val="18"/>
              </w:rPr>
            </w:pPr>
            <w:r w:rsidRPr="00796FB8">
              <w:rPr>
                <w:rFonts w:eastAsiaTheme="majorEastAsia" w:cstheme="majorBidi"/>
                <w:b/>
                <w:bCs/>
                <w:sz w:val="18"/>
                <w:szCs w:val="18"/>
              </w:rPr>
              <w:t>AND</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
              <w:rPr>
                <w:rFonts w:eastAsiaTheme="majorEastAsia" w:cstheme="majorBidi"/>
                <w:bCs/>
                <w:sz w:val="18"/>
                <w:szCs w:val="18"/>
              </w:rPr>
            </w:pPr>
            <w:r w:rsidRPr="00796FB8">
              <w:rPr>
                <w:b/>
                <w:sz w:val="18"/>
                <w:szCs w:val="18"/>
              </w:rPr>
              <w:t>Clinical criteria:</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
              <w:rPr>
                <w:b/>
                <w:sz w:val="18"/>
                <w:szCs w:val="18"/>
              </w:rPr>
            </w:pPr>
            <w:r w:rsidRPr="00796FB8">
              <w:rPr>
                <w:rFonts w:eastAsiaTheme="majorEastAsia" w:cstheme="majorBidi"/>
                <w:bCs/>
                <w:sz w:val="18"/>
                <w:szCs w:val="18"/>
              </w:rPr>
              <w:t>The condition must have failed to be controlled satisfactorily by other anti-epileptic drugs, which includes at least one first-line anti-epileptic agent and at least two second-line adjunctive anti-epileptic agents</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
              <w:rPr>
                <w:strike/>
                <w:color w:val="000000"/>
                <w:sz w:val="18"/>
                <w:szCs w:val="18"/>
              </w:rPr>
            </w:pPr>
            <w:r w:rsidRPr="00796FB8">
              <w:rPr>
                <w:b/>
                <w:strike/>
                <w:sz w:val="18"/>
                <w:szCs w:val="18"/>
              </w:rPr>
              <w:t xml:space="preserve">Population criteria: </w:t>
            </w:r>
            <w:r w:rsidRPr="00796FB8">
              <w:rPr>
                <w:rFonts w:eastAsiaTheme="majorEastAsia" w:cstheme="majorBidi"/>
                <w:bCs/>
                <w:strike/>
                <w:sz w:val="18"/>
                <w:szCs w:val="18"/>
              </w:rPr>
              <w:t>Patient must be aged 16 years or older</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
              <w:rPr>
                <w:rFonts w:cs="Calibri"/>
                <w:i/>
                <w:iCs/>
                <w:sz w:val="18"/>
                <w:szCs w:val="18"/>
              </w:rPr>
            </w:pPr>
            <w:r w:rsidRPr="00796FB8">
              <w:rPr>
                <w:rFonts w:cs="Calibri"/>
                <w:b/>
                <w:bCs/>
                <w:i/>
                <w:sz w:val="18"/>
                <w:szCs w:val="18"/>
              </w:rPr>
              <w:t>Administrative Advice:</w:t>
            </w:r>
          </w:p>
          <w:p w:rsidR="008A1CB3" w:rsidRPr="00796FB8" w:rsidRDefault="008A1CB3" w:rsidP="00BF3C38">
            <w:pPr>
              <w:pStyle w:val="NormalWeb"/>
              <w:spacing w:before="0" w:after="0"/>
              <w:rPr>
                <w:rFonts w:ascii="Arial Narrow" w:hAnsi="Arial Narrow" w:cs="Calibri"/>
                <w:b/>
                <w:i/>
                <w:iCs/>
                <w:sz w:val="18"/>
                <w:szCs w:val="18"/>
                <w:lang w:val="en-AU"/>
              </w:rPr>
            </w:pPr>
            <w:r w:rsidRPr="00796FB8">
              <w:rPr>
                <w:rFonts w:ascii="Arial Narrow" w:hAnsi="Arial Narrow" w:cs="Calibri"/>
                <w:b/>
                <w:i/>
                <w:iCs/>
                <w:sz w:val="18"/>
                <w:szCs w:val="18"/>
                <w:lang w:val="en-AU"/>
              </w:rPr>
              <w:t xml:space="preserve">Continuing Therapy Only: </w:t>
            </w:r>
          </w:p>
          <w:p w:rsidR="008A1CB3" w:rsidRPr="00796FB8" w:rsidRDefault="008A1CB3" w:rsidP="00BF3C38">
            <w:pPr>
              <w:pStyle w:val="NormalWeb"/>
              <w:spacing w:before="0" w:after="0"/>
              <w:rPr>
                <w:rFonts w:ascii="Arial Narrow" w:hAnsi="Arial Narrow" w:cs="Calibri"/>
                <w:i/>
                <w:iCs/>
                <w:sz w:val="18"/>
                <w:szCs w:val="18"/>
                <w:lang w:val="en-AU"/>
              </w:rPr>
            </w:pPr>
            <w:r w:rsidRPr="00796FB8">
              <w:rPr>
                <w:rFonts w:ascii="Arial Narrow" w:hAnsi="Arial Narrow" w:cs="Calibri"/>
                <w:i/>
                <w:iCs/>
                <w:sz w:val="18"/>
                <w:szCs w:val="18"/>
                <w:lang w:val="en-AU"/>
              </w:rPr>
              <w:t xml:space="preserve">For prescribing by nurse practitioners as continuing therapy only, where the treatment of, and prescribing of medicine for, a patient has been initiated by a medical practitioner. </w:t>
            </w:r>
            <w:r w:rsidRPr="00796FB8">
              <w:rPr>
                <w:rFonts w:ascii="Arial Narrow" w:hAnsi="Arial Narrow" w:cs="Arial"/>
                <w:i/>
                <w:sz w:val="18"/>
                <w:szCs w:val="18"/>
                <w:lang w:val="en-AU"/>
              </w:rPr>
              <w:t>Further information can be found in the Explanatory Notes for Nurse Practitioners.</w:t>
            </w:r>
          </w:p>
        </w:tc>
      </w:tr>
      <w:tr w:rsidR="000446B1"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right w:val="single" w:sz="4" w:space="0" w:color="auto"/>
            </w:tcBorders>
          </w:tcPr>
          <w:p w:rsidR="000446B1" w:rsidRPr="00796FB8" w:rsidRDefault="000446B1" w:rsidP="00BF3C38">
            <w:pPr>
              <w:pStyle w:val="Tabletext"/>
              <w:keepNext/>
              <w:keepLines/>
              <w:rPr>
                <w:b/>
                <w:sz w:val="18"/>
                <w:szCs w:val="18"/>
              </w:rPr>
            </w:pPr>
            <w:r w:rsidRPr="00796FB8">
              <w:rPr>
                <w:b/>
                <w:sz w:val="18"/>
                <w:szCs w:val="18"/>
              </w:rPr>
              <w:t xml:space="preserve">Restriction Summary number: 8814 / Treatment of Concept: 8815 </w:t>
            </w:r>
            <w:r w:rsidRPr="00796FB8">
              <w:rPr>
                <w:sz w:val="18"/>
                <w:szCs w:val="18"/>
              </w:rPr>
              <w:t>(as at 1 January 2021)</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right w:val="single" w:sz="4" w:space="0" w:color="auto"/>
            </w:tcBorders>
          </w:tcPr>
          <w:p w:rsidR="008A1CB3" w:rsidRPr="00796FB8" w:rsidRDefault="008A1CB3" w:rsidP="00BF3C38">
            <w:pPr>
              <w:pStyle w:val="Tabletext"/>
              <w:rPr>
                <w:sz w:val="18"/>
                <w:szCs w:val="18"/>
              </w:rPr>
            </w:pPr>
            <w:r w:rsidRPr="00796FB8">
              <w:rPr>
                <w:b/>
                <w:sz w:val="18"/>
                <w:szCs w:val="18"/>
              </w:rPr>
              <w:t xml:space="preserve">Category / Program: </w:t>
            </w:r>
            <w:r w:rsidRPr="00796FB8">
              <w:rPr>
                <w:sz w:val="18"/>
                <w:szCs w:val="18"/>
              </w:rPr>
              <w:t xml:space="preserve">General Schedule - Section 85 </w:t>
            </w:r>
          </w:p>
        </w:tc>
      </w:tr>
      <w:tr w:rsidR="008A1CB3" w:rsidRPr="00796FB8" w:rsidTr="008A1CB3">
        <w:tblPrEx>
          <w:tblLook w:val="04A0" w:firstRow="1" w:lastRow="0" w:firstColumn="1" w:lastColumn="0" w:noHBand="0" w:noVBand="1"/>
        </w:tblPrEx>
        <w:trPr>
          <w:trHeight w:val="284"/>
        </w:trPr>
        <w:tc>
          <w:tcPr>
            <w:tcW w:w="5000" w:type="pct"/>
            <w:gridSpan w:val="7"/>
            <w:tcBorders>
              <w:left w:val="single" w:sz="4" w:space="0" w:color="auto"/>
              <w:right w:val="single" w:sz="4" w:space="0" w:color="auto"/>
            </w:tcBorders>
          </w:tcPr>
          <w:p w:rsidR="008A1CB3" w:rsidRPr="00796FB8" w:rsidRDefault="008A1CB3" w:rsidP="00BF3C38">
            <w:pPr>
              <w:pStyle w:val="Tabletext"/>
              <w:keepNext/>
              <w:keepLines/>
              <w:rPr>
                <w:b/>
                <w:sz w:val="18"/>
                <w:szCs w:val="18"/>
              </w:rPr>
            </w:pPr>
            <w:r w:rsidRPr="00796FB8">
              <w:rPr>
                <w:b/>
                <w:sz w:val="18"/>
                <w:szCs w:val="18"/>
              </w:rPr>
              <w:t xml:space="preserve">Prescriber type: </w:t>
            </w:r>
            <w:r w:rsidRPr="00796FB8">
              <w:rPr>
                <w:rFonts w:cs="Arial"/>
                <w:sz w:val="18"/>
                <w:szCs w:val="18"/>
              </w:rPr>
              <w:fldChar w:fldCharType="begin">
                <w:ffData>
                  <w:name w:val=""/>
                  <w:enabled/>
                  <w:calcOnExit w:val="0"/>
                  <w:checkBox>
                    <w:sizeAuto/>
                    <w:default w:val="1"/>
                  </w:checkBox>
                </w:ffData>
              </w:fldChar>
            </w:r>
            <w:r w:rsidRPr="00796FB8">
              <w:rPr>
                <w:rFonts w:cs="Arial"/>
                <w:sz w:val="18"/>
                <w:szCs w:val="18"/>
              </w:rPr>
              <w:instrText xml:space="preserve"> FORMCHECKBOX </w:instrText>
            </w:r>
            <w:r w:rsidR="009D651D">
              <w:rPr>
                <w:rFonts w:cs="Arial"/>
                <w:sz w:val="18"/>
                <w:szCs w:val="18"/>
              </w:rPr>
            </w:r>
            <w:r w:rsidR="009D651D">
              <w:rPr>
                <w:rFonts w:cs="Arial"/>
                <w:sz w:val="18"/>
                <w:szCs w:val="18"/>
              </w:rPr>
              <w:fldChar w:fldCharType="separate"/>
            </w:r>
            <w:r w:rsidRPr="00796FB8">
              <w:rPr>
                <w:rFonts w:cs="Arial"/>
                <w:sz w:val="18"/>
                <w:szCs w:val="18"/>
              </w:rPr>
              <w:fldChar w:fldCharType="end"/>
            </w:r>
            <w:r w:rsidRPr="00796FB8">
              <w:rPr>
                <w:rFonts w:cs="Arial"/>
                <w:sz w:val="18"/>
                <w:szCs w:val="18"/>
              </w:rPr>
              <w:t xml:space="preserve"> Medical Practitioners    </w:t>
            </w:r>
            <w:r w:rsidRPr="00796FB8">
              <w:rPr>
                <w:rFonts w:cs="Arial"/>
                <w:sz w:val="18"/>
                <w:szCs w:val="18"/>
              </w:rPr>
              <w:fldChar w:fldCharType="begin">
                <w:ffData>
                  <w:name w:val=""/>
                  <w:enabled/>
                  <w:calcOnExit w:val="0"/>
                  <w:checkBox>
                    <w:sizeAuto/>
                    <w:default w:val="1"/>
                  </w:checkBox>
                </w:ffData>
              </w:fldChar>
            </w:r>
            <w:r w:rsidRPr="00796FB8">
              <w:rPr>
                <w:rFonts w:cs="Arial"/>
                <w:sz w:val="18"/>
                <w:szCs w:val="18"/>
              </w:rPr>
              <w:instrText xml:space="preserve"> FORMCHECKBOX </w:instrText>
            </w:r>
            <w:r w:rsidR="009D651D">
              <w:rPr>
                <w:rFonts w:cs="Arial"/>
                <w:sz w:val="18"/>
                <w:szCs w:val="18"/>
              </w:rPr>
            </w:r>
            <w:r w:rsidR="009D651D">
              <w:rPr>
                <w:rFonts w:cs="Arial"/>
                <w:sz w:val="18"/>
                <w:szCs w:val="18"/>
              </w:rPr>
              <w:fldChar w:fldCharType="separate"/>
            </w:r>
            <w:r w:rsidRPr="00796FB8">
              <w:rPr>
                <w:rFonts w:cs="Arial"/>
                <w:sz w:val="18"/>
                <w:szCs w:val="18"/>
              </w:rPr>
              <w:fldChar w:fldCharType="end"/>
            </w:r>
            <w:r w:rsidRPr="00796FB8">
              <w:rPr>
                <w:sz w:val="18"/>
                <w:szCs w:val="18"/>
              </w:rPr>
              <w:t xml:space="preserve"> Nurse practitioners – CTO</w:t>
            </w:r>
          </w:p>
        </w:tc>
      </w:tr>
      <w:tr w:rsidR="008A1CB3" w:rsidRPr="00796FB8" w:rsidTr="008A1CB3">
        <w:tblPrEx>
          <w:tblLook w:val="04A0" w:firstRow="1" w:lastRow="0" w:firstColumn="1" w:lastColumn="0" w:noHBand="0" w:noVBand="1"/>
        </w:tblPrEx>
        <w:trPr>
          <w:trHeight w:val="284"/>
        </w:trPr>
        <w:tc>
          <w:tcPr>
            <w:tcW w:w="5000" w:type="pct"/>
            <w:gridSpan w:val="7"/>
            <w:tcBorders>
              <w:left w:val="single" w:sz="4" w:space="0" w:color="auto"/>
              <w:bottom w:val="single" w:sz="4" w:space="0" w:color="auto"/>
              <w:right w:val="single" w:sz="4" w:space="0" w:color="auto"/>
            </w:tcBorders>
          </w:tcPr>
          <w:p w:rsidR="008A1CB3" w:rsidRPr="00796FB8" w:rsidRDefault="008A1CB3" w:rsidP="00BF3C38">
            <w:pPr>
              <w:pStyle w:val="Tabletext"/>
              <w:keepNext/>
              <w:keepLines/>
              <w:rPr>
                <w:b/>
                <w:sz w:val="18"/>
                <w:szCs w:val="18"/>
              </w:rPr>
            </w:pPr>
            <w:r w:rsidRPr="00796FB8">
              <w:rPr>
                <w:b/>
                <w:sz w:val="18"/>
                <w:szCs w:val="18"/>
              </w:rPr>
              <w:t xml:space="preserve">Restriction: </w:t>
            </w:r>
            <w:r w:rsidRPr="00796FB8">
              <w:rPr>
                <w:sz w:val="18"/>
                <w:szCs w:val="18"/>
              </w:rPr>
              <w:fldChar w:fldCharType="begin">
                <w:ffData>
                  <w:name w:val="Check5"/>
                  <w:enabled/>
                  <w:calcOnExit w:val="0"/>
                  <w:checkBox>
                    <w:sizeAuto/>
                    <w:default w:val="1"/>
                  </w:checkBox>
                </w:ffData>
              </w:fldChar>
            </w:r>
            <w:r w:rsidRPr="00796FB8">
              <w:rPr>
                <w:sz w:val="18"/>
                <w:szCs w:val="18"/>
              </w:rPr>
              <w:instrText xml:space="preserve"> FORMCHECKBOX </w:instrText>
            </w:r>
            <w:r w:rsidR="009D651D">
              <w:rPr>
                <w:sz w:val="18"/>
                <w:szCs w:val="18"/>
              </w:rPr>
            </w:r>
            <w:r w:rsidR="009D651D">
              <w:rPr>
                <w:sz w:val="18"/>
                <w:szCs w:val="18"/>
              </w:rPr>
              <w:fldChar w:fldCharType="separate"/>
            </w:r>
            <w:r w:rsidRPr="00796FB8">
              <w:rPr>
                <w:sz w:val="18"/>
                <w:szCs w:val="18"/>
              </w:rPr>
              <w:fldChar w:fldCharType="end"/>
            </w:r>
            <w:r w:rsidRPr="00796FB8">
              <w:rPr>
                <w:sz w:val="18"/>
                <w:szCs w:val="18"/>
              </w:rPr>
              <w:t xml:space="preserve"> Authority Required (Streamlined) [8815]</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
              <w:keepNext/>
              <w:keepLines/>
              <w:rPr>
                <w:b/>
                <w:sz w:val="18"/>
                <w:szCs w:val="18"/>
              </w:rPr>
            </w:pPr>
            <w:r w:rsidRPr="00796FB8">
              <w:rPr>
                <w:b/>
                <w:sz w:val="18"/>
                <w:szCs w:val="18"/>
              </w:rPr>
              <w:t xml:space="preserve">PBS Indication: </w:t>
            </w:r>
            <w:r w:rsidRPr="00796FB8">
              <w:rPr>
                <w:sz w:val="18"/>
                <w:szCs w:val="18"/>
              </w:rPr>
              <w:t xml:space="preserve">Intractable partial </w:t>
            </w:r>
            <w:r w:rsidRPr="00796FB8">
              <w:rPr>
                <w:strike/>
                <w:sz w:val="18"/>
                <w:szCs w:val="18"/>
              </w:rPr>
              <w:t>onset</w:t>
            </w:r>
            <w:r w:rsidRPr="00796FB8">
              <w:rPr>
                <w:sz w:val="18"/>
                <w:szCs w:val="18"/>
              </w:rPr>
              <w:t xml:space="preserve"> epileptic seizures</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
              <w:keepNext/>
              <w:keepLines/>
              <w:rPr>
                <w:sz w:val="18"/>
                <w:szCs w:val="18"/>
              </w:rPr>
            </w:pPr>
            <w:r w:rsidRPr="00796FB8">
              <w:rPr>
                <w:b/>
                <w:sz w:val="18"/>
                <w:szCs w:val="18"/>
              </w:rPr>
              <w:t xml:space="preserve">Treatment phase: </w:t>
            </w:r>
            <w:r w:rsidRPr="00796FB8">
              <w:rPr>
                <w:sz w:val="18"/>
                <w:szCs w:val="18"/>
              </w:rPr>
              <w:t>Continuing treatment</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0"/>
              <w:keepLines/>
              <w:rPr>
                <w:strike/>
                <w:color w:val="000000"/>
                <w:sz w:val="18"/>
                <w:szCs w:val="18"/>
              </w:rPr>
            </w:pPr>
            <w:r w:rsidRPr="00796FB8">
              <w:rPr>
                <w:b/>
                <w:strike/>
                <w:sz w:val="18"/>
                <w:szCs w:val="18"/>
              </w:rPr>
              <w:t xml:space="preserve">Treatment criteria: </w:t>
            </w:r>
            <w:r w:rsidRPr="00796FB8">
              <w:rPr>
                <w:strike/>
                <w:sz w:val="18"/>
                <w:szCs w:val="18"/>
              </w:rPr>
              <w:t>M</w:t>
            </w:r>
            <w:r w:rsidRPr="00796FB8">
              <w:rPr>
                <w:bCs w:val="0"/>
                <w:strike/>
                <w:sz w:val="18"/>
                <w:szCs w:val="18"/>
              </w:rPr>
              <w:t>ust be treated by a neurologist</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0"/>
              <w:keepLines/>
              <w:rPr>
                <w:b/>
                <w:strike/>
                <w:sz w:val="18"/>
                <w:szCs w:val="18"/>
              </w:rPr>
            </w:pPr>
            <w:r w:rsidRPr="00796FB8">
              <w:rPr>
                <w:b/>
                <w:sz w:val="18"/>
                <w:szCs w:val="18"/>
              </w:rPr>
              <w:t>Clinical criteria:</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0"/>
              <w:keepLines/>
              <w:rPr>
                <w:b/>
                <w:strike/>
                <w:sz w:val="18"/>
                <w:szCs w:val="18"/>
              </w:rPr>
            </w:pPr>
            <w:r w:rsidRPr="00796FB8">
              <w:rPr>
                <w:sz w:val="18"/>
                <w:szCs w:val="18"/>
              </w:rPr>
              <w:t>Patient must have previously received PBS-subsidised treatment with this drug for this condition.</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
              <w:keepNext/>
              <w:keepLines/>
              <w:rPr>
                <w:strike/>
                <w:color w:val="000000"/>
                <w:sz w:val="18"/>
                <w:szCs w:val="18"/>
              </w:rPr>
            </w:pPr>
            <w:r w:rsidRPr="00796FB8">
              <w:rPr>
                <w:b/>
                <w:strike/>
                <w:sz w:val="18"/>
                <w:szCs w:val="18"/>
              </w:rPr>
              <w:t xml:space="preserve">Population criteria: </w:t>
            </w:r>
            <w:r w:rsidRPr="00796FB8">
              <w:rPr>
                <w:rFonts w:eastAsiaTheme="majorEastAsia" w:cstheme="majorBidi"/>
                <w:bCs/>
                <w:strike/>
                <w:sz w:val="18"/>
                <w:szCs w:val="18"/>
              </w:rPr>
              <w:t>Patient must be aged 16 years or older</w:t>
            </w:r>
          </w:p>
        </w:tc>
      </w:tr>
      <w:tr w:rsidR="008A1CB3" w:rsidRPr="00796FB8" w:rsidTr="008A1CB3">
        <w:tblPrEx>
          <w:tblLook w:val="04A0" w:firstRow="1" w:lastRow="0" w:firstColumn="1" w:lastColumn="0" w:noHBand="0" w:noVBand="1"/>
        </w:tblPrEx>
        <w:trPr>
          <w:trHeight w:val="284"/>
        </w:trPr>
        <w:tc>
          <w:tcPr>
            <w:tcW w:w="5000" w:type="pct"/>
            <w:gridSpan w:val="7"/>
            <w:tcBorders>
              <w:top w:val="single" w:sz="4" w:space="0" w:color="auto"/>
              <w:left w:val="single" w:sz="4" w:space="0" w:color="auto"/>
              <w:bottom w:val="single" w:sz="4" w:space="0" w:color="auto"/>
              <w:right w:val="single" w:sz="4" w:space="0" w:color="auto"/>
            </w:tcBorders>
            <w:vAlign w:val="center"/>
          </w:tcPr>
          <w:p w:rsidR="008A1CB3" w:rsidRPr="00796FB8" w:rsidRDefault="008A1CB3" w:rsidP="00BF3C38">
            <w:pPr>
              <w:pStyle w:val="Tabletext"/>
              <w:keepNext/>
              <w:keepLines/>
              <w:rPr>
                <w:b/>
                <w:sz w:val="18"/>
                <w:szCs w:val="18"/>
              </w:rPr>
            </w:pPr>
            <w:r w:rsidRPr="00796FB8">
              <w:rPr>
                <w:b/>
                <w:sz w:val="18"/>
                <w:szCs w:val="18"/>
              </w:rPr>
              <w:t>Administrative Advice:</w:t>
            </w:r>
          </w:p>
          <w:p w:rsidR="008A1CB3" w:rsidRPr="00796FB8" w:rsidRDefault="008A1CB3" w:rsidP="00BF3C38">
            <w:pPr>
              <w:pStyle w:val="Tabletext"/>
              <w:keepNext/>
              <w:keepLines/>
              <w:rPr>
                <w:rFonts w:eastAsiaTheme="majorEastAsia" w:cstheme="majorBidi"/>
                <w:bCs/>
                <w:sz w:val="18"/>
                <w:szCs w:val="18"/>
              </w:rPr>
            </w:pPr>
            <w:r w:rsidRPr="00796FB8">
              <w:rPr>
                <w:rFonts w:eastAsiaTheme="majorEastAsia" w:cstheme="majorBidi"/>
                <w:b/>
                <w:bCs/>
                <w:sz w:val="18"/>
                <w:szCs w:val="18"/>
              </w:rPr>
              <w:t>Continuing Therapy Only:</w:t>
            </w:r>
            <w:r w:rsidRPr="00796FB8">
              <w:rPr>
                <w:rFonts w:eastAsiaTheme="majorEastAsia" w:cstheme="majorBidi"/>
                <w:bCs/>
                <w:sz w:val="18"/>
                <w:szCs w:val="18"/>
              </w:rPr>
              <w:t xml:space="preserve"> </w:t>
            </w:r>
          </w:p>
          <w:p w:rsidR="008A1CB3" w:rsidRPr="00796FB8" w:rsidRDefault="008A1CB3" w:rsidP="00BF3C38">
            <w:pPr>
              <w:pStyle w:val="Tabletext"/>
              <w:keepNext/>
              <w:keepLines/>
              <w:rPr>
                <w:rFonts w:eastAsiaTheme="majorEastAsia" w:cstheme="majorBidi"/>
                <w:bCs/>
                <w:sz w:val="18"/>
                <w:szCs w:val="18"/>
              </w:rPr>
            </w:pPr>
            <w:r w:rsidRPr="00796FB8">
              <w:rPr>
                <w:rFonts w:eastAsiaTheme="majorEastAsia" w:cstheme="majorBidi"/>
                <w:bCs/>
                <w:sz w:val="18"/>
                <w:szCs w:val="18"/>
              </w:rPr>
              <w:t xml:space="preserve">For prescribing by nurse practitioners as continuing therapy only, where the treatment of, and prescribing of medicine for, a patient has been initiated by a medical practitioner. </w:t>
            </w:r>
            <w:r w:rsidRPr="00796FB8">
              <w:rPr>
                <w:rFonts w:cs="Arial"/>
                <w:sz w:val="18"/>
                <w:szCs w:val="18"/>
              </w:rPr>
              <w:t>Further information can be found in the Explanatory Notes for Nurse Practitioners.</w:t>
            </w:r>
          </w:p>
        </w:tc>
      </w:tr>
    </w:tbl>
    <w:p w:rsidR="000446B1" w:rsidRPr="00796FB8" w:rsidRDefault="000446B1" w:rsidP="00BF3C38">
      <w:pPr>
        <w:pStyle w:val="3-BodyText"/>
        <w:numPr>
          <w:ilvl w:val="0"/>
          <w:numId w:val="0"/>
        </w:numPr>
        <w:rPr>
          <w:i/>
        </w:rPr>
      </w:pPr>
    </w:p>
    <w:p w:rsidR="00963558" w:rsidRPr="00796FB8" w:rsidRDefault="00BD76A6" w:rsidP="00BF3C38">
      <w:pPr>
        <w:pStyle w:val="3-BodyText"/>
      </w:pPr>
      <w:r w:rsidRPr="00796FB8">
        <w:t>The ESC noted that t</w:t>
      </w:r>
      <w:r w:rsidR="00963558" w:rsidRPr="00796FB8">
        <w:t>he key trial, Study 304, excluded patients who were taking oxcarbazepine. This exclusion is not reflected in the proposed PBS restrictions.</w:t>
      </w:r>
      <w:r w:rsidR="0018765F" w:rsidRPr="00796FB8">
        <w:t xml:space="preserve"> </w:t>
      </w:r>
    </w:p>
    <w:p w:rsidR="00F16D29" w:rsidRPr="00796FB8" w:rsidRDefault="00F16D29" w:rsidP="00BF3C38">
      <w:pPr>
        <w:pStyle w:val="3-BodyText"/>
      </w:pPr>
      <w:r w:rsidRPr="00796FB8">
        <w:t xml:space="preserve">The International League Against Epilepsy guidelines have implemented a new naming convention of ‘focal onset seizures’, and replaced the term ‘intractable’ with ‘drug-resistant’. The submission elected to use the old terminology, which was in use at the time the clinical data and PI for ESL was generated, and is consistent with previous PBAC </w:t>
      </w:r>
      <w:r w:rsidR="00F152AA" w:rsidRPr="00796FB8">
        <w:t>P</w:t>
      </w:r>
      <w:r w:rsidR="00D75616" w:rsidRPr="00796FB8">
        <w:t xml:space="preserve">ublic </w:t>
      </w:r>
      <w:r w:rsidR="00F152AA" w:rsidRPr="00796FB8">
        <w:t>S</w:t>
      </w:r>
      <w:r w:rsidR="00D75616" w:rsidRPr="00796FB8">
        <w:t xml:space="preserve">ummary </w:t>
      </w:r>
      <w:r w:rsidR="00F152AA" w:rsidRPr="00796FB8">
        <w:t>D</w:t>
      </w:r>
      <w:r w:rsidR="00D75616" w:rsidRPr="00796FB8">
        <w:t>ocuments (</w:t>
      </w:r>
      <w:r w:rsidRPr="00796FB8">
        <w:t>PSDs</w:t>
      </w:r>
      <w:r w:rsidR="00D75616" w:rsidRPr="00796FB8">
        <w:t>)</w:t>
      </w:r>
      <w:r w:rsidRPr="00796FB8">
        <w:t>.</w:t>
      </w:r>
      <w:r w:rsidR="00D258B7" w:rsidRPr="00796FB8">
        <w:t xml:space="preserve"> </w:t>
      </w:r>
      <w:r w:rsidR="00D258B7" w:rsidRPr="00796FB8">
        <w:rPr>
          <w:bCs/>
        </w:rPr>
        <w:t xml:space="preserve">The PBAC noted the accepted framework for diagnosing and classifying epilepsy has evolved and commented that terminology used in the restriction </w:t>
      </w:r>
      <w:r w:rsidR="00D42182" w:rsidRPr="00796FB8">
        <w:rPr>
          <w:bCs/>
        </w:rPr>
        <w:t>c</w:t>
      </w:r>
      <w:r w:rsidR="00D258B7" w:rsidRPr="00796FB8">
        <w:rPr>
          <w:bCs/>
        </w:rPr>
        <w:t>ould appropriately reflect accepted clinical nomenclature and the intended use of these medicines.</w:t>
      </w:r>
    </w:p>
    <w:p w:rsidR="00F74933" w:rsidRPr="00796FB8" w:rsidRDefault="00884D59" w:rsidP="00BF3C38">
      <w:pPr>
        <w:pStyle w:val="3-BodyText"/>
      </w:pPr>
      <w:r w:rsidRPr="00796FB8">
        <w:t>The ESC noted that the requested restriction is narrower than the proposed TGA indication in terms of age, with the TGA proposed age requirement being at least 6 years of age and the PBS-listing requesting at least 16 years of age, to match the ESL clinical trial patient population.</w:t>
      </w:r>
      <w:r w:rsidR="000C01BB" w:rsidRPr="00796FB8">
        <w:t xml:space="preserve"> The PBAC noted there is no population criterion included in the PBS restriction for LAC, and the TGA indication for LAC specifies use in children 4 years and above. </w:t>
      </w:r>
      <w:r w:rsidR="00F24CC5">
        <w:t>The Secretariat</w:t>
      </w:r>
      <w:r w:rsidR="006042D5">
        <w:t xml:space="preserve"> and the PBAC agreed </w:t>
      </w:r>
      <w:r w:rsidR="00F24CC5">
        <w:t>that an age restriction is not required for ESL.</w:t>
      </w:r>
    </w:p>
    <w:p w:rsidR="0075516C" w:rsidRPr="00796FB8" w:rsidRDefault="009235FA" w:rsidP="00BF3C38">
      <w:pPr>
        <w:pStyle w:val="3-BodyText"/>
      </w:pPr>
      <w:r w:rsidRPr="00796FB8">
        <w:t xml:space="preserve">According to the draft PI, the recommended starting dose of </w:t>
      </w:r>
      <w:r w:rsidRPr="00796FB8">
        <w:rPr>
          <w:rFonts w:cstheme="minorHAnsi"/>
        </w:rPr>
        <w:t>ESL is 400 mg once daily, which should be increased to 800 mg once daily after one to two weeks</w:t>
      </w:r>
      <w:r w:rsidR="00050196" w:rsidRPr="00796FB8">
        <w:rPr>
          <w:rFonts w:cstheme="minorHAnsi"/>
        </w:rPr>
        <w:t>.</w:t>
      </w:r>
      <w:r w:rsidRPr="00796FB8">
        <w:rPr>
          <w:rFonts w:cstheme="minorHAnsi"/>
        </w:rPr>
        <w:t xml:space="preserve"> </w:t>
      </w:r>
      <w:r w:rsidR="00050196" w:rsidRPr="00796FB8">
        <w:rPr>
          <w:rFonts w:cstheme="minorHAnsi"/>
        </w:rPr>
        <w:t xml:space="preserve">Based on individual response, the dose may be </w:t>
      </w:r>
      <w:r w:rsidRPr="00796FB8">
        <w:rPr>
          <w:rFonts w:cstheme="minorHAnsi"/>
        </w:rPr>
        <w:t>increased to 1,200</w:t>
      </w:r>
      <w:r w:rsidR="00814449" w:rsidRPr="00796FB8">
        <w:rPr>
          <w:rFonts w:cstheme="minorHAnsi"/>
        </w:rPr>
        <w:t> </w:t>
      </w:r>
      <w:r w:rsidRPr="00796FB8">
        <w:rPr>
          <w:rFonts w:cstheme="minorHAnsi"/>
        </w:rPr>
        <w:t>mg once daily.</w:t>
      </w:r>
      <w:r w:rsidRPr="00796FB8">
        <w:t xml:space="preserve"> </w:t>
      </w:r>
      <w:r w:rsidR="000C01BB" w:rsidRPr="00796FB8">
        <w:t>The submission only requested listing of the higher ESL strength of 800 mg, despite proposing to register a 200 mg strength tablet and outlining dosage adjustments that would result in doses other than 800 mg daily.</w:t>
      </w:r>
      <w:r w:rsidRPr="00796FB8">
        <w:t xml:space="preserve"> </w:t>
      </w:r>
      <w:r w:rsidR="0075516C" w:rsidRPr="00796FB8">
        <w:t xml:space="preserve">The Secretariat </w:t>
      </w:r>
      <w:r w:rsidR="00194D21" w:rsidRPr="00796FB8">
        <w:t xml:space="preserve">queried the absence of </w:t>
      </w:r>
      <w:r w:rsidR="000C01BB" w:rsidRPr="00796FB8">
        <w:t xml:space="preserve">the 200 mg strength, </w:t>
      </w:r>
      <w:r w:rsidR="00194D21" w:rsidRPr="00796FB8">
        <w:t>noting that such a strength would</w:t>
      </w:r>
      <w:r w:rsidR="000C01BB" w:rsidRPr="00796FB8">
        <w:t xml:space="preserve"> cater for </w:t>
      </w:r>
      <w:r w:rsidR="00194D21" w:rsidRPr="00796FB8">
        <w:t>adolescents</w:t>
      </w:r>
      <w:r w:rsidR="000C01BB" w:rsidRPr="00796FB8">
        <w:t xml:space="preserve">, or for patients with renal impairment, or </w:t>
      </w:r>
      <w:r w:rsidR="00194D21" w:rsidRPr="00796FB8">
        <w:t xml:space="preserve">any </w:t>
      </w:r>
      <w:r w:rsidR="000C01BB" w:rsidRPr="00796FB8">
        <w:t xml:space="preserve">patient requiring a dose other than 800 mg, </w:t>
      </w:r>
      <w:r w:rsidR="00194D21" w:rsidRPr="00796FB8">
        <w:t xml:space="preserve">through avoidance of </w:t>
      </w:r>
      <w:r w:rsidR="000C01BB" w:rsidRPr="00796FB8">
        <w:t>halv</w:t>
      </w:r>
      <w:r w:rsidR="00194D21" w:rsidRPr="00796FB8">
        <w:t>ing</w:t>
      </w:r>
      <w:r w:rsidR="000C01BB" w:rsidRPr="00796FB8">
        <w:t>/split</w:t>
      </w:r>
      <w:r w:rsidR="00194D21" w:rsidRPr="00796FB8">
        <w:t>ting</w:t>
      </w:r>
      <w:r w:rsidR="000C01BB" w:rsidRPr="00796FB8">
        <w:t xml:space="preserve"> tablets (which may lead to dose inaccuracy and general inconvenience). </w:t>
      </w:r>
      <w:r w:rsidR="00194D21" w:rsidRPr="00796FB8">
        <w:t>This was unaddressed in the sponsor’s pre-subcommittee response and pre-PBAC response.</w:t>
      </w:r>
    </w:p>
    <w:p w:rsidR="00B50DB8" w:rsidRPr="00796FB8" w:rsidRDefault="00203181" w:rsidP="00BF3C38">
      <w:pPr>
        <w:pStyle w:val="2-SectionHeading"/>
      </w:pPr>
      <w:bookmarkStart w:id="9" w:name="_Toc62035364"/>
      <w:bookmarkEnd w:id="8"/>
      <w:r w:rsidRPr="00796FB8">
        <w:t xml:space="preserve">Population and </w:t>
      </w:r>
      <w:r w:rsidR="008E0D3C" w:rsidRPr="00796FB8">
        <w:t>d</w:t>
      </w:r>
      <w:r w:rsidRPr="00796FB8">
        <w:t>isease</w:t>
      </w:r>
      <w:bookmarkEnd w:id="9"/>
    </w:p>
    <w:p w:rsidR="00963558" w:rsidRPr="00796FB8" w:rsidRDefault="00963558" w:rsidP="00BF3C38">
      <w:pPr>
        <w:pStyle w:val="3-BodyText"/>
        <w:rPr>
          <w:color w:val="0066FF"/>
        </w:rPr>
      </w:pPr>
      <w:r w:rsidRPr="00796FB8">
        <w:t>Epilepsy is a derangement of brain function characterised by an enduring predisposition to generate epileptic seizures. It may arise from a variety of genetic, structural, metabolic, immune, and infectious causes. Epileptic seizures are generally characterised as brief episodes of involuntary movement that may involve part of the body (partial) or the entire body (generalised), and may be accompanied by loss of control of bowel or bladder function. Epilepsy is more likely to develop either early or late in life.</w:t>
      </w:r>
    </w:p>
    <w:p w:rsidR="00963558" w:rsidRPr="00796FB8" w:rsidRDefault="00963558" w:rsidP="00BF3C38">
      <w:pPr>
        <w:pStyle w:val="3-BodyText"/>
      </w:pPr>
      <w:r w:rsidRPr="00796FB8">
        <w:t xml:space="preserve">Most of the partial epilepsies are the result of a structural brain abnormality, even though this cannot always be identified. If imaging studies are normal, the cause remains unknown. These cases represent most cases of adult-onset epilepsy, although they are common in childhood as well. </w:t>
      </w:r>
    </w:p>
    <w:p w:rsidR="00963558" w:rsidRPr="00796FB8" w:rsidRDefault="00963558" w:rsidP="00BF3C38">
      <w:pPr>
        <w:pStyle w:val="3-BodyText"/>
      </w:pPr>
      <w:r w:rsidRPr="00796FB8">
        <w:t>There is no cure for epilepsy, however it is considered to be resolved for those who have remained seizure-free for 10 years, with no seizure medicines for the last 5 years, or for individuals who had an age-dependent epilepsy syndrome but are past the applicable age.</w:t>
      </w:r>
    </w:p>
    <w:p w:rsidR="00963558" w:rsidRPr="00796FB8" w:rsidRDefault="00963558" w:rsidP="00BF3C38">
      <w:pPr>
        <w:pStyle w:val="3-BodyText"/>
      </w:pPr>
      <w:r w:rsidRPr="00796FB8">
        <w:t>Epilepsy is associated with a substantial burden of disease, with 2-3 times higher rates of mortality than the general population. In addition, there is a burden placed on patients and their families which includes physical and mental aspects, including increases in physical morbidity,</w:t>
      </w:r>
      <w:r w:rsidR="004732A6" w:rsidRPr="00796FB8">
        <w:t xml:space="preserve"> as well as</w:t>
      </w:r>
      <w:r w:rsidRPr="00796FB8">
        <w:t xml:space="preserve"> physical and mental comorbidities including depression</w:t>
      </w:r>
      <w:r w:rsidR="005360A0" w:rsidRPr="00796FB8">
        <w:t>,</w:t>
      </w:r>
      <w:r w:rsidRPr="00796FB8">
        <w:t xml:space="preserve"> which has a prevalence of 23% in patients with epilepsy. Achieving successful remission of the disease decreased the risk of depression and anxiety, and improved QoL</w:t>
      </w:r>
      <w:r w:rsidR="00F00E5B" w:rsidRPr="00796FB8">
        <w:t>.</w:t>
      </w:r>
      <w:r w:rsidRPr="00796FB8">
        <w:rPr>
          <w:rStyle w:val="FootnoteReference"/>
        </w:rPr>
        <w:footnoteReference w:id="1"/>
      </w:r>
    </w:p>
    <w:p w:rsidR="00963558" w:rsidRPr="00796FB8" w:rsidRDefault="00963558" w:rsidP="00BF3C38">
      <w:pPr>
        <w:pStyle w:val="3-BodyText"/>
      </w:pPr>
      <w:r w:rsidRPr="00796FB8">
        <w:t>In Australia, it is estimated that 142,740 people were living with epilepsy in 2019</w:t>
      </w:r>
      <w:r w:rsidR="005360A0" w:rsidRPr="00796FB8">
        <w:t>–</w:t>
      </w:r>
      <w:r w:rsidRPr="00796FB8">
        <w:t>20</w:t>
      </w:r>
      <w:r w:rsidR="00F00E5B" w:rsidRPr="00796FB8">
        <w:t>.</w:t>
      </w:r>
      <w:r w:rsidRPr="00796FB8">
        <w:rPr>
          <w:rStyle w:val="FootnoteReference"/>
        </w:rPr>
        <w:footnoteReference w:id="2"/>
      </w:r>
      <w:r w:rsidRPr="00796FB8">
        <w:t xml:space="preserve"> Of these cases, about 60% have POS, and 30% of these people</w:t>
      </w:r>
      <w:r w:rsidRPr="00796FB8">
        <w:rPr>
          <w:rStyle w:val="FootnoteReference"/>
        </w:rPr>
        <w:footnoteReference w:id="3"/>
      </w:r>
      <w:r w:rsidRPr="00796FB8">
        <w:t xml:space="preserve"> (about 25,700 people) will have a treatment-resistant form of POS, defined as a failure of adequate trials of two tolerated and appropriately chosen and used anti-epileptic drugs (AEDs) (whether as monotherapies or in combination) to achieve sustained seizure freedom</w:t>
      </w:r>
      <w:r w:rsidR="00F00E5B" w:rsidRPr="00796FB8">
        <w:t>.</w:t>
      </w:r>
      <w:r w:rsidRPr="00796FB8">
        <w:rPr>
          <w:rStyle w:val="FootnoteReference"/>
        </w:rPr>
        <w:footnoteReference w:id="4"/>
      </w:r>
    </w:p>
    <w:p w:rsidR="00963558" w:rsidRPr="00796FB8" w:rsidRDefault="00963558" w:rsidP="00BF3C38">
      <w:pPr>
        <w:pStyle w:val="3-BodyText"/>
      </w:pPr>
      <w:r w:rsidRPr="00796FB8">
        <w:t>The proposed li</w:t>
      </w:r>
      <w:r w:rsidR="00D75616" w:rsidRPr="00796FB8">
        <w:t xml:space="preserve">ne of therapy for ESL is ‘third </w:t>
      </w:r>
      <w:r w:rsidRPr="00796FB8">
        <w:t xml:space="preserve">line’, to provide an additional treatment option for patients with treatment-resistant POS. This is best summarised in the proposed clinical management algorithm, provided in </w:t>
      </w:r>
      <w:r w:rsidR="002C71DF" w:rsidRPr="00796FB8">
        <w:t>Figure 1</w:t>
      </w:r>
      <w:r w:rsidRPr="00796FB8">
        <w:t xml:space="preserve"> below.</w:t>
      </w:r>
      <w:r w:rsidR="008A586F" w:rsidRPr="00796FB8">
        <w:t xml:space="preserve"> The submission did not provide a source for this algorithm; </w:t>
      </w:r>
      <w:r w:rsidR="000E09E2" w:rsidRPr="00796FB8">
        <w:t xml:space="preserve">the ESC noted </w:t>
      </w:r>
      <w:r w:rsidR="008A586F" w:rsidRPr="00796FB8">
        <w:t>it is inconsistent with the Australian eTG Complete Therapeutic Guidelines, which list lacosamide and perampanel as second-line treatments</w:t>
      </w:r>
      <w:r w:rsidR="00F00E5B" w:rsidRPr="00796FB8">
        <w:t>.</w:t>
      </w:r>
      <w:r w:rsidR="008A586F" w:rsidRPr="00796FB8">
        <w:rPr>
          <w:rStyle w:val="FootnoteReference"/>
        </w:rPr>
        <w:footnoteReference w:id="5"/>
      </w:r>
      <w:r w:rsidR="00736C88" w:rsidRPr="00796FB8">
        <w:t xml:space="preserve"> The </w:t>
      </w:r>
      <w:r w:rsidR="00670301">
        <w:t>Pre-Sub-Committee Response</w:t>
      </w:r>
      <w:r w:rsidR="00670301" w:rsidRPr="00796FB8">
        <w:t xml:space="preserve"> </w:t>
      </w:r>
      <w:r w:rsidR="00670301">
        <w:t>(</w:t>
      </w:r>
      <w:r w:rsidR="00736C88" w:rsidRPr="00796FB8">
        <w:t>PSCR</w:t>
      </w:r>
      <w:r w:rsidR="00670301">
        <w:t>)</w:t>
      </w:r>
      <w:r w:rsidR="00736C88" w:rsidRPr="00796FB8">
        <w:t xml:space="preserve"> argued that the clinical algorithm presented in the submission accurately reflects the treatment options consistent with the current PBS re</w:t>
      </w:r>
      <w:r w:rsidR="000E09E2" w:rsidRPr="00796FB8">
        <w:t>strictions</w:t>
      </w:r>
      <w:r w:rsidR="00C20AEC" w:rsidRPr="00796FB8">
        <w:t xml:space="preserve">. </w:t>
      </w:r>
      <w:r w:rsidR="007B342F" w:rsidRPr="00796FB8">
        <w:t>However, the ESC advised ESL should not be considered a third-line treatment.</w:t>
      </w:r>
    </w:p>
    <w:p w:rsidR="00F00E5B" w:rsidRPr="00796FB8" w:rsidRDefault="00F00E5B" w:rsidP="00BF3C38">
      <w:pPr>
        <w:pStyle w:val="TableFigureHeading"/>
      </w:pPr>
      <w:bookmarkStart w:id="10" w:name="_Ref58178748"/>
    </w:p>
    <w:p w:rsidR="00963558" w:rsidRPr="00796FB8" w:rsidRDefault="00963558" w:rsidP="00BF3C38">
      <w:pPr>
        <w:pStyle w:val="TableFigureHeading"/>
      </w:pPr>
      <w:r w:rsidRPr="00796FB8">
        <w:t xml:space="preserve">Figure </w:t>
      </w:r>
      <w:r w:rsidR="002C71DF" w:rsidRPr="00796FB8">
        <w:t>1</w:t>
      </w:r>
      <w:bookmarkEnd w:id="10"/>
      <w:r w:rsidRPr="00796FB8">
        <w:t>: Proposed clinical management algorithm</w:t>
      </w:r>
    </w:p>
    <w:p w:rsidR="00963558" w:rsidRPr="00796FB8" w:rsidRDefault="00963558" w:rsidP="00BF3C38">
      <w:pPr>
        <w:pStyle w:val="3-BodyText"/>
        <w:numPr>
          <w:ilvl w:val="0"/>
          <w:numId w:val="0"/>
        </w:numPr>
      </w:pPr>
      <w:r w:rsidRPr="00796FB8">
        <w:rPr>
          <w:noProof/>
        </w:rPr>
        <w:drawing>
          <wp:inline distT="0" distB="0" distL="0" distR="0" wp14:anchorId="7FA4AF0F" wp14:editId="6BDCD75F">
            <wp:extent cx="5732145" cy="2492375"/>
            <wp:effectExtent l="0" t="0" r="1905" b="3175"/>
            <wp:docPr id="13" name="Picture 13" title="Figure 1: Proposed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2492375"/>
                    </a:xfrm>
                    <a:prstGeom prst="rect">
                      <a:avLst/>
                    </a:prstGeom>
                  </pic:spPr>
                </pic:pic>
              </a:graphicData>
            </a:graphic>
          </wp:inline>
        </w:drawing>
      </w:r>
      <w:r w:rsidRPr="00796FB8">
        <w:t xml:space="preserve"> </w:t>
      </w:r>
    </w:p>
    <w:p w:rsidR="00963558" w:rsidRPr="00796FB8" w:rsidRDefault="00963558" w:rsidP="00BF3C38">
      <w:pPr>
        <w:pStyle w:val="TableFigureFooter"/>
      </w:pPr>
      <w:r w:rsidRPr="00796FB8">
        <w:t>Source: Figure 1-7, p 27 of the submission.</w:t>
      </w:r>
    </w:p>
    <w:p w:rsidR="00F00E5B" w:rsidRPr="00796FB8" w:rsidRDefault="00F00E5B" w:rsidP="00BF3C38">
      <w:pPr>
        <w:pStyle w:val="TableFigureFooter"/>
      </w:pPr>
    </w:p>
    <w:p w:rsidR="002F185F" w:rsidRPr="00796FB8" w:rsidRDefault="00963558" w:rsidP="00BF3C38">
      <w:pPr>
        <w:pStyle w:val="3-BodyText"/>
      </w:pPr>
      <w:r w:rsidRPr="00796FB8">
        <w:t>ESL is a dibenzazepine which acts through blockade of voltage-gated sodium channels (VGSCs). Dibenzazepines are a well-established family</w:t>
      </w:r>
      <w:r w:rsidR="00F44A99" w:rsidRPr="00796FB8">
        <w:t xml:space="preserve"> (the carboxamides)</w:t>
      </w:r>
      <w:r w:rsidRPr="00796FB8">
        <w:t xml:space="preserve"> of AEDs, which include carbamazepine and oxcarbazepine. ESL is structurally distinct from carbamazepine and oxcarbazepine, meaning that ESL metabolism does not generate epoxide metabolites which have been associated with side effects. </w:t>
      </w:r>
      <w:r w:rsidR="00F44A99" w:rsidRPr="00796FB8">
        <w:t>However, t</w:t>
      </w:r>
      <w:r w:rsidR="002F185F" w:rsidRPr="00796FB8">
        <w:t>he ESC commented that as a carboxamide, ESL is associated with adverse events such as sedation, hyponatraemia, as well as rash and severe cutaneous reactions in some Asian populations.</w:t>
      </w:r>
    </w:p>
    <w:p w:rsidR="00F44A99" w:rsidRPr="00796FB8" w:rsidRDefault="002F185F" w:rsidP="00BF3C38">
      <w:pPr>
        <w:pStyle w:val="3-BodyText"/>
      </w:pPr>
      <w:r w:rsidRPr="00796FB8">
        <w:t>ESL</w:t>
      </w:r>
      <w:r w:rsidR="00963558" w:rsidRPr="00796FB8">
        <w:t xml:space="preserve"> has linear, dose-proportional pharmacokinetics, which means once-daily administration without regard to food is possible</w:t>
      </w:r>
      <w:r w:rsidR="00F44A99" w:rsidRPr="00796FB8">
        <w:t>. The ESC noted that once daily administration is an advantage for ESL compared to LAC.</w:t>
      </w:r>
      <w:r w:rsidR="00963558" w:rsidRPr="00796FB8">
        <w:t xml:space="preserve"> </w:t>
      </w:r>
    </w:p>
    <w:p w:rsidR="00963558" w:rsidRPr="00796FB8" w:rsidRDefault="00F44A99" w:rsidP="00BF3C38">
      <w:pPr>
        <w:pStyle w:val="3-BodyText"/>
      </w:pPr>
      <w:r w:rsidRPr="00796FB8">
        <w:t xml:space="preserve">While the </w:t>
      </w:r>
      <w:r w:rsidR="00954F9C">
        <w:t>s</w:t>
      </w:r>
      <w:r w:rsidRPr="00796FB8">
        <w:t>ponsor stated</w:t>
      </w:r>
      <w:r w:rsidR="002F185F" w:rsidRPr="00796FB8">
        <w:t xml:space="preserve"> that</w:t>
      </w:r>
      <w:r w:rsidR="00963558" w:rsidRPr="00796FB8">
        <w:t xml:space="preserve"> drug monitoring is unnecessary</w:t>
      </w:r>
      <w:r w:rsidRPr="00796FB8">
        <w:t xml:space="preserve">, </w:t>
      </w:r>
      <w:r w:rsidRPr="00796FB8">
        <w:rPr>
          <w:iCs/>
        </w:rPr>
        <w:t>t</w:t>
      </w:r>
      <w:r w:rsidR="00256088" w:rsidRPr="00796FB8">
        <w:rPr>
          <w:iCs/>
        </w:rPr>
        <w:t xml:space="preserve">he ESC noted that ESL can induce hepatic CYP3A4, thereby reducing plasma concentrations of other drugs such as hormonal contraceptives, and considered that </w:t>
      </w:r>
      <w:r w:rsidR="00392482" w:rsidRPr="00796FB8">
        <w:rPr>
          <w:iCs/>
        </w:rPr>
        <w:t>monitoring for drug interactions is necessary with ESL, as is the case with the other dibenzazepines.</w:t>
      </w:r>
      <w:r w:rsidRPr="00796FB8">
        <w:rPr>
          <w:iCs/>
        </w:rPr>
        <w:t xml:space="preserve"> </w:t>
      </w:r>
    </w:p>
    <w:p w:rsidR="00963558" w:rsidRPr="00796FB8" w:rsidRDefault="00963558" w:rsidP="00BF3C38">
      <w:pPr>
        <w:pStyle w:val="3-BodyText"/>
        <w:rPr>
          <w:snapToGrid/>
        </w:rPr>
      </w:pPr>
      <w:r w:rsidRPr="00796FB8">
        <w:t>The general therapeutic approach for treatment-resistant POS is to review past treatments, and assess patient compliance and whether the dose or frequency of therapies were adequate. Selection of an anti</w:t>
      </w:r>
      <w:r w:rsidR="008052CB" w:rsidRPr="00796FB8">
        <w:t>-</w:t>
      </w:r>
      <w:r w:rsidRPr="00796FB8">
        <w:t>seizure drug with a different mechanism of action than one previously tried, and combining drugs of different mechanisms may improve efficacy and tolerability of the regime</w:t>
      </w:r>
      <w:r w:rsidRPr="00796FB8">
        <w:rPr>
          <w:rStyle w:val="FootnoteReference"/>
        </w:rPr>
        <w:footnoteReference w:id="6"/>
      </w:r>
      <w:r w:rsidRPr="00796FB8">
        <w:t>. No particular second- or third-line treatment is preferred; a meta-analysis of 70</w:t>
      </w:r>
      <w:r w:rsidR="00F63002" w:rsidRPr="00796FB8">
        <w:t xml:space="preserve"> randomised controlled trials</w:t>
      </w:r>
      <w:r w:rsidRPr="00796FB8">
        <w:t xml:space="preserve"> </w:t>
      </w:r>
      <w:r w:rsidR="00F63002" w:rsidRPr="00796FB8">
        <w:t>(</w:t>
      </w:r>
      <w:r w:rsidRPr="00796FB8">
        <w:t>RCTs</w:t>
      </w:r>
      <w:r w:rsidR="00F63002" w:rsidRPr="00796FB8">
        <w:t>)</w:t>
      </w:r>
      <w:r w:rsidRPr="00796FB8">
        <w:t xml:space="preserve"> of AEDs administered as add-on therapy in patients with treatment-resistant POS found that differences in efficacy were of too small a magnitude to allow conclusions about which antiseizure drug is more effective in this setting</w:t>
      </w:r>
      <w:r w:rsidRPr="00796FB8">
        <w:rPr>
          <w:rStyle w:val="FootnoteReference"/>
        </w:rPr>
        <w:footnoteReference w:id="7"/>
      </w:r>
      <w:r w:rsidRPr="00796FB8">
        <w:t>.</w:t>
      </w:r>
      <w:r w:rsidR="002A0043" w:rsidRPr="00796FB8">
        <w:t xml:space="preserve"> The placement of ‘second’ and ‘third’-line treatments in cl</w:t>
      </w:r>
      <w:r w:rsidR="00614513" w:rsidRPr="00796FB8">
        <w:t xml:space="preserve">inical use may differ from the </w:t>
      </w:r>
      <w:r w:rsidR="00954F9C">
        <w:t>s</w:t>
      </w:r>
      <w:r w:rsidR="002A0043" w:rsidRPr="00796FB8">
        <w:t>ponsor’s treatment algorithm.</w:t>
      </w:r>
    </w:p>
    <w:p w:rsidR="00FF09A6" w:rsidRPr="00796FB8" w:rsidRDefault="00FF09A6" w:rsidP="00BF3C38">
      <w:pPr>
        <w:pStyle w:val="3-BodyText"/>
        <w:numPr>
          <w:ilvl w:val="0"/>
          <w:numId w:val="0"/>
        </w:numPr>
        <w:rPr>
          <w:snapToGrid/>
        </w:rPr>
      </w:pPr>
      <w:r w:rsidRPr="00796FB8">
        <w:rPr>
          <w:i/>
        </w:rPr>
        <w:t>For more detail on PBAC’s view, see section 7 PBAC outcome.</w:t>
      </w:r>
    </w:p>
    <w:p w:rsidR="00B50DB8" w:rsidRPr="00796FB8" w:rsidRDefault="00B50DB8" w:rsidP="00BF3C38">
      <w:pPr>
        <w:pStyle w:val="2-SectionHeading"/>
      </w:pPr>
      <w:bookmarkStart w:id="11" w:name="_Toc62035365"/>
      <w:r w:rsidRPr="00796FB8">
        <w:t>Comparator</w:t>
      </w:r>
      <w:bookmarkEnd w:id="11"/>
    </w:p>
    <w:p w:rsidR="00963558" w:rsidRPr="00796FB8" w:rsidRDefault="00963558" w:rsidP="00BF3C38">
      <w:pPr>
        <w:pStyle w:val="3-BodyText"/>
      </w:pPr>
      <w:r w:rsidRPr="00796FB8">
        <w:t xml:space="preserve">The submission nominated LAC as the main comparator, as it was the first to </w:t>
      </w:r>
      <w:r w:rsidR="003F4AC9" w:rsidRPr="00796FB8">
        <w:t>gain a PBS listing in the third-</w:t>
      </w:r>
      <w:r w:rsidRPr="00796FB8">
        <w:t>line treatment setting, and perampanel and brivaracetam were subsequently listed by presenting a comparison of efficacy and tolerability with LAC, and cost-minimised to LAC. In addition, LAC</w:t>
      </w:r>
      <w:r w:rsidR="006E363F" w:rsidRPr="00796FB8">
        <w:t xml:space="preserve"> has</w:t>
      </w:r>
      <w:r w:rsidRPr="00796FB8">
        <w:t xml:space="preserve"> the largest market share with approximately 56,396 prescriptions in 2019, compared to 17,640 for perampanel and 8,362 for brivaracetam.</w:t>
      </w:r>
      <w:r w:rsidR="00B21A24" w:rsidRPr="00796FB8">
        <w:t xml:space="preserve"> A risk-sharing arrangement (RSA) currently applies to lacosamide, brivaracetam and perampanel for intractable partial onset epileptic seizures.</w:t>
      </w:r>
      <w:r w:rsidR="00C92B50" w:rsidRPr="00796FB8">
        <w:t xml:space="preserve"> </w:t>
      </w:r>
    </w:p>
    <w:p w:rsidR="00963558" w:rsidRPr="00796FB8" w:rsidRDefault="003166C4" w:rsidP="00BF3C38">
      <w:pPr>
        <w:pStyle w:val="3-BodyText"/>
      </w:pPr>
      <w:r w:rsidRPr="00796FB8">
        <w:t>T</w:t>
      </w:r>
      <w:r w:rsidR="00963558" w:rsidRPr="00796FB8">
        <w:t xml:space="preserve">he role of LAC as a third-line therapy is disputed; when the Epilepsy Society of Australia (ESA) advised the PBAC in the brivaracetam March 2017 PSD, it stated that it positioned lacosamide as second-line therapy. This sentiment is reinforced by the Australian eTG Complete </w:t>
      </w:r>
      <w:r w:rsidR="00D2250E" w:rsidRPr="00796FB8">
        <w:t>T</w:t>
      </w:r>
      <w:r w:rsidR="00963558" w:rsidRPr="00796FB8">
        <w:t xml:space="preserve">herapeutic </w:t>
      </w:r>
      <w:r w:rsidR="00D2250E" w:rsidRPr="00796FB8">
        <w:t>G</w:t>
      </w:r>
      <w:r w:rsidR="00963558" w:rsidRPr="00796FB8">
        <w:t>uidelines</w:t>
      </w:r>
      <w:r w:rsidR="009126D5" w:rsidRPr="00796FB8">
        <w:t>.</w:t>
      </w:r>
      <w:r w:rsidR="00963558" w:rsidRPr="00796FB8">
        <w:rPr>
          <w:rStyle w:val="FootnoteReference"/>
        </w:rPr>
        <w:footnoteReference w:id="8"/>
      </w:r>
      <w:r w:rsidR="009126D5" w:rsidRPr="00796FB8">
        <w:t xml:space="preserve"> Also, </w:t>
      </w:r>
      <w:r w:rsidR="00963558" w:rsidRPr="00796FB8">
        <w:t xml:space="preserve">a recent review of the </w:t>
      </w:r>
      <w:r w:rsidR="00F93D0F" w:rsidRPr="00796FB8">
        <w:t xml:space="preserve">PBS restrictions on AEDs </w:t>
      </w:r>
      <w:r w:rsidR="00963558" w:rsidRPr="00796FB8">
        <w:t>highlighted a difference in international prescribing practices and what it considered were outdated PBS restrictions</w:t>
      </w:r>
      <w:r w:rsidR="009126D5" w:rsidRPr="00796FB8">
        <w:t>,</w:t>
      </w:r>
      <w:r w:rsidR="002A0043" w:rsidRPr="00796FB8">
        <w:rPr>
          <w:vertAlign w:val="superscript"/>
        </w:rPr>
        <w:footnoteReference w:id="9"/>
      </w:r>
      <w:r w:rsidR="00963558" w:rsidRPr="00796FB8">
        <w:t xml:space="preserve"> </w:t>
      </w:r>
      <w:r w:rsidR="009126D5" w:rsidRPr="00796FB8">
        <w:t xml:space="preserve">and </w:t>
      </w:r>
      <w:r w:rsidR="00963558" w:rsidRPr="00796FB8">
        <w:t>urged the PBS to review the restrictions on we</w:t>
      </w:r>
      <w:r w:rsidR="00D90E68" w:rsidRPr="00796FB8">
        <w:t>ll-</w:t>
      </w:r>
      <w:r w:rsidR="00963558" w:rsidRPr="00796FB8">
        <w:t xml:space="preserve">tolerated AEDs including lacosamide and </w:t>
      </w:r>
      <w:r w:rsidR="008A050F" w:rsidRPr="00796FB8">
        <w:t>perampanel</w:t>
      </w:r>
      <w:r w:rsidR="00963558" w:rsidRPr="00796FB8">
        <w:t xml:space="preserve">, suggesting that in practice most epileptologists ignore the PBS restrictions and follow the internationally recommended prescribing guidelines. </w:t>
      </w:r>
      <w:r w:rsidR="00CC20C7" w:rsidRPr="00796FB8">
        <w:t>However, consistent with the previous two PBAC recommendations in the third-line setting (perampanel in July 2014 and brivaracetam in November 2017), the PSCR maintained that LAC was the appropriate comparator for the submission, and that subsequent to these decisions, LAC has remained the most used treatment.</w:t>
      </w:r>
    </w:p>
    <w:p w:rsidR="00963558" w:rsidRPr="00796FB8" w:rsidRDefault="00B7411F" w:rsidP="00BF3C38">
      <w:pPr>
        <w:pStyle w:val="3-BodyText"/>
        <w:rPr>
          <w:snapToGrid/>
        </w:rPr>
      </w:pPr>
      <w:r w:rsidRPr="00796FB8">
        <w:rPr>
          <w:snapToGrid/>
        </w:rPr>
        <w:t>The ESC considered that</w:t>
      </w:r>
      <w:r w:rsidR="00AA4935" w:rsidRPr="00796FB8">
        <w:rPr>
          <w:snapToGrid/>
        </w:rPr>
        <w:t xml:space="preserve"> both</w:t>
      </w:r>
      <w:r w:rsidRPr="00796FB8">
        <w:rPr>
          <w:snapToGrid/>
        </w:rPr>
        <w:t xml:space="preserve"> the proposed third-line therapy setting</w:t>
      </w:r>
      <w:r w:rsidR="00AA4935" w:rsidRPr="00796FB8">
        <w:rPr>
          <w:snapToGrid/>
        </w:rPr>
        <w:t xml:space="preserve"> for ESL</w:t>
      </w:r>
      <w:r w:rsidRPr="00796FB8">
        <w:rPr>
          <w:snapToGrid/>
        </w:rPr>
        <w:t xml:space="preserve"> and</w:t>
      </w:r>
      <w:r w:rsidR="00AA4935" w:rsidRPr="00796FB8">
        <w:rPr>
          <w:snapToGrid/>
        </w:rPr>
        <w:t xml:space="preserve"> the nominated</w:t>
      </w:r>
      <w:r w:rsidRPr="00796FB8">
        <w:rPr>
          <w:snapToGrid/>
        </w:rPr>
        <w:t xml:space="preserve"> comparator, LAC, </w:t>
      </w:r>
      <w:r w:rsidR="00AA4935" w:rsidRPr="00796FB8">
        <w:rPr>
          <w:snapToGrid/>
        </w:rPr>
        <w:t>were</w:t>
      </w:r>
      <w:r w:rsidRPr="00796FB8">
        <w:rPr>
          <w:snapToGrid/>
        </w:rPr>
        <w:t xml:space="preserve"> inappropriate. </w:t>
      </w:r>
      <w:r w:rsidR="00963558" w:rsidRPr="00796FB8">
        <w:rPr>
          <w:snapToGrid/>
        </w:rPr>
        <w:t xml:space="preserve">Of the current third-line therapies, LAC and perampanel both offer a novel drug class unavailable in first- or second-line therapies, which is desirable for patients who were unable to gain control after trying combinations of at least three different treatments from these earlier lines of therapy. </w:t>
      </w:r>
      <w:r w:rsidR="004C55FD" w:rsidRPr="00796FB8">
        <w:rPr>
          <w:snapToGrid/>
        </w:rPr>
        <w:t xml:space="preserve">In contrast, </w:t>
      </w:r>
      <w:r w:rsidR="004C55FD" w:rsidRPr="00796FB8">
        <w:rPr>
          <w:iCs/>
        </w:rPr>
        <w:t>b</w:t>
      </w:r>
      <w:r w:rsidR="00963558" w:rsidRPr="00796FB8">
        <w:rPr>
          <w:iCs/>
        </w:rPr>
        <w:t xml:space="preserve">y the time patients qualify for ESL under the proposed PBS restrictions, </w:t>
      </w:r>
      <w:r w:rsidR="00B501CC" w:rsidRPr="00796FB8">
        <w:rPr>
          <w:iCs/>
        </w:rPr>
        <w:t xml:space="preserve">they must </w:t>
      </w:r>
      <w:r w:rsidR="00963558" w:rsidRPr="00796FB8">
        <w:rPr>
          <w:iCs/>
        </w:rPr>
        <w:t>have</w:t>
      </w:r>
      <w:r w:rsidR="00B501CC" w:rsidRPr="00796FB8">
        <w:rPr>
          <w:iCs/>
        </w:rPr>
        <w:t xml:space="preserve"> either</w:t>
      </w:r>
      <w:r w:rsidR="00963558" w:rsidRPr="00796FB8">
        <w:rPr>
          <w:iCs/>
        </w:rPr>
        <w:t xml:space="preserve"> tried and failed another dibenzazepine (such as carbamazepine or oxcarbazepine), or be currently taking one. </w:t>
      </w:r>
      <w:r w:rsidR="00C92B50" w:rsidRPr="00796FB8">
        <w:rPr>
          <w:iCs/>
        </w:rPr>
        <w:t>The ESC considered that c</w:t>
      </w:r>
      <w:r w:rsidR="00963558" w:rsidRPr="00796FB8">
        <w:rPr>
          <w:iCs/>
        </w:rPr>
        <w:t xml:space="preserve">linicians </w:t>
      </w:r>
      <w:r w:rsidR="00B14F4E" w:rsidRPr="00796FB8">
        <w:rPr>
          <w:iCs/>
        </w:rPr>
        <w:t>may</w:t>
      </w:r>
      <w:r w:rsidR="00963558" w:rsidRPr="00796FB8">
        <w:rPr>
          <w:iCs/>
        </w:rPr>
        <w:t xml:space="preserve"> be unlikely to forgo the opportunity to add a drug with a novel mechanism of action (such as LAC) in order to either retry a failed drug class or add an additional dibenzazepine to their patients’ treatment regime</w:t>
      </w:r>
      <w:r w:rsidR="009126D5" w:rsidRPr="00796FB8">
        <w:rPr>
          <w:iCs/>
        </w:rPr>
        <w:t>.</w:t>
      </w:r>
      <w:r w:rsidR="00B14F4E" w:rsidRPr="00796FB8">
        <w:rPr>
          <w:iCs/>
        </w:rPr>
        <w:t xml:space="preserve"> </w:t>
      </w:r>
      <w:r w:rsidR="009126D5" w:rsidRPr="00796FB8">
        <w:rPr>
          <w:iCs/>
        </w:rPr>
        <w:t xml:space="preserve">This </w:t>
      </w:r>
      <w:r w:rsidR="00B14F4E" w:rsidRPr="00796FB8">
        <w:rPr>
          <w:iCs/>
        </w:rPr>
        <w:t>particularly</w:t>
      </w:r>
      <w:r w:rsidR="009126D5" w:rsidRPr="00796FB8">
        <w:rPr>
          <w:iCs/>
        </w:rPr>
        <w:t xml:space="preserve"> applies</w:t>
      </w:r>
      <w:r w:rsidR="00B14F4E" w:rsidRPr="00796FB8">
        <w:rPr>
          <w:iCs/>
        </w:rPr>
        <w:t xml:space="preserve"> </w:t>
      </w:r>
      <w:r w:rsidR="009126D5" w:rsidRPr="00796FB8">
        <w:rPr>
          <w:iCs/>
        </w:rPr>
        <w:t xml:space="preserve">considering </w:t>
      </w:r>
      <w:r w:rsidR="00B14F4E" w:rsidRPr="00796FB8">
        <w:rPr>
          <w:iCs/>
        </w:rPr>
        <w:t>the lack of data suggesting ESL is meaningfully superior to placebo in this population</w:t>
      </w:r>
      <w:r w:rsidR="003166C4" w:rsidRPr="00796FB8">
        <w:rPr>
          <w:iCs/>
        </w:rPr>
        <w:t>, and thus it is unlikely that LAC will be replaced</w:t>
      </w:r>
      <w:r w:rsidR="00415025" w:rsidRPr="00796FB8">
        <w:rPr>
          <w:iCs/>
        </w:rPr>
        <w:t>.</w:t>
      </w:r>
      <w:r w:rsidR="000A68D7" w:rsidRPr="00796FB8" w:rsidDel="000A68D7">
        <w:rPr>
          <w:iCs/>
        </w:rPr>
        <w:t xml:space="preserve"> </w:t>
      </w:r>
      <w:r w:rsidR="000A68D7" w:rsidRPr="00796FB8">
        <w:rPr>
          <w:iCs/>
        </w:rPr>
        <w:t>T</w:t>
      </w:r>
      <w:r w:rsidR="00CC1050" w:rsidRPr="00796FB8">
        <w:rPr>
          <w:iCs/>
        </w:rPr>
        <w:t>he ESC considered a</w:t>
      </w:r>
      <w:r w:rsidR="00963558" w:rsidRPr="00796FB8">
        <w:rPr>
          <w:iCs/>
        </w:rPr>
        <w:t xml:space="preserve"> more appropriate comparator for ESL may be </w:t>
      </w:r>
      <w:r w:rsidR="000E35B2" w:rsidRPr="00796FB8">
        <w:rPr>
          <w:iCs/>
        </w:rPr>
        <w:t>the other dibenzazepines</w:t>
      </w:r>
      <w:r w:rsidR="00796FB8">
        <w:rPr>
          <w:iCs/>
        </w:rPr>
        <w:t xml:space="preserve">. </w:t>
      </w:r>
    </w:p>
    <w:p w:rsidR="00FA560E" w:rsidRPr="00796FB8" w:rsidRDefault="0055321C" w:rsidP="00BF3C38">
      <w:pPr>
        <w:pStyle w:val="3-BodyText"/>
        <w:rPr>
          <w:snapToGrid/>
        </w:rPr>
      </w:pPr>
      <w:r w:rsidRPr="00796FB8">
        <w:rPr>
          <w:iCs/>
        </w:rPr>
        <w:t>With reference</w:t>
      </w:r>
      <w:r w:rsidR="00FA560E" w:rsidRPr="00796FB8">
        <w:rPr>
          <w:iCs/>
        </w:rPr>
        <w:t xml:space="preserve"> to the issue of likely prior use of dibenza</w:t>
      </w:r>
      <w:r w:rsidR="00E76AFB" w:rsidRPr="00796FB8">
        <w:rPr>
          <w:iCs/>
        </w:rPr>
        <w:t>ze</w:t>
      </w:r>
      <w:r w:rsidR="00FA560E" w:rsidRPr="00796FB8">
        <w:rPr>
          <w:iCs/>
        </w:rPr>
        <w:t xml:space="preserve">pines, the </w:t>
      </w:r>
      <w:r w:rsidR="00954F9C">
        <w:rPr>
          <w:iCs/>
        </w:rPr>
        <w:t>s</w:t>
      </w:r>
      <w:r w:rsidR="00FA560E" w:rsidRPr="00796FB8">
        <w:rPr>
          <w:iCs/>
        </w:rPr>
        <w:t xml:space="preserve">ponsor stated (pre-PBAC response) that the majority of </w:t>
      </w:r>
      <w:r w:rsidR="00FA560E" w:rsidRPr="00796FB8">
        <w:t>patients (78.6%) in the 304 study had previously received carbamazepine (a dibenzazepine)</w:t>
      </w:r>
      <w:r w:rsidR="00E76AFB" w:rsidRPr="00796FB8">
        <w:t>, and 38.9% and 42.4% concomitantly used</w:t>
      </w:r>
      <w:r w:rsidR="004A4705" w:rsidRPr="00796FB8">
        <w:t xml:space="preserve"> carbamazepine</w:t>
      </w:r>
      <w:r w:rsidR="00E76AFB" w:rsidRPr="00796FB8">
        <w:t xml:space="preserve"> in the 800 mg and 1</w:t>
      </w:r>
      <w:r w:rsidRPr="00796FB8">
        <w:t>,</w:t>
      </w:r>
      <w:r w:rsidR="00E76AFB" w:rsidRPr="00796FB8">
        <w:t>200 mg ESL tre</w:t>
      </w:r>
      <w:r w:rsidR="00954F9C">
        <w:t>atment arms, respectively. The s</w:t>
      </w:r>
      <w:r w:rsidR="00E76AFB" w:rsidRPr="00796FB8">
        <w:t>ponsor stated that prior and concomitant use of carbamazepine supported the relevance of ESL treatment for uncontrolled POS in later lines of treatment.</w:t>
      </w:r>
    </w:p>
    <w:p w:rsidR="00816EA9" w:rsidRPr="00796FB8" w:rsidRDefault="00816EA9" w:rsidP="00BF3C38">
      <w:pPr>
        <w:pStyle w:val="3-BodyText"/>
        <w:rPr>
          <w:snapToGrid/>
        </w:rPr>
      </w:pPr>
      <w:r w:rsidRPr="00796FB8">
        <w:t>If treatment with ESL is substantially more costly than any of the alternative therapies (LAC, perampanel and brivaracetam</w:t>
      </w:r>
      <w:r w:rsidR="00DF2F06" w:rsidRPr="00796FB8">
        <w:t>, if positioned as a third-line treatment</w:t>
      </w:r>
      <w:r w:rsidRPr="00796FB8">
        <w:t>), the PBAC could only recommend listing ESL if it is satisfied that it provides, for some patients, a significant improvement in efficacy or reduction of toxicity over the alternative therapies (National Health Act 1953, Section 101(3B)).</w:t>
      </w:r>
    </w:p>
    <w:p w:rsidR="00FF09A6" w:rsidRPr="00796FB8" w:rsidRDefault="00FF09A6" w:rsidP="00BF3C38">
      <w:pPr>
        <w:pStyle w:val="3-BodyText"/>
        <w:numPr>
          <w:ilvl w:val="0"/>
          <w:numId w:val="0"/>
        </w:numPr>
        <w:rPr>
          <w:snapToGrid/>
        </w:rPr>
      </w:pPr>
      <w:r w:rsidRPr="00796FB8">
        <w:rPr>
          <w:i/>
        </w:rPr>
        <w:t>For more detail on PBAC’s view, see section 7 PBAC outcome.</w:t>
      </w:r>
    </w:p>
    <w:p w:rsidR="00223D5A" w:rsidRPr="00796FB8" w:rsidRDefault="00223D5A" w:rsidP="00BF3C38">
      <w:pPr>
        <w:pStyle w:val="2-SectionHeading"/>
        <w:numPr>
          <w:ilvl w:val="0"/>
          <w:numId w:val="1"/>
        </w:numPr>
      </w:pPr>
      <w:bookmarkStart w:id="12" w:name="_Toc62035366"/>
      <w:bookmarkStart w:id="13" w:name="_Toc22897640"/>
      <w:r w:rsidRPr="00796FB8">
        <w:t>Consideration of the evidence</w:t>
      </w:r>
      <w:bookmarkEnd w:id="12"/>
    </w:p>
    <w:p w:rsidR="001F6943" w:rsidRPr="00796FB8" w:rsidRDefault="001F6943" w:rsidP="00BF3C38">
      <w:pPr>
        <w:pStyle w:val="4-SubsectionHeading"/>
      </w:pPr>
      <w:r w:rsidRPr="00796FB8">
        <w:t>Sponsor hearing</w:t>
      </w:r>
    </w:p>
    <w:p w:rsidR="001F6943" w:rsidRPr="00796FB8" w:rsidRDefault="00694373" w:rsidP="00BF3C38">
      <w:pPr>
        <w:numPr>
          <w:ilvl w:val="1"/>
          <w:numId w:val="1"/>
        </w:numPr>
        <w:spacing w:after="120"/>
        <w:rPr>
          <w:rFonts w:asciiTheme="minorHAnsi" w:hAnsiTheme="minorHAnsi"/>
          <w:bCs/>
          <w:snapToGrid w:val="0"/>
        </w:rPr>
      </w:pPr>
      <w:r w:rsidRPr="00796FB8">
        <w:rPr>
          <w:rFonts w:asciiTheme="minorHAnsi" w:hAnsiTheme="minorHAnsi"/>
          <w:bCs/>
          <w:snapToGrid w:val="0"/>
        </w:rPr>
        <w:t xml:space="preserve">There was no hearing for this item. </w:t>
      </w:r>
    </w:p>
    <w:p w:rsidR="001F6943" w:rsidRPr="00796FB8" w:rsidRDefault="001F6943" w:rsidP="00BF3C38">
      <w:pPr>
        <w:pStyle w:val="4-SubsectionHeading"/>
      </w:pPr>
      <w:r w:rsidRPr="00796FB8">
        <w:t>Consumer comments</w:t>
      </w:r>
    </w:p>
    <w:p w:rsidR="001F6943" w:rsidRPr="00796FB8" w:rsidRDefault="00694373" w:rsidP="00BF3C38">
      <w:pPr>
        <w:numPr>
          <w:ilvl w:val="1"/>
          <w:numId w:val="1"/>
        </w:numPr>
        <w:spacing w:after="120"/>
        <w:rPr>
          <w:rFonts w:asciiTheme="minorHAnsi" w:hAnsiTheme="minorHAnsi"/>
          <w:bCs/>
          <w:snapToGrid w:val="0"/>
        </w:rPr>
      </w:pPr>
      <w:r w:rsidRPr="00796FB8">
        <w:rPr>
          <w:rFonts w:asciiTheme="minorHAnsi" w:hAnsiTheme="minorHAnsi"/>
          <w:bCs/>
          <w:snapToGrid w:val="0"/>
        </w:rPr>
        <w:t xml:space="preserve">The PBAC noted that no consumer comments were received for this item. </w:t>
      </w:r>
    </w:p>
    <w:p w:rsidR="00963558" w:rsidRPr="00796FB8" w:rsidRDefault="00963558" w:rsidP="00BF3C38">
      <w:pPr>
        <w:pStyle w:val="4-SubsectionHeading"/>
      </w:pPr>
      <w:bookmarkStart w:id="14" w:name="_Toc58198289"/>
      <w:bookmarkStart w:id="15" w:name="_Toc62035367"/>
      <w:bookmarkStart w:id="16" w:name="_Toc22897641"/>
      <w:bookmarkEnd w:id="13"/>
      <w:r w:rsidRPr="00796FB8">
        <w:t>Clinical trials</w:t>
      </w:r>
      <w:bookmarkEnd w:id="14"/>
      <w:bookmarkEnd w:id="15"/>
    </w:p>
    <w:p w:rsidR="00963558" w:rsidRPr="00796FB8" w:rsidRDefault="00963558" w:rsidP="00BF3C38">
      <w:pPr>
        <w:pStyle w:val="3-BodyText"/>
        <w:rPr>
          <w:color w:val="0066FF"/>
        </w:rPr>
      </w:pPr>
      <w:r w:rsidRPr="00796FB8">
        <w:rPr>
          <w:snapToGrid/>
        </w:rPr>
        <w:t>The submission was based on four placebo-controlled RCTs comparing ESL to placebo</w:t>
      </w:r>
      <w:r w:rsidR="00464B18" w:rsidRPr="00796FB8">
        <w:rPr>
          <w:snapToGrid/>
        </w:rPr>
        <w:t xml:space="preserve"> (301, 302, 303 and 304)</w:t>
      </w:r>
      <w:r w:rsidRPr="00796FB8">
        <w:rPr>
          <w:snapToGrid/>
        </w:rPr>
        <w:t xml:space="preserve">. </w:t>
      </w:r>
      <w:r w:rsidR="006433A8" w:rsidRPr="00796FB8">
        <w:rPr>
          <w:snapToGrid/>
        </w:rPr>
        <w:t>O</w:t>
      </w:r>
      <w:r w:rsidRPr="00796FB8">
        <w:rPr>
          <w:snapToGrid/>
        </w:rPr>
        <w:t>f these, only one</w:t>
      </w:r>
      <w:r w:rsidR="00247D68" w:rsidRPr="00796FB8">
        <w:rPr>
          <w:snapToGrid/>
        </w:rPr>
        <w:t>, Study 304</w:t>
      </w:r>
      <w:r w:rsidRPr="00796FB8">
        <w:rPr>
          <w:snapToGrid/>
        </w:rPr>
        <w:t xml:space="preserve"> aligned with the proposed treatment-resistant POS target population.</w:t>
      </w:r>
      <w:r w:rsidR="00464B18" w:rsidRPr="00796FB8">
        <w:rPr>
          <w:snapToGrid/>
        </w:rPr>
        <w:t xml:space="preserve"> </w:t>
      </w:r>
      <w:r w:rsidR="00464B18" w:rsidRPr="00796FB8">
        <w:t>The p</w:t>
      </w:r>
      <w:r w:rsidR="00931E2F" w:rsidRPr="00796FB8">
        <w:t>ooled results of the ESL</w:t>
      </w:r>
      <w:r w:rsidR="00247D68" w:rsidRPr="00796FB8">
        <w:t xml:space="preserve"> S</w:t>
      </w:r>
      <w:r w:rsidR="00464B18" w:rsidRPr="00796FB8">
        <w:t>tudies 301, 302 and 303 were presented to support the clinical</w:t>
      </w:r>
      <w:r w:rsidR="00931E2F" w:rsidRPr="00796FB8">
        <w:t xml:space="preserve"> effectiveness of ESL</w:t>
      </w:r>
      <w:r w:rsidR="00B21A24" w:rsidRPr="00796FB8">
        <w:t>, however the patient population enrolled in these studies had limited prior use of AEDs (92.4% had 0 prior AEDs), and as such was not representative of the target population</w:t>
      </w:r>
      <w:r w:rsidR="00464B18" w:rsidRPr="00796FB8">
        <w:t>.</w:t>
      </w:r>
      <w:r w:rsidRPr="00796FB8">
        <w:rPr>
          <w:snapToGrid/>
        </w:rPr>
        <w:t xml:space="preserve"> Outcomes from </w:t>
      </w:r>
      <w:r w:rsidR="00464B18" w:rsidRPr="00796FB8">
        <w:rPr>
          <w:snapToGrid/>
        </w:rPr>
        <w:t>Study 304</w:t>
      </w:r>
      <w:r w:rsidRPr="00796FB8">
        <w:rPr>
          <w:snapToGrid/>
        </w:rPr>
        <w:t xml:space="preserve"> were compared in an indirect treatment comparison (ITC) to four placebo-controlled RCTs assessing the efficacy and safety of LAC in the treatment-resistant POS population.</w:t>
      </w:r>
      <w:r w:rsidRPr="00796FB8">
        <w:rPr>
          <w:color w:val="0066FF"/>
        </w:rPr>
        <w:t xml:space="preserve"> </w:t>
      </w:r>
    </w:p>
    <w:p w:rsidR="00963558" w:rsidRPr="00796FB8" w:rsidRDefault="00963558" w:rsidP="00BF3C38">
      <w:pPr>
        <w:pStyle w:val="3-BodyText"/>
        <w:rPr>
          <w:iCs/>
          <w:snapToGrid/>
        </w:rPr>
      </w:pPr>
      <w:r w:rsidRPr="00796FB8">
        <w:rPr>
          <w:snapToGrid/>
        </w:rPr>
        <w:t xml:space="preserve">Details of the trials presented in the submission are provided in the table below. </w:t>
      </w:r>
      <w:r w:rsidRPr="00796FB8">
        <w:rPr>
          <w:iCs/>
          <w:snapToGrid/>
        </w:rPr>
        <w:t>The PBAC has considered evidence from three of the LAC trials previously (SP667, SP754 and SP755).</w:t>
      </w:r>
    </w:p>
    <w:p w:rsidR="00963558" w:rsidRPr="00796FB8" w:rsidRDefault="00963558" w:rsidP="00BF3C38">
      <w:pPr>
        <w:pStyle w:val="TableFigureHeading"/>
        <w:rPr>
          <w:rStyle w:val="CommentReference"/>
          <w:b/>
          <w:szCs w:val="24"/>
        </w:rPr>
      </w:pPr>
      <w:r w:rsidRPr="00796FB8">
        <w:t xml:space="preserve">Table </w:t>
      </w:r>
      <w:r w:rsidR="002C71DF" w:rsidRPr="00796FB8">
        <w:t>2</w:t>
      </w:r>
      <w:r w:rsidRPr="00796FB8">
        <w:rPr>
          <w:rStyle w:val="CommentReference"/>
          <w:b/>
          <w:szCs w:val="24"/>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963558" w:rsidRPr="00796FB8" w:rsidTr="00A116FD">
        <w:trPr>
          <w:cantSplit/>
          <w:tblHeader/>
        </w:trPr>
        <w:tc>
          <w:tcPr>
            <w:tcW w:w="795" w:type="pct"/>
            <w:vAlign w:val="center"/>
          </w:tcPr>
          <w:p w:rsidR="00963558" w:rsidRPr="00796FB8" w:rsidRDefault="00963558" w:rsidP="00BF3C38">
            <w:pPr>
              <w:pStyle w:val="In-tableHeading"/>
              <w:jc w:val="center"/>
              <w:rPr>
                <w:lang w:val="en-AU"/>
              </w:rPr>
            </w:pPr>
            <w:r w:rsidRPr="00796FB8">
              <w:rPr>
                <w:lang w:val="en-AU"/>
              </w:rPr>
              <w:t>Trial ID</w:t>
            </w:r>
          </w:p>
        </w:tc>
        <w:tc>
          <w:tcPr>
            <w:tcW w:w="2803" w:type="pct"/>
            <w:vAlign w:val="center"/>
          </w:tcPr>
          <w:p w:rsidR="00963558" w:rsidRPr="00796FB8" w:rsidRDefault="00963558" w:rsidP="00BF3C38">
            <w:pPr>
              <w:pStyle w:val="In-tableHeading"/>
              <w:rPr>
                <w:lang w:val="en-AU"/>
              </w:rPr>
            </w:pPr>
            <w:r w:rsidRPr="00796FB8">
              <w:rPr>
                <w:lang w:val="en-AU"/>
              </w:rPr>
              <w:t>Protocol title/ Publication title</w:t>
            </w:r>
          </w:p>
        </w:tc>
        <w:tc>
          <w:tcPr>
            <w:tcW w:w="1402" w:type="pct"/>
            <w:vAlign w:val="center"/>
          </w:tcPr>
          <w:p w:rsidR="00963558" w:rsidRPr="00796FB8" w:rsidRDefault="00963558" w:rsidP="00BF3C38">
            <w:pPr>
              <w:pStyle w:val="In-tableHeading"/>
              <w:rPr>
                <w:lang w:val="en-AU"/>
              </w:rPr>
            </w:pPr>
            <w:r w:rsidRPr="00796FB8">
              <w:rPr>
                <w:lang w:val="en-AU"/>
              </w:rPr>
              <w:t>Publication citation</w:t>
            </w:r>
          </w:p>
        </w:tc>
      </w:tr>
      <w:tr w:rsidR="00963558" w:rsidRPr="00796FB8" w:rsidTr="00A116FD">
        <w:trPr>
          <w:cantSplit/>
        </w:trPr>
        <w:tc>
          <w:tcPr>
            <w:tcW w:w="795" w:type="pct"/>
            <w:vMerge w:val="restart"/>
            <w:vAlign w:val="center"/>
          </w:tcPr>
          <w:p w:rsidR="00963558" w:rsidRPr="00796FB8" w:rsidRDefault="00963558" w:rsidP="00BF3C38">
            <w:pPr>
              <w:pStyle w:val="TableText0"/>
              <w:jc w:val="center"/>
              <w:rPr>
                <w:rFonts w:ascii="Times" w:hAnsi="Times"/>
              </w:rPr>
            </w:pPr>
            <w:r w:rsidRPr="00796FB8">
              <w:rPr>
                <w:rStyle w:val="Small"/>
                <w:rFonts w:ascii="Arial Narrow" w:hAnsi="Arial Narrow"/>
              </w:rPr>
              <w:t>Study 304</w:t>
            </w:r>
          </w:p>
        </w:tc>
        <w:tc>
          <w:tcPr>
            <w:tcW w:w="2803" w:type="pct"/>
            <w:tcBorders>
              <w:bottom w:val="nil"/>
            </w:tcBorders>
            <w:vAlign w:val="center"/>
          </w:tcPr>
          <w:p w:rsidR="00963558" w:rsidRPr="00796FB8" w:rsidRDefault="00963558" w:rsidP="00BF3C38">
            <w:pPr>
              <w:pStyle w:val="TableText0"/>
            </w:pPr>
            <w:r w:rsidRPr="00796FB8">
              <w:t xml:space="preserve">ClinicalTrials.gov Identifier: NCT00988429: Efficacy and Safety of Eslicarbazepine Acetate (BIA 2-093-304) as Adjunctive Therapy for Refractory Partial Seizures in a Double-blind, Randomised, Placebo-controlled, Parallel-group, Multicentre Trial </w:t>
            </w:r>
            <w:r w:rsidRPr="00796FB8">
              <w:rPr>
                <w:rStyle w:val="Small"/>
                <w:rFonts w:ascii="Arial Narrow" w:hAnsi="Arial Narrow"/>
              </w:rPr>
              <w:t>Protocol Number: BIA-2093-304</w:t>
            </w:r>
            <w:r w:rsidRPr="00796FB8">
              <w:t>. Clinical Study Report.</w:t>
            </w:r>
          </w:p>
          <w:p w:rsidR="00963558" w:rsidRPr="00796FB8" w:rsidRDefault="00963558" w:rsidP="00BF3C38">
            <w:pPr>
              <w:pStyle w:val="TableText0"/>
            </w:pPr>
          </w:p>
        </w:tc>
        <w:tc>
          <w:tcPr>
            <w:tcW w:w="1402" w:type="pct"/>
            <w:tcBorders>
              <w:bottom w:val="nil"/>
            </w:tcBorders>
            <w:vAlign w:val="center"/>
          </w:tcPr>
          <w:p w:rsidR="00963558" w:rsidRPr="00796FB8" w:rsidRDefault="00963558" w:rsidP="00BF3C38">
            <w:pPr>
              <w:pStyle w:val="TableText0"/>
              <w:rPr>
                <w:rFonts w:ascii="Times" w:hAnsi="Times"/>
              </w:rPr>
            </w:pPr>
            <w:r w:rsidRPr="00796FB8">
              <w:t>29 June 2012.</w:t>
            </w:r>
          </w:p>
        </w:tc>
      </w:tr>
      <w:tr w:rsidR="00963558" w:rsidRPr="00796FB8" w:rsidTr="00A116FD">
        <w:trPr>
          <w:cantSplit/>
          <w:trHeight w:val="1377"/>
        </w:trPr>
        <w:tc>
          <w:tcPr>
            <w:tcW w:w="795" w:type="pct"/>
            <w:vMerge/>
            <w:vAlign w:val="center"/>
          </w:tcPr>
          <w:p w:rsidR="00963558" w:rsidRPr="00796FB8" w:rsidRDefault="00963558" w:rsidP="00BF3C38">
            <w:pPr>
              <w:pStyle w:val="TableText0"/>
              <w:jc w:val="center"/>
            </w:pPr>
          </w:p>
        </w:tc>
        <w:tc>
          <w:tcPr>
            <w:tcW w:w="2803" w:type="pct"/>
            <w:tcBorders>
              <w:top w:val="nil"/>
            </w:tcBorders>
            <w:vAlign w:val="center"/>
          </w:tcPr>
          <w:p w:rsidR="00963558" w:rsidRPr="00796FB8" w:rsidRDefault="00963558" w:rsidP="00BF3C38">
            <w:pPr>
              <w:pStyle w:val="TableText0"/>
            </w:pPr>
            <w:r w:rsidRPr="00796FB8">
              <w:rPr>
                <w:rStyle w:val="Small"/>
                <w:rFonts w:ascii="Arial Narrow" w:hAnsi="Arial Narrow"/>
              </w:rPr>
              <w:t>Sperling MR, Abou-Khalil B, Harvey J, Rogin JB, Biraben A, Galimberti CA, Kowacs PA, Hong SB, Cheng H, Blum D, Nunes T, Soares-da-Silva P; 304 Study Team. Eslicarbazepine acetate as adjunctive therapy in patients with uncontrolled partial-onset seizures: Results of a phase III, double-blind, randomized, placebo-controlled trial.</w:t>
            </w:r>
          </w:p>
        </w:tc>
        <w:tc>
          <w:tcPr>
            <w:tcW w:w="1402" w:type="pct"/>
            <w:tcBorders>
              <w:top w:val="nil"/>
            </w:tcBorders>
            <w:vAlign w:val="center"/>
          </w:tcPr>
          <w:p w:rsidR="00963558" w:rsidRPr="00796FB8" w:rsidRDefault="00963558" w:rsidP="00BF3C38">
            <w:pPr>
              <w:pStyle w:val="TableText0"/>
            </w:pPr>
            <w:r w:rsidRPr="00796FB8">
              <w:rPr>
                <w:rStyle w:val="Small"/>
                <w:rFonts w:ascii="Arial Narrow" w:hAnsi="Arial Narrow"/>
                <w:i/>
                <w:iCs/>
              </w:rPr>
              <w:t>Epilepsia</w:t>
            </w:r>
            <w:r w:rsidRPr="00796FB8">
              <w:rPr>
                <w:rStyle w:val="Small"/>
                <w:rFonts w:ascii="Arial Narrow" w:hAnsi="Arial Narrow"/>
              </w:rPr>
              <w:t>. 2015 Feb; 56(2):244-53.</w:t>
            </w:r>
          </w:p>
        </w:tc>
      </w:tr>
      <w:tr w:rsidR="00963558" w:rsidRPr="00796FB8" w:rsidTr="00A116FD">
        <w:trPr>
          <w:cantSplit/>
        </w:trPr>
        <w:tc>
          <w:tcPr>
            <w:tcW w:w="795" w:type="pct"/>
            <w:vMerge w:val="restart"/>
            <w:vAlign w:val="center"/>
          </w:tcPr>
          <w:p w:rsidR="00963558" w:rsidRPr="00796FB8" w:rsidRDefault="00963558" w:rsidP="00BF3C38">
            <w:pPr>
              <w:pStyle w:val="TableText0"/>
              <w:jc w:val="center"/>
              <w:rPr>
                <w:rStyle w:val="Small"/>
                <w:rFonts w:ascii="Arial Narrow" w:hAnsi="Arial Narrow"/>
              </w:rPr>
            </w:pPr>
            <w:r w:rsidRPr="00796FB8">
              <w:rPr>
                <w:rStyle w:val="Small"/>
                <w:rFonts w:ascii="Arial Narrow" w:hAnsi="Arial Narrow"/>
              </w:rPr>
              <w:t>SP667</w:t>
            </w:r>
          </w:p>
        </w:tc>
        <w:tc>
          <w:tcPr>
            <w:tcW w:w="2803" w:type="pct"/>
            <w:tcBorders>
              <w:bottom w:val="nil"/>
            </w:tcBorders>
            <w:vAlign w:val="center"/>
          </w:tcPr>
          <w:p w:rsidR="00963558" w:rsidRPr="00796FB8" w:rsidRDefault="00963558" w:rsidP="00BF3C38">
            <w:pPr>
              <w:keepNext/>
              <w:jc w:val="left"/>
              <w:rPr>
                <w:rFonts w:ascii="Arial Narrow" w:hAnsi="Arial Narrow"/>
                <w:sz w:val="20"/>
                <w:szCs w:val="20"/>
                <w:lang w:eastAsia="en-US"/>
              </w:rPr>
            </w:pPr>
            <w:r w:rsidRPr="00796FB8">
              <w:rPr>
                <w:rFonts w:ascii="Arial Narrow" w:hAnsi="Arial Narrow"/>
                <w:sz w:val="20"/>
                <w:szCs w:val="20"/>
                <w:lang w:eastAsia="en-US"/>
              </w:rPr>
              <w:t>Primary clinical study report - A multicentre, double-blind, randomised, placebo-controlled, parallel group trial to investigate the efficacy and safety of SPM 927 (20</w:t>
            </w:r>
            <w:r w:rsidR="00EA1200" w:rsidRPr="00796FB8">
              <w:rPr>
                <w:rFonts w:ascii="Arial Narrow" w:hAnsi="Arial Narrow"/>
                <w:sz w:val="20"/>
                <w:szCs w:val="20"/>
                <w:lang w:eastAsia="en-US"/>
              </w:rPr>
              <w:t>0</w:t>
            </w:r>
            <w:r w:rsidR="001F4613" w:rsidRPr="00796FB8">
              <w:rPr>
                <w:rFonts w:ascii="Arial Narrow" w:hAnsi="Arial Narrow"/>
                <w:sz w:val="20"/>
                <w:szCs w:val="20"/>
                <w:lang w:eastAsia="en-US"/>
              </w:rPr>
              <w:t xml:space="preserve"> </w:t>
            </w:r>
            <w:r w:rsidR="00EA1200" w:rsidRPr="00796FB8">
              <w:rPr>
                <w:rFonts w:ascii="Arial Narrow" w:hAnsi="Arial Narrow"/>
                <w:sz w:val="20"/>
                <w:szCs w:val="20"/>
                <w:lang w:eastAsia="en-US"/>
              </w:rPr>
              <w:t>mg</w:t>
            </w:r>
            <w:r w:rsidRPr="00796FB8">
              <w:rPr>
                <w:rFonts w:ascii="Arial Narrow" w:hAnsi="Arial Narrow"/>
                <w:sz w:val="20"/>
                <w:szCs w:val="20"/>
                <w:lang w:eastAsia="en-US"/>
              </w:rPr>
              <w:t>/day, 40</w:t>
            </w:r>
            <w:r w:rsidR="00EA1200" w:rsidRPr="00796FB8">
              <w:rPr>
                <w:rFonts w:ascii="Arial Narrow" w:hAnsi="Arial Narrow"/>
                <w:sz w:val="20"/>
                <w:szCs w:val="20"/>
                <w:lang w:eastAsia="en-US"/>
              </w:rPr>
              <w:t>0</w:t>
            </w:r>
            <w:r w:rsidR="001F4613" w:rsidRPr="00796FB8">
              <w:rPr>
                <w:rFonts w:ascii="Arial Narrow" w:hAnsi="Arial Narrow"/>
                <w:sz w:val="20"/>
                <w:szCs w:val="20"/>
                <w:lang w:eastAsia="en-US"/>
              </w:rPr>
              <w:t xml:space="preserve"> </w:t>
            </w:r>
            <w:r w:rsidR="00EA1200" w:rsidRPr="00796FB8">
              <w:rPr>
                <w:rFonts w:ascii="Arial Narrow" w:hAnsi="Arial Narrow"/>
                <w:sz w:val="20"/>
                <w:szCs w:val="20"/>
                <w:lang w:eastAsia="en-US"/>
              </w:rPr>
              <w:t>mg</w:t>
            </w:r>
            <w:r w:rsidRPr="00796FB8">
              <w:rPr>
                <w:rFonts w:ascii="Arial Narrow" w:hAnsi="Arial Narrow"/>
                <w:sz w:val="20"/>
                <w:szCs w:val="20"/>
                <w:lang w:eastAsia="en-US"/>
              </w:rPr>
              <w:t>/day, 60</w:t>
            </w:r>
            <w:r w:rsidR="00EA1200" w:rsidRPr="00796FB8">
              <w:rPr>
                <w:rFonts w:ascii="Arial Narrow" w:hAnsi="Arial Narrow"/>
                <w:sz w:val="20"/>
                <w:szCs w:val="20"/>
                <w:lang w:eastAsia="en-US"/>
              </w:rPr>
              <w:t>0</w:t>
            </w:r>
            <w:r w:rsidR="001F4613" w:rsidRPr="00796FB8">
              <w:rPr>
                <w:rFonts w:ascii="Arial Narrow" w:hAnsi="Arial Narrow"/>
                <w:sz w:val="20"/>
                <w:szCs w:val="20"/>
                <w:lang w:eastAsia="en-US"/>
              </w:rPr>
              <w:t> </w:t>
            </w:r>
            <w:r w:rsidR="00EA1200" w:rsidRPr="00796FB8">
              <w:rPr>
                <w:rFonts w:ascii="Arial Narrow" w:hAnsi="Arial Narrow"/>
                <w:sz w:val="20"/>
                <w:szCs w:val="20"/>
                <w:lang w:eastAsia="en-US"/>
              </w:rPr>
              <w:t>mg</w:t>
            </w:r>
            <w:r w:rsidRPr="00796FB8">
              <w:rPr>
                <w:rFonts w:ascii="Arial Narrow" w:hAnsi="Arial Narrow"/>
                <w:sz w:val="20"/>
                <w:szCs w:val="20"/>
                <w:lang w:eastAsia="en-US"/>
              </w:rPr>
              <w:t>/day) as adjunctive therapy in subjects with partial seizures with or without secondary generalization. Schwartz Biosciences, Inc</w:t>
            </w:r>
          </w:p>
          <w:p w:rsidR="00963558" w:rsidRPr="00796FB8" w:rsidRDefault="00963558" w:rsidP="00BF3C38">
            <w:pPr>
              <w:pStyle w:val="TableText0"/>
              <w:rPr>
                <w:rFonts w:ascii="Times" w:hAnsi="Times"/>
              </w:rPr>
            </w:pPr>
          </w:p>
        </w:tc>
        <w:tc>
          <w:tcPr>
            <w:tcW w:w="1402" w:type="pct"/>
            <w:tcBorders>
              <w:bottom w:val="nil"/>
            </w:tcBorders>
            <w:vAlign w:val="center"/>
          </w:tcPr>
          <w:p w:rsidR="00963558" w:rsidRPr="00796FB8" w:rsidRDefault="00963558" w:rsidP="00BF3C38">
            <w:pPr>
              <w:pStyle w:val="TableText0"/>
            </w:pPr>
            <w:r w:rsidRPr="00796FB8">
              <w:t>9 March 2005.</w:t>
            </w:r>
          </w:p>
        </w:tc>
      </w:tr>
      <w:tr w:rsidR="00963558" w:rsidRPr="00796FB8" w:rsidTr="00A116FD">
        <w:trPr>
          <w:cantSplit/>
          <w:trHeight w:val="928"/>
        </w:trPr>
        <w:tc>
          <w:tcPr>
            <w:tcW w:w="795" w:type="pct"/>
            <w:vMerge/>
            <w:vAlign w:val="center"/>
          </w:tcPr>
          <w:p w:rsidR="00963558" w:rsidRPr="00796FB8" w:rsidRDefault="00963558" w:rsidP="00BF3C38">
            <w:pPr>
              <w:pStyle w:val="TableText0"/>
              <w:jc w:val="center"/>
              <w:rPr>
                <w:rStyle w:val="Small"/>
                <w:rFonts w:ascii="Arial Narrow" w:hAnsi="Arial Narrow"/>
              </w:rPr>
            </w:pPr>
          </w:p>
        </w:tc>
        <w:tc>
          <w:tcPr>
            <w:tcW w:w="2803" w:type="pct"/>
            <w:tcBorders>
              <w:top w:val="nil"/>
            </w:tcBorders>
            <w:vAlign w:val="center"/>
          </w:tcPr>
          <w:p w:rsidR="00963558" w:rsidRPr="00796FB8" w:rsidRDefault="00963558" w:rsidP="00BF3C38">
            <w:pPr>
              <w:pStyle w:val="TableText0"/>
            </w:pPr>
            <w:r w:rsidRPr="00796FB8">
              <w:t>Ben-Menachem E, Biton V, Jatuzis D, Abou-Khalil B, Doty P, Rudd GD. Efficacy and safety of oral lacosamide as adjunctive therapy in adults with partial-onset seizures</w:t>
            </w:r>
          </w:p>
        </w:tc>
        <w:tc>
          <w:tcPr>
            <w:tcW w:w="1402" w:type="pct"/>
            <w:tcBorders>
              <w:top w:val="nil"/>
            </w:tcBorders>
            <w:vAlign w:val="center"/>
          </w:tcPr>
          <w:p w:rsidR="00963558" w:rsidRPr="00796FB8" w:rsidRDefault="00963558" w:rsidP="00BF3C38">
            <w:pPr>
              <w:pStyle w:val="TableText0"/>
            </w:pPr>
            <w:r w:rsidRPr="00796FB8">
              <w:rPr>
                <w:i/>
                <w:iCs/>
              </w:rPr>
              <w:t>Epilepsia</w:t>
            </w:r>
            <w:r w:rsidRPr="00796FB8">
              <w:t xml:space="preserve"> 2007; 48(7): 1308-17.</w:t>
            </w:r>
          </w:p>
        </w:tc>
      </w:tr>
      <w:tr w:rsidR="00963558" w:rsidRPr="00796FB8" w:rsidTr="00A116FD">
        <w:trPr>
          <w:cantSplit/>
        </w:trPr>
        <w:tc>
          <w:tcPr>
            <w:tcW w:w="795" w:type="pct"/>
            <w:vMerge w:val="restart"/>
            <w:vAlign w:val="center"/>
          </w:tcPr>
          <w:p w:rsidR="00963558" w:rsidRPr="00796FB8" w:rsidRDefault="00963558" w:rsidP="00BF3C38">
            <w:pPr>
              <w:pStyle w:val="TableText0"/>
              <w:jc w:val="center"/>
              <w:rPr>
                <w:rStyle w:val="Small"/>
                <w:rFonts w:ascii="Arial Narrow" w:hAnsi="Arial Narrow"/>
              </w:rPr>
            </w:pPr>
            <w:r w:rsidRPr="00796FB8">
              <w:rPr>
                <w:rStyle w:val="Small"/>
                <w:rFonts w:ascii="Arial Narrow" w:hAnsi="Arial Narrow"/>
              </w:rPr>
              <w:t>SP754</w:t>
            </w:r>
          </w:p>
        </w:tc>
        <w:tc>
          <w:tcPr>
            <w:tcW w:w="2803" w:type="pct"/>
            <w:tcBorders>
              <w:bottom w:val="nil"/>
            </w:tcBorders>
            <w:vAlign w:val="center"/>
          </w:tcPr>
          <w:p w:rsidR="00963558" w:rsidRPr="00796FB8" w:rsidRDefault="00963558" w:rsidP="00BF3C38">
            <w:pPr>
              <w:keepNext/>
              <w:jc w:val="left"/>
              <w:rPr>
                <w:rFonts w:ascii="Arial Narrow" w:hAnsi="Arial Narrow"/>
                <w:sz w:val="20"/>
                <w:szCs w:val="20"/>
                <w:lang w:eastAsia="en-US"/>
              </w:rPr>
            </w:pPr>
            <w:r w:rsidRPr="00796FB8">
              <w:rPr>
                <w:rFonts w:ascii="Arial Narrow" w:hAnsi="Arial Narrow"/>
                <w:sz w:val="20"/>
                <w:szCs w:val="20"/>
                <w:lang w:eastAsia="en-US"/>
              </w:rPr>
              <w:t>Primary clinical study report NCT00136019 - A multicentre, double-blind, randomised, placebo-controlled, parallel-group trial to investigate the efficacy and safety of SPM 927 (400 and 600</w:t>
            </w:r>
            <w:r w:rsidR="001F4613" w:rsidRPr="00796FB8">
              <w:rPr>
                <w:rFonts w:ascii="Arial Narrow" w:hAnsi="Arial Narrow"/>
                <w:sz w:val="20"/>
                <w:szCs w:val="20"/>
                <w:lang w:eastAsia="en-US"/>
              </w:rPr>
              <w:t> </w:t>
            </w:r>
            <w:r w:rsidRPr="00796FB8">
              <w:rPr>
                <w:rFonts w:ascii="Arial Narrow" w:hAnsi="Arial Narrow"/>
                <w:sz w:val="20"/>
                <w:szCs w:val="20"/>
                <w:lang w:eastAsia="en-US"/>
              </w:rPr>
              <w:t>mg/day) as adjunctive therapy in subjects with partial seizures with or without secondary generalization. Schwartz Biosciences, Inc</w:t>
            </w:r>
          </w:p>
          <w:p w:rsidR="00963558" w:rsidRPr="00796FB8" w:rsidRDefault="00963558" w:rsidP="00BF3C38">
            <w:pPr>
              <w:pStyle w:val="TableText0"/>
              <w:rPr>
                <w:rFonts w:ascii="Times" w:hAnsi="Times"/>
              </w:rPr>
            </w:pPr>
          </w:p>
        </w:tc>
        <w:tc>
          <w:tcPr>
            <w:tcW w:w="1402" w:type="pct"/>
            <w:tcBorders>
              <w:bottom w:val="nil"/>
            </w:tcBorders>
            <w:vAlign w:val="center"/>
          </w:tcPr>
          <w:p w:rsidR="00963558" w:rsidRPr="00796FB8" w:rsidRDefault="00963558" w:rsidP="00BF3C38">
            <w:pPr>
              <w:pStyle w:val="TableText0"/>
            </w:pPr>
            <w:r w:rsidRPr="00796FB8">
              <w:t>13 March 2007.</w:t>
            </w:r>
          </w:p>
        </w:tc>
      </w:tr>
      <w:tr w:rsidR="00963558" w:rsidRPr="00796FB8" w:rsidTr="00A116FD">
        <w:trPr>
          <w:cantSplit/>
        </w:trPr>
        <w:tc>
          <w:tcPr>
            <w:tcW w:w="795" w:type="pct"/>
            <w:vMerge/>
            <w:tcBorders>
              <w:bottom w:val="single" w:sz="4" w:space="0" w:color="auto"/>
            </w:tcBorders>
            <w:vAlign w:val="center"/>
          </w:tcPr>
          <w:p w:rsidR="00963558" w:rsidRPr="00796FB8" w:rsidRDefault="00963558" w:rsidP="00BF3C38">
            <w:pPr>
              <w:pStyle w:val="TableText0"/>
              <w:jc w:val="center"/>
              <w:rPr>
                <w:rStyle w:val="Small"/>
                <w:rFonts w:ascii="Arial Narrow" w:hAnsi="Arial Narrow"/>
              </w:rPr>
            </w:pPr>
          </w:p>
        </w:tc>
        <w:tc>
          <w:tcPr>
            <w:tcW w:w="2803" w:type="pct"/>
            <w:tcBorders>
              <w:top w:val="nil"/>
              <w:bottom w:val="single" w:sz="4" w:space="0" w:color="auto"/>
            </w:tcBorders>
            <w:vAlign w:val="center"/>
          </w:tcPr>
          <w:p w:rsidR="00963558" w:rsidRPr="00796FB8" w:rsidRDefault="00963558" w:rsidP="00BF3C38">
            <w:pPr>
              <w:pStyle w:val="TableText0"/>
            </w:pPr>
            <w:r w:rsidRPr="00796FB8">
              <w:t>Chung S, Sperling MR, Biton V, Krauss G, Hebert D, Rudd GD, Doty P; SP754 Study Group. Lacosamide as adjunctive therapy for partial-onset seizures: a randomised controlled trial.</w:t>
            </w:r>
          </w:p>
        </w:tc>
        <w:tc>
          <w:tcPr>
            <w:tcW w:w="1402" w:type="pct"/>
            <w:tcBorders>
              <w:top w:val="nil"/>
              <w:bottom w:val="single" w:sz="4" w:space="0" w:color="auto"/>
            </w:tcBorders>
            <w:vAlign w:val="center"/>
          </w:tcPr>
          <w:p w:rsidR="00963558" w:rsidRPr="00796FB8" w:rsidRDefault="00963558" w:rsidP="00BF3C38">
            <w:pPr>
              <w:pStyle w:val="TableText0"/>
            </w:pPr>
            <w:r w:rsidRPr="00796FB8">
              <w:rPr>
                <w:i/>
                <w:iCs/>
              </w:rPr>
              <w:t>Epilepsia</w:t>
            </w:r>
            <w:r w:rsidRPr="00796FB8">
              <w:t>. 2010; 51(6):958-67.</w:t>
            </w:r>
          </w:p>
        </w:tc>
      </w:tr>
      <w:tr w:rsidR="00963558" w:rsidRPr="00796FB8" w:rsidTr="00A116FD">
        <w:trPr>
          <w:cantSplit/>
        </w:trPr>
        <w:tc>
          <w:tcPr>
            <w:tcW w:w="795" w:type="pct"/>
            <w:vMerge w:val="restart"/>
            <w:vAlign w:val="center"/>
          </w:tcPr>
          <w:p w:rsidR="00963558" w:rsidRPr="00796FB8" w:rsidRDefault="00963558" w:rsidP="00BF3C38">
            <w:pPr>
              <w:pStyle w:val="TableText0"/>
              <w:jc w:val="center"/>
              <w:rPr>
                <w:rStyle w:val="Small"/>
                <w:rFonts w:ascii="Arial Narrow" w:hAnsi="Arial Narrow"/>
              </w:rPr>
            </w:pPr>
            <w:r w:rsidRPr="00796FB8">
              <w:rPr>
                <w:rStyle w:val="Small"/>
                <w:rFonts w:ascii="Arial Narrow" w:hAnsi="Arial Narrow"/>
              </w:rPr>
              <w:t>SP755</w:t>
            </w:r>
          </w:p>
        </w:tc>
        <w:tc>
          <w:tcPr>
            <w:tcW w:w="2803" w:type="pct"/>
            <w:tcBorders>
              <w:bottom w:val="nil"/>
            </w:tcBorders>
            <w:vAlign w:val="center"/>
          </w:tcPr>
          <w:p w:rsidR="00963558" w:rsidRPr="00796FB8" w:rsidRDefault="00963558" w:rsidP="00BF3C38">
            <w:pPr>
              <w:keepNext/>
              <w:jc w:val="left"/>
              <w:rPr>
                <w:rFonts w:ascii="Arial Narrow" w:hAnsi="Arial Narrow"/>
                <w:sz w:val="20"/>
                <w:szCs w:val="20"/>
                <w:lang w:eastAsia="en-US"/>
              </w:rPr>
            </w:pPr>
            <w:r w:rsidRPr="00796FB8">
              <w:rPr>
                <w:rFonts w:ascii="Arial Narrow" w:hAnsi="Arial Narrow"/>
                <w:sz w:val="20"/>
                <w:szCs w:val="20"/>
                <w:lang w:eastAsia="en-US"/>
              </w:rPr>
              <w:t>Primary clinical study report NCT00220415 - A multicentre, double-blind, randomised, placebo-controlled, parallel-group trial to investigate the efficacy and safety of SPM 927 (200 and 400</w:t>
            </w:r>
            <w:r w:rsidR="001F4613" w:rsidRPr="00796FB8">
              <w:rPr>
                <w:rFonts w:ascii="Arial Narrow" w:hAnsi="Arial Narrow"/>
                <w:sz w:val="20"/>
                <w:szCs w:val="20"/>
                <w:lang w:eastAsia="en-US"/>
              </w:rPr>
              <w:t> </w:t>
            </w:r>
            <w:r w:rsidRPr="00796FB8">
              <w:rPr>
                <w:rFonts w:ascii="Arial Narrow" w:hAnsi="Arial Narrow"/>
                <w:sz w:val="20"/>
                <w:szCs w:val="20"/>
                <w:lang w:eastAsia="en-US"/>
              </w:rPr>
              <w:t>mg/day) as adjunctive therapy in subjects with partial seizures with or without secondary generalization. Schwartz Biosciences GmbH.</w:t>
            </w:r>
          </w:p>
          <w:p w:rsidR="00963558" w:rsidRPr="00796FB8" w:rsidRDefault="00963558" w:rsidP="00BF3C38">
            <w:pPr>
              <w:pStyle w:val="TableText0"/>
              <w:rPr>
                <w:rFonts w:ascii="Times" w:hAnsi="Times"/>
              </w:rPr>
            </w:pPr>
          </w:p>
        </w:tc>
        <w:tc>
          <w:tcPr>
            <w:tcW w:w="1402" w:type="pct"/>
            <w:tcBorders>
              <w:bottom w:val="nil"/>
            </w:tcBorders>
            <w:vAlign w:val="center"/>
          </w:tcPr>
          <w:p w:rsidR="00963558" w:rsidRPr="00796FB8" w:rsidRDefault="00963558" w:rsidP="00BF3C38">
            <w:pPr>
              <w:pStyle w:val="TableText0"/>
            </w:pPr>
            <w:r w:rsidRPr="00796FB8">
              <w:t>8 September 2006</w:t>
            </w:r>
          </w:p>
        </w:tc>
      </w:tr>
      <w:tr w:rsidR="00963558" w:rsidRPr="00796FB8" w:rsidTr="00A116FD">
        <w:trPr>
          <w:cantSplit/>
        </w:trPr>
        <w:tc>
          <w:tcPr>
            <w:tcW w:w="795" w:type="pct"/>
            <w:vMerge/>
            <w:tcBorders>
              <w:bottom w:val="single" w:sz="4" w:space="0" w:color="auto"/>
            </w:tcBorders>
            <w:vAlign w:val="center"/>
          </w:tcPr>
          <w:p w:rsidR="00963558" w:rsidRPr="00796FB8" w:rsidRDefault="00963558" w:rsidP="00BF3C38">
            <w:pPr>
              <w:pStyle w:val="TableText0"/>
              <w:jc w:val="center"/>
              <w:rPr>
                <w:rStyle w:val="Small"/>
                <w:rFonts w:ascii="Arial Narrow" w:hAnsi="Arial Narrow"/>
              </w:rPr>
            </w:pPr>
          </w:p>
        </w:tc>
        <w:tc>
          <w:tcPr>
            <w:tcW w:w="2803" w:type="pct"/>
            <w:tcBorders>
              <w:top w:val="nil"/>
              <w:bottom w:val="single" w:sz="4" w:space="0" w:color="auto"/>
            </w:tcBorders>
            <w:vAlign w:val="center"/>
          </w:tcPr>
          <w:p w:rsidR="00963558" w:rsidRPr="00796FB8" w:rsidRDefault="00963558" w:rsidP="00BF3C38">
            <w:pPr>
              <w:pStyle w:val="TableText0"/>
            </w:pPr>
            <w:r w:rsidRPr="00796FB8">
              <w:t>Halasz P, Kalviainen R, Mazurkiewicz-Beldzinska M, Rosenow F, Doty P, Hebert D and Sullivan T. Adjunctive lacosamide for partial-onset seizures: Efficacy and safety results from a randomised controlled trial.</w:t>
            </w:r>
          </w:p>
        </w:tc>
        <w:tc>
          <w:tcPr>
            <w:tcW w:w="1402" w:type="pct"/>
            <w:tcBorders>
              <w:top w:val="nil"/>
              <w:bottom w:val="single" w:sz="4" w:space="0" w:color="auto"/>
            </w:tcBorders>
            <w:vAlign w:val="center"/>
          </w:tcPr>
          <w:p w:rsidR="00963558" w:rsidRPr="00796FB8" w:rsidRDefault="00963558" w:rsidP="00BF3C38">
            <w:pPr>
              <w:pStyle w:val="TableText0"/>
            </w:pPr>
            <w:r w:rsidRPr="00796FB8">
              <w:rPr>
                <w:i/>
                <w:iCs/>
              </w:rPr>
              <w:t>Epilepsia</w:t>
            </w:r>
            <w:r w:rsidRPr="00796FB8">
              <w:t xml:space="preserve"> 2009; 50 (3):443-453.</w:t>
            </w:r>
          </w:p>
        </w:tc>
      </w:tr>
      <w:tr w:rsidR="00963558" w:rsidRPr="00796FB8" w:rsidTr="00A116FD">
        <w:trPr>
          <w:cantSplit/>
        </w:trPr>
        <w:tc>
          <w:tcPr>
            <w:tcW w:w="795" w:type="pct"/>
            <w:vMerge w:val="restart"/>
            <w:vAlign w:val="center"/>
          </w:tcPr>
          <w:p w:rsidR="00963558" w:rsidRPr="00796FB8" w:rsidRDefault="00963558" w:rsidP="00BF3C38">
            <w:pPr>
              <w:pStyle w:val="TableText0"/>
              <w:jc w:val="center"/>
              <w:rPr>
                <w:rStyle w:val="Small"/>
                <w:rFonts w:ascii="Arial Narrow" w:hAnsi="Arial Narrow"/>
              </w:rPr>
            </w:pPr>
            <w:r w:rsidRPr="00796FB8">
              <w:rPr>
                <w:rStyle w:val="Small"/>
                <w:rFonts w:ascii="Arial Narrow" w:hAnsi="Arial Narrow"/>
              </w:rPr>
              <w:t>EP0008</w:t>
            </w:r>
          </w:p>
        </w:tc>
        <w:tc>
          <w:tcPr>
            <w:tcW w:w="2803" w:type="pct"/>
            <w:tcBorders>
              <w:bottom w:val="nil"/>
            </w:tcBorders>
            <w:vAlign w:val="center"/>
          </w:tcPr>
          <w:p w:rsidR="00963558" w:rsidRPr="00796FB8" w:rsidRDefault="00963558" w:rsidP="00BF3C38">
            <w:pPr>
              <w:keepNext/>
              <w:jc w:val="left"/>
              <w:rPr>
                <w:rFonts w:ascii="Arial Narrow" w:hAnsi="Arial Narrow"/>
                <w:sz w:val="20"/>
                <w:szCs w:val="20"/>
                <w:lang w:eastAsia="en-US"/>
              </w:rPr>
            </w:pPr>
            <w:r w:rsidRPr="00796FB8">
              <w:rPr>
                <w:rFonts w:ascii="Arial Narrow" w:hAnsi="Arial Narrow"/>
                <w:sz w:val="20"/>
                <w:szCs w:val="20"/>
                <w:lang w:eastAsia="en-US"/>
              </w:rPr>
              <w:t>NCT01710657 – A Trial to Evaluate the Efficacy and Safety of Adjunctive Therapy With Lacosamide in Adults With Partial-Onset Seizures</w:t>
            </w:r>
          </w:p>
        </w:tc>
        <w:tc>
          <w:tcPr>
            <w:tcW w:w="1402" w:type="pct"/>
            <w:tcBorders>
              <w:bottom w:val="nil"/>
            </w:tcBorders>
            <w:vAlign w:val="center"/>
          </w:tcPr>
          <w:p w:rsidR="00963558" w:rsidRPr="00796FB8" w:rsidRDefault="00963558" w:rsidP="00BF3C38">
            <w:pPr>
              <w:pStyle w:val="TableText0"/>
            </w:pPr>
            <w:r w:rsidRPr="00796FB8">
              <w:t>Results posted February 2015.</w:t>
            </w:r>
          </w:p>
        </w:tc>
      </w:tr>
      <w:tr w:rsidR="00963558" w:rsidRPr="00796FB8" w:rsidTr="00A116FD">
        <w:trPr>
          <w:cantSplit/>
        </w:trPr>
        <w:tc>
          <w:tcPr>
            <w:tcW w:w="795" w:type="pct"/>
            <w:vMerge/>
            <w:tcBorders>
              <w:bottom w:val="single" w:sz="4" w:space="0" w:color="auto"/>
            </w:tcBorders>
            <w:vAlign w:val="center"/>
          </w:tcPr>
          <w:p w:rsidR="00963558" w:rsidRPr="00796FB8" w:rsidRDefault="00963558" w:rsidP="00BF3C38">
            <w:pPr>
              <w:pStyle w:val="Tabletext"/>
              <w:keepLines/>
            </w:pPr>
          </w:p>
        </w:tc>
        <w:tc>
          <w:tcPr>
            <w:tcW w:w="2803" w:type="pct"/>
            <w:tcBorders>
              <w:top w:val="nil"/>
              <w:bottom w:val="single" w:sz="4" w:space="0" w:color="auto"/>
            </w:tcBorders>
            <w:vAlign w:val="center"/>
          </w:tcPr>
          <w:p w:rsidR="00963558" w:rsidRPr="00796FB8" w:rsidRDefault="00963558" w:rsidP="00BF3C38">
            <w:pPr>
              <w:jc w:val="left"/>
              <w:rPr>
                <w:rFonts w:ascii="Arial Narrow" w:hAnsi="Arial Narrow"/>
                <w:sz w:val="20"/>
                <w:szCs w:val="20"/>
                <w:lang w:eastAsia="en-US"/>
              </w:rPr>
            </w:pPr>
            <w:r w:rsidRPr="00796FB8">
              <w:rPr>
                <w:rFonts w:ascii="Arial Narrow" w:hAnsi="Arial Narrow"/>
                <w:sz w:val="20"/>
                <w:szCs w:val="20"/>
                <w:lang w:eastAsia="en-US"/>
              </w:rPr>
              <w:t>Hong Z, Inoue Y, Liao W, et al. Efficacy and safety of adjunctive lacosamide for the treatment of partial-onset seizures in Chinese and Japanese adults: A randomised, double-blind, placebo-controlled study.</w:t>
            </w:r>
          </w:p>
        </w:tc>
        <w:tc>
          <w:tcPr>
            <w:tcW w:w="1402" w:type="pct"/>
            <w:tcBorders>
              <w:top w:val="nil"/>
              <w:bottom w:val="single" w:sz="4" w:space="0" w:color="auto"/>
            </w:tcBorders>
            <w:vAlign w:val="center"/>
          </w:tcPr>
          <w:p w:rsidR="00963558" w:rsidRPr="00796FB8" w:rsidRDefault="00963558" w:rsidP="00BF3C38">
            <w:pPr>
              <w:pStyle w:val="TableText0"/>
              <w:keepNext w:val="0"/>
            </w:pPr>
            <w:r w:rsidRPr="00796FB8">
              <w:rPr>
                <w:i/>
                <w:iCs/>
              </w:rPr>
              <w:t>Epilepsy Res</w:t>
            </w:r>
            <w:r w:rsidRPr="00796FB8">
              <w:t>. 2016;127:267-275.</w:t>
            </w:r>
          </w:p>
        </w:tc>
      </w:tr>
    </w:tbl>
    <w:p w:rsidR="00963558" w:rsidRPr="00796FB8" w:rsidRDefault="00963558" w:rsidP="00BF3C38">
      <w:pPr>
        <w:pStyle w:val="TableFigureFooter"/>
      </w:pPr>
      <w:r w:rsidRPr="00796FB8">
        <w:t>Source: Modified from Table 2-6, pp 38-39 of the submission.</w:t>
      </w:r>
    </w:p>
    <w:p w:rsidR="00963558" w:rsidRPr="00796FB8" w:rsidRDefault="00963558" w:rsidP="00BF3C38">
      <w:pPr>
        <w:pStyle w:val="TableFigureFooter"/>
        <w:rPr>
          <w:sz w:val="20"/>
        </w:rPr>
      </w:pPr>
      <w:r w:rsidRPr="00796FB8">
        <w:t>SPM927 = lacosamide.</w:t>
      </w:r>
    </w:p>
    <w:p w:rsidR="00963558" w:rsidRPr="00796FB8" w:rsidRDefault="00963558" w:rsidP="00BF3C38">
      <w:pPr>
        <w:pStyle w:val="3-BodyText"/>
        <w:rPr>
          <w:color w:val="0066FF"/>
        </w:rPr>
      </w:pPr>
      <w:r w:rsidRPr="00796FB8">
        <w:t xml:space="preserve">The key features of the RCTs used in the ITC are summarised in </w:t>
      </w:r>
      <w:r w:rsidR="002C71DF" w:rsidRPr="00796FB8">
        <w:t>Table 3</w:t>
      </w:r>
      <w:r w:rsidRPr="00796FB8">
        <w:t xml:space="preserve"> below. </w:t>
      </w:r>
    </w:p>
    <w:p w:rsidR="00963558" w:rsidRPr="00796FB8" w:rsidRDefault="00963558" w:rsidP="00BF3C38">
      <w:pPr>
        <w:pStyle w:val="TableFigureHeading"/>
        <w:keepLines/>
        <w:rPr>
          <w:rStyle w:val="CommentReference"/>
          <w:b/>
          <w:szCs w:val="24"/>
        </w:rPr>
      </w:pPr>
      <w:bookmarkStart w:id="17" w:name="_Ref58218203"/>
      <w:r w:rsidRPr="00796FB8">
        <w:t xml:space="preserve">Table </w:t>
      </w:r>
      <w:r w:rsidR="002C71DF" w:rsidRPr="00796FB8">
        <w:t>3</w:t>
      </w:r>
      <w:bookmarkEnd w:id="17"/>
      <w:r w:rsidRPr="00796FB8">
        <w:rPr>
          <w:rStyle w:val="CommentReference"/>
          <w:b/>
          <w:szCs w:val="24"/>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2815"/>
      </w:tblGrid>
      <w:tr w:rsidR="00963558" w:rsidRPr="00796FB8" w:rsidTr="00A116FD">
        <w:trPr>
          <w:cantSplit/>
          <w:tblHeader/>
        </w:trPr>
        <w:tc>
          <w:tcPr>
            <w:tcW w:w="713" w:type="pct"/>
            <w:shd w:val="clear" w:color="auto" w:fill="auto"/>
            <w:vAlign w:val="center"/>
          </w:tcPr>
          <w:p w:rsidR="00963558" w:rsidRPr="00796FB8" w:rsidRDefault="00963558" w:rsidP="00BF3C38">
            <w:pPr>
              <w:pStyle w:val="In-tableHeading"/>
              <w:keepLines/>
              <w:rPr>
                <w:lang w:val="en-AU"/>
              </w:rPr>
            </w:pPr>
            <w:r w:rsidRPr="00796FB8">
              <w:rPr>
                <w:lang w:val="en-AU"/>
              </w:rPr>
              <w:t>Trial</w:t>
            </w:r>
          </w:p>
        </w:tc>
        <w:tc>
          <w:tcPr>
            <w:tcW w:w="466" w:type="pct"/>
            <w:shd w:val="clear" w:color="auto" w:fill="auto"/>
            <w:vAlign w:val="center"/>
          </w:tcPr>
          <w:p w:rsidR="00963558" w:rsidRPr="00796FB8" w:rsidRDefault="00963558" w:rsidP="00BF3C38">
            <w:pPr>
              <w:pStyle w:val="In-tableHeading"/>
              <w:keepLines/>
              <w:jc w:val="center"/>
              <w:rPr>
                <w:lang w:val="en-AU"/>
              </w:rPr>
            </w:pPr>
            <w:r w:rsidRPr="00796FB8">
              <w:rPr>
                <w:lang w:val="en-AU"/>
              </w:rPr>
              <w:t>N</w:t>
            </w:r>
          </w:p>
        </w:tc>
        <w:tc>
          <w:tcPr>
            <w:tcW w:w="782" w:type="pct"/>
            <w:shd w:val="clear" w:color="auto" w:fill="auto"/>
            <w:vAlign w:val="center"/>
          </w:tcPr>
          <w:p w:rsidR="00963558" w:rsidRPr="00796FB8" w:rsidRDefault="00963558" w:rsidP="00BF3C38">
            <w:pPr>
              <w:pStyle w:val="In-tableHeading"/>
              <w:keepLines/>
              <w:jc w:val="center"/>
              <w:rPr>
                <w:lang w:val="en-AU"/>
              </w:rPr>
            </w:pPr>
            <w:r w:rsidRPr="00796FB8">
              <w:rPr>
                <w:lang w:val="en-AU"/>
              </w:rPr>
              <w:t>Design/ duration</w:t>
            </w:r>
          </w:p>
        </w:tc>
        <w:tc>
          <w:tcPr>
            <w:tcW w:w="621" w:type="pct"/>
            <w:shd w:val="clear" w:color="auto" w:fill="auto"/>
            <w:vAlign w:val="center"/>
          </w:tcPr>
          <w:p w:rsidR="00963558" w:rsidRPr="00796FB8" w:rsidRDefault="00963558" w:rsidP="00BF3C38">
            <w:pPr>
              <w:pStyle w:val="In-tableHeading"/>
              <w:keepLines/>
              <w:jc w:val="center"/>
              <w:rPr>
                <w:lang w:val="en-AU"/>
              </w:rPr>
            </w:pPr>
            <w:r w:rsidRPr="00796FB8">
              <w:rPr>
                <w:lang w:val="en-AU"/>
              </w:rPr>
              <w:t>Risk of bias</w:t>
            </w:r>
          </w:p>
        </w:tc>
        <w:tc>
          <w:tcPr>
            <w:tcW w:w="857" w:type="pct"/>
            <w:shd w:val="clear" w:color="auto" w:fill="auto"/>
            <w:vAlign w:val="center"/>
          </w:tcPr>
          <w:p w:rsidR="00963558" w:rsidRPr="00796FB8" w:rsidRDefault="00963558" w:rsidP="00BF3C38">
            <w:pPr>
              <w:pStyle w:val="In-tableHeading"/>
              <w:keepLines/>
              <w:jc w:val="center"/>
              <w:rPr>
                <w:lang w:val="en-AU"/>
              </w:rPr>
            </w:pPr>
            <w:r w:rsidRPr="00796FB8">
              <w:rPr>
                <w:lang w:val="en-AU"/>
              </w:rPr>
              <w:t>Patient population</w:t>
            </w:r>
          </w:p>
        </w:tc>
        <w:tc>
          <w:tcPr>
            <w:tcW w:w="1561" w:type="pct"/>
            <w:shd w:val="clear" w:color="auto" w:fill="auto"/>
            <w:vAlign w:val="center"/>
          </w:tcPr>
          <w:p w:rsidR="00963558" w:rsidRPr="00796FB8" w:rsidRDefault="00963558" w:rsidP="00BF3C38">
            <w:pPr>
              <w:pStyle w:val="In-tableHeading"/>
              <w:keepLines/>
              <w:jc w:val="center"/>
              <w:rPr>
                <w:lang w:val="en-AU"/>
              </w:rPr>
            </w:pPr>
            <w:r w:rsidRPr="00796FB8">
              <w:rPr>
                <w:lang w:val="en-AU"/>
              </w:rPr>
              <w:t>Outcome(s)</w:t>
            </w:r>
          </w:p>
        </w:tc>
      </w:tr>
      <w:tr w:rsidR="00963558" w:rsidRPr="00796FB8" w:rsidTr="00A116FD">
        <w:trPr>
          <w:cantSplit/>
        </w:trPr>
        <w:tc>
          <w:tcPr>
            <w:tcW w:w="5000" w:type="pct"/>
            <w:gridSpan w:val="6"/>
            <w:shd w:val="clear" w:color="auto" w:fill="auto"/>
            <w:vAlign w:val="center"/>
          </w:tcPr>
          <w:p w:rsidR="00963558" w:rsidRPr="00796FB8" w:rsidRDefault="00963558" w:rsidP="00BF3C38">
            <w:pPr>
              <w:pStyle w:val="In-tableHeading"/>
              <w:keepLines/>
              <w:rPr>
                <w:lang w:val="en-AU"/>
              </w:rPr>
            </w:pPr>
            <w:r w:rsidRPr="00796FB8">
              <w:rPr>
                <w:lang w:val="en-AU"/>
              </w:rPr>
              <w:t>Eslicarbazepine acetate vs placebo</w:t>
            </w:r>
          </w:p>
        </w:tc>
      </w:tr>
      <w:tr w:rsidR="00963558" w:rsidRPr="00796FB8" w:rsidTr="00A116FD">
        <w:trPr>
          <w:cantSplit/>
        </w:trPr>
        <w:tc>
          <w:tcPr>
            <w:tcW w:w="713" w:type="pct"/>
            <w:shd w:val="clear" w:color="auto" w:fill="auto"/>
            <w:vAlign w:val="center"/>
          </w:tcPr>
          <w:p w:rsidR="00963558" w:rsidRPr="00796FB8" w:rsidRDefault="00963558" w:rsidP="00BF3C38">
            <w:pPr>
              <w:pStyle w:val="TableText0"/>
              <w:keepLines/>
            </w:pPr>
            <w:r w:rsidRPr="00796FB8">
              <w:t>Study 304</w:t>
            </w:r>
          </w:p>
        </w:tc>
        <w:tc>
          <w:tcPr>
            <w:tcW w:w="466" w:type="pct"/>
            <w:shd w:val="clear" w:color="auto" w:fill="auto"/>
            <w:vAlign w:val="center"/>
          </w:tcPr>
          <w:p w:rsidR="00963558" w:rsidRPr="00796FB8" w:rsidRDefault="00963558" w:rsidP="00BF3C38">
            <w:pPr>
              <w:pStyle w:val="TableText0"/>
              <w:keepLines/>
              <w:jc w:val="center"/>
            </w:pPr>
            <w:r w:rsidRPr="00796FB8">
              <w:t>640</w:t>
            </w:r>
          </w:p>
        </w:tc>
        <w:tc>
          <w:tcPr>
            <w:tcW w:w="782" w:type="pct"/>
            <w:shd w:val="clear" w:color="auto" w:fill="auto"/>
            <w:vAlign w:val="center"/>
          </w:tcPr>
          <w:p w:rsidR="00963558" w:rsidRPr="00796FB8" w:rsidRDefault="00963558" w:rsidP="00BF3C38">
            <w:pPr>
              <w:pStyle w:val="TableText0"/>
              <w:keepLines/>
              <w:jc w:val="center"/>
            </w:pPr>
            <w:r w:rsidRPr="00796FB8">
              <w:t>R, DB, MC</w:t>
            </w:r>
          </w:p>
          <w:p w:rsidR="00963558" w:rsidRPr="00796FB8" w:rsidRDefault="00963558" w:rsidP="00BF3C38">
            <w:pPr>
              <w:pStyle w:val="TableText0"/>
              <w:keepLines/>
              <w:jc w:val="center"/>
            </w:pPr>
            <w:r w:rsidRPr="00796FB8">
              <w:rPr>
                <w:szCs w:val="16"/>
              </w:rPr>
              <w:t>12 weeks of maintenance treatment</w:t>
            </w:r>
          </w:p>
        </w:tc>
        <w:tc>
          <w:tcPr>
            <w:tcW w:w="621" w:type="pct"/>
            <w:shd w:val="clear" w:color="auto" w:fill="auto"/>
            <w:vAlign w:val="center"/>
          </w:tcPr>
          <w:p w:rsidR="00963558" w:rsidRPr="00796FB8" w:rsidRDefault="000B355A" w:rsidP="00BF3C38">
            <w:pPr>
              <w:pStyle w:val="TableText0"/>
              <w:keepLines/>
              <w:jc w:val="center"/>
              <w:rPr>
                <w:iCs/>
              </w:rPr>
            </w:pPr>
            <w:r w:rsidRPr="00796FB8">
              <w:rPr>
                <w:iCs/>
              </w:rPr>
              <w:t>Low</w:t>
            </w:r>
          </w:p>
        </w:tc>
        <w:tc>
          <w:tcPr>
            <w:tcW w:w="857" w:type="pct"/>
            <w:shd w:val="clear" w:color="auto" w:fill="auto"/>
            <w:vAlign w:val="center"/>
          </w:tcPr>
          <w:p w:rsidR="00963558" w:rsidRPr="00796FB8" w:rsidRDefault="00963558" w:rsidP="00BF3C38">
            <w:pPr>
              <w:pStyle w:val="TableText0"/>
              <w:keepLines/>
              <w:jc w:val="center"/>
            </w:pPr>
            <w:r w:rsidRPr="00796FB8">
              <w:rPr>
                <w:szCs w:val="16"/>
              </w:rPr>
              <w:t>Patients aged ≥ 16 years old with treatment-resistant POS</w:t>
            </w:r>
          </w:p>
        </w:tc>
        <w:tc>
          <w:tcPr>
            <w:tcW w:w="1561" w:type="pct"/>
            <w:shd w:val="clear" w:color="auto" w:fill="auto"/>
            <w:vAlign w:val="center"/>
          </w:tcPr>
          <w:p w:rsidR="00963558" w:rsidRPr="00796FB8" w:rsidRDefault="00963558" w:rsidP="00BF3C38">
            <w:pPr>
              <w:pStyle w:val="TableText0"/>
              <w:keepLines/>
            </w:pPr>
            <w:r w:rsidRPr="00796FB8">
              <w:t>1) SSF over the maintenance period.</w:t>
            </w:r>
          </w:p>
          <w:p w:rsidR="00963558" w:rsidRPr="00796FB8" w:rsidRDefault="00963558" w:rsidP="00BF3C38">
            <w:pPr>
              <w:pStyle w:val="TableText0"/>
              <w:keepLines/>
            </w:pPr>
            <w:r w:rsidRPr="00796FB8">
              <w:t>2) ≥ 50% reduction in SSF from baseline to maintenance.</w:t>
            </w:r>
          </w:p>
          <w:p w:rsidR="00963558" w:rsidRPr="00796FB8" w:rsidRDefault="00963558" w:rsidP="00BF3C38">
            <w:pPr>
              <w:pStyle w:val="TableText0"/>
              <w:keepLines/>
            </w:pPr>
            <w:r w:rsidRPr="00796FB8">
              <w:t>3) Seizure freedom</w:t>
            </w:r>
          </w:p>
        </w:tc>
      </w:tr>
      <w:tr w:rsidR="00963558" w:rsidRPr="00796FB8" w:rsidTr="00A116FD">
        <w:trPr>
          <w:cantSplit/>
        </w:trPr>
        <w:tc>
          <w:tcPr>
            <w:tcW w:w="5000" w:type="pct"/>
            <w:gridSpan w:val="6"/>
            <w:shd w:val="clear" w:color="auto" w:fill="auto"/>
            <w:vAlign w:val="center"/>
          </w:tcPr>
          <w:p w:rsidR="00963558" w:rsidRPr="00796FB8" w:rsidRDefault="00963558" w:rsidP="00BF3C38">
            <w:pPr>
              <w:pStyle w:val="TableText0"/>
              <w:keepLines/>
              <w:rPr>
                <w:b/>
                <w:bCs w:val="0"/>
              </w:rPr>
            </w:pPr>
            <w:r w:rsidRPr="00796FB8">
              <w:rPr>
                <w:b/>
                <w:bCs w:val="0"/>
              </w:rPr>
              <w:t>Lacosamide vs placebo</w:t>
            </w:r>
          </w:p>
        </w:tc>
      </w:tr>
      <w:tr w:rsidR="00963558" w:rsidRPr="00796FB8" w:rsidTr="00A116FD">
        <w:trPr>
          <w:cantSplit/>
        </w:trPr>
        <w:tc>
          <w:tcPr>
            <w:tcW w:w="713" w:type="pct"/>
            <w:shd w:val="clear" w:color="auto" w:fill="auto"/>
            <w:vAlign w:val="center"/>
          </w:tcPr>
          <w:p w:rsidR="00963558" w:rsidRPr="00796FB8" w:rsidRDefault="00963558" w:rsidP="00BF3C38">
            <w:pPr>
              <w:pStyle w:val="TableText0"/>
              <w:keepLines/>
            </w:pPr>
            <w:r w:rsidRPr="00796FB8">
              <w:rPr>
                <w:szCs w:val="16"/>
              </w:rPr>
              <w:t>SP667</w:t>
            </w:r>
          </w:p>
        </w:tc>
        <w:tc>
          <w:tcPr>
            <w:tcW w:w="466" w:type="pct"/>
            <w:shd w:val="clear" w:color="auto" w:fill="auto"/>
            <w:vAlign w:val="center"/>
          </w:tcPr>
          <w:p w:rsidR="00963558" w:rsidRPr="00796FB8" w:rsidRDefault="00963558" w:rsidP="00BF3C38">
            <w:pPr>
              <w:pStyle w:val="TableText0"/>
              <w:keepLines/>
              <w:jc w:val="center"/>
            </w:pPr>
            <w:r w:rsidRPr="00796FB8">
              <w:rPr>
                <w:szCs w:val="16"/>
              </w:rPr>
              <w:t>312</w:t>
            </w:r>
            <w:r w:rsidR="00B21A24" w:rsidRPr="00796FB8">
              <w:rPr>
                <w:vertAlign w:val="superscript"/>
              </w:rPr>
              <w:t>a</w:t>
            </w:r>
          </w:p>
        </w:tc>
        <w:tc>
          <w:tcPr>
            <w:tcW w:w="782" w:type="pct"/>
            <w:shd w:val="clear" w:color="auto" w:fill="auto"/>
            <w:vAlign w:val="center"/>
          </w:tcPr>
          <w:p w:rsidR="00963558" w:rsidRPr="00796FB8" w:rsidRDefault="00963558" w:rsidP="00BF3C38">
            <w:pPr>
              <w:keepNext/>
              <w:keepLines/>
              <w:jc w:val="center"/>
              <w:rPr>
                <w:rFonts w:ascii="Arial Narrow" w:hAnsi="Arial Narrow"/>
                <w:sz w:val="20"/>
                <w:szCs w:val="16"/>
              </w:rPr>
            </w:pPr>
            <w:r w:rsidRPr="00796FB8">
              <w:rPr>
                <w:rFonts w:ascii="Arial Narrow" w:hAnsi="Arial Narrow"/>
                <w:sz w:val="20"/>
                <w:szCs w:val="16"/>
              </w:rPr>
              <w:t>R, DB, MC</w:t>
            </w:r>
          </w:p>
          <w:p w:rsidR="00963558" w:rsidRPr="00796FB8" w:rsidRDefault="00963558" w:rsidP="00BF3C38">
            <w:pPr>
              <w:pStyle w:val="TableText0"/>
              <w:keepLines/>
              <w:jc w:val="center"/>
            </w:pPr>
            <w:r w:rsidRPr="00796FB8">
              <w:rPr>
                <w:szCs w:val="16"/>
              </w:rPr>
              <w:t>12 weeks of maintenance treatment</w:t>
            </w:r>
          </w:p>
        </w:tc>
        <w:tc>
          <w:tcPr>
            <w:tcW w:w="621" w:type="pct"/>
            <w:shd w:val="clear" w:color="auto" w:fill="auto"/>
            <w:vAlign w:val="center"/>
          </w:tcPr>
          <w:p w:rsidR="00963558" w:rsidRPr="00796FB8" w:rsidRDefault="00963558" w:rsidP="00BF3C38">
            <w:pPr>
              <w:pStyle w:val="TableText0"/>
              <w:keepLines/>
              <w:jc w:val="center"/>
              <w:rPr>
                <w:i/>
              </w:rPr>
            </w:pPr>
            <w:r w:rsidRPr="00796FB8">
              <w:rPr>
                <w:szCs w:val="16"/>
              </w:rPr>
              <w:t>Low</w:t>
            </w:r>
          </w:p>
        </w:tc>
        <w:tc>
          <w:tcPr>
            <w:tcW w:w="857" w:type="pct"/>
            <w:shd w:val="clear" w:color="auto" w:fill="auto"/>
            <w:vAlign w:val="center"/>
          </w:tcPr>
          <w:p w:rsidR="00963558" w:rsidRPr="00796FB8" w:rsidRDefault="00963558" w:rsidP="00BF3C38">
            <w:pPr>
              <w:pStyle w:val="TableText0"/>
              <w:keepLines/>
              <w:jc w:val="center"/>
            </w:pPr>
            <w:r w:rsidRPr="00796FB8">
              <w:rPr>
                <w:szCs w:val="16"/>
              </w:rPr>
              <w:t>Patients aged 18-65 years old with treatment-resistant POS</w:t>
            </w:r>
          </w:p>
        </w:tc>
        <w:tc>
          <w:tcPr>
            <w:tcW w:w="1561" w:type="pct"/>
            <w:shd w:val="clear" w:color="auto" w:fill="auto"/>
            <w:vAlign w:val="center"/>
          </w:tcPr>
          <w:p w:rsidR="00963558" w:rsidRPr="00796FB8" w:rsidRDefault="00963558" w:rsidP="00BF3C38">
            <w:pPr>
              <w:keepNext/>
              <w:keepLines/>
              <w:jc w:val="left"/>
              <w:rPr>
                <w:rFonts w:ascii="Arial Narrow" w:hAnsi="Arial Narrow"/>
                <w:sz w:val="20"/>
              </w:rPr>
            </w:pPr>
            <w:r w:rsidRPr="00796FB8">
              <w:rPr>
                <w:rFonts w:ascii="Arial Narrow" w:hAnsi="Arial Narrow"/>
                <w:sz w:val="20"/>
              </w:rPr>
              <w:t>1) Reduction in seizure frequency from baseline to maintenance</w:t>
            </w:r>
          </w:p>
          <w:p w:rsidR="00963558" w:rsidRPr="00796FB8" w:rsidRDefault="00963558" w:rsidP="00BF3C38">
            <w:pPr>
              <w:keepNext/>
              <w:keepLines/>
              <w:jc w:val="left"/>
              <w:rPr>
                <w:rFonts w:ascii="Arial Narrow" w:hAnsi="Arial Narrow"/>
                <w:sz w:val="20"/>
              </w:rPr>
            </w:pPr>
            <w:r w:rsidRPr="00796FB8">
              <w:rPr>
                <w:rFonts w:ascii="Arial Narrow" w:hAnsi="Arial Narrow"/>
                <w:sz w:val="20"/>
              </w:rPr>
              <w:t>2) ≥50% reduction in seizure frequency from baseline to maintenance</w:t>
            </w:r>
          </w:p>
          <w:p w:rsidR="00963558" w:rsidRPr="00796FB8" w:rsidRDefault="00963558" w:rsidP="00BF3C38">
            <w:pPr>
              <w:pStyle w:val="TableText0"/>
              <w:keepLines/>
            </w:pPr>
            <w:r w:rsidRPr="00796FB8">
              <w:t>3) Seizure freedom</w:t>
            </w:r>
          </w:p>
        </w:tc>
      </w:tr>
      <w:tr w:rsidR="00963558" w:rsidRPr="00796FB8" w:rsidTr="00A116FD">
        <w:trPr>
          <w:cantSplit/>
        </w:trPr>
        <w:tc>
          <w:tcPr>
            <w:tcW w:w="713" w:type="pct"/>
            <w:shd w:val="clear" w:color="auto" w:fill="auto"/>
            <w:vAlign w:val="center"/>
          </w:tcPr>
          <w:p w:rsidR="00963558" w:rsidRPr="00796FB8" w:rsidRDefault="00963558" w:rsidP="00BF3C38">
            <w:pPr>
              <w:pStyle w:val="TableText0"/>
              <w:keepLines/>
            </w:pPr>
            <w:r w:rsidRPr="00796FB8">
              <w:rPr>
                <w:szCs w:val="16"/>
              </w:rPr>
              <w:t>SP754</w:t>
            </w:r>
          </w:p>
        </w:tc>
        <w:tc>
          <w:tcPr>
            <w:tcW w:w="466" w:type="pct"/>
            <w:shd w:val="clear" w:color="auto" w:fill="auto"/>
            <w:vAlign w:val="center"/>
          </w:tcPr>
          <w:p w:rsidR="00963558" w:rsidRPr="00796FB8" w:rsidRDefault="00963558" w:rsidP="00BF3C38">
            <w:pPr>
              <w:pStyle w:val="TableText0"/>
              <w:keepLines/>
              <w:jc w:val="center"/>
            </w:pPr>
            <w:r w:rsidRPr="00796FB8">
              <w:rPr>
                <w:szCs w:val="16"/>
              </w:rPr>
              <w:t>308</w:t>
            </w:r>
            <w:r w:rsidRPr="00796FB8">
              <w:rPr>
                <w:vertAlign w:val="superscript"/>
              </w:rPr>
              <w:t>†</w:t>
            </w:r>
          </w:p>
        </w:tc>
        <w:tc>
          <w:tcPr>
            <w:tcW w:w="782" w:type="pct"/>
            <w:shd w:val="clear" w:color="auto" w:fill="auto"/>
            <w:vAlign w:val="center"/>
          </w:tcPr>
          <w:p w:rsidR="00963558" w:rsidRPr="00796FB8" w:rsidRDefault="00963558" w:rsidP="00BF3C38">
            <w:pPr>
              <w:keepNext/>
              <w:keepLines/>
              <w:jc w:val="center"/>
              <w:rPr>
                <w:rFonts w:ascii="Arial Narrow" w:hAnsi="Arial Narrow"/>
                <w:sz w:val="20"/>
                <w:szCs w:val="16"/>
              </w:rPr>
            </w:pPr>
            <w:r w:rsidRPr="00796FB8">
              <w:rPr>
                <w:rFonts w:ascii="Arial Narrow" w:hAnsi="Arial Narrow"/>
                <w:sz w:val="20"/>
                <w:szCs w:val="16"/>
              </w:rPr>
              <w:t>R, DB, MC</w:t>
            </w:r>
          </w:p>
          <w:p w:rsidR="00963558" w:rsidRPr="00796FB8" w:rsidRDefault="00963558" w:rsidP="00BF3C38">
            <w:pPr>
              <w:pStyle w:val="TableText0"/>
              <w:keepLines/>
              <w:jc w:val="center"/>
            </w:pPr>
            <w:r w:rsidRPr="00796FB8">
              <w:rPr>
                <w:szCs w:val="16"/>
              </w:rPr>
              <w:t>12 weeks of maintenance treatment</w:t>
            </w:r>
          </w:p>
        </w:tc>
        <w:tc>
          <w:tcPr>
            <w:tcW w:w="621" w:type="pct"/>
            <w:shd w:val="clear" w:color="auto" w:fill="auto"/>
            <w:vAlign w:val="center"/>
          </w:tcPr>
          <w:p w:rsidR="00963558" w:rsidRPr="00796FB8" w:rsidRDefault="00963558" w:rsidP="00BF3C38">
            <w:pPr>
              <w:pStyle w:val="TableText0"/>
              <w:keepLines/>
              <w:jc w:val="center"/>
              <w:rPr>
                <w:i/>
              </w:rPr>
            </w:pPr>
            <w:r w:rsidRPr="00796FB8">
              <w:rPr>
                <w:szCs w:val="16"/>
              </w:rPr>
              <w:t>Low</w:t>
            </w:r>
          </w:p>
        </w:tc>
        <w:tc>
          <w:tcPr>
            <w:tcW w:w="857" w:type="pct"/>
            <w:shd w:val="clear" w:color="auto" w:fill="auto"/>
            <w:vAlign w:val="center"/>
          </w:tcPr>
          <w:p w:rsidR="00963558" w:rsidRPr="00796FB8" w:rsidRDefault="00963558" w:rsidP="00BF3C38">
            <w:pPr>
              <w:pStyle w:val="TableText0"/>
              <w:keepLines/>
              <w:jc w:val="center"/>
            </w:pPr>
            <w:r w:rsidRPr="00796FB8">
              <w:rPr>
                <w:szCs w:val="16"/>
              </w:rPr>
              <w:t>Patients aged 16-70 years old with treatment-resistant POS</w:t>
            </w:r>
          </w:p>
        </w:tc>
        <w:tc>
          <w:tcPr>
            <w:tcW w:w="1561" w:type="pct"/>
            <w:shd w:val="clear" w:color="auto" w:fill="auto"/>
            <w:vAlign w:val="center"/>
          </w:tcPr>
          <w:p w:rsidR="00963558" w:rsidRPr="00796FB8" w:rsidRDefault="00963558" w:rsidP="00BF3C38">
            <w:pPr>
              <w:pStyle w:val="TableText0"/>
              <w:keepLines/>
              <w:jc w:val="center"/>
            </w:pPr>
            <w:r w:rsidRPr="00796FB8">
              <w:rPr>
                <w:szCs w:val="16"/>
              </w:rPr>
              <w:t>Same as SP667</w:t>
            </w:r>
          </w:p>
        </w:tc>
      </w:tr>
      <w:tr w:rsidR="00963558" w:rsidRPr="00796FB8" w:rsidTr="00A116FD">
        <w:trPr>
          <w:cantSplit/>
        </w:trPr>
        <w:tc>
          <w:tcPr>
            <w:tcW w:w="713" w:type="pct"/>
            <w:shd w:val="clear" w:color="auto" w:fill="auto"/>
            <w:vAlign w:val="center"/>
          </w:tcPr>
          <w:p w:rsidR="00963558" w:rsidRPr="00796FB8" w:rsidRDefault="00963558" w:rsidP="00BF3C38">
            <w:pPr>
              <w:pStyle w:val="TableText0"/>
              <w:keepLines/>
            </w:pPr>
            <w:r w:rsidRPr="00796FB8">
              <w:rPr>
                <w:szCs w:val="16"/>
              </w:rPr>
              <w:t>SP755</w:t>
            </w:r>
          </w:p>
        </w:tc>
        <w:tc>
          <w:tcPr>
            <w:tcW w:w="466" w:type="pct"/>
            <w:shd w:val="clear" w:color="auto" w:fill="auto"/>
            <w:vAlign w:val="center"/>
          </w:tcPr>
          <w:p w:rsidR="00963558" w:rsidRPr="00796FB8" w:rsidRDefault="00963558" w:rsidP="00BF3C38">
            <w:pPr>
              <w:pStyle w:val="TableText0"/>
              <w:keepLines/>
              <w:jc w:val="center"/>
            </w:pPr>
            <w:r w:rsidRPr="00796FB8">
              <w:rPr>
                <w:szCs w:val="16"/>
              </w:rPr>
              <w:t>485</w:t>
            </w:r>
          </w:p>
        </w:tc>
        <w:tc>
          <w:tcPr>
            <w:tcW w:w="782" w:type="pct"/>
            <w:shd w:val="clear" w:color="auto" w:fill="auto"/>
            <w:vAlign w:val="center"/>
          </w:tcPr>
          <w:p w:rsidR="00963558" w:rsidRPr="00796FB8" w:rsidRDefault="00963558" w:rsidP="00BF3C38">
            <w:pPr>
              <w:keepNext/>
              <w:keepLines/>
              <w:jc w:val="center"/>
              <w:rPr>
                <w:rFonts w:ascii="Arial Narrow" w:hAnsi="Arial Narrow"/>
                <w:sz w:val="20"/>
                <w:szCs w:val="16"/>
              </w:rPr>
            </w:pPr>
            <w:r w:rsidRPr="00796FB8">
              <w:rPr>
                <w:rFonts w:ascii="Arial Narrow" w:hAnsi="Arial Narrow"/>
                <w:sz w:val="20"/>
                <w:szCs w:val="16"/>
              </w:rPr>
              <w:t>R, DB, MC</w:t>
            </w:r>
          </w:p>
          <w:p w:rsidR="00963558" w:rsidRPr="00796FB8" w:rsidRDefault="00963558" w:rsidP="00BF3C38">
            <w:pPr>
              <w:pStyle w:val="TableText0"/>
              <w:keepLines/>
              <w:jc w:val="center"/>
            </w:pPr>
            <w:r w:rsidRPr="00796FB8">
              <w:rPr>
                <w:szCs w:val="16"/>
              </w:rPr>
              <w:t>12 weeks of maintenance treatment</w:t>
            </w:r>
          </w:p>
        </w:tc>
        <w:tc>
          <w:tcPr>
            <w:tcW w:w="621" w:type="pct"/>
            <w:shd w:val="clear" w:color="auto" w:fill="auto"/>
            <w:vAlign w:val="center"/>
          </w:tcPr>
          <w:p w:rsidR="00963558" w:rsidRPr="00796FB8" w:rsidRDefault="00963558" w:rsidP="00BF3C38">
            <w:pPr>
              <w:pStyle w:val="TableText0"/>
              <w:keepLines/>
              <w:jc w:val="center"/>
              <w:rPr>
                <w:i/>
              </w:rPr>
            </w:pPr>
            <w:r w:rsidRPr="00796FB8">
              <w:rPr>
                <w:szCs w:val="16"/>
              </w:rPr>
              <w:t>Low</w:t>
            </w:r>
          </w:p>
        </w:tc>
        <w:tc>
          <w:tcPr>
            <w:tcW w:w="857" w:type="pct"/>
            <w:shd w:val="clear" w:color="auto" w:fill="auto"/>
            <w:vAlign w:val="center"/>
          </w:tcPr>
          <w:p w:rsidR="00963558" w:rsidRPr="00796FB8" w:rsidRDefault="00963558" w:rsidP="00BF3C38">
            <w:pPr>
              <w:pStyle w:val="TableText0"/>
              <w:keepLines/>
              <w:jc w:val="center"/>
            </w:pPr>
            <w:r w:rsidRPr="00796FB8">
              <w:rPr>
                <w:szCs w:val="16"/>
              </w:rPr>
              <w:t>Patients aged 16-70 years old with treatment-resistant POS</w:t>
            </w:r>
          </w:p>
        </w:tc>
        <w:tc>
          <w:tcPr>
            <w:tcW w:w="1561" w:type="pct"/>
            <w:shd w:val="clear" w:color="auto" w:fill="auto"/>
            <w:vAlign w:val="center"/>
          </w:tcPr>
          <w:p w:rsidR="00963558" w:rsidRPr="00796FB8" w:rsidRDefault="00963558" w:rsidP="00BF3C38">
            <w:pPr>
              <w:pStyle w:val="TableText0"/>
              <w:keepLines/>
              <w:jc w:val="center"/>
            </w:pPr>
            <w:r w:rsidRPr="00796FB8">
              <w:rPr>
                <w:szCs w:val="16"/>
              </w:rPr>
              <w:t>Same as SP667</w:t>
            </w:r>
          </w:p>
        </w:tc>
      </w:tr>
      <w:tr w:rsidR="00963558" w:rsidRPr="00796FB8" w:rsidTr="00A116FD">
        <w:trPr>
          <w:cantSplit/>
        </w:trPr>
        <w:tc>
          <w:tcPr>
            <w:tcW w:w="713" w:type="pct"/>
            <w:shd w:val="clear" w:color="auto" w:fill="auto"/>
            <w:vAlign w:val="center"/>
          </w:tcPr>
          <w:p w:rsidR="00963558" w:rsidRPr="00796FB8" w:rsidRDefault="00963558" w:rsidP="00BF3C38">
            <w:pPr>
              <w:pStyle w:val="TableText0"/>
              <w:keepLines/>
            </w:pPr>
            <w:r w:rsidRPr="00796FB8">
              <w:rPr>
                <w:rStyle w:val="Small"/>
                <w:rFonts w:ascii="Arial Narrow" w:hAnsi="Arial Narrow"/>
              </w:rPr>
              <w:t>EP0008</w:t>
            </w:r>
          </w:p>
        </w:tc>
        <w:tc>
          <w:tcPr>
            <w:tcW w:w="466" w:type="pct"/>
            <w:shd w:val="clear" w:color="auto" w:fill="auto"/>
            <w:vAlign w:val="center"/>
          </w:tcPr>
          <w:p w:rsidR="00963558" w:rsidRPr="00796FB8" w:rsidRDefault="00963558" w:rsidP="00BF3C38">
            <w:pPr>
              <w:pStyle w:val="TableText0"/>
              <w:keepLines/>
              <w:jc w:val="center"/>
            </w:pPr>
            <w:r w:rsidRPr="00796FB8">
              <w:t>548</w:t>
            </w:r>
          </w:p>
        </w:tc>
        <w:tc>
          <w:tcPr>
            <w:tcW w:w="782" w:type="pct"/>
            <w:shd w:val="clear" w:color="auto" w:fill="auto"/>
            <w:vAlign w:val="center"/>
          </w:tcPr>
          <w:p w:rsidR="00963558" w:rsidRPr="00796FB8" w:rsidRDefault="00963558" w:rsidP="00BF3C38">
            <w:pPr>
              <w:keepNext/>
              <w:keepLines/>
              <w:jc w:val="center"/>
              <w:rPr>
                <w:rFonts w:ascii="Arial Narrow" w:hAnsi="Arial Narrow"/>
                <w:sz w:val="20"/>
                <w:szCs w:val="16"/>
              </w:rPr>
            </w:pPr>
            <w:r w:rsidRPr="00796FB8">
              <w:rPr>
                <w:rFonts w:ascii="Arial Narrow" w:hAnsi="Arial Narrow"/>
                <w:sz w:val="20"/>
                <w:szCs w:val="16"/>
              </w:rPr>
              <w:t>R, DB, MC</w:t>
            </w:r>
          </w:p>
          <w:p w:rsidR="00963558" w:rsidRPr="00796FB8" w:rsidRDefault="00963558" w:rsidP="00BF3C38">
            <w:pPr>
              <w:pStyle w:val="TableText0"/>
              <w:keepLines/>
              <w:jc w:val="center"/>
            </w:pPr>
            <w:r w:rsidRPr="00796FB8">
              <w:rPr>
                <w:szCs w:val="16"/>
              </w:rPr>
              <w:t>12 weeks of maintenance treatment</w:t>
            </w:r>
          </w:p>
        </w:tc>
        <w:tc>
          <w:tcPr>
            <w:tcW w:w="621" w:type="pct"/>
            <w:shd w:val="clear" w:color="auto" w:fill="auto"/>
            <w:vAlign w:val="center"/>
          </w:tcPr>
          <w:p w:rsidR="00963558" w:rsidRPr="00796FB8" w:rsidRDefault="00963558" w:rsidP="00BF3C38">
            <w:pPr>
              <w:pStyle w:val="TableText0"/>
              <w:keepLines/>
              <w:jc w:val="center"/>
              <w:rPr>
                <w:iCs/>
              </w:rPr>
            </w:pPr>
            <w:r w:rsidRPr="00796FB8">
              <w:rPr>
                <w:iCs/>
              </w:rPr>
              <w:t>Low</w:t>
            </w:r>
          </w:p>
        </w:tc>
        <w:tc>
          <w:tcPr>
            <w:tcW w:w="857" w:type="pct"/>
            <w:shd w:val="clear" w:color="auto" w:fill="auto"/>
            <w:vAlign w:val="center"/>
          </w:tcPr>
          <w:p w:rsidR="00963558" w:rsidRPr="00796FB8" w:rsidRDefault="00963558" w:rsidP="00BF3C38">
            <w:pPr>
              <w:pStyle w:val="TableText0"/>
              <w:keepLines/>
              <w:jc w:val="center"/>
            </w:pPr>
            <w:r w:rsidRPr="00796FB8">
              <w:rPr>
                <w:szCs w:val="16"/>
              </w:rPr>
              <w:t>Patients aged 16-70 years old with treatment-resistant POS</w:t>
            </w:r>
          </w:p>
        </w:tc>
        <w:tc>
          <w:tcPr>
            <w:tcW w:w="1561" w:type="pct"/>
            <w:shd w:val="clear" w:color="auto" w:fill="auto"/>
            <w:vAlign w:val="center"/>
          </w:tcPr>
          <w:p w:rsidR="00963558" w:rsidRPr="00796FB8" w:rsidRDefault="00963558" w:rsidP="00BF3C38">
            <w:pPr>
              <w:pStyle w:val="TableText0"/>
              <w:keepLines/>
            </w:pPr>
            <w:r w:rsidRPr="00796FB8">
              <w:t>1) Change in POS frequency from baseline to maintenance.</w:t>
            </w:r>
          </w:p>
          <w:p w:rsidR="00963558" w:rsidRPr="00796FB8" w:rsidRDefault="00963558" w:rsidP="00BF3C38">
            <w:pPr>
              <w:pStyle w:val="TableText0"/>
              <w:keepLines/>
            </w:pPr>
            <w:r w:rsidRPr="00796FB8">
              <w:t>2) ≥ 50% reduction in POS frequency from baseline to maintenance.</w:t>
            </w:r>
          </w:p>
          <w:p w:rsidR="00963558" w:rsidRPr="00796FB8" w:rsidRDefault="00963558" w:rsidP="00BF3C38">
            <w:pPr>
              <w:pStyle w:val="TableText0"/>
              <w:keepLines/>
            </w:pPr>
            <w:r w:rsidRPr="00796FB8">
              <w:t>3) Seizure freedom</w:t>
            </w:r>
          </w:p>
        </w:tc>
      </w:tr>
    </w:tbl>
    <w:p w:rsidR="00963558" w:rsidRPr="00796FB8" w:rsidRDefault="00963558" w:rsidP="00BF3C38">
      <w:pPr>
        <w:pStyle w:val="TableFigureFooter"/>
        <w:keepNext/>
        <w:keepLines/>
        <w:jc w:val="left"/>
      </w:pPr>
      <w:r w:rsidRPr="00796FB8">
        <w:t>Source: Modified from Table 2-7; Table 2-8, Table 2-9, Table 2-10 and Table 2-11, pp 43 – 46 of the submission.</w:t>
      </w:r>
    </w:p>
    <w:p w:rsidR="00963558" w:rsidRPr="00796FB8" w:rsidRDefault="00963558" w:rsidP="00BF3C38">
      <w:pPr>
        <w:pStyle w:val="TableFigureFooter"/>
        <w:keepNext/>
        <w:keepLines/>
        <w:jc w:val="left"/>
        <w:rPr>
          <w:sz w:val="20"/>
        </w:rPr>
      </w:pPr>
      <w:r w:rsidRPr="00796FB8">
        <w:t>DB = double blind; MC = multi-centre; POS = partial onset seizures; R = randomised</w:t>
      </w:r>
      <w:r w:rsidR="001F4613" w:rsidRPr="00796FB8">
        <w:t>; SSF = standardised seizure frequency</w:t>
      </w:r>
      <w:r w:rsidRPr="00796FB8">
        <w:t>.</w:t>
      </w:r>
      <w:r w:rsidRPr="00796FB8">
        <w:br/>
      </w:r>
      <w:bookmarkStart w:id="18" w:name="_Hlk58200424"/>
      <w:r w:rsidR="00B21A24" w:rsidRPr="00796FB8">
        <w:rPr>
          <w:vertAlign w:val="superscript"/>
        </w:rPr>
        <w:t>a</w:t>
      </w:r>
      <w:r w:rsidRPr="00796FB8">
        <w:t xml:space="preserve"> Patients from the lacosamide 60</w:t>
      </w:r>
      <w:r w:rsidR="00EA1200" w:rsidRPr="00796FB8">
        <w:t>0</w:t>
      </w:r>
      <w:r w:rsidR="001F4613" w:rsidRPr="00796FB8">
        <w:t xml:space="preserve"> </w:t>
      </w:r>
      <w:r w:rsidR="00EA1200" w:rsidRPr="00796FB8">
        <w:t>mg</w:t>
      </w:r>
      <w:r w:rsidRPr="00796FB8">
        <w:t xml:space="preserve"> group have been excluded.</w:t>
      </w:r>
    </w:p>
    <w:bookmarkEnd w:id="18"/>
    <w:p w:rsidR="00963558" w:rsidRPr="00BF3C38" w:rsidRDefault="00963558" w:rsidP="00BF3C38">
      <w:pPr>
        <w:pStyle w:val="3-BodyText"/>
        <w:rPr>
          <w:iCs/>
        </w:rPr>
      </w:pPr>
      <w:r w:rsidRPr="00796FB8">
        <w:rPr>
          <w:iCs/>
        </w:rPr>
        <w:t xml:space="preserve">The risk of bias in Study 304 was considered </w:t>
      </w:r>
      <w:r w:rsidR="000B355A" w:rsidRPr="00796FB8">
        <w:rPr>
          <w:iCs/>
        </w:rPr>
        <w:t>low</w:t>
      </w:r>
      <w:r w:rsidRPr="00796FB8">
        <w:rPr>
          <w:iCs/>
        </w:rPr>
        <w:t xml:space="preserve">, </w:t>
      </w:r>
      <w:r w:rsidR="000B355A" w:rsidRPr="00796FB8">
        <w:rPr>
          <w:iCs/>
        </w:rPr>
        <w:t xml:space="preserve">however a </w:t>
      </w:r>
      <w:r w:rsidRPr="00796FB8">
        <w:rPr>
          <w:iCs/>
        </w:rPr>
        <w:t>high rate of discontinuations and missing data in the ESL 1,20</w:t>
      </w:r>
      <w:r w:rsidR="00EA1200" w:rsidRPr="00796FB8">
        <w:rPr>
          <w:iCs/>
        </w:rPr>
        <w:t>0</w:t>
      </w:r>
      <w:r w:rsidR="001F4613" w:rsidRPr="00796FB8">
        <w:rPr>
          <w:iCs/>
        </w:rPr>
        <w:t xml:space="preserve"> </w:t>
      </w:r>
      <w:r w:rsidR="00EA1200" w:rsidRPr="00796FB8">
        <w:rPr>
          <w:iCs/>
        </w:rPr>
        <w:t>mg</w:t>
      </w:r>
      <w:r w:rsidRPr="00796FB8">
        <w:rPr>
          <w:iCs/>
        </w:rPr>
        <w:t xml:space="preserve"> group compared to the other two groups</w:t>
      </w:r>
      <w:r w:rsidR="000B355A" w:rsidRPr="00796FB8">
        <w:rPr>
          <w:iCs/>
        </w:rPr>
        <w:t xml:space="preserve"> was noted</w:t>
      </w:r>
      <w:r w:rsidRPr="00796FB8">
        <w:rPr>
          <w:iCs/>
        </w:rPr>
        <w:t>. From the safety population, 32.4% of the patients in the ESL 1,20</w:t>
      </w:r>
      <w:r w:rsidR="00EA1200" w:rsidRPr="00796FB8">
        <w:rPr>
          <w:iCs/>
        </w:rPr>
        <w:t>0</w:t>
      </w:r>
      <w:r w:rsidR="001F4613" w:rsidRPr="00796FB8">
        <w:rPr>
          <w:iCs/>
        </w:rPr>
        <w:t xml:space="preserve"> </w:t>
      </w:r>
      <w:r w:rsidR="00EA1200" w:rsidRPr="00796FB8">
        <w:rPr>
          <w:iCs/>
        </w:rPr>
        <w:t>mg</w:t>
      </w:r>
      <w:r w:rsidRPr="00796FB8">
        <w:rPr>
          <w:iCs/>
        </w:rPr>
        <w:t xml:space="preserve"> arm failed to complete the maintenance period, compared to 20% of the 80</w:t>
      </w:r>
      <w:r w:rsidR="00EA1200" w:rsidRPr="00796FB8">
        <w:rPr>
          <w:iCs/>
        </w:rPr>
        <w:t>0</w:t>
      </w:r>
      <w:r w:rsidR="00872B97" w:rsidRPr="00796FB8">
        <w:rPr>
          <w:iCs/>
        </w:rPr>
        <w:t> </w:t>
      </w:r>
      <w:r w:rsidR="00EA1200" w:rsidRPr="00796FB8">
        <w:rPr>
          <w:iCs/>
        </w:rPr>
        <w:t>mg</w:t>
      </w:r>
      <w:r w:rsidRPr="00796FB8">
        <w:rPr>
          <w:iCs/>
        </w:rPr>
        <w:t xml:space="preserve"> group and 15.6% of the placebo group. This was primarily due to discontinuations, and the recording of ‘incomplete data’. Key reasons are summarised in </w:t>
      </w:r>
      <w:r w:rsidR="002C71DF" w:rsidRPr="00796FB8">
        <w:t>Table 4</w:t>
      </w:r>
      <w:r w:rsidR="00D85B67" w:rsidRPr="00796FB8">
        <w:rPr>
          <w:iCs/>
        </w:rPr>
        <w:t xml:space="preserve"> below. </w:t>
      </w:r>
    </w:p>
    <w:p w:rsidR="00963558" w:rsidRPr="00796FB8" w:rsidRDefault="00963558" w:rsidP="00BF3C38">
      <w:pPr>
        <w:pStyle w:val="TableFigureHeading"/>
      </w:pPr>
      <w:bookmarkStart w:id="19" w:name="_Ref58201028"/>
      <w:r w:rsidRPr="00796FB8">
        <w:t xml:space="preserve">Table </w:t>
      </w:r>
      <w:r w:rsidR="002C71DF" w:rsidRPr="00796FB8">
        <w:t>4</w:t>
      </w:r>
      <w:bookmarkEnd w:id="19"/>
      <w:r w:rsidRPr="00796FB8">
        <w:t>: Summary of patient flow and reasons for discontinuation in Study 304</w:t>
      </w:r>
    </w:p>
    <w:tbl>
      <w:tblPr>
        <w:tblStyle w:val="TableGrid"/>
        <w:tblW w:w="0" w:type="auto"/>
        <w:tblLook w:val="04A0" w:firstRow="1" w:lastRow="0" w:firstColumn="1" w:lastColumn="0" w:noHBand="0" w:noVBand="1"/>
        <w:tblCaption w:val="Table 4: Summary of patient flow and reasons for discontinuation in Study 304"/>
      </w:tblPr>
      <w:tblGrid>
        <w:gridCol w:w="3114"/>
        <w:gridCol w:w="1417"/>
        <w:gridCol w:w="2410"/>
        <w:gridCol w:w="1985"/>
      </w:tblGrid>
      <w:tr w:rsidR="00963558" w:rsidRPr="00796FB8" w:rsidTr="0069318E">
        <w:trPr>
          <w:trHeight w:val="225"/>
          <w:tblHeader/>
        </w:trPr>
        <w:tc>
          <w:tcPr>
            <w:tcW w:w="3114" w:type="dxa"/>
            <w:vMerge w:val="restart"/>
            <w:shd w:val="clear" w:color="auto" w:fill="D9D9D9" w:themeFill="background1" w:themeFillShade="D9"/>
          </w:tcPr>
          <w:p w:rsidR="00963558" w:rsidRPr="00796FB8" w:rsidRDefault="00963558" w:rsidP="00BF3C38">
            <w:pPr>
              <w:keepNext/>
              <w:rPr>
                <w:rFonts w:ascii="Arial Narrow" w:hAnsi="Arial Narrow"/>
                <w:b/>
                <w:bCs/>
                <w:sz w:val="20"/>
                <w:szCs w:val="20"/>
              </w:rPr>
            </w:pPr>
            <w:r w:rsidRPr="00796FB8">
              <w:rPr>
                <w:rFonts w:ascii="Arial Narrow" w:hAnsi="Arial Narrow"/>
                <w:b/>
                <w:bCs/>
                <w:sz w:val="20"/>
                <w:szCs w:val="20"/>
              </w:rPr>
              <w:t>Parameter</w:t>
            </w:r>
          </w:p>
        </w:tc>
        <w:tc>
          <w:tcPr>
            <w:tcW w:w="1417" w:type="dxa"/>
            <w:shd w:val="clear" w:color="auto" w:fill="D9D9D9" w:themeFill="background1" w:themeFillShade="D9"/>
          </w:tcPr>
          <w:p w:rsidR="00963558" w:rsidRPr="00796FB8" w:rsidRDefault="00963558" w:rsidP="00BF3C38">
            <w:pPr>
              <w:keepNext/>
              <w:rPr>
                <w:rFonts w:ascii="Arial Narrow" w:hAnsi="Arial Narrow"/>
                <w:b/>
                <w:bCs/>
                <w:sz w:val="20"/>
                <w:szCs w:val="20"/>
                <w:vertAlign w:val="superscript"/>
              </w:rPr>
            </w:pPr>
            <w:r w:rsidRPr="00796FB8">
              <w:rPr>
                <w:rFonts w:ascii="Arial Narrow" w:hAnsi="Arial Narrow"/>
                <w:b/>
                <w:bCs/>
                <w:sz w:val="20"/>
                <w:szCs w:val="20"/>
              </w:rPr>
              <w:t>Placebo</w:t>
            </w:r>
          </w:p>
        </w:tc>
        <w:tc>
          <w:tcPr>
            <w:tcW w:w="2410" w:type="dxa"/>
            <w:shd w:val="clear" w:color="auto" w:fill="D9D9D9" w:themeFill="background1" w:themeFillShade="D9"/>
          </w:tcPr>
          <w:p w:rsidR="00963558" w:rsidRPr="00796FB8" w:rsidRDefault="00963558" w:rsidP="00BF3C38">
            <w:pPr>
              <w:keepNext/>
              <w:rPr>
                <w:rFonts w:ascii="Arial Narrow" w:hAnsi="Arial Narrow"/>
                <w:b/>
                <w:bCs/>
                <w:sz w:val="20"/>
                <w:szCs w:val="20"/>
                <w:vertAlign w:val="superscript"/>
              </w:rPr>
            </w:pPr>
            <w:r w:rsidRPr="00796FB8">
              <w:rPr>
                <w:rFonts w:ascii="Arial Narrow" w:hAnsi="Arial Narrow" w:cs="TimesNewRomanPS-BoldMT"/>
                <w:b/>
                <w:bCs/>
                <w:sz w:val="20"/>
                <w:szCs w:val="20"/>
              </w:rPr>
              <w:t>ESL 80</w:t>
            </w:r>
            <w:r w:rsidR="00EA1200" w:rsidRPr="00796FB8">
              <w:rPr>
                <w:rFonts w:ascii="Arial Narrow" w:hAnsi="Arial Narrow" w:cs="TimesNewRomanPS-BoldMT"/>
                <w:b/>
                <w:bCs/>
                <w:sz w:val="20"/>
                <w:szCs w:val="20"/>
              </w:rPr>
              <w:t>0</w:t>
            </w:r>
            <w:r w:rsidR="008A3C85" w:rsidRPr="00796FB8">
              <w:rPr>
                <w:rFonts w:ascii="Arial Narrow" w:hAnsi="Arial Narrow" w:cs="TimesNewRomanPS-BoldMT"/>
                <w:b/>
                <w:bCs/>
                <w:sz w:val="20"/>
                <w:szCs w:val="20"/>
              </w:rPr>
              <w:t xml:space="preserve"> </w:t>
            </w:r>
            <w:r w:rsidR="00EA1200" w:rsidRPr="00796FB8">
              <w:rPr>
                <w:rFonts w:ascii="Arial Narrow" w:hAnsi="Arial Narrow" w:cs="TimesNewRomanPS-BoldMT"/>
                <w:b/>
                <w:bCs/>
                <w:sz w:val="20"/>
                <w:szCs w:val="20"/>
              </w:rPr>
              <w:t>mg</w:t>
            </w:r>
            <w:r w:rsidRPr="00796FB8">
              <w:rPr>
                <w:rFonts w:ascii="Arial Narrow" w:hAnsi="Arial Narrow" w:cs="TimesNewRomanPS-BoldMT"/>
                <w:b/>
                <w:bCs/>
                <w:sz w:val="20"/>
                <w:szCs w:val="20"/>
              </w:rPr>
              <w:t xml:space="preserve"> </w:t>
            </w:r>
          </w:p>
        </w:tc>
        <w:tc>
          <w:tcPr>
            <w:tcW w:w="1985" w:type="dxa"/>
            <w:shd w:val="clear" w:color="auto" w:fill="D9D9D9" w:themeFill="background1" w:themeFillShade="D9"/>
          </w:tcPr>
          <w:p w:rsidR="00963558" w:rsidRPr="00796FB8" w:rsidRDefault="00963558" w:rsidP="00BF3C38">
            <w:pPr>
              <w:keepNext/>
              <w:rPr>
                <w:rFonts w:ascii="Arial Narrow" w:hAnsi="Arial Narrow"/>
                <w:b/>
                <w:bCs/>
                <w:sz w:val="20"/>
                <w:szCs w:val="20"/>
                <w:vertAlign w:val="superscript"/>
              </w:rPr>
            </w:pPr>
            <w:r w:rsidRPr="00796FB8">
              <w:rPr>
                <w:rFonts w:ascii="Arial Narrow" w:hAnsi="Arial Narrow" w:cs="TimesNewRomanPS-BoldMT"/>
                <w:b/>
                <w:bCs/>
                <w:sz w:val="20"/>
                <w:szCs w:val="20"/>
              </w:rPr>
              <w:t>ESL 1</w:t>
            </w:r>
            <w:r w:rsidR="00464A5B" w:rsidRPr="00796FB8">
              <w:rPr>
                <w:rFonts w:ascii="Arial Narrow" w:hAnsi="Arial Narrow" w:cs="TimesNewRomanPS-BoldMT"/>
                <w:b/>
                <w:bCs/>
                <w:sz w:val="20"/>
                <w:szCs w:val="20"/>
              </w:rPr>
              <w:t>,</w:t>
            </w:r>
            <w:r w:rsidRPr="00796FB8">
              <w:rPr>
                <w:rFonts w:ascii="Arial Narrow" w:hAnsi="Arial Narrow" w:cs="TimesNewRomanPS-BoldMT"/>
                <w:b/>
                <w:bCs/>
                <w:sz w:val="20"/>
                <w:szCs w:val="20"/>
              </w:rPr>
              <w:t>20</w:t>
            </w:r>
            <w:r w:rsidR="00EA1200" w:rsidRPr="00796FB8">
              <w:rPr>
                <w:rFonts w:ascii="Arial Narrow" w:hAnsi="Arial Narrow" w:cs="TimesNewRomanPS-BoldMT"/>
                <w:b/>
                <w:bCs/>
                <w:sz w:val="20"/>
                <w:szCs w:val="20"/>
              </w:rPr>
              <w:t>0</w:t>
            </w:r>
            <w:r w:rsidR="008A3C85" w:rsidRPr="00796FB8">
              <w:rPr>
                <w:rFonts w:ascii="Arial Narrow" w:hAnsi="Arial Narrow" w:cs="TimesNewRomanPS-BoldMT"/>
                <w:b/>
                <w:bCs/>
                <w:sz w:val="20"/>
                <w:szCs w:val="20"/>
              </w:rPr>
              <w:t xml:space="preserve"> </w:t>
            </w:r>
            <w:r w:rsidR="00EA1200" w:rsidRPr="00796FB8">
              <w:rPr>
                <w:rFonts w:ascii="Arial Narrow" w:hAnsi="Arial Narrow" w:cs="TimesNewRomanPS-BoldMT"/>
                <w:b/>
                <w:bCs/>
                <w:sz w:val="20"/>
                <w:szCs w:val="20"/>
              </w:rPr>
              <w:t>mg</w:t>
            </w:r>
          </w:p>
        </w:tc>
      </w:tr>
      <w:tr w:rsidR="00963558" w:rsidRPr="00796FB8" w:rsidTr="0069318E">
        <w:trPr>
          <w:trHeight w:val="225"/>
          <w:tblHeader/>
        </w:trPr>
        <w:tc>
          <w:tcPr>
            <w:tcW w:w="3114" w:type="dxa"/>
            <w:vMerge/>
            <w:shd w:val="clear" w:color="auto" w:fill="D9D9D9" w:themeFill="background1" w:themeFillShade="D9"/>
          </w:tcPr>
          <w:p w:rsidR="00963558" w:rsidRPr="00796FB8" w:rsidRDefault="00963558" w:rsidP="00BF3C38">
            <w:pPr>
              <w:keepNext/>
              <w:rPr>
                <w:rFonts w:ascii="Arial Narrow" w:hAnsi="Arial Narrow"/>
                <w:b/>
                <w:bCs/>
                <w:sz w:val="20"/>
                <w:szCs w:val="20"/>
              </w:rPr>
            </w:pPr>
          </w:p>
        </w:tc>
        <w:tc>
          <w:tcPr>
            <w:tcW w:w="5812" w:type="dxa"/>
            <w:gridSpan w:val="3"/>
            <w:shd w:val="clear" w:color="auto" w:fill="D9D9D9" w:themeFill="background1" w:themeFillShade="D9"/>
          </w:tcPr>
          <w:p w:rsidR="00963558" w:rsidRPr="00796FB8" w:rsidRDefault="00963558" w:rsidP="00BF3C38">
            <w:pPr>
              <w:keepNext/>
              <w:jc w:val="center"/>
              <w:rPr>
                <w:rFonts w:ascii="Arial Narrow" w:hAnsi="Arial Narrow" w:cs="TimesNewRomanPS-BoldMT"/>
                <w:b/>
                <w:bCs/>
                <w:sz w:val="20"/>
                <w:szCs w:val="20"/>
              </w:rPr>
            </w:pPr>
            <w:r w:rsidRPr="00796FB8">
              <w:rPr>
                <w:rFonts w:ascii="Arial Narrow" w:hAnsi="Arial Narrow" w:cs="TimesNewRomanPS-BoldMT"/>
                <w:b/>
                <w:bCs/>
                <w:sz w:val="20"/>
                <w:szCs w:val="20"/>
              </w:rPr>
              <w:t>n (% of patients randomised)</w:t>
            </w:r>
          </w:p>
        </w:tc>
      </w:tr>
      <w:tr w:rsidR="00963558" w:rsidRPr="00796FB8" w:rsidTr="00A116FD">
        <w:tc>
          <w:tcPr>
            <w:tcW w:w="3114"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Randomised</w:t>
            </w:r>
          </w:p>
        </w:tc>
        <w:tc>
          <w:tcPr>
            <w:tcW w:w="1417"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226 (100)</w:t>
            </w:r>
          </w:p>
        </w:tc>
        <w:tc>
          <w:tcPr>
            <w:tcW w:w="2410"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216 (100)</w:t>
            </w:r>
          </w:p>
        </w:tc>
        <w:tc>
          <w:tcPr>
            <w:tcW w:w="1985"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211 (100)</w:t>
            </w:r>
          </w:p>
        </w:tc>
      </w:tr>
      <w:tr w:rsidR="00963558" w:rsidRPr="00796FB8" w:rsidTr="00A116FD">
        <w:tc>
          <w:tcPr>
            <w:tcW w:w="3114" w:type="dxa"/>
          </w:tcPr>
          <w:p w:rsidR="00963558" w:rsidRPr="00796FB8" w:rsidRDefault="00963558" w:rsidP="00BF3C38">
            <w:pPr>
              <w:keepNext/>
              <w:rPr>
                <w:rFonts w:ascii="Arial Narrow" w:hAnsi="Arial Narrow"/>
                <w:sz w:val="20"/>
                <w:szCs w:val="20"/>
              </w:rPr>
            </w:pPr>
            <w:r w:rsidRPr="00796FB8">
              <w:rPr>
                <w:rFonts w:ascii="Arial Narrow" w:hAnsi="Arial Narrow" w:cs="TimesNewRomanPSMT"/>
                <w:sz w:val="20"/>
                <w:szCs w:val="20"/>
              </w:rPr>
              <w:t>Randomised and received at least 1 dose of study drug (safety population)</w:t>
            </w:r>
          </w:p>
        </w:tc>
        <w:tc>
          <w:tcPr>
            <w:tcW w:w="1417" w:type="dxa"/>
          </w:tcPr>
          <w:p w:rsidR="00963558" w:rsidRPr="00796FB8" w:rsidRDefault="00963558" w:rsidP="00BF3C38">
            <w:pPr>
              <w:keepNext/>
              <w:rPr>
                <w:rFonts w:ascii="Arial Narrow" w:hAnsi="Arial Narrow"/>
                <w:sz w:val="20"/>
                <w:szCs w:val="20"/>
              </w:rPr>
            </w:pPr>
            <w:r w:rsidRPr="00796FB8">
              <w:rPr>
                <w:rFonts w:ascii="Arial Narrow" w:hAnsi="Arial Narrow" w:cs="TimesNewRomanPSMT"/>
                <w:sz w:val="20"/>
                <w:szCs w:val="20"/>
              </w:rPr>
              <w:t>224 (99.1)</w:t>
            </w:r>
          </w:p>
        </w:tc>
        <w:tc>
          <w:tcPr>
            <w:tcW w:w="2410" w:type="dxa"/>
          </w:tcPr>
          <w:p w:rsidR="00963558" w:rsidRPr="00796FB8" w:rsidRDefault="00963558" w:rsidP="00BF3C38">
            <w:pPr>
              <w:keepNext/>
              <w:rPr>
                <w:rFonts w:ascii="Arial Narrow" w:hAnsi="Arial Narrow"/>
                <w:sz w:val="20"/>
                <w:szCs w:val="20"/>
              </w:rPr>
            </w:pPr>
            <w:r w:rsidRPr="00796FB8">
              <w:rPr>
                <w:rFonts w:ascii="Arial Narrow" w:hAnsi="Arial Narrow" w:cs="TimesNewRomanPSMT"/>
                <w:sz w:val="20"/>
                <w:szCs w:val="20"/>
              </w:rPr>
              <w:t>216 (100)</w:t>
            </w:r>
          </w:p>
        </w:tc>
        <w:tc>
          <w:tcPr>
            <w:tcW w:w="1985" w:type="dxa"/>
          </w:tcPr>
          <w:p w:rsidR="00963558" w:rsidRPr="00796FB8" w:rsidRDefault="00963558" w:rsidP="00BF3C38">
            <w:pPr>
              <w:keepNext/>
              <w:rPr>
                <w:rFonts w:ascii="Arial Narrow" w:hAnsi="Arial Narrow"/>
                <w:sz w:val="20"/>
                <w:szCs w:val="20"/>
              </w:rPr>
            </w:pPr>
            <w:r w:rsidRPr="00796FB8">
              <w:rPr>
                <w:rFonts w:ascii="Arial Narrow" w:hAnsi="Arial Narrow" w:cs="TimesNewRomanPSMT"/>
                <w:sz w:val="20"/>
                <w:szCs w:val="20"/>
              </w:rPr>
              <w:t>210 (99.5)</w:t>
            </w:r>
          </w:p>
        </w:tc>
      </w:tr>
      <w:tr w:rsidR="00963558" w:rsidRPr="00796FB8" w:rsidTr="00A116FD">
        <w:tc>
          <w:tcPr>
            <w:tcW w:w="3114"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 xml:space="preserve">ITT </w:t>
            </w:r>
            <w:r w:rsidR="00E24CDB" w:rsidRPr="00796FB8">
              <w:rPr>
                <w:rFonts w:ascii="Arial Narrow" w:hAnsi="Arial Narrow" w:cs="TimesNewRomanPSMT"/>
                <w:sz w:val="20"/>
                <w:szCs w:val="20"/>
              </w:rPr>
              <w:t>p</w:t>
            </w:r>
            <w:r w:rsidRPr="00796FB8">
              <w:rPr>
                <w:rFonts w:ascii="Arial Narrow" w:hAnsi="Arial Narrow" w:cs="TimesNewRomanPSMT"/>
                <w:sz w:val="20"/>
                <w:szCs w:val="20"/>
              </w:rPr>
              <w:t>opulation</w:t>
            </w:r>
          </w:p>
        </w:tc>
        <w:tc>
          <w:tcPr>
            <w:tcW w:w="1417"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220 (97.3)</w:t>
            </w:r>
          </w:p>
        </w:tc>
        <w:tc>
          <w:tcPr>
            <w:tcW w:w="2410"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215 (99.5)</w:t>
            </w:r>
          </w:p>
        </w:tc>
        <w:tc>
          <w:tcPr>
            <w:tcW w:w="1985"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205 (97.2)</w:t>
            </w:r>
          </w:p>
        </w:tc>
      </w:tr>
      <w:tr w:rsidR="00963558" w:rsidRPr="00796FB8" w:rsidTr="00A116FD">
        <w:tc>
          <w:tcPr>
            <w:tcW w:w="3114" w:type="dxa"/>
          </w:tcPr>
          <w:p w:rsidR="00963558" w:rsidRPr="00796FB8" w:rsidRDefault="00963558" w:rsidP="00BF3C38">
            <w:pPr>
              <w:keepNext/>
              <w:rPr>
                <w:rFonts w:ascii="Arial Narrow" w:hAnsi="Arial Narrow"/>
                <w:sz w:val="20"/>
                <w:szCs w:val="20"/>
              </w:rPr>
            </w:pPr>
            <w:r w:rsidRPr="00796FB8">
              <w:rPr>
                <w:rFonts w:ascii="Arial Narrow" w:hAnsi="Arial Narrow" w:cstheme="minorHAnsi"/>
                <w:sz w:val="20"/>
                <w:szCs w:val="20"/>
              </w:rPr>
              <w:t>Entered maintenance period</w:t>
            </w:r>
          </w:p>
        </w:tc>
        <w:tc>
          <w:tcPr>
            <w:tcW w:w="1417" w:type="dxa"/>
            <w:vAlign w:val="center"/>
          </w:tcPr>
          <w:p w:rsidR="00963558" w:rsidRPr="00796FB8" w:rsidRDefault="00963558" w:rsidP="00BF3C38">
            <w:pPr>
              <w:keepNext/>
              <w:rPr>
                <w:rFonts w:ascii="Arial Narrow" w:hAnsi="Arial Narrow" w:cs="TimesNewRomanPSMT"/>
                <w:sz w:val="20"/>
                <w:szCs w:val="20"/>
              </w:rPr>
            </w:pPr>
            <w:r w:rsidRPr="00796FB8">
              <w:rPr>
                <w:rFonts w:ascii="Arial Narrow" w:hAnsi="Arial Narrow" w:cstheme="minorHAnsi"/>
                <w:sz w:val="20"/>
                <w:szCs w:val="20"/>
              </w:rPr>
              <w:t>212 (93.8)</w:t>
            </w:r>
          </w:p>
        </w:tc>
        <w:tc>
          <w:tcPr>
            <w:tcW w:w="2410" w:type="dxa"/>
            <w:vAlign w:val="center"/>
          </w:tcPr>
          <w:p w:rsidR="00963558" w:rsidRPr="00796FB8" w:rsidRDefault="00963558" w:rsidP="00BF3C38">
            <w:pPr>
              <w:keepNext/>
              <w:rPr>
                <w:rFonts w:ascii="Arial Narrow" w:hAnsi="Arial Narrow" w:cs="TimesNewRomanPSMT"/>
                <w:sz w:val="20"/>
                <w:szCs w:val="20"/>
              </w:rPr>
            </w:pPr>
            <w:r w:rsidRPr="00796FB8">
              <w:rPr>
                <w:rFonts w:ascii="Arial Narrow" w:hAnsi="Arial Narrow" w:cstheme="minorHAnsi"/>
                <w:sz w:val="20"/>
                <w:szCs w:val="20"/>
              </w:rPr>
              <w:t>201 (93.1)</w:t>
            </w:r>
          </w:p>
        </w:tc>
        <w:tc>
          <w:tcPr>
            <w:tcW w:w="1985" w:type="dxa"/>
            <w:vAlign w:val="center"/>
          </w:tcPr>
          <w:p w:rsidR="00963558" w:rsidRPr="00796FB8" w:rsidRDefault="00963558" w:rsidP="00BF3C38">
            <w:pPr>
              <w:keepNext/>
              <w:rPr>
                <w:rFonts w:ascii="Arial Narrow" w:hAnsi="Arial Narrow" w:cs="TimesNewRomanPSMT"/>
                <w:sz w:val="20"/>
                <w:szCs w:val="20"/>
              </w:rPr>
            </w:pPr>
            <w:r w:rsidRPr="00796FB8">
              <w:rPr>
                <w:rFonts w:ascii="Arial Narrow" w:hAnsi="Arial Narrow" w:cstheme="minorHAnsi"/>
                <w:sz w:val="20"/>
                <w:szCs w:val="20"/>
              </w:rPr>
              <w:t>184 (87.2)</w:t>
            </w:r>
          </w:p>
        </w:tc>
      </w:tr>
      <w:tr w:rsidR="00963558" w:rsidRPr="00796FB8" w:rsidTr="00A116FD">
        <w:tc>
          <w:tcPr>
            <w:tcW w:w="3114" w:type="dxa"/>
            <w:vAlign w:val="center"/>
          </w:tcPr>
          <w:p w:rsidR="00963558" w:rsidRPr="00796FB8" w:rsidRDefault="00963558" w:rsidP="00BF3C38">
            <w:pPr>
              <w:keepNext/>
              <w:rPr>
                <w:rFonts w:ascii="Arial Narrow" w:hAnsi="Arial Narrow"/>
                <w:sz w:val="20"/>
                <w:szCs w:val="20"/>
              </w:rPr>
            </w:pPr>
            <w:r w:rsidRPr="00796FB8">
              <w:rPr>
                <w:rFonts w:ascii="Arial Narrow" w:hAnsi="Arial Narrow" w:cstheme="minorHAnsi"/>
                <w:sz w:val="20"/>
                <w:szCs w:val="20"/>
              </w:rPr>
              <w:t>Completed the double-blind period</w:t>
            </w:r>
          </w:p>
        </w:tc>
        <w:tc>
          <w:tcPr>
            <w:tcW w:w="1417"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189 (83.6)</w:t>
            </w:r>
          </w:p>
        </w:tc>
        <w:tc>
          <w:tcPr>
            <w:tcW w:w="2410"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173 (80.1)</w:t>
            </w:r>
          </w:p>
        </w:tc>
        <w:tc>
          <w:tcPr>
            <w:tcW w:w="1985"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142 (67.3)</w:t>
            </w:r>
          </w:p>
        </w:tc>
      </w:tr>
      <w:tr w:rsidR="00963558" w:rsidRPr="00796FB8" w:rsidTr="00A116FD">
        <w:tc>
          <w:tcPr>
            <w:tcW w:w="3114" w:type="dxa"/>
          </w:tcPr>
          <w:p w:rsidR="00963558" w:rsidRPr="00796FB8" w:rsidRDefault="00963558" w:rsidP="00BF3C38">
            <w:pPr>
              <w:keepNext/>
              <w:rPr>
                <w:rFonts w:ascii="Arial Narrow" w:hAnsi="Arial Narrow" w:cstheme="minorHAnsi"/>
                <w:sz w:val="20"/>
                <w:szCs w:val="20"/>
              </w:rPr>
            </w:pPr>
            <w:r w:rsidRPr="00796FB8">
              <w:rPr>
                <w:rFonts w:ascii="Arial Narrow" w:hAnsi="Arial Narrow" w:cs="TimesNewRomanPSMT"/>
                <w:sz w:val="20"/>
                <w:szCs w:val="20"/>
              </w:rPr>
              <w:t>Patients listed as ‘</w:t>
            </w:r>
            <w:r w:rsidR="00E24CDB" w:rsidRPr="00796FB8">
              <w:rPr>
                <w:rFonts w:ascii="Arial Narrow" w:hAnsi="Arial Narrow" w:cs="TimesNewRomanPSMT"/>
                <w:sz w:val="20"/>
                <w:szCs w:val="20"/>
              </w:rPr>
              <w:t>n</w:t>
            </w:r>
            <w:r w:rsidRPr="00796FB8">
              <w:rPr>
                <w:rFonts w:ascii="Arial Narrow" w:hAnsi="Arial Narrow" w:cs="TimesNewRomanPSMT"/>
                <w:sz w:val="20"/>
                <w:szCs w:val="20"/>
              </w:rPr>
              <w:t xml:space="preserve">ot </w:t>
            </w:r>
            <w:r w:rsidR="00E24CDB" w:rsidRPr="00796FB8">
              <w:rPr>
                <w:rFonts w:ascii="Arial Narrow" w:hAnsi="Arial Narrow" w:cs="TimesNewRomanPSMT"/>
                <w:sz w:val="20"/>
                <w:szCs w:val="20"/>
              </w:rPr>
              <w:t>e</w:t>
            </w:r>
            <w:r w:rsidRPr="00796FB8">
              <w:rPr>
                <w:rFonts w:ascii="Arial Narrow" w:hAnsi="Arial Narrow" w:cs="TimesNewRomanPSMT"/>
                <w:sz w:val="20"/>
                <w:szCs w:val="20"/>
              </w:rPr>
              <w:t>valuable’</w:t>
            </w:r>
            <w:r w:rsidR="00E24CDB" w:rsidRPr="00796FB8">
              <w:rPr>
                <w:rFonts w:ascii="Arial Narrow" w:hAnsi="Arial Narrow"/>
                <w:sz w:val="20"/>
                <w:szCs w:val="20"/>
                <w:vertAlign w:val="superscript"/>
              </w:rPr>
              <w:t>a</w:t>
            </w:r>
            <w:r w:rsidR="00E24CDB" w:rsidRPr="00796FB8">
              <w:rPr>
                <w:rFonts w:ascii="Arial Narrow" w:hAnsi="Arial Narrow" w:cs="TimesNewRomanPSMT"/>
                <w:sz w:val="20"/>
                <w:szCs w:val="20"/>
              </w:rPr>
              <w:t xml:space="preserve"> </w:t>
            </w:r>
            <w:r w:rsidRPr="00796FB8">
              <w:rPr>
                <w:rFonts w:ascii="Arial Narrow" w:hAnsi="Arial Narrow" w:cs="TimesNewRomanPSMT"/>
                <w:sz w:val="20"/>
                <w:szCs w:val="20"/>
              </w:rPr>
              <w:t>in the efficacy outcomes</w:t>
            </w:r>
          </w:p>
        </w:tc>
        <w:tc>
          <w:tcPr>
            <w:tcW w:w="1417"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8 (3.5)</w:t>
            </w:r>
          </w:p>
        </w:tc>
        <w:tc>
          <w:tcPr>
            <w:tcW w:w="2410"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15 (6.8)</w:t>
            </w:r>
          </w:p>
        </w:tc>
        <w:tc>
          <w:tcPr>
            <w:tcW w:w="1985"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22 (10.4)</w:t>
            </w:r>
          </w:p>
        </w:tc>
      </w:tr>
      <w:tr w:rsidR="00963558" w:rsidRPr="00796FB8" w:rsidTr="00A116FD">
        <w:tc>
          <w:tcPr>
            <w:tcW w:w="8926" w:type="dxa"/>
            <w:gridSpan w:val="4"/>
            <w:shd w:val="clear" w:color="auto" w:fill="D9D9D9" w:themeFill="background1" w:themeFillShade="D9"/>
          </w:tcPr>
          <w:p w:rsidR="00963558" w:rsidRPr="00796FB8" w:rsidRDefault="00963558" w:rsidP="00BF3C38">
            <w:pPr>
              <w:keepNext/>
              <w:rPr>
                <w:rFonts w:ascii="Arial Narrow" w:hAnsi="Arial Narrow" w:cs="TimesNewRomanPSMT"/>
                <w:b/>
                <w:bCs/>
                <w:sz w:val="20"/>
                <w:szCs w:val="20"/>
              </w:rPr>
            </w:pPr>
            <w:r w:rsidRPr="00796FB8">
              <w:rPr>
                <w:rFonts w:ascii="Arial Narrow" w:hAnsi="Arial Narrow" w:cs="TimesNewRomanPSMT"/>
                <w:b/>
                <w:bCs/>
                <w:sz w:val="20"/>
                <w:szCs w:val="20"/>
              </w:rPr>
              <w:t xml:space="preserve">Two most common </w:t>
            </w:r>
            <w:r w:rsidR="008A3C85" w:rsidRPr="00796FB8">
              <w:rPr>
                <w:rFonts w:ascii="Arial Narrow" w:hAnsi="Arial Narrow" w:cs="TimesNewRomanPSMT"/>
                <w:b/>
                <w:bCs/>
                <w:sz w:val="20"/>
                <w:szCs w:val="20"/>
              </w:rPr>
              <w:t>r</w:t>
            </w:r>
            <w:r w:rsidRPr="00796FB8">
              <w:rPr>
                <w:rFonts w:ascii="Arial Narrow" w:hAnsi="Arial Narrow" w:cs="TimesNewRomanPSMT"/>
                <w:b/>
                <w:bCs/>
                <w:sz w:val="20"/>
                <w:szCs w:val="20"/>
              </w:rPr>
              <w:t xml:space="preserve">easons for </w:t>
            </w:r>
            <w:r w:rsidR="008A3C85" w:rsidRPr="00796FB8">
              <w:rPr>
                <w:rFonts w:ascii="Arial Narrow" w:hAnsi="Arial Narrow" w:cs="TimesNewRomanPSMT"/>
                <w:b/>
                <w:bCs/>
                <w:sz w:val="20"/>
                <w:szCs w:val="20"/>
              </w:rPr>
              <w:t>d</w:t>
            </w:r>
            <w:r w:rsidRPr="00796FB8">
              <w:rPr>
                <w:rFonts w:ascii="Arial Narrow" w:hAnsi="Arial Narrow" w:cs="TimesNewRomanPSMT"/>
                <w:b/>
                <w:bCs/>
                <w:sz w:val="20"/>
                <w:szCs w:val="20"/>
              </w:rPr>
              <w:t xml:space="preserve">iscontinuation from the </w:t>
            </w:r>
            <w:r w:rsidR="008A3C85" w:rsidRPr="00796FB8">
              <w:rPr>
                <w:rFonts w:ascii="Arial Narrow" w:hAnsi="Arial Narrow" w:cs="TimesNewRomanPSMT"/>
                <w:b/>
                <w:bCs/>
                <w:sz w:val="20"/>
                <w:szCs w:val="20"/>
              </w:rPr>
              <w:t>d</w:t>
            </w:r>
            <w:r w:rsidRPr="00796FB8">
              <w:rPr>
                <w:rFonts w:ascii="Arial Narrow" w:hAnsi="Arial Narrow" w:cs="TimesNewRomanPSMT"/>
                <w:b/>
                <w:bCs/>
                <w:sz w:val="20"/>
                <w:szCs w:val="20"/>
              </w:rPr>
              <w:t>ouble-</w:t>
            </w:r>
            <w:r w:rsidR="008A3C85" w:rsidRPr="00796FB8">
              <w:rPr>
                <w:rFonts w:ascii="Arial Narrow" w:hAnsi="Arial Narrow" w:cs="TimesNewRomanPSMT"/>
                <w:b/>
                <w:bCs/>
                <w:sz w:val="20"/>
                <w:szCs w:val="20"/>
              </w:rPr>
              <w:t>b</w:t>
            </w:r>
            <w:r w:rsidRPr="00796FB8">
              <w:rPr>
                <w:rFonts w:ascii="Arial Narrow" w:hAnsi="Arial Narrow" w:cs="TimesNewRomanPSMT"/>
                <w:b/>
                <w:bCs/>
                <w:sz w:val="20"/>
                <w:szCs w:val="20"/>
              </w:rPr>
              <w:t>lind period</w:t>
            </w:r>
            <w:r w:rsidR="00E24CDB" w:rsidRPr="00796FB8">
              <w:rPr>
                <w:rFonts w:ascii="Arial Narrow" w:hAnsi="Arial Narrow"/>
                <w:b/>
                <w:bCs/>
                <w:sz w:val="20"/>
                <w:szCs w:val="20"/>
                <w:vertAlign w:val="superscript"/>
              </w:rPr>
              <w:t>b</w:t>
            </w:r>
          </w:p>
        </w:tc>
      </w:tr>
      <w:tr w:rsidR="00963558" w:rsidRPr="00796FB8" w:rsidTr="00A116FD">
        <w:tc>
          <w:tcPr>
            <w:tcW w:w="3114" w:type="dxa"/>
          </w:tcPr>
          <w:p w:rsidR="00963558" w:rsidRPr="00796FB8" w:rsidRDefault="00963558" w:rsidP="00BF3C38">
            <w:pPr>
              <w:keepNext/>
              <w:rPr>
                <w:rFonts w:ascii="Arial Narrow" w:hAnsi="Arial Narrow"/>
                <w:sz w:val="20"/>
                <w:szCs w:val="20"/>
              </w:rPr>
            </w:pPr>
            <w:r w:rsidRPr="00796FB8">
              <w:rPr>
                <w:rFonts w:ascii="Arial Narrow" w:hAnsi="Arial Narrow"/>
                <w:sz w:val="20"/>
                <w:szCs w:val="20"/>
              </w:rPr>
              <w:t xml:space="preserve">Adverse </w:t>
            </w:r>
            <w:r w:rsidR="00E24CDB" w:rsidRPr="00796FB8">
              <w:rPr>
                <w:rFonts w:ascii="Arial Narrow" w:hAnsi="Arial Narrow"/>
                <w:sz w:val="20"/>
                <w:szCs w:val="20"/>
              </w:rPr>
              <w:t>e</w:t>
            </w:r>
            <w:r w:rsidRPr="00796FB8">
              <w:rPr>
                <w:rFonts w:ascii="Arial Narrow" w:hAnsi="Arial Narrow"/>
                <w:sz w:val="20"/>
                <w:szCs w:val="20"/>
              </w:rPr>
              <w:t>vent</w:t>
            </w:r>
          </w:p>
        </w:tc>
        <w:tc>
          <w:tcPr>
            <w:tcW w:w="1417"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9 (4.0)</w:t>
            </w:r>
          </w:p>
        </w:tc>
        <w:tc>
          <w:tcPr>
            <w:tcW w:w="2410"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21 (9.7)</w:t>
            </w:r>
          </w:p>
        </w:tc>
        <w:tc>
          <w:tcPr>
            <w:tcW w:w="1985"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45 (21.3)</w:t>
            </w:r>
          </w:p>
        </w:tc>
      </w:tr>
      <w:tr w:rsidR="00963558" w:rsidRPr="00796FB8" w:rsidTr="00A116FD">
        <w:tc>
          <w:tcPr>
            <w:tcW w:w="3114" w:type="dxa"/>
          </w:tcPr>
          <w:p w:rsidR="00963558" w:rsidRPr="00796FB8" w:rsidRDefault="00963558" w:rsidP="00BF3C38">
            <w:pPr>
              <w:keepNext/>
              <w:rPr>
                <w:rFonts w:ascii="Arial Narrow" w:hAnsi="Arial Narrow"/>
                <w:sz w:val="20"/>
                <w:szCs w:val="20"/>
              </w:rPr>
            </w:pPr>
            <w:r w:rsidRPr="00796FB8">
              <w:rPr>
                <w:rFonts w:ascii="Arial Narrow" w:hAnsi="Arial Narrow"/>
                <w:sz w:val="20"/>
                <w:szCs w:val="20"/>
              </w:rPr>
              <w:t xml:space="preserve">Withdrawal by </w:t>
            </w:r>
            <w:r w:rsidR="00E24CDB" w:rsidRPr="00796FB8">
              <w:rPr>
                <w:rFonts w:ascii="Arial Narrow" w:hAnsi="Arial Narrow"/>
                <w:sz w:val="20"/>
                <w:szCs w:val="20"/>
              </w:rPr>
              <w:t>s</w:t>
            </w:r>
            <w:r w:rsidRPr="00796FB8">
              <w:rPr>
                <w:rFonts w:ascii="Arial Narrow" w:hAnsi="Arial Narrow"/>
                <w:sz w:val="20"/>
                <w:szCs w:val="20"/>
              </w:rPr>
              <w:t>ubject</w:t>
            </w:r>
          </w:p>
        </w:tc>
        <w:tc>
          <w:tcPr>
            <w:tcW w:w="1417"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7 (3.1)</w:t>
            </w:r>
          </w:p>
        </w:tc>
        <w:tc>
          <w:tcPr>
            <w:tcW w:w="2410"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7 (3.2)</w:t>
            </w:r>
          </w:p>
        </w:tc>
        <w:tc>
          <w:tcPr>
            <w:tcW w:w="1985" w:type="dxa"/>
          </w:tcPr>
          <w:p w:rsidR="00963558" w:rsidRPr="00796FB8" w:rsidRDefault="00963558" w:rsidP="00BF3C38">
            <w:pPr>
              <w:keepNext/>
              <w:rPr>
                <w:rFonts w:ascii="Arial Narrow" w:hAnsi="Arial Narrow" w:cs="TimesNewRomanPSMT"/>
                <w:sz w:val="20"/>
                <w:szCs w:val="20"/>
              </w:rPr>
            </w:pPr>
            <w:r w:rsidRPr="00796FB8">
              <w:rPr>
                <w:rFonts w:ascii="Arial Narrow" w:hAnsi="Arial Narrow" w:cs="TimesNewRomanPSMT"/>
                <w:sz w:val="20"/>
                <w:szCs w:val="20"/>
              </w:rPr>
              <w:t>12 (5.7)</w:t>
            </w:r>
          </w:p>
        </w:tc>
      </w:tr>
    </w:tbl>
    <w:p w:rsidR="00963558" w:rsidRPr="00796FB8" w:rsidRDefault="00963558" w:rsidP="00BF3C38">
      <w:pPr>
        <w:pStyle w:val="TableFigureFooter"/>
        <w:keepNext/>
      </w:pPr>
      <w:r w:rsidRPr="00796FB8">
        <w:t>Source: Data extracted from Table 9, p 92 of the Study 304 CSR.</w:t>
      </w:r>
    </w:p>
    <w:p w:rsidR="00963558" w:rsidRPr="00796FB8" w:rsidRDefault="00E24CDB" w:rsidP="00BF3C38">
      <w:pPr>
        <w:pStyle w:val="TableFigureFooter"/>
        <w:keepNext/>
        <w:jc w:val="left"/>
        <w:rPr>
          <w:szCs w:val="18"/>
        </w:rPr>
      </w:pPr>
      <w:r w:rsidRPr="00796FB8">
        <w:t>ESL = eslicarbazepine</w:t>
      </w:r>
      <w:r w:rsidR="00C4771F" w:rsidRPr="00C4771F">
        <w:t xml:space="preserve"> </w:t>
      </w:r>
      <w:r w:rsidR="00C4771F">
        <w:t>acetate</w:t>
      </w:r>
      <w:r w:rsidRPr="00796FB8">
        <w:t xml:space="preserve">; ITT = intention-to-treat. </w:t>
      </w:r>
      <w:r w:rsidR="00963558" w:rsidRPr="00796FB8">
        <w:br/>
      </w:r>
      <w:r w:rsidRPr="00796FB8">
        <w:rPr>
          <w:vertAlign w:val="superscript"/>
        </w:rPr>
        <w:t>a</w:t>
      </w:r>
      <w:r w:rsidRPr="00796FB8">
        <w:t xml:space="preserve"> </w:t>
      </w:r>
      <w:r w:rsidR="00963558" w:rsidRPr="00796FB8">
        <w:rPr>
          <w:szCs w:val="18"/>
        </w:rPr>
        <w:t xml:space="preserve">The </w:t>
      </w:r>
      <w:r w:rsidRPr="00796FB8">
        <w:rPr>
          <w:szCs w:val="18"/>
        </w:rPr>
        <w:t>“n</w:t>
      </w:r>
      <w:r w:rsidR="00963558" w:rsidRPr="00796FB8">
        <w:rPr>
          <w:szCs w:val="18"/>
        </w:rPr>
        <w:t xml:space="preserve">ot </w:t>
      </w:r>
      <w:r w:rsidRPr="00796FB8">
        <w:rPr>
          <w:szCs w:val="18"/>
        </w:rPr>
        <w:t>e</w:t>
      </w:r>
      <w:r w:rsidR="00963558" w:rsidRPr="00796FB8">
        <w:rPr>
          <w:szCs w:val="18"/>
        </w:rPr>
        <w:t>valuable</w:t>
      </w:r>
      <w:r w:rsidRPr="00796FB8">
        <w:rPr>
          <w:szCs w:val="18"/>
        </w:rPr>
        <w:t>”</w:t>
      </w:r>
      <w:r w:rsidR="00963558" w:rsidRPr="00796FB8">
        <w:rPr>
          <w:szCs w:val="18"/>
        </w:rPr>
        <w:t xml:space="preserve"> category includes subjects who discontinued during the titration period or who entered the maintenance period but have missing data. The submission was unclear about how these missing data were handled, and sensitivity analyses addressing them could not be located in the CSR.</w:t>
      </w:r>
    </w:p>
    <w:p w:rsidR="00E24CDB" w:rsidRPr="00796FB8" w:rsidRDefault="00E24CDB" w:rsidP="00BF3C38">
      <w:pPr>
        <w:pStyle w:val="TableFigureFooter"/>
        <w:keepNext/>
        <w:jc w:val="left"/>
        <w:rPr>
          <w:sz w:val="20"/>
        </w:rPr>
      </w:pPr>
      <w:r w:rsidRPr="00796FB8">
        <w:rPr>
          <w:vertAlign w:val="superscript"/>
        </w:rPr>
        <w:t>b</w:t>
      </w:r>
      <w:r w:rsidRPr="00796FB8">
        <w:t xml:space="preserve"> Reasons for discontinuation from the double-blind period include subjects who discontinued from either the titration or maintenance periods. One subject was discontinued in the ESL 1,200 mg group for reason reported as 'lack of efficacy'. This reason on the case report form had been interpreted differently during the study depending on the protocol amendment in effect. Until Protocol Amendment No. 5, “lack of efficacy” required at least a 100% increase in seizure frequency.</w:t>
      </w:r>
    </w:p>
    <w:p w:rsidR="00B60939" w:rsidRPr="00796FB8" w:rsidRDefault="00B60939" w:rsidP="00BF3C38">
      <w:pPr>
        <w:pStyle w:val="4-SubsectionHeading"/>
      </w:pPr>
      <w:bookmarkStart w:id="20" w:name="_Toc62035368"/>
      <w:r w:rsidRPr="00796FB8">
        <w:t>Comparative effectiveness</w:t>
      </w:r>
      <w:bookmarkEnd w:id="16"/>
      <w:bookmarkEnd w:id="20"/>
    </w:p>
    <w:p w:rsidR="007F0964" w:rsidRPr="00796FB8" w:rsidRDefault="006433A8" w:rsidP="00BF3C38">
      <w:pPr>
        <w:pStyle w:val="3-BodyText"/>
      </w:pPr>
      <w:r w:rsidRPr="00796FB8">
        <w:t>T</w:t>
      </w:r>
      <w:r w:rsidR="007F0964" w:rsidRPr="00796FB8">
        <w:t>he primary efficacy analysis of Study 304 was reduction in standardised seizure frequency (SSF), which reached statistical significance in the ESL 1,20</w:t>
      </w:r>
      <w:r w:rsidR="00EA1200" w:rsidRPr="00796FB8">
        <w:t>0</w:t>
      </w:r>
      <w:r w:rsidR="008A3C85" w:rsidRPr="00796FB8">
        <w:t xml:space="preserve"> </w:t>
      </w:r>
      <w:r w:rsidR="00EA1200" w:rsidRPr="00796FB8">
        <w:t>mg</w:t>
      </w:r>
      <w:r w:rsidR="007F0964" w:rsidRPr="00796FB8">
        <w:t xml:space="preserve"> group but not in the ESL 80</w:t>
      </w:r>
      <w:r w:rsidR="00EA1200" w:rsidRPr="00796FB8">
        <w:t>0</w:t>
      </w:r>
      <w:r w:rsidR="008A3C85" w:rsidRPr="00796FB8">
        <w:t xml:space="preserve"> </w:t>
      </w:r>
      <w:r w:rsidR="00EA1200" w:rsidRPr="00796FB8">
        <w:t>mg</w:t>
      </w:r>
      <w:r w:rsidR="007F0964" w:rsidRPr="00796FB8">
        <w:t xml:space="preserve"> group, as shown in </w:t>
      </w:r>
      <w:r w:rsidR="002C71DF" w:rsidRPr="00796FB8">
        <w:t>Table 5</w:t>
      </w:r>
      <w:r w:rsidR="007F0964" w:rsidRPr="00796FB8">
        <w:t xml:space="preserve"> below.</w:t>
      </w:r>
      <w:r w:rsidR="008201E8" w:rsidRPr="00796FB8">
        <w:t xml:space="preserve"> </w:t>
      </w:r>
    </w:p>
    <w:p w:rsidR="007F0964" w:rsidRPr="00796FB8" w:rsidRDefault="007F0964" w:rsidP="00BF3C38">
      <w:pPr>
        <w:pStyle w:val="TableFigureHeading"/>
      </w:pPr>
      <w:bookmarkStart w:id="21" w:name="_Ref58216549"/>
      <w:r w:rsidRPr="00796FB8">
        <w:t xml:space="preserve">Table </w:t>
      </w:r>
      <w:r w:rsidR="002C71DF" w:rsidRPr="00796FB8">
        <w:t>5</w:t>
      </w:r>
      <w:bookmarkEnd w:id="21"/>
      <w:r w:rsidRPr="00796FB8">
        <w:t>: Primary efficacy analysis for Study 304 (ITT population)</w:t>
      </w:r>
    </w:p>
    <w:tbl>
      <w:tblPr>
        <w:tblStyle w:val="TableGrid"/>
        <w:tblW w:w="0" w:type="auto"/>
        <w:tblLook w:val="04A0" w:firstRow="1" w:lastRow="0" w:firstColumn="1" w:lastColumn="0" w:noHBand="0" w:noVBand="1"/>
        <w:tblCaption w:val="Table 5: Primary efficacy analysis for Study 304 (ITT population)"/>
      </w:tblPr>
      <w:tblGrid>
        <w:gridCol w:w="3114"/>
        <w:gridCol w:w="1701"/>
        <w:gridCol w:w="2126"/>
        <w:gridCol w:w="1985"/>
      </w:tblGrid>
      <w:tr w:rsidR="007F0964" w:rsidRPr="00796FB8" w:rsidTr="0069318E">
        <w:trPr>
          <w:tblHeader/>
        </w:trPr>
        <w:tc>
          <w:tcPr>
            <w:tcW w:w="3114" w:type="dxa"/>
            <w:vMerge w:val="restart"/>
            <w:shd w:val="clear" w:color="auto" w:fill="D9D9D9" w:themeFill="background1" w:themeFillShade="D9"/>
          </w:tcPr>
          <w:p w:rsidR="007F0964" w:rsidRPr="00796FB8" w:rsidRDefault="007F0964" w:rsidP="00BF3C38">
            <w:pPr>
              <w:keepNext/>
              <w:rPr>
                <w:rFonts w:ascii="Arial Narrow" w:hAnsi="Arial Narrow"/>
                <w:b/>
                <w:bCs/>
                <w:sz w:val="20"/>
                <w:szCs w:val="20"/>
              </w:rPr>
            </w:pPr>
            <w:bookmarkStart w:id="22" w:name="_Hlk58199856"/>
            <w:r w:rsidRPr="00796FB8">
              <w:rPr>
                <w:rFonts w:ascii="Arial Narrow" w:hAnsi="Arial Narrow"/>
                <w:b/>
                <w:bCs/>
                <w:sz w:val="20"/>
                <w:szCs w:val="20"/>
              </w:rPr>
              <w:t>Parameter</w:t>
            </w:r>
          </w:p>
        </w:tc>
        <w:tc>
          <w:tcPr>
            <w:tcW w:w="5812" w:type="dxa"/>
            <w:gridSpan w:val="3"/>
            <w:shd w:val="clear" w:color="auto" w:fill="D9D9D9" w:themeFill="background1" w:themeFillShade="D9"/>
          </w:tcPr>
          <w:p w:rsidR="007F0964" w:rsidRPr="00796FB8" w:rsidRDefault="007F0964" w:rsidP="00BF3C38">
            <w:pPr>
              <w:keepNext/>
              <w:rPr>
                <w:rFonts w:ascii="Arial Narrow" w:hAnsi="Arial Narrow"/>
                <w:b/>
                <w:bCs/>
                <w:sz w:val="20"/>
                <w:szCs w:val="20"/>
                <w:vertAlign w:val="superscript"/>
              </w:rPr>
            </w:pPr>
          </w:p>
        </w:tc>
      </w:tr>
      <w:tr w:rsidR="007F0964" w:rsidRPr="00796FB8" w:rsidTr="0069318E">
        <w:trPr>
          <w:tblHeader/>
        </w:trPr>
        <w:tc>
          <w:tcPr>
            <w:tcW w:w="3114" w:type="dxa"/>
            <w:vMerge/>
            <w:shd w:val="clear" w:color="auto" w:fill="D9D9D9" w:themeFill="background1" w:themeFillShade="D9"/>
          </w:tcPr>
          <w:p w:rsidR="007F0964" w:rsidRPr="00796FB8" w:rsidRDefault="007F0964" w:rsidP="00BF3C38">
            <w:pPr>
              <w:keepNext/>
              <w:rPr>
                <w:rFonts w:ascii="Arial Narrow" w:hAnsi="Arial Narrow"/>
                <w:b/>
                <w:bCs/>
                <w:sz w:val="20"/>
                <w:szCs w:val="20"/>
              </w:rPr>
            </w:pPr>
          </w:p>
        </w:tc>
        <w:tc>
          <w:tcPr>
            <w:tcW w:w="1701" w:type="dxa"/>
            <w:shd w:val="clear" w:color="auto" w:fill="D9D9D9" w:themeFill="background1" w:themeFillShade="D9"/>
          </w:tcPr>
          <w:p w:rsidR="007F0964" w:rsidRPr="00796FB8" w:rsidRDefault="007F0964" w:rsidP="00BF3C38">
            <w:pPr>
              <w:keepNext/>
              <w:rPr>
                <w:rFonts w:ascii="Arial Narrow" w:hAnsi="Arial Narrow"/>
                <w:b/>
                <w:bCs/>
                <w:sz w:val="20"/>
                <w:szCs w:val="20"/>
              </w:rPr>
            </w:pPr>
            <w:r w:rsidRPr="00796FB8">
              <w:rPr>
                <w:rFonts w:ascii="Arial Narrow" w:hAnsi="Arial Narrow"/>
                <w:b/>
                <w:bCs/>
                <w:sz w:val="20"/>
                <w:szCs w:val="20"/>
              </w:rPr>
              <w:t>Placebo (N = 220)</w:t>
            </w:r>
          </w:p>
        </w:tc>
        <w:tc>
          <w:tcPr>
            <w:tcW w:w="2126" w:type="dxa"/>
            <w:shd w:val="clear" w:color="auto" w:fill="D9D9D9" w:themeFill="background1" w:themeFillShade="D9"/>
          </w:tcPr>
          <w:p w:rsidR="007F0964" w:rsidRPr="00796FB8" w:rsidRDefault="007F0964" w:rsidP="00BF3C38">
            <w:pPr>
              <w:keepNext/>
              <w:rPr>
                <w:rFonts w:ascii="Arial Narrow" w:hAnsi="Arial Narrow"/>
                <w:b/>
                <w:bCs/>
                <w:sz w:val="20"/>
                <w:szCs w:val="20"/>
              </w:rPr>
            </w:pPr>
            <w:r w:rsidRPr="00796FB8">
              <w:rPr>
                <w:rFonts w:ascii="Arial Narrow" w:hAnsi="Arial Narrow" w:cs="TimesNewRomanPS-BoldMT"/>
                <w:b/>
                <w:bCs/>
                <w:sz w:val="20"/>
                <w:szCs w:val="20"/>
              </w:rPr>
              <w:t>ESL 80</w:t>
            </w:r>
            <w:r w:rsidR="00EA1200" w:rsidRPr="00796FB8">
              <w:rPr>
                <w:rFonts w:ascii="Arial Narrow" w:hAnsi="Arial Narrow" w:cs="TimesNewRomanPS-BoldMT"/>
                <w:b/>
                <w:bCs/>
                <w:sz w:val="20"/>
                <w:szCs w:val="20"/>
              </w:rPr>
              <w:t>0</w:t>
            </w:r>
            <w:r w:rsidR="00F96927" w:rsidRPr="00796FB8">
              <w:rPr>
                <w:rFonts w:ascii="Arial Narrow" w:hAnsi="Arial Narrow" w:cs="TimesNewRomanPS-BoldMT"/>
                <w:b/>
                <w:bCs/>
                <w:sz w:val="20"/>
                <w:szCs w:val="20"/>
              </w:rPr>
              <w:t xml:space="preserve"> </w:t>
            </w:r>
            <w:r w:rsidR="00EA1200" w:rsidRPr="00796FB8">
              <w:rPr>
                <w:rFonts w:ascii="Arial Narrow" w:hAnsi="Arial Narrow" w:cs="TimesNewRomanPS-BoldMT"/>
                <w:b/>
                <w:bCs/>
                <w:sz w:val="20"/>
                <w:szCs w:val="20"/>
              </w:rPr>
              <w:t>mg</w:t>
            </w:r>
            <w:r w:rsidRPr="00796FB8">
              <w:rPr>
                <w:rFonts w:ascii="Arial Narrow" w:hAnsi="Arial Narrow" w:cs="TimesNewRomanPS-BoldMT"/>
                <w:b/>
                <w:bCs/>
                <w:sz w:val="20"/>
                <w:szCs w:val="20"/>
              </w:rPr>
              <w:t xml:space="preserve">  (N = 215)</w:t>
            </w:r>
          </w:p>
        </w:tc>
        <w:tc>
          <w:tcPr>
            <w:tcW w:w="1985" w:type="dxa"/>
            <w:shd w:val="clear" w:color="auto" w:fill="D9D9D9" w:themeFill="background1" w:themeFillShade="D9"/>
          </w:tcPr>
          <w:p w:rsidR="007F0964" w:rsidRPr="00796FB8" w:rsidRDefault="007F0964" w:rsidP="00BF3C38">
            <w:pPr>
              <w:keepNext/>
              <w:rPr>
                <w:rFonts w:ascii="Arial Narrow" w:hAnsi="Arial Narrow"/>
                <w:b/>
                <w:bCs/>
                <w:sz w:val="20"/>
                <w:szCs w:val="20"/>
              </w:rPr>
            </w:pPr>
            <w:r w:rsidRPr="00796FB8">
              <w:rPr>
                <w:rFonts w:ascii="Arial Narrow" w:hAnsi="Arial Narrow" w:cs="TimesNewRomanPS-BoldMT"/>
                <w:b/>
                <w:bCs/>
                <w:sz w:val="20"/>
                <w:szCs w:val="20"/>
              </w:rPr>
              <w:t>ESL 1</w:t>
            </w:r>
            <w:r w:rsidR="00464A5B" w:rsidRPr="00796FB8">
              <w:rPr>
                <w:rFonts w:ascii="Arial Narrow" w:hAnsi="Arial Narrow" w:cs="TimesNewRomanPS-BoldMT"/>
                <w:b/>
                <w:bCs/>
                <w:sz w:val="20"/>
                <w:szCs w:val="20"/>
              </w:rPr>
              <w:t>,</w:t>
            </w:r>
            <w:r w:rsidRPr="00796FB8">
              <w:rPr>
                <w:rFonts w:ascii="Arial Narrow" w:hAnsi="Arial Narrow" w:cs="TimesNewRomanPS-BoldMT"/>
                <w:b/>
                <w:bCs/>
                <w:sz w:val="20"/>
                <w:szCs w:val="20"/>
              </w:rPr>
              <w:t>20</w:t>
            </w:r>
            <w:r w:rsidR="00EA1200" w:rsidRPr="00796FB8">
              <w:rPr>
                <w:rFonts w:ascii="Arial Narrow" w:hAnsi="Arial Narrow" w:cs="TimesNewRomanPS-BoldMT"/>
                <w:b/>
                <w:bCs/>
                <w:sz w:val="20"/>
                <w:szCs w:val="20"/>
              </w:rPr>
              <w:t>0</w:t>
            </w:r>
            <w:r w:rsidR="00F96927" w:rsidRPr="00796FB8">
              <w:rPr>
                <w:rFonts w:ascii="Arial Narrow" w:hAnsi="Arial Narrow" w:cs="TimesNewRomanPS-BoldMT"/>
                <w:b/>
                <w:bCs/>
                <w:sz w:val="20"/>
                <w:szCs w:val="20"/>
              </w:rPr>
              <w:t xml:space="preserve"> </w:t>
            </w:r>
            <w:r w:rsidR="00EA1200" w:rsidRPr="00796FB8">
              <w:rPr>
                <w:rFonts w:ascii="Arial Narrow" w:hAnsi="Arial Narrow" w:cs="TimesNewRomanPS-BoldMT"/>
                <w:b/>
                <w:bCs/>
                <w:sz w:val="20"/>
                <w:szCs w:val="20"/>
              </w:rPr>
              <w:t>mg</w:t>
            </w:r>
            <w:r w:rsidRPr="00796FB8">
              <w:rPr>
                <w:rFonts w:ascii="Arial Narrow" w:hAnsi="Arial Narrow" w:cs="TimesNewRomanPS-BoldMT"/>
                <w:b/>
                <w:bCs/>
                <w:sz w:val="20"/>
                <w:szCs w:val="20"/>
              </w:rPr>
              <w:t xml:space="preserve"> (N = 205)</w:t>
            </w:r>
          </w:p>
        </w:tc>
      </w:tr>
      <w:tr w:rsidR="007F0964" w:rsidRPr="00796FB8" w:rsidTr="00A116FD">
        <w:tc>
          <w:tcPr>
            <w:tcW w:w="3114" w:type="dxa"/>
          </w:tcPr>
          <w:p w:rsidR="007F0964" w:rsidRPr="00796FB8" w:rsidRDefault="007F0964" w:rsidP="00BF3C38">
            <w:pPr>
              <w:keepNext/>
              <w:jc w:val="left"/>
              <w:rPr>
                <w:rFonts w:ascii="Arial Narrow" w:hAnsi="Arial Narrow" w:cs="TimesNewRomanPSMT"/>
                <w:sz w:val="20"/>
                <w:szCs w:val="20"/>
              </w:rPr>
            </w:pPr>
            <w:r w:rsidRPr="00796FB8">
              <w:rPr>
                <w:rFonts w:ascii="Arial Narrow" w:hAnsi="Arial Narrow" w:cs="TimesNewRomanPSMT"/>
                <w:sz w:val="20"/>
                <w:szCs w:val="20"/>
              </w:rPr>
              <w:t>ANCOVA for SSF per 4 weeks over the 12-week maintenance period</w:t>
            </w:r>
          </w:p>
          <w:p w:rsidR="007F0964" w:rsidRPr="00796FB8" w:rsidRDefault="007F0964" w:rsidP="00BF3C38">
            <w:pPr>
              <w:keepNext/>
              <w:jc w:val="left"/>
              <w:rPr>
                <w:rFonts w:ascii="Arial Narrow" w:hAnsi="Arial Narrow"/>
                <w:sz w:val="20"/>
                <w:szCs w:val="20"/>
              </w:rPr>
            </w:pPr>
            <w:r w:rsidRPr="00796FB8">
              <w:rPr>
                <w:rFonts w:ascii="Arial Narrow" w:hAnsi="Arial Narrow"/>
                <w:sz w:val="20"/>
                <w:szCs w:val="20"/>
              </w:rPr>
              <w:t xml:space="preserve">LS </w:t>
            </w:r>
            <w:r w:rsidR="00E24CDB" w:rsidRPr="00796FB8">
              <w:rPr>
                <w:rFonts w:ascii="Arial Narrow" w:hAnsi="Arial Narrow"/>
                <w:sz w:val="20"/>
                <w:szCs w:val="20"/>
              </w:rPr>
              <w:t>m</w:t>
            </w:r>
            <w:r w:rsidRPr="00796FB8">
              <w:rPr>
                <w:rFonts w:ascii="Arial Narrow" w:hAnsi="Arial Narrow"/>
                <w:sz w:val="20"/>
                <w:szCs w:val="20"/>
              </w:rPr>
              <w:t xml:space="preserve">ean (95% </w:t>
            </w:r>
            <w:r w:rsidR="00E24CDB" w:rsidRPr="00796FB8">
              <w:rPr>
                <w:rFonts w:ascii="Arial Narrow" w:hAnsi="Arial Narrow"/>
                <w:sz w:val="20"/>
                <w:szCs w:val="20"/>
              </w:rPr>
              <w:t>c</w:t>
            </w:r>
            <w:r w:rsidRPr="00796FB8">
              <w:rPr>
                <w:rFonts w:ascii="Arial Narrow" w:hAnsi="Arial Narrow"/>
                <w:sz w:val="20"/>
                <w:szCs w:val="20"/>
              </w:rPr>
              <w:t>onfidence interv</w:t>
            </w:r>
            <w:r w:rsidR="008A3C85" w:rsidRPr="00796FB8">
              <w:rPr>
                <w:rFonts w:ascii="Arial Narrow" w:hAnsi="Arial Narrow"/>
                <w:sz w:val="20"/>
                <w:szCs w:val="20"/>
              </w:rPr>
              <w:t>al); p</w:t>
            </w:r>
            <w:r w:rsidR="008A3C85" w:rsidRPr="00796FB8">
              <w:rPr>
                <w:rFonts w:ascii="Arial Narrow" w:hAnsi="Arial Narrow"/>
                <w:sz w:val="20"/>
                <w:szCs w:val="20"/>
              </w:rPr>
              <w:noBreakHyphen/>
            </w:r>
            <w:r w:rsidRPr="00796FB8">
              <w:rPr>
                <w:rFonts w:ascii="Arial Narrow" w:hAnsi="Arial Narrow"/>
                <w:sz w:val="20"/>
                <w:szCs w:val="20"/>
              </w:rPr>
              <w:t>value</w:t>
            </w:r>
            <w:r w:rsidR="00A75371" w:rsidRPr="00796FB8">
              <w:rPr>
                <w:rFonts w:ascii="Arial Narrow" w:hAnsi="Arial Narrow"/>
                <w:sz w:val="20"/>
                <w:szCs w:val="20"/>
                <w:vertAlign w:val="superscript"/>
              </w:rPr>
              <w:t>a</w:t>
            </w:r>
          </w:p>
        </w:tc>
        <w:tc>
          <w:tcPr>
            <w:tcW w:w="1701" w:type="dxa"/>
          </w:tcPr>
          <w:p w:rsidR="007F0964" w:rsidRPr="00796FB8" w:rsidRDefault="007F0964" w:rsidP="00BF3C38">
            <w:pPr>
              <w:keepNext/>
              <w:jc w:val="left"/>
              <w:rPr>
                <w:rFonts w:ascii="Arial Narrow" w:hAnsi="Arial Narrow"/>
                <w:sz w:val="20"/>
                <w:szCs w:val="20"/>
              </w:rPr>
            </w:pPr>
            <w:r w:rsidRPr="00796FB8">
              <w:rPr>
                <w:rFonts w:ascii="Arial Narrow" w:hAnsi="Arial Narrow" w:cs="TimesNewRomanPSMT"/>
                <w:sz w:val="20"/>
                <w:szCs w:val="20"/>
              </w:rPr>
              <w:t xml:space="preserve">7.88 (6.98, 8.9) </w:t>
            </w:r>
          </w:p>
        </w:tc>
        <w:tc>
          <w:tcPr>
            <w:tcW w:w="2126" w:type="dxa"/>
          </w:tcPr>
          <w:p w:rsidR="007F0964" w:rsidRPr="00796FB8" w:rsidRDefault="007F0964" w:rsidP="00BF3C38">
            <w:pPr>
              <w:keepNext/>
              <w:jc w:val="left"/>
              <w:rPr>
                <w:rFonts w:ascii="Arial Narrow" w:hAnsi="Arial Narrow"/>
                <w:sz w:val="20"/>
                <w:szCs w:val="20"/>
              </w:rPr>
            </w:pPr>
            <w:r w:rsidRPr="00796FB8">
              <w:rPr>
                <w:rFonts w:ascii="Arial Narrow" w:hAnsi="Arial Narrow" w:cs="TimesNewRomanPSMT"/>
                <w:sz w:val="20"/>
                <w:szCs w:val="20"/>
              </w:rPr>
              <w:t>6.54 (5.77, 7.4); p=0.058; n.s.</w:t>
            </w:r>
          </w:p>
        </w:tc>
        <w:tc>
          <w:tcPr>
            <w:tcW w:w="1985" w:type="dxa"/>
          </w:tcPr>
          <w:p w:rsidR="007F0964" w:rsidRPr="00796FB8" w:rsidRDefault="007F0964" w:rsidP="00BF3C38">
            <w:pPr>
              <w:keepNext/>
              <w:jc w:val="left"/>
              <w:rPr>
                <w:rFonts w:ascii="Arial Narrow" w:hAnsi="Arial Narrow"/>
                <w:b/>
                <w:sz w:val="20"/>
                <w:szCs w:val="20"/>
              </w:rPr>
            </w:pPr>
            <w:r w:rsidRPr="00796FB8">
              <w:rPr>
                <w:rFonts w:ascii="Arial Narrow" w:hAnsi="Arial Narrow" w:cs="TimesNewRomanPSMT"/>
                <w:b/>
                <w:sz w:val="20"/>
                <w:szCs w:val="20"/>
              </w:rPr>
              <w:t>6.0 (5.26, 6.84); p&lt;0.05</w:t>
            </w:r>
          </w:p>
        </w:tc>
      </w:tr>
      <w:tr w:rsidR="007F0964" w:rsidRPr="00796FB8" w:rsidTr="00A116FD">
        <w:tc>
          <w:tcPr>
            <w:tcW w:w="3114" w:type="dxa"/>
          </w:tcPr>
          <w:p w:rsidR="007F0964" w:rsidRPr="00796FB8" w:rsidRDefault="007F0964" w:rsidP="00BF3C38">
            <w:pPr>
              <w:keepNext/>
              <w:jc w:val="left"/>
              <w:rPr>
                <w:rFonts w:ascii="Arial Narrow" w:hAnsi="Arial Narrow"/>
                <w:sz w:val="20"/>
                <w:szCs w:val="20"/>
              </w:rPr>
            </w:pPr>
            <w:r w:rsidRPr="00796FB8">
              <w:rPr>
                <w:rFonts w:ascii="Arial Narrow" w:hAnsi="Arial Narrow" w:cstheme="minorHAnsi"/>
                <w:sz w:val="20"/>
                <w:szCs w:val="20"/>
              </w:rPr>
              <w:t xml:space="preserve">Log difference in LS </w:t>
            </w:r>
            <w:r w:rsidR="00E24CDB" w:rsidRPr="00796FB8">
              <w:rPr>
                <w:rFonts w:ascii="Arial Narrow" w:hAnsi="Arial Narrow" w:cstheme="minorHAnsi"/>
                <w:sz w:val="20"/>
                <w:szCs w:val="20"/>
              </w:rPr>
              <w:t>m</w:t>
            </w:r>
            <w:r w:rsidRPr="00796FB8">
              <w:rPr>
                <w:rFonts w:ascii="Arial Narrow" w:hAnsi="Arial Narrow" w:cstheme="minorHAnsi"/>
                <w:sz w:val="20"/>
                <w:szCs w:val="20"/>
              </w:rPr>
              <w:t>ean (unadjusted 95% CI) SSF</w:t>
            </w:r>
          </w:p>
        </w:tc>
        <w:tc>
          <w:tcPr>
            <w:tcW w:w="1701" w:type="dxa"/>
            <w:vAlign w:val="center"/>
          </w:tcPr>
          <w:p w:rsidR="007F0964" w:rsidRPr="00796FB8" w:rsidRDefault="00C81A71" w:rsidP="00BF3C38">
            <w:pPr>
              <w:keepNext/>
              <w:jc w:val="left"/>
              <w:rPr>
                <w:rFonts w:ascii="Arial Narrow" w:hAnsi="Arial Narrow" w:cs="TimesNewRomanPSMT"/>
                <w:sz w:val="20"/>
                <w:szCs w:val="20"/>
              </w:rPr>
            </w:pPr>
            <w:r w:rsidRPr="00796FB8">
              <w:rPr>
                <w:rFonts w:ascii="Arial Narrow" w:hAnsi="Arial Narrow" w:cstheme="minorHAnsi"/>
                <w:sz w:val="20"/>
                <w:szCs w:val="20"/>
              </w:rPr>
              <w:t>–</w:t>
            </w:r>
          </w:p>
        </w:tc>
        <w:tc>
          <w:tcPr>
            <w:tcW w:w="2126" w:type="dxa"/>
            <w:vAlign w:val="center"/>
          </w:tcPr>
          <w:p w:rsidR="007F0964" w:rsidRPr="00796FB8" w:rsidRDefault="007F0964" w:rsidP="00BF3C38">
            <w:pPr>
              <w:keepNext/>
              <w:jc w:val="left"/>
              <w:rPr>
                <w:rFonts w:ascii="Arial Narrow" w:hAnsi="Arial Narrow" w:cs="TimesNewRomanPSMT"/>
                <w:sz w:val="20"/>
                <w:szCs w:val="20"/>
              </w:rPr>
            </w:pPr>
            <w:r w:rsidRPr="00796FB8">
              <w:rPr>
                <w:rFonts w:ascii="Arial Narrow" w:hAnsi="Arial Narrow" w:cstheme="minorHAnsi"/>
                <w:sz w:val="20"/>
                <w:szCs w:val="20"/>
              </w:rPr>
              <w:t>-0.18 (-0.34, -0.02)</w:t>
            </w:r>
          </w:p>
        </w:tc>
        <w:tc>
          <w:tcPr>
            <w:tcW w:w="1985" w:type="dxa"/>
            <w:vAlign w:val="center"/>
          </w:tcPr>
          <w:p w:rsidR="007F0964" w:rsidRPr="00796FB8" w:rsidRDefault="007F0964" w:rsidP="00BF3C38">
            <w:pPr>
              <w:keepNext/>
              <w:jc w:val="left"/>
              <w:rPr>
                <w:rFonts w:ascii="Arial Narrow" w:hAnsi="Arial Narrow" w:cs="TimesNewRomanPSMT"/>
                <w:b/>
                <w:sz w:val="20"/>
                <w:szCs w:val="20"/>
              </w:rPr>
            </w:pPr>
            <w:r w:rsidRPr="00796FB8">
              <w:rPr>
                <w:rFonts w:ascii="Arial Narrow" w:hAnsi="Arial Narrow" w:cstheme="minorHAnsi"/>
                <w:b/>
                <w:sz w:val="20"/>
                <w:szCs w:val="20"/>
              </w:rPr>
              <w:t>-0.26 (-0.42, -0.10)</w:t>
            </w:r>
          </w:p>
        </w:tc>
      </w:tr>
      <w:tr w:rsidR="007F0964" w:rsidRPr="00796FB8" w:rsidTr="00A116FD">
        <w:tc>
          <w:tcPr>
            <w:tcW w:w="3114" w:type="dxa"/>
            <w:vAlign w:val="center"/>
          </w:tcPr>
          <w:p w:rsidR="007F0964" w:rsidRPr="00796FB8" w:rsidRDefault="007F0964" w:rsidP="00BF3C38">
            <w:pPr>
              <w:keepNext/>
              <w:jc w:val="left"/>
              <w:rPr>
                <w:szCs w:val="18"/>
              </w:rPr>
            </w:pPr>
            <w:r w:rsidRPr="00796FB8">
              <w:rPr>
                <w:rFonts w:ascii="Arial Narrow" w:hAnsi="Arial Narrow" w:cstheme="minorHAnsi"/>
                <w:sz w:val="20"/>
                <w:szCs w:val="20"/>
              </w:rPr>
              <w:t xml:space="preserve">≥ 50% </w:t>
            </w:r>
            <w:r w:rsidR="00111C03" w:rsidRPr="00796FB8">
              <w:rPr>
                <w:rFonts w:ascii="Arial Narrow" w:hAnsi="Arial Narrow" w:cstheme="minorHAnsi"/>
                <w:sz w:val="20"/>
                <w:szCs w:val="20"/>
              </w:rPr>
              <w:t>r</w:t>
            </w:r>
            <w:r w:rsidRPr="00796FB8">
              <w:rPr>
                <w:rFonts w:ascii="Arial Narrow" w:hAnsi="Arial Narrow" w:cstheme="minorHAnsi"/>
                <w:sz w:val="20"/>
                <w:szCs w:val="20"/>
              </w:rPr>
              <w:t>eduction in seizures from baseline to maintenance period, n (%</w:t>
            </w:r>
            <w:r w:rsidRPr="00796FB8">
              <w:rPr>
                <w:szCs w:val="20"/>
              </w:rPr>
              <w:t>)</w:t>
            </w:r>
            <w:r w:rsidR="00676B93" w:rsidRPr="00796FB8">
              <w:rPr>
                <w:szCs w:val="18"/>
                <w:vertAlign w:val="superscript"/>
              </w:rPr>
              <w:t>b</w:t>
            </w:r>
            <w:r w:rsidRPr="00796FB8">
              <w:rPr>
                <w:szCs w:val="18"/>
              </w:rPr>
              <w:t>,</w:t>
            </w:r>
          </w:p>
          <w:p w:rsidR="007F0964" w:rsidRPr="00796FB8" w:rsidRDefault="007F0964" w:rsidP="00BF3C38">
            <w:pPr>
              <w:keepNext/>
              <w:jc w:val="left"/>
              <w:rPr>
                <w:rFonts w:ascii="Arial Narrow" w:hAnsi="Arial Narrow"/>
                <w:sz w:val="20"/>
                <w:szCs w:val="20"/>
              </w:rPr>
            </w:pPr>
            <w:r w:rsidRPr="00796FB8">
              <w:rPr>
                <w:rFonts w:ascii="Arial Narrow" w:hAnsi="Arial Narrow"/>
                <w:sz w:val="20"/>
                <w:szCs w:val="20"/>
              </w:rPr>
              <w:t>Exact 95% CI for percentage of responders; p-value</w:t>
            </w:r>
          </w:p>
        </w:tc>
        <w:tc>
          <w:tcPr>
            <w:tcW w:w="1701" w:type="dxa"/>
          </w:tcPr>
          <w:p w:rsidR="007F0964" w:rsidRPr="00796FB8" w:rsidRDefault="007F0964" w:rsidP="00BF3C38">
            <w:pPr>
              <w:keepNext/>
              <w:jc w:val="left"/>
              <w:rPr>
                <w:rFonts w:ascii="Arial Narrow" w:hAnsi="Arial Narrow" w:cs="TimesNewRomanPSMT"/>
                <w:sz w:val="20"/>
                <w:szCs w:val="20"/>
              </w:rPr>
            </w:pPr>
            <w:r w:rsidRPr="00796FB8">
              <w:rPr>
                <w:rFonts w:ascii="Arial Narrow" w:hAnsi="Arial Narrow" w:cs="TimesNewRomanPSMT"/>
                <w:sz w:val="20"/>
                <w:szCs w:val="20"/>
              </w:rPr>
              <w:t xml:space="preserve">49 (23.1%) </w:t>
            </w:r>
          </w:p>
          <w:p w:rsidR="007F0964" w:rsidRPr="00796FB8" w:rsidRDefault="007F0964" w:rsidP="00BF3C38">
            <w:pPr>
              <w:keepNext/>
              <w:jc w:val="left"/>
              <w:rPr>
                <w:rFonts w:ascii="Arial Narrow" w:hAnsi="Arial Narrow" w:cs="TimesNewRomanPSMT"/>
                <w:sz w:val="20"/>
                <w:szCs w:val="20"/>
              </w:rPr>
            </w:pPr>
            <w:r w:rsidRPr="00796FB8">
              <w:rPr>
                <w:rFonts w:ascii="Arial Narrow" w:hAnsi="Arial Narrow" w:cs="TimesNewRomanPSMT"/>
                <w:sz w:val="20"/>
                <w:szCs w:val="20"/>
              </w:rPr>
              <w:t>(17.6%, 29.4%)</w:t>
            </w:r>
          </w:p>
        </w:tc>
        <w:tc>
          <w:tcPr>
            <w:tcW w:w="2126" w:type="dxa"/>
          </w:tcPr>
          <w:p w:rsidR="007F0964" w:rsidRPr="00796FB8" w:rsidRDefault="007F0964" w:rsidP="00BF3C38">
            <w:pPr>
              <w:keepNext/>
              <w:jc w:val="left"/>
              <w:rPr>
                <w:rFonts w:ascii="Arial Narrow" w:hAnsi="Arial Narrow" w:cs="TimesNewRomanPSMT"/>
                <w:sz w:val="20"/>
                <w:szCs w:val="20"/>
              </w:rPr>
            </w:pPr>
            <w:r w:rsidRPr="00796FB8">
              <w:rPr>
                <w:rFonts w:ascii="Arial Narrow" w:hAnsi="Arial Narrow" w:cs="TimesNewRomanPSMT"/>
                <w:sz w:val="20"/>
                <w:szCs w:val="20"/>
              </w:rPr>
              <w:t xml:space="preserve">61 (30.5%) </w:t>
            </w:r>
          </w:p>
          <w:p w:rsidR="007F0964" w:rsidRPr="00796FB8" w:rsidRDefault="007F0964" w:rsidP="00BF3C38">
            <w:pPr>
              <w:keepNext/>
              <w:jc w:val="left"/>
              <w:rPr>
                <w:rFonts w:ascii="Arial Narrow" w:hAnsi="Arial Narrow" w:cs="TimesNewRomanPSMT"/>
                <w:sz w:val="20"/>
                <w:szCs w:val="20"/>
              </w:rPr>
            </w:pPr>
            <w:r w:rsidRPr="00796FB8">
              <w:rPr>
                <w:rFonts w:ascii="Arial Narrow" w:hAnsi="Arial Narrow" w:cs="TimesNewRomanPSMT"/>
                <w:sz w:val="20"/>
                <w:szCs w:val="20"/>
              </w:rPr>
              <w:t>(24.2%, 37.4%); p=0.068</w:t>
            </w:r>
          </w:p>
        </w:tc>
        <w:tc>
          <w:tcPr>
            <w:tcW w:w="1985" w:type="dxa"/>
          </w:tcPr>
          <w:p w:rsidR="007F0964" w:rsidRPr="00796FB8" w:rsidRDefault="007F0964" w:rsidP="00BF3C38">
            <w:pPr>
              <w:keepNext/>
              <w:jc w:val="left"/>
              <w:rPr>
                <w:rFonts w:ascii="Arial Narrow" w:hAnsi="Arial Narrow" w:cs="TimesNewRomanPSMT"/>
                <w:b/>
                <w:sz w:val="20"/>
                <w:szCs w:val="20"/>
              </w:rPr>
            </w:pPr>
            <w:r w:rsidRPr="00796FB8">
              <w:rPr>
                <w:rFonts w:ascii="Arial Narrow" w:hAnsi="Arial Narrow" w:cs="TimesNewRomanPSMT"/>
                <w:b/>
                <w:sz w:val="20"/>
                <w:szCs w:val="20"/>
              </w:rPr>
              <w:t xml:space="preserve">78 (42.6%) </w:t>
            </w:r>
          </w:p>
          <w:p w:rsidR="0077667D" w:rsidRPr="00796FB8" w:rsidRDefault="007F0964" w:rsidP="00BF3C38">
            <w:pPr>
              <w:keepNext/>
              <w:jc w:val="left"/>
              <w:rPr>
                <w:rFonts w:ascii="Arial Narrow" w:hAnsi="Arial Narrow" w:cs="TimesNewRomanPSMT"/>
                <w:b/>
                <w:sz w:val="20"/>
                <w:szCs w:val="20"/>
              </w:rPr>
            </w:pPr>
            <w:r w:rsidRPr="00796FB8">
              <w:rPr>
                <w:rFonts w:ascii="Arial Narrow" w:hAnsi="Arial Narrow" w:cs="TimesNewRomanPSMT"/>
                <w:b/>
                <w:sz w:val="20"/>
                <w:szCs w:val="20"/>
              </w:rPr>
              <w:t xml:space="preserve">(35.4%, 50.1%); </w:t>
            </w:r>
          </w:p>
          <w:p w:rsidR="007F0964" w:rsidRPr="00796FB8" w:rsidRDefault="007F0964" w:rsidP="00BF3C38">
            <w:pPr>
              <w:keepNext/>
              <w:jc w:val="left"/>
              <w:rPr>
                <w:rFonts w:ascii="Arial Narrow" w:hAnsi="Arial Narrow" w:cs="TimesNewRomanPSMT"/>
                <w:b/>
                <w:sz w:val="20"/>
                <w:szCs w:val="20"/>
              </w:rPr>
            </w:pPr>
            <w:r w:rsidRPr="00796FB8">
              <w:rPr>
                <w:rFonts w:ascii="Arial Narrow" w:hAnsi="Arial Narrow" w:cs="TimesNewRomanPSMT"/>
                <w:b/>
                <w:sz w:val="20"/>
                <w:szCs w:val="20"/>
              </w:rPr>
              <w:t>p&lt;0.001</w:t>
            </w:r>
          </w:p>
        </w:tc>
      </w:tr>
      <w:tr w:rsidR="007F0964" w:rsidRPr="00796FB8" w:rsidTr="00A116FD">
        <w:tc>
          <w:tcPr>
            <w:tcW w:w="3114" w:type="dxa"/>
            <w:vAlign w:val="center"/>
          </w:tcPr>
          <w:p w:rsidR="007F0964" w:rsidRPr="00796FB8" w:rsidRDefault="007F0964" w:rsidP="00BF3C38">
            <w:pPr>
              <w:keepNext/>
              <w:jc w:val="left"/>
              <w:rPr>
                <w:rFonts w:ascii="Arial Narrow" w:hAnsi="Arial Narrow" w:cstheme="minorHAnsi"/>
                <w:sz w:val="20"/>
                <w:szCs w:val="20"/>
              </w:rPr>
            </w:pPr>
            <w:r w:rsidRPr="00796FB8">
              <w:rPr>
                <w:rFonts w:ascii="Arial Narrow" w:hAnsi="Arial Narrow" w:cstheme="minorHAnsi"/>
                <w:sz w:val="20"/>
                <w:szCs w:val="20"/>
              </w:rPr>
              <w:t xml:space="preserve">Seizure freedom and completed the </w:t>
            </w:r>
            <w:r w:rsidR="00E24CDB" w:rsidRPr="00796FB8">
              <w:rPr>
                <w:rFonts w:ascii="Arial Narrow" w:hAnsi="Arial Narrow" w:cstheme="minorHAnsi"/>
                <w:sz w:val="20"/>
                <w:szCs w:val="20"/>
              </w:rPr>
              <w:t>m</w:t>
            </w:r>
            <w:r w:rsidRPr="00796FB8">
              <w:rPr>
                <w:rFonts w:ascii="Arial Narrow" w:hAnsi="Arial Narrow" w:cstheme="minorHAnsi"/>
                <w:sz w:val="20"/>
                <w:szCs w:val="20"/>
              </w:rPr>
              <w:t xml:space="preserve">aintenance </w:t>
            </w:r>
            <w:r w:rsidR="00E24CDB" w:rsidRPr="00796FB8">
              <w:rPr>
                <w:rFonts w:ascii="Arial Narrow" w:hAnsi="Arial Narrow" w:cstheme="minorHAnsi"/>
                <w:sz w:val="20"/>
                <w:szCs w:val="20"/>
              </w:rPr>
              <w:t>p</w:t>
            </w:r>
            <w:r w:rsidRPr="00796FB8">
              <w:rPr>
                <w:rFonts w:ascii="Arial Narrow" w:hAnsi="Arial Narrow" w:cstheme="minorHAnsi"/>
                <w:sz w:val="20"/>
                <w:szCs w:val="20"/>
              </w:rPr>
              <w:t>eriod, n (%)</w:t>
            </w:r>
          </w:p>
        </w:tc>
        <w:tc>
          <w:tcPr>
            <w:tcW w:w="1701" w:type="dxa"/>
          </w:tcPr>
          <w:p w:rsidR="007F0964" w:rsidRPr="00796FB8" w:rsidRDefault="007F0964" w:rsidP="00BF3C38">
            <w:pPr>
              <w:keepNext/>
              <w:jc w:val="left"/>
              <w:rPr>
                <w:rFonts w:ascii="Arial Narrow" w:hAnsi="Arial Narrow" w:cs="TimesNewRomanPSMT"/>
                <w:sz w:val="20"/>
                <w:szCs w:val="20"/>
              </w:rPr>
            </w:pPr>
            <w:r w:rsidRPr="00796FB8">
              <w:rPr>
                <w:rFonts w:ascii="Arial Narrow" w:hAnsi="Arial Narrow" w:cs="TimesNewRomanPSMT"/>
                <w:sz w:val="20"/>
                <w:szCs w:val="20"/>
              </w:rPr>
              <w:t>2 (0.9%)</w:t>
            </w:r>
          </w:p>
        </w:tc>
        <w:tc>
          <w:tcPr>
            <w:tcW w:w="2126" w:type="dxa"/>
          </w:tcPr>
          <w:p w:rsidR="007F0964" w:rsidRPr="00796FB8" w:rsidRDefault="007F0964" w:rsidP="00BF3C38">
            <w:pPr>
              <w:keepNext/>
              <w:jc w:val="left"/>
              <w:rPr>
                <w:rFonts w:ascii="Arial Narrow" w:hAnsi="Arial Narrow" w:cs="TimesNewRomanPSMT"/>
                <w:sz w:val="20"/>
                <w:szCs w:val="20"/>
              </w:rPr>
            </w:pPr>
            <w:r w:rsidRPr="00796FB8">
              <w:rPr>
                <w:rFonts w:ascii="Arial Narrow" w:hAnsi="Arial Narrow" w:cs="TimesNewRomanPSMT"/>
                <w:sz w:val="20"/>
                <w:szCs w:val="20"/>
              </w:rPr>
              <w:t>4 (2.0%)</w:t>
            </w:r>
          </w:p>
        </w:tc>
        <w:tc>
          <w:tcPr>
            <w:tcW w:w="1985" w:type="dxa"/>
          </w:tcPr>
          <w:p w:rsidR="007F0964" w:rsidRPr="00796FB8" w:rsidRDefault="007F0964" w:rsidP="00BF3C38">
            <w:pPr>
              <w:keepNext/>
              <w:jc w:val="left"/>
              <w:rPr>
                <w:rFonts w:ascii="Arial Narrow" w:hAnsi="Arial Narrow" w:cs="TimesNewRomanPSMT"/>
                <w:sz w:val="20"/>
                <w:szCs w:val="20"/>
              </w:rPr>
            </w:pPr>
            <w:r w:rsidRPr="00796FB8">
              <w:rPr>
                <w:rFonts w:ascii="Arial Narrow" w:hAnsi="Arial Narrow" w:cs="TimesNewRomanPSMT"/>
                <w:sz w:val="20"/>
                <w:szCs w:val="20"/>
              </w:rPr>
              <w:t>4 (2.2%)</w:t>
            </w:r>
          </w:p>
        </w:tc>
      </w:tr>
      <w:tr w:rsidR="007F0964" w:rsidRPr="00796FB8" w:rsidTr="00A116FD">
        <w:tc>
          <w:tcPr>
            <w:tcW w:w="3114" w:type="dxa"/>
          </w:tcPr>
          <w:p w:rsidR="007F0964" w:rsidRPr="00796FB8" w:rsidRDefault="007F0964" w:rsidP="00BF3C38">
            <w:pPr>
              <w:keepNext/>
              <w:jc w:val="left"/>
              <w:rPr>
                <w:rFonts w:ascii="Arial Narrow" w:hAnsi="Arial Narrow"/>
                <w:sz w:val="20"/>
                <w:szCs w:val="20"/>
              </w:rPr>
            </w:pPr>
            <w:r w:rsidRPr="00796FB8">
              <w:rPr>
                <w:rFonts w:ascii="Arial Narrow" w:hAnsi="Arial Narrow"/>
                <w:sz w:val="20"/>
                <w:szCs w:val="20"/>
              </w:rPr>
              <w:t xml:space="preserve">Not </w:t>
            </w:r>
            <w:r w:rsidR="00E24CDB" w:rsidRPr="00796FB8">
              <w:rPr>
                <w:rFonts w:ascii="Arial Narrow" w:hAnsi="Arial Narrow"/>
                <w:sz w:val="20"/>
                <w:szCs w:val="20"/>
              </w:rPr>
              <w:t>e</w:t>
            </w:r>
            <w:r w:rsidRPr="00796FB8">
              <w:rPr>
                <w:rFonts w:ascii="Arial Narrow" w:hAnsi="Arial Narrow"/>
                <w:sz w:val="20"/>
                <w:szCs w:val="20"/>
              </w:rPr>
              <w:t>valuable</w:t>
            </w:r>
            <w:r w:rsidR="00A75371" w:rsidRPr="00796FB8">
              <w:rPr>
                <w:rFonts w:ascii="Arial Narrow" w:hAnsi="Arial Narrow"/>
                <w:sz w:val="20"/>
                <w:szCs w:val="20"/>
                <w:vertAlign w:val="superscript"/>
              </w:rPr>
              <w:t>c</w:t>
            </w:r>
            <w:r w:rsidRPr="00796FB8">
              <w:rPr>
                <w:rFonts w:ascii="Arial Narrow" w:hAnsi="Arial Narrow"/>
                <w:sz w:val="20"/>
                <w:szCs w:val="20"/>
              </w:rPr>
              <w:t>, n (% of ITT population)</w:t>
            </w:r>
          </w:p>
        </w:tc>
        <w:tc>
          <w:tcPr>
            <w:tcW w:w="1701" w:type="dxa"/>
          </w:tcPr>
          <w:p w:rsidR="007F0964" w:rsidRPr="00796FB8" w:rsidRDefault="007F0964" w:rsidP="00BF3C38">
            <w:pPr>
              <w:keepNext/>
              <w:jc w:val="left"/>
              <w:rPr>
                <w:rFonts w:ascii="Arial Narrow" w:hAnsi="Arial Narrow" w:cs="TimesNewRomanPSMT"/>
                <w:sz w:val="20"/>
                <w:szCs w:val="20"/>
              </w:rPr>
            </w:pPr>
            <w:r w:rsidRPr="00796FB8">
              <w:rPr>
                <w:rFonts w:ascii="Arial Narrow" w:hAnsi="Arial Narrow" w:cs="TimesNewRomanPSMT"/>
                <w:sz w:val="20"/>
                <w:szCs w:val="20"/>
              </w:rPr>
              <w:t>8 (3.6%)</w:t>
            </w:r>
          </w:p>
        </w:tc>
        <w:tc>
          <w:tcPr>
            <w:tcW w:w="2126" w:type="dxa"/>
          </w:tcPr>
          <w:p w:rsidR="007F0964" w:rsidRPr="00796FB8" w:rsidRDefault="007F0964" w:rsidP="00BF3C38">
            <w:pPr>
              <w:keepNext/>
              <w:jc w:val="left"/>
              <w:rPr>
                <w:rFonts w:ascii="Arial Narrow" w:hAnsi="Arial Narrow" w:cs="TimesNewRomanPSMT"/>
                <w:sz w:val="20"/>
                <w:szCs w:val="20"/>
              </w:rPr>
            </w:pPr>
            <w:r w:rsidRPr="00796FB8">
              <w:rPr>
                <w:rFonts w:ascii="Arial Narrow" w:hAnsi="Arial Narrow" w:cs="TimesNewRomanPSMT"/>
                <w:sz w:val="20"/>
                <w:szCs w:val="20"/>
              </w:rPr>
              <w:t>15 (7.0%)</w:t>
            </w:r>
          </w:p>
        </w:tc>
        <w:tc>
          <w:tcPr>
            <w:tcW w:w="1985" w:type="dxa"/>
          </w:tcPr>
          <w:p w:rsidR="007F0964" w:rsidRPr="00796FB8" w:rsidRDefault="007F0964" w:rsidP="00BF3C38">
            <w:pPr>
              <w:keepNext/>
              <w:jc w:val="left"/>
              <w:rPr>
                <w:rFonts w:ascii="Arial Narrow" w:hAnsi="Arial Narrow" w:cs="TimesNewRomanPSMT"/>
                <w:sz w:val="20"/>
                <w:szCs w:val="20"/>
              </w:rPr>
            </w:pPr>
            <w:r w:rsidRPr="00796FB8">
              <w:rPr>
                <w:rFonts w:ascii="Arial Narrow" w:hAnsi="Arial Narrow" w:cs="TimesNewRomanPSMT"/>
                <w:sz w:val="20"/>
                <w:szCs w:val="20"/>
              </w:rPr>
              <w:t>22 (10.7%)</w:t>
            </w:r>
          </w:p>
        </w:tc>
      </w:tr>
    </w:tbl>
    <w:bookmarkEnd w:id="22"/>
    <w:p w:rsidR="007F0964" w:rsidRPr="00796FB8" w:rsidRDefault="007F0964" w:rsidP="00BF3C38">
      <w:pPr>
        <w:pStyle w:val="TableFigureFooter"/>
        <w:keepNext/>
      </w:pPr>
      <w:r w:rsidRPr="00796FB8">
        <w:t>Source: Table 2-31 p 71, Table 2-35 pp 74-75 and Table 2-39 p 77 of the submission.</w:t>
      </w:r>
    </w:p>
    <w:p w:rsidR="007F0964" w:rsidRPr="00796FB8" w:rsidRDefault="007F0964" w:rsidP="00BF3C38">
      <w:pPr>
        <w:pStyle w:val="TableFigureFooter"/>
        <w:keepNext/>
        <w:jc w:val="left"/>
      </w:pPr>
      <w:r w:rsidRPr="00796FB8">
        <w:t xml:space="preserve">ANCOVA = analysis of covariance; </w:t>
      </w:r>
      <w:r w:rsidR="00E24CDB" w:rsidRPr="00796FB8">
        <w:t>CI = confidence interval; ESL = eslicarbazepine</w:t>
      </w:r>
      <w:r w:rsidR="00C4771F" w:rsidRPr="00C4771F">
        <w:t xml:space="preserve"> </w:t>
      </w:r>
      <w:r w:rsidR="00C4771F">
        <w:t>acetate</w:t>
      </w:r>
      <w:r w:rsidR="00E24CDB" w:rsidRPr="00796FB8">
        <w:t xml:space="preserve">; </w:t>
      </w:r>
      <w:r w:rsidRPr="00796FB8">
        <w:t>ITT = intent-to-treat; LS = least square, n.s. = not significant; SSF = standardised seizure frequency.</w:t>
      </w:r>
    </w:p>
    <w:p w:rsidR="00A75371" w:rsidRPr="00796FB8" w:rsidRDefault="00A75371" w:rsidP="00BF3C38">
      <w:pPr>
        <w:pStyle w:val="TableFigureFooter"/>
        <w:keepNext/>
        <w:jc w:val="left"/>
      </w:pPr>
      <w:r w:rsidRPr="00796FB8">
        <w:rPr>
          <w:vertAlign w:val="superscript"/>
        </w:rPr>
        <w:t>a</w:t>
      </w:r>
      <w:r w:rsidR="007F0964" w:rsidRPr="00796FB8">
        <w:t xml:space="preserve"> p-value for comparison to placebo.</w:t>
      </w:r>
    </w:p>
    <w:p w:rsidR="00A75371" w:rsidRPr="00796FB8" w:rsidRDefault="00A75371" w:rsidP="00BF3C38">
      <w:pPr>
        <w:pStyle w:val="TableFigureFooter"/>
        <w:keepNext/>
      </w:pPr>
      <w:r w:rsidRPr="00796FB8">
        <w:rPr>
          <w:vertAlign w:val="superscript"/>
        </w:rPr>
        <w:t>b</w:t>
      </w:r>
      <w:r w:rsidRPr="00796FB8">
        <w:t xml:space="preserve"> Percentages calculated based on the number of subjects with non-missing data in the ITT population in each treatment group. If the full ITT population were used instead, the percentages would be: 22.3% (</w:t>
      </w:r>
      <w:r w:rsidR="00E24CDB" w:rsidRPr="00796FB8">
        <w:t>p</w:t>
      </w:r>
      <w:r w:rsidRPr="00796FB8">
        <w:t>lacebo), 28.4% (ESL 800 mg), and 38.0% (ESL 1,200 mg).</w:t>
      </w:r>
    </w:p>
    <w:p w:rsidR="004D5B92" w:rsidRPr="00796FB8" w:rsidRDefault="00A75371" w:rsidP="00BF3C38">
      <w:pPr>
        <w:pStyle w:val="TableFigureFooter"/>
        <w:keepNext/>
        <w:jc w:val="left"/>
        <w:rPr>
          <w:szCs w:val="18"/>
        </w:rPr>
      </w:pPr>
      <w:r w:rsidRPr="00796FB8">
        <w:rPr>
          <w:vertAlign w:val="superscript"/>
        </w:rPr>
        <w:t>c</w:t>
      </w:r>
      <w:r w:rsidR="007F0964" w:rsidRPr="00796FB8">
        <w:t xml:space="preserve"> </w:t>
      </w:r>
      <w:r w:rsidR="007F0964" w:rsidRPr="00796FB8">
        <w:rPr>
          <w:szCs w:val="18"/>
        </w:rPr>
        <w:t>The Not Evaluable category includes subjects who discontinued during the titration period or who entered the maintenance period but have missing data. The submission was unclear about how these missing data were handled, and sensitivity analyses addressing them could not be located in the CSR.</w:t>
      </w:r>
    </w:p>
    <w:p w:rsidR="00A75371" w:rsidRPr="00796FB8" w:rsidRDefault="004D5B92" w:rsidP="00BF3C38">
      <w:pPr>
        <w:pStyle w:val="TableFigureFooter"/>
        <w:keepNext/>
        <w:jc w:val="left"/>
        <w:rPr>
          <w:szCs w:val="18"/>
        </w:rPr>
      </w:pPr>
      <w:r w:rsidRPr="00796FB8">
        <w:rPr>
          <w:b/>
          <w:szCs w:val="18"/>
        </w:rPr>
        <w:t>Bold</w:t>
      </w:r>
      <w:r w:rsidRPr="00796FB8">
        <w:rPr>
          <w:szCs w:val="18"/>
        </w:rPr>
        <w:t xml:space="preserve"> indicates statistically significant results.</w:t>
      </w:r>
      <w:r w:rsidR="007F0964" w:rsidRPr="00796FB8">
        <w:rPr>
          <w:szCs w:val="18"/>
        </w:rPr>
        <w:br/>
      </w:r>
    </w:p>
    <w:p w:rsidR="007F0964" w:rsidRPr="00796FB8" w:rsidRDefault="007F0964" w:rsidP="00BF3C38">
      <w:pPr>
        <w:pStyle w:val="3-BodyText"/>
      </w:pPr>
      <w:r w:rsidRPr="00796FB8">
        <w:t>The ‘Not Evaluable’ patients were removed from the ITC calculations, which had the effect of increasing the apparent efficacy of ESL; for example, the percentage of patients in the ESL 1,20</w:t>
      </w:r>
      <w:r w:rsidR="00EA1200" w:rsidRPr="00796FB8">
        <w:t>0</w:t>
      </w:r>
      <w:r w:rsidR="0077667D" w:rsidRPr="00796FB8">
        <w:t xml:space="preserve"> </w:t>
      </w:r>
      <w:r w:rsidR="00EA1200" w:rsidRPr="00796FB8">
        <w:t>mg</w:t>
      </w:r>
      <w:r w:rsidRPr="00796FB8">
        <w:t xml:space="preserve"> group with a </w:t>
      </w:r>
      <w:r w:rsidRPr="00796FB8">
        <w:rPr>
          <w:rFonts w:cstheme="minorHAnsi"/>
        </w:rPr>
        <w:t>≥</w:t>
      </w:r>
      <w:r w:rsidRPr="00796FB8">
        <w:t>50% reduction in seizure frequency was 38% if the ITT population is used, and 4</w:t>
      </w:r>
      <w:r w:rsidR="00A75371" w:rsidRPr="00796FB8">
        <w:t>3</w:t>
      </w:r>
      <w:r w:rsidRPr="00796FB8">
        <w:t>% after the ‘not evaluable’ patients were</w:t>
      </w:r>
      <w:r w:rsidR="002B5ACD" w:rsidRPr="00796FB8">
        <w:t xml:space="preserve"> deducted from the calculation. Sensitivity analyses regarding the handling of the ‘not evaluable’ patients could not be located in the submission.</w:t>
      </w:r>
    </w:p>
    <w:p w:rsidR="007F0964" w:rsidRPr="00796FB8" w:rsidRDefault="007F0964" w:rsidP="00BF3C38">
      <w:pPr>
        <w:pStyle w:val="3-BodyText"/>
        <w:rPr>
          <w:color w:val="0066FF"/>
        </w:rPr>
      </w:pPr>
      <w:r w:rsidRPr="00796FB8">
        <w:t>The submission nominated a minimal clinically important difference (MCID) of a decrease in seizure frequency of 28-30%, based on the assumption that a 1-unit decrease in the</w:t>
      </w:r>
      <w:r w:rsidRPr="00796FB8">
        <w:rPr>
          <w:snapToGrid/>
          <w:color w:val="0066FF"/>
        </w:rPr>
        <w:t xml:space="preserve"> </w:t>
      </w:r>
      <w:r w:rsidRPr="00796FB8">
        <w:t xml:space="preserve">Clinical Global Impression of Improvement (CGI-I) scale was clinically meaningful, and applying this difference to the pooled efficacy curves of studies 301, 302 and 303. </w:t>
      </w:r>
      <w:r w:rsidRPr="00796FB8">
        <w:rPr>
          <w:iCs/>
        </w:rPr>
        <w:t xml:space="preserve">The elected MCID </w:t>
      </w:r>
      <w:r w:rsidR="00273FDE" w:rsidRPr="00796FB8">
        <w:rPr>
          <w:iCs/>
        </w:rPr>
        <w:t>was poorly justified</w:t>
      </w:r>
      <w:r w:rsidR="00574F92" w:rsidRPr="00796FB8">
        <w:rPr>
          <w:iCs/>
        </w:rPr>
        <w:t>; furthermore, the results from Study 304 did not meet the nominated MCID</w:t>
      </w:r>
      <w:r w:rsidR="00701B8A" w:rsidRPr="00796FB8">
        <w:rPr>
          <w:iCs/>
        </w:rPr>
        <w:t xml:space="preserve"> for either the 800 mg or 1,200 mg dose</w:t>
      </w:r>
      <w:r w:rsidR="00574F92" w:rsidRPr="00796FB8">
        <w:rPr>
          <w:iCs/>
        </w:rPr>
        <w:t>.</w:t>
      </w:r>
      <w:r w:rsidRPr="00796FB8">
        <w:rPr>
          <w:iCs/>
        </w:rPr>
        <w:t xml:space="preserve"> </w:t>
      </w:r>
    </w:p>
    <w:p w:rsidR="00ED0194" w:rsidRPr="00796FB8" w:rsidRDefault="007F0964" w:rsidP="00BF3C38">
      <w:pPr>
        <w:pStyle w:val="3-BodyText"/>
        <w:rPr>
          <w:iCs/>
        </w:rPr>
      </w:pPr>
      <w:r w:rsidRPr="00796FB8">
        <w:rPr>
          <w:iCs/>
        </w:rPr>
        <w:t xml:space="preserve">The efficacy data from the four LAC trials used in the ITC are summarised in </w:t>
      </w:r>
      <w:r w:rsidR="002C71DF" w:rsidRPr="00796FB8">
        <w:rPr>
          <w:iCs/>
        </w:rPr>
        <w:t>Table 6</w:t>
      </w:r>
      <w:r w:rsidRPr="00796FB8">
        <w:rPr>
          <w:iCs/>
        </w:rPr>
        <w:t xml:space="preserve"> below.</w:t>
      </w:r>
    </w:p>
    <w:p w:rsidR="00ED0194" w:rsidRPr="00796FB8" w:rsidRDefault="00ED0194" w:rsidP="00BF3C38">
      <w:pPr>
        <w:jc w:val="left"/>
        <w:rPr>
          <w:rFonts w:asciiTheme="minorHAnsi" w:hAnsiTheme="minorHAnsi"/>
          <w:iCs/>
          <w:snapToGrid w:val="0"/>
        </w:rPr>
      </w:pPr>
      <w:r w:rsidRPr="00796FB8">
        <w:rPr>
          <w:iCs/>
        </w:rPr>
        <w:br w:type="page"/>
      </w:r>
    </w:p>
    <w:p w:rsidR="007F0964" w:rsidRPr="00796FB8" w:rsidRDefault="007F0964" w:rsidP="00BF3C38">
      <w:pPr>
        <w:pStyle w:val="TableFigureHeading"/>
      </w:pPr>
      <w:bookmarkStart w:id="23" w:name="_Ref58203302"/>
      <w:r w:rsidRPr="00796FB8">
        <w:t xml:space="preserve">Table </w:t>
      </w:r>
      <w:r w:rsidR="002C71DF" w:rsidRPr="00796FB8">
        <w:t>6</w:t>
      </w:r>
      <w:bookmarkEnd w:id="23"/>
      <w:r w:rsidRPr="00796FB8">
        <w:t>: Summary of results of the individual LAC versus placebo trials – overall patient population</w:t>
      </w:r>
    </w:p>
    <w:tbl>
      <w:tblPr>
        <w:tblW w:w="5056"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7"/>
        <w:gridCol w:w="2513"/>
        <w:gridCol w:w="2514"/>
        <w:gridCol w:w="2144"/>
      </w:tblGrid>
      <w:tr w:rsidR="007F0964" w:rsidRPr="00796FB8" w:rsidTr="005B097B">
        <w:tc>
          <w:tcPr>
            <w:tcW w:w="1947" w:type="dxa"/>
            <w:vMerge w:val="restart"/>
            <w:shd w:val="clear" w:color="auto" w:fill="D9D9D9"/>
            <w:tcMar>
              <w:top w:w="0" w:type="dxa"/>
              <w:left w:w="108" w:type="dxa"/>
              <w:bottom w:w="0" w:type="dxa"/>
              <w:right w:w="28" w:type="dxa"/>
            </w:tcMar>
            <w:vAlign w:val="bottom"/>
            <w:hideMark/>
          </w:tcPr>
          <w:p w:rsidR="007F0964" w:rsidRPr="00796FB8" w:rsidRDefault="007F0964" w:rsidP="00BF3C38">
            <w:pPr>
              <w:spacing w:before="40" w:after="40"/>
              <w:jc w:val="center"/>
              <w:rPr>
                <w:rFonts w:ascii="Arial Narrow" w:hAnsi="Arial Narrow" w:cs="Calibri"/>
                <w:sz w:val="20"/>
                <w:lang w:eastAsia="en-GB"/>
              </w:rPr>
            </w:pPr>
            <w:r w:rsidRPr="00796FB8">
              <w:rPr>
                <w:rFonts w:ascii="Arial Narrow" w:hAnsi="Arial Narrow" w:cs="Calibri"/>
                <w:b/>
                <w:bCs/>
                <w:sz w:val="20"/>
                <w:lang w:eastAsia="en-GB"/>
              </w:rPr>
              <w:t>Trial ID</w:t>
            </w:r>
          </w:p>
        </w:tc>
        <w:tc>
          <w:tcPr>
            <w:tcW w:w="7171" w:type="dxa"/>
            <w:gridSpan w:val="3"/>
            <w:shd w:val="clear" w:color="auto" w:fill="D9D9D9"/>
            <w:tcMar>
              <w:top w:w="0" w:type="dxa"/>
              <w:left w:w="108" w:type="dxa"/>
              <w:bottom w:w="0" w:type="dxa"/>
              <w:right w:w="108" w:type="dxa"/>
            </w:tcMar>
            <w:vAlign w:val="bottom"/>
            <w:hideMark/>
          </w:tcPr>
          <w:p w:rsidR="007F0964" w:rsidRPr="00796FB8" w:rsidRDefault="007F0964" w:rsidP="00BF3C38">
            <w:pPr>
              <w:spacing w:before="40" w:after="40"/>
              <w:jc w:val="center"/>
              <w:rPr>
                <w:rFonts w:ascii="Arial Narrow" w:hAnsi="Arial Narrow" w:cs="Calibri"/>
                <w:b/>
                <w:bCs/>
                <w:sz w:val="20"/>
                <w:lang w:eastAsia="en-GB"/>
              </w:rPr>
            </w:pPr>
            <w:r w:rsidRPr="00796FB8">
              <w:rPr>
                <w:rFonts w:ascii="Arial Narrow" w:hAnsi="Arial Narrow" w:cs="Calibri"/>
                <w:b/>
                <w:bCs/>
                <w:sz w:val="20"/>
                <w:lang w:eastAsia="en-GB"/>
              </w:rPr>
              <w:t xml:space="preserve">≥50% Reduction in 28-day seizure frequency: </w:t>
            </w:r>
            <w:r w:rsidRPr="00796FB8">
              <w:rPr>
                <w:rFonts w:ascii="Arial Narrow" w:hAnsi="Arial Narrow" w:cs="Calibri"/>
                <w:b/>
                <w:bCs/>
                <w:iCs/>
                <w:sz w:val="20"/>
                <w:lang w:eastAsia="en-GB"/>
              </w:rPr>
              <w:t>n</w:t>
            </w:r>
            <w:r w:rsidRPr="00796FB8">
              <w:rPr>
                <w:rFonts w:ascii="Arial Narrow" w:hAnsi="Arial Narrow" w:cs="Calibri"/>
                <w:b/>
                <w:bCs/>
                <w:sz w:val="20"/>
                <w:lang w:eastAsia="en-GB"/>
              </w:rPr>
              <w:t xml:space="preserve"> with event/</w:t>
            </w:r>
            <w:r w:rsidRPr="00796FB8">
              <w:rPr>
                <w:rFonts w:ascii="Arial Narrow" w:hAnsi="Arial Narrow" w:cs="Calibri"/>
                <w:b/>
                <w:bCs/>
                <w:iCs/>
                <w:sz w:val="20"/>
                <w:lang w:eastAsia="en-GB"/>
              </w:rPr>
              <w:t>N</w:t>
            </w:r>
            <w:r w:rsidRPr="00796FB8">
              <w:rPr>
                <w:rFonts w:ascii="Arial Narrow" w:hAnsi="Arial Narrow" w:cs="Calibri"/>
                <w:b/>
                <w:bCs/>
                <w:sz w:val="20"/>
                <w:lang w:eastAsia="en-GB"/>
              </w:rPr>
              <w:t xml:space="preserve"> (%)</w:t>
            </w:r>
          </w:p>
        </w:tc>
      </w:tr>
      <w:tr w:rsidR="007F0964" w:rsidRPr="00796FB8" w:rsidTr="005B097B">
        <w:tc>
          <w:tcPr>
            <w:tcW w:w="1947" w:type="dxa"/>
            <w:vMerge/>
            <w:shd w:val="clear" w:color="auto" w:fill="D9D9D9"/>
            <w:vAlign w:val="center"/>
            <w:hideMark/>
          </w:tcPr>
          <w:p w:rsidR="007F0964" w:rsidRPr="00796FB8" w:rsidRDefault="007F0964" w:rsidP="00BF3C38">
            <w:pPr>
              <w:rPr>
                <w:rFonts w:ascii="Arial Narrow" w:hAnsi="Arial Narrow" w:cs="Calibri"/>
                <w:sz w:val="20"/>
                <w:lang w:eastAsia="en-GB"/>
              </w:rPr>
            </w:pPr>
          </w:p>
        </w:tc>
        <w:tc>
          <w:tcPr>
            <w:tcW w:w="2513" w:type="dxa"/>
            <w:shd w:val="clear" w:color="auto" w:fill="D9D9D9"/>
            <w:tcMar>
              <w:top w:w="0" w:type="dxa"/>
              <w:left w:w="108" w:type="dxa"/>
              <w:bottom w:w="0" w:type="dxa"/>
              <w:right w:w="108" w:type="dxa"/>
            </w:tcMar>
            <w:vAlign w:val="bottom"/>
            <w:hideMark/>
          </w:tcPr>
          <w:p w:rsidR="007F0964" w:rsidRPr="00796FB8" w:rsidRDefault="00DB1DF8" w:rsidP="00BF3C38">
            <w:pPr>
              <w:spacing w:before="40" w:after="40"/>
              <w:jc w:val="center"/>
              <w:rPr>
                <w:rFonts w:ascii="Arial Narrow" w:hAnsi="Arial Narrow" w:cs="Calibri"/>
                <w:sz w:val="20"/>
                <w:lang w:eastAsia="en-GB"/>
              </w:rPr>
            </w:pPr>
            <w:r w:rsidRPr="00796FB8">
              <w:rPr>
                <w:rFonts w:ascii="Arial Narrow" w:hAnsi="Arial Narrow" w:cs="Calibri"/>
                <w:b/>
                <w:bCs/>
                <w:sz w:val="20"/>
                <w:lang w:eastAsia="en-GB"/>
              </w:rPr>
              <w:t>Placebo</w:t>
            </w:r>
          </w:p>
        </w:tc>
        <w:tc>
          <w:tcPr>
            <w:tcW w:w="2514" w:type="dxa"/>
            <w:shd w:val="clear" w:color="auto" w:fill="D9D9D9"/>
            <w:tcMar>
              <w:top w:w="0" w:type="dxa"/>
              <w:left w:w="108" w:type="dxa"/>
              <w:bottom w:w="0" w:type="dxa"/>
              <w:right w:w="108" w:type="dxa"/>
            </w:tcMar>
            <w:vAlign w:val="bottom"/>
            <w:hideMark/>
          </w:tcPr>
          <w:p w:rsidR="007F0964" w:rsidRPr="00796FB8" w:rsidRDefault="007F0964" w:rsidP="00BF3C38">
            <w:pPr>
              <w:spacing w:before="40" w:after="40"/>
              <w:jc w:val="center"/>
              <w:rPr>
                <w:rFonts w:ascii="Arial Narrow" w:hAnsi="Arial Narrow" w:cs="Calibri"/>
                <w:sz w:val="20"/>
                <w:lang w:eastAsia="en-GB"/>
              </w:rPr>
            </w:pPr>
            <w:r w:rsidRPr="00796FB8">
              <w:rPr>
                <w:rFonts w:ascii="Arial Narrow" w:hAnsi="Arial Narrow" w:cs="Calibri"/>
                <w:b/>
                <w:bCs/>
                <w:sz w:val="20"/>
                <w:lang w:eastAsia="en-GB"/>
              </w:rPr>
              <w:t>Lacosamide 2</w:t>
            </w:r>
            <w:r w:rsidRPr="00796FB8">
              <w:rPr>
                <w:rFonts w:ascii="Arial Narrow" w:hAnsi="Arial Narrow" w:cs="Calibri"/>
                <w:b/>
                <w:bCs/>
                <w:iCs/>
                <w:sz w:val="20"/>
                <w:lang w:eastAsia="en-GB"/>
              </w:rPr>
              <w:t>0</w:t>
            </w:r>
            <w:r w:rsidR="00EA1200" w:rsidRPr="00796FB8">
              <w:rPr>
                <w:rFonts w:ascii="Arial Narrow" w:hAnsi="Arial Narrow" w:cs="Calibri"/>
                <w:b/>
                <w:bCs/>
                <w:iCs/>
                <w:sz w:val="20"/>
                <w:lang w:eastAsia="en-GB"/>
              </w:rPr>
              <w:t>0</w:t>
            </w:r>
            <w:r w:rsidR="00DB1DF8" w:rsidRPr="00796FB8">
              <w:rPr>
                <w:rFonts w:ascii="Arial Narrow" w:hAnsi="Arial Narrow" w:cs="Calibri"/>
                <w:b/>
                <w:bCs/>
                <w:iCs/>
                <w:sz w:val="20"/>
                <w:lang w:eastAsia="en-GB"/>
              </w:rPr>
              <w:t xml:space="preserve"> </w:t>
            </w:r>
            <w:r w:rsidR="00EA1200" w:rsidRPr="00796FB8">
              <w:rPr>
                <w:rFonts w:ascii="Arial Narrow" w:hAnsi="Arial Narrow" w:cs="Calibri"/>
                <w:b/>
                <w:bCs/>
                <w:iCs/>
                <w:sz w:val="20"/>
                <w:lang w:eastAsia="en-GB"/>
              </w:rPr>
              <w:t>mg</w:t>
            </w:r>
          </w:p>
        </w:tc>
        <w:tc>
          <w:tcPr>
            <w:tcW w:w="2144" w:type="dxa"/>
            <w:shd w:val="clear" w:color="auto" w:fill="D9D9D9"/>
            <w:vAlign w:val="bottom"/>
          </w:tcPr>
          <w:p w:rsidR="007F0964" w:rsidRPr="00796FB8" w:rsidRDefault="007F0964" w:rsidP="00BF3C38">
            <w:pPr>
              <w:spacing w:before="40" w:after="40"/>
              <w:jc w:val="center"/>
              <w:rPr>
                <w:rFonts w:ascii="Arial Narrow" w:hAnsi="Arial Narrow" w:cs="Calibri"/>
                <w:b/>
                <w:bCs/>
                <w:sz w:val="20"/>
                <w:lang w:eastAsia="en-GB"/>
              </w:rPr>
            </w:pPr>
            <w:r w:rsidRPr="00796FB8">
              <w:rPr>
                <w:rFonts w:ascii="Arial Narrow" w:hAnsi="Arial Narrow" w:cs="Calibri"/>
                <w:b/>
                <w:bCs/>
                <w:sz w:val="20"/>
                <w:lang w:eastAsia="en-GB"/>
              </w:rPr>
              <w:t>Lacosamide 4</w:t>
            </w:r>
            <w:r w:rsidRPr="00796FB8">
              <w:rPr>
                <w:rFonts w:ascii="Arial Narrow" w:hAnsi="Arial Narrow" w:cs="Calibri"/>
                <w:b/>
                <w:bCs/>
                <w:iCs/>
                <w:sz w:val="20"/>
                <w:lang w:eastAsia="en-GB"/>
              </w:rPr>
              <w:t>0</w:t>
            </w:r>
            <w:r w:rsidR="00EA1200" w:rsidRPr="00796FB8">
              <w:rPr>
                <w:rFonts w:ascii="Arial Narrow" w:hAnsi="Arial Narrow" w:cs="Calibri"/>
                <w:b/>
                <w:bCs/>
                <w:iCs/>
                <w:sz w:val="20"/>
                <w:lang w:eastAsia="en-GB"/>
              </w:rPr>
              <w:t>0</w:t>
            </w:r>
            <w:r w:rsidR="00DB1DF8" w:rsidRPr="00796FB8">
              <w:rPr>
                <w:rFonts w:ascii="Arial Narrow" w:hAnsi="Arial Narrow" w:cs="Calibri"/>
                <w:b/>
                <w:bCs/>
                <w:iCs/>
                <w:sz w:val="20"/>
                <w:lang w:eastAsia="en-GB"/>
              </w:rPr>
              <w:t xml:space="preserve"> </w:t>
            </w:r>
            <w:r w:rsidR="00EA1200" w:rsidRPr="00796FB8">
              <w:rPr>
                <w:rFonts w:ascii="Arial Narrow" w:hAnsi="Arial Narrow" w:cs="Calibri"/>
                <w:b/>
                <w:bCs/>
                <w:iCs/>
                <w:sz w:val="20"/>
                <w:lang w:eastAsia="en-GB"/>
              </w:rPr>
              <w:t>mg</w:t>
            </w:r>
          </w:p>
        </w:tc>
      </w:tr>
      <w:tr w:rsidR="007F0964" w:rsidRPr="00796FB8" w:rsidTr="005B097B">
        <w:tc>
          <w:tcPr>
            <w:tcW w:w="1947" w:type="dxa"/>
            <w:shd w:val="clear" w:color="auto" w:fill="auto"/>
            <w:tcMar>
              <w:top w:w="0" w:type="dxa"/>
              <w:left w:w="108" w:type="dxa"/>
              <w:bottom w:w="0" w:type="dxa"/>
              <w:right w:w="28" w:type="dxa"/>
            </w:tcMar>
            <w:hideMark/>
          </w:tcPr>
          <w:p w:rsidR="007F0964" w:rsidRPr="00796FB8" w:rsidRDefault="005B097B" w:rsidP="00BF3C38">
            <w:pPr>
              <w:spacing w:before="40" w:after="40"/>
              <w:rPr>
                <w:rFonts w:ascii="Arial Narrow" w:hAnsi="Arial Narrow" w:cs="Calibri"/>
                <w:b/>
                <w:bCs/>
                <w:sz w:val="20"/>
                <w:lang w:eastAsia="en-GB"/>
              </w:rPr>
            </w:pPr>
            <w:r w:rsidRPr="00796FB8">
              <w:rPr>
                <w:rFonts w:ascii="Arial Narrow" w:hAnsi="Arial Narrow" w:cs="Calibri"/>
                <w:b/>
                <w:bCs/>
                <w:sz w:val="20"/>
                <w:lang w:eastAsia="en-GB"/>
              </w:rPr>
              <w:t>SP667</w:t>
            </w:r>
          </w:p>
        </w:tc>
        <w:tc>
          <w:tcPr>
            <w:tcW w:w="2513" w:type="dxa"/>
            <w:shd w:val="clear" w:color="auto" w:fill="auto"/>
            <w:tcMar>
              <w:top w:w="0" w:type="dxa"/>
              <w:left w:w="108" w:type="dxa"/>
              <w:bottom w:w="0" w:type="dxa"/>
              <w:right w:w="108" w:type="dxa"/>
            </w:tcMar>
            <w:hideMark/>
          </w:tcPr>
          <w:p w:rsidR="007F0964" w:rsidRPr="00796FB8" w:rsidRDefault="007F0964"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21 /96 (22.00%)</w:t>
            </w:r>
          </w:p>
        </w:tc>
        <w:tc>
          <w:tcPr>
            <w:tcW w:w="2514" w:type="dxa"/>
            <w:shd w:val="clear" w:color="auto" w:fill="auto"/>
            <w:tcMar>
              <w:top w:w="0" w:type="dxa"/>
              <w:left w:w="108" w:type="dxa"/>
              <w:bottom w:w="0" w:type="dxa"/>
              <w:right w:w="108" w:type="dxa"/>
            </w:tcMar>
            <w:hideMark/>
          </w:tcPr>
          <w:p w:rsidR="007F0964" w:rsidRPr="00796FB8" w:rsidRDefault="007F0964"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35/107 (32.71%)</w:t>
            </w:r>
          </w:p>
        </w:tc>
        <w:tc>
          <w:tcPr>
            <w:tcW w:w="2144" w:type="dxa"/>
          </w:tcPr>
          <w:p w:rsidR="007F0964" w:rsidRPr="00796FB8" w:rsidRDefault="007F0964" w:rsidP="00BF3C38">
            <w:pPr>
              <w:spacing w:before="40" w:after="40"/>
              <w:jc w:val="center"/>
              <w:rPr>
                <w:rFonts w:ascii="Arial Narrow" w:hAnsi="Arial Narrow" w:cs="Calibri"/>
                <w:b/>
                <w:sz w:val="20"/>
                <w:lang w:eastAsia="en-GB"/>
              </w:rPr>
            </w:pPr>
            <w:r w:rsidRPr="00796FB8">
              <w:rPr>
                <w:rFonts w:ascii="Arial Narrow" w:hAnsi="Arial Narrow" w:cs="Calibri"/>
                <w:b/>
                <w:sz w:val="20"/>
                <w:lang w:eastAsia="en-GB"/>
              </w:rPr>
              <w:t>44 /107 (41.12%)</w:t>
            </w:r>
          </w:p>
        </w:tc>
      </w:tr>
      <w:tr w:rsidR="007F0964" w:rsidRPr="00796FB8" w:rsidTr="005B097B">
        <w:tc>
          <w:tcPr>
            <w:tcW w:w="1947" w:type="dxa"/>
            <w:shd w:val="clear" w:color="auto" w:fill="auto"/>
            <w:tcMar>
              <w:top w:w="0" w:type="dxa"/>
              <w:left w:w="108" w:type="dxa"/>
              <w:bottom w:w="0" w:type="dxa"/>
              <w:right w:w="28" w:type="dxa"/>
            </w:tcMar>
          </w:tcPr>
          <w:p w:rsidR="007F0964" w:rsidRPr="00796FB8" w:rsidRDefault="005B097B" w:rsidP="00BF3C38">
            <w:pPr>
              <w:spacing w:before="40" w:after="40"/>
              <w:rPr>
                <w:rFonts w:ascii="Arial Narrow" w:hAnsi="Arial Narrow" w:cs="Calibri"/>
                <w:b/>
                <w:bCs/>
                <w:sz w:val="20"/>
                <w:lang w:eastAsia="en-GB"/>
              </w:rPr>
            </w:pPr>
            <w:r w:rsidRPr="00796FB8">
              <w:rPr>
                <w:rFonts w:ascii="Arial Narrow" w:hAnsi="Arial Narrow" w:cs="Calibri"/>
                <w:b/>
                <w:bCs/>
                <w:sz w:val="20"/>
                <w:lang w:eastAsia="en-GB"/>
              </w:rPr>
              <w:t>SP755</w:t>
            </w:r>
          </w:p>
        </w:tc>
        <w:tc>
          <w:tcPr>
            <w:tcW w:w="2513" w:type="dxa"/>
            <w:shd w:val="clear" w:color="auto" w:fill="auto"/>
            <w:tcMar>
              <w:top w:w="0" w:type="dxa"/>
              <w:left w:w="108" w:type="dxa"/>
              <w:bottom w:w="0" w:type="dxa"/>
              <w:right w:w="108" w:type="dxa"/>
            </w:tcMar>
          </w:tcPr>
          <w:p w:rsidR="007F0964" w:rsidRPr="00796FB8" w:rsidRDefault="007F0964"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41 /159 (25.80%)</w:t>
            </w:r>
          </w:p>
        </w:tc>
        <w:tc>
          <w:tcPr>
            <w:tcW w:w="2514" w:type="dxa"/>
            <w:shd w:val="clear" w:color="auto" w:fill="auto"/>
            <w:tcMar>
              <w:top w:w="0" w:type="dxa"/>
              <w:left w:w="108" w:type="dxa"/>
              <w:bottom w:w="0" w:type="dxa"/>
              <w:right w:w="108" w:type="dxa"/>
            </w:tcMar>
          </w:tcPr>
          <w:p w:rsidR="007F0964" w:rsidRPr="00796FB8" w:rsidRDefault="007F0964"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56/160 (35.00%)</w:t>
            </w:r>
          </w:p>
        </w:tc>
        <w:tc>
          <w:tcPr>
            <w:tcW w:w="2144" w:type="dxa"/>
          </w:tcPr>
          <w:p w:rsidR="007F0964" w:rsidRPr="00796FB8" w:rsidRDefault="007F0964" w:rsidP="00BF3C38">
            <w:pPr>
              <w:spacing w:before="40" w:after="40"/>
              <w:jc w:val="center"/>
              <w:rPr>
                <w:rFonts w:ascii="Arial Narrow" w:hAnsi="Arial Narrow" w:cs="Calibri"/>
                <w:b/>
                <w:sz w:val="20"/>
                <w:lang w:eastAsia="en-GB"/>
              </w:rPr>
            </w:pPr>
            <w:r w:rsidRPr="00796FB8">
              <w:rPr>
                <w:rFonts w:ascii="Arial Narrow" w:hAnsi="Arial Narrow" w:cs="Calibri"/>
                <w:b/>
                <w:sz w:val="20"/>
                <w:lang w:eastAsia="en-GB"/>
              </w:rPr>
              <w:t>64 /158 (40.50%)</w:t>
            </w:r>
          </w:p>
        </w:tc>
      </w:tr>
      <w:tr w:rsidR="007F0964" w:rsidRPr="00796FB8" w:rsidTr="005B097B">
        <w:tc>
          <w:tcPr>
            <w:tcW w:w="1947" w:type="dxa"/>
            <w:shd w:val="clear" w:color="auto" w:fill="auto"/>
            <w:tcMar>
              <w:top w:w="0" w:type="dxa"/>
              <w:left w:w="108" w:type="dxa"/>
              <w:bottom w:w="0" w:type="dxa"/>
              <w:right w:w="28" w:type="dxa"/>
            </w:tcMar>
            <w:hideMark/>
          </w:tcPr>
          <w:p w:rsidR="007F0964" w:rsidRPr="00796FB8" w:rsidRDefault="005B097B" w:rsidP="00BF3C38">
            <w:pPr>
              <w:spacing w:before="40" w:after="40"/>
              <w:rPr>
                <w:rFonts w:ascii="Arial Narrow" w:hAnsi="Arial Narrow" w:cs="Calibri"/>
                <w:b/>
                <w:bCs/>
                <w:sz w:val="20"/>
                <w:lang w:eastAsia="en-GB"/>
              </w:rPr>
            </w:pPr>
            <w:r w:rsidRPr="00796FB8">
              <w:rPr>
                <w:rFonts w:ascii="Arial Narrow" w:hAnsi="Arial Narrow" w:cs="Calibri"/>
                <w:b/>
                <w:bCs/>
                <w:sz w:val="20"/>
                <w:lang w:eastAsia="en-GB"/>
              </w:rPr>
              <w:t>SP754</w:t>
            </w:r>
          </w:p>
        </w:tc>
        <w:tc>
          <w:tcPr>
            <w:tcW w:w="2513" w:type="dxa"/>
            <w:shd w:val="clear" w:color="auto" w:fill="auto"/>
            <w:tcMar>
              <w:top w:w="0" w:type="dxa"/>
              <w:left w:w="108" w:type="dxa"/>
              <w:bottom w:w="0" w:type="dxa"/>
              <w:right w:w="108" w:type="dxa"/>
            </w:tcMar>
            <w:hideMark/>
          </w:tcPr>
          <w:p w:rsidR="007F0964" w:rsidRPr="00796FB8" w:rsidRDefault="007F0964"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19/104 (18.30%)</w:t>
            </w:r>
          </w:p>
        </w:tc>
        <w:tc>
          <w:tcPr>
            <w:tcW w:w="2514" w:type="dxa"/>
            <w:shd w:val="clear" w:color="auto" w:fill="auto"/>
            <w:tcMar>
              <w:top w:w="0" w:type="dxa"/>
              <w:left w:w="108" w:type="dxa"/>
              <w:bottom w:w="0" w:type="dxa"/>
              <w:right w:w="108" w:type="dxa"/>
            </w:tcMar>
            <w:hideMark/>
          </w:tcPr>
          <w:p w:rsidR="007F0964" w:rsidRPr="00796FB8" w:rsidRDefault="007F0964"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N/A</w:t>
            </w:r>
          </w:p>
        </w:tc>
        <w:tc>
          <w:tcPr>
            <w:tcW w:w="2144" w:type="dxa"/>
          </w:tcPr>
          <w:p w:rsidR="007F0964" w:rsidRPr="00796FB8" w:rsidRDefault="007F0964" w:rsidP="00BF3C38">
            <w:pPr>
              <w:spacing w:before="40" w:after="40"/>
              <w:jc w:val="center"/>
              <w:rPr>
                <w:rFonts w:ascii="Arial Narrow" w:hAnsi="Arial Narrow" w:cs="Calibri"/>
                <w:b/>
                <w:sz w:val="20"/>
                <w:lang w:eastAsia="en-GB"/>
              </w:rPr>
            </w:pPr>
            <w:r w:rsidRPr="00796FB8">
              <w:rPr>
                <w:rFonts w:ascii="Arial Narrow" w:hAnsi="Arial Narrow" w:cs="Calibri"/>
                <w:b/>
                <w:sz w:val="20"/>
                <w:lang w:eastAsia="en-GB"/>
              </w:rPr>
              <w:t>77 /201 (38.31%)</w:t>
            </w:r>
          </w:p>
        </w:tc>
      </w:tr>
      <w:tr w:rsidR="007F0964" w:rsidRPr="00796FB8" w:rsidTr="005B097B">
        <w:tc>
          <w:tcPr>
            <w:tcW w:w="1947" w:type="dxa"/>
            <w:shd w:val="clear" w:color="auto" w:fill="auto"/>
            <w:tcMar>
              <w:top w:w="0" w:type="dxa"/>
              <w:left w:w="108" w:type="dxa"/>
              <w:bottom w:w="0" w:type="dxa"/>
              <w:right w:w="28" w:type="dxa"/>
            </w:tcMar>
          </w:tcPr>
          <w:p w:rsidR="007F0964" w:rsidRPr="00796FB8" w:rsidRDefault="005B097B" w:rsidP="00BF3C38">
            <w:pPr>
              <w:spacing w:before="40" w:after="40"/>
              <w:rPr>
                <w:rFonts w:ascii="Arial Narrow" w:hAnsi="Arial Narrow" w:cs="Calibri"/>
                <w:b/>
                <w:bCs/>
                <w:sz w:val="20"/>
                <w:lang w:eastAsia="en-GB"/>
              </w:rPr>
            </w:pPr>
            <w:r w:rsidRPr="00796FB8">
              <w:rPr>
                <w:rFonts w:ascii="Arial Narrow" w:hAnsi="Arial Narrow" w:cs="Calibri"/>
                <w:b/>
                <w:bCs/>
                <w:sz w:val="20"/>
                <w:lang w:eastAsia="en-GB"/>
              </w:rPr>
              <w:t>EP0008</w:t>
            </w:r>
          </w:p>
        </w:tc>
        <w:tc>
          <w:tcPr>
            <w:tcW w:w="2513" w:type="dxa"/>
            <w:shd w:val="clear" w:color="auto" w:fill="auto"/>
            <w:tcMar>
              <w:top w:w="0" w:type="dxa"/>
              <w:left w:w="108" w:type="dxa"/>
              <w:bottom w:w="0" w:type="dxa"/>
              <w:right w:w="108" w:type="dxa"/>
            </w:tcMar>
          </w:tcPr>
          <w:p w:rsidR="007F0964" w:rsidRPr="00796FB8" w:rsidRDefault="007F0964"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36/183 (19.7%)</w:t>
            </w:r>
          </w:p>
        </w:tc>
        <w:tc>
          <w:tcPr>
            <w:tcW w:w="2514" w:type="dxa"/>
            <w:shd w:val="clear" w:color="auto" w:fill="auto"/>
            <w:tcMar>
              <w:top w:w="0" w:type="dxa"/>
              <w:left w:w="108" w:type="dxa"/>
              <w:bottom w:w="0" w:type="dxa"/>
              <w:right w:w="108" w:type="dxa"/>
            </w:tcMar>
          </w:tcPr>
          <w:p w:rsidR="007F0964" w:rsidRPr="00796FB8" w:rsidRDefault="007F0964" w:rsidP="00BF3C38">
            <w:pPr>
              <w:spacing w:before="40" w:after="40"/>
              <w:jc w:val="center"/>
              <w:rPr>
                <w:rFonts w:ascii="Arial Narrow" w:hAnsi="Arial Narrow" w:cs="Calibri"/>
                <w:b/>
                <w:sz w:val="20"/>
                <w:lang w:eastAsia="en-GB"/>
              </w:rPr>
            </w:pPr>
            <w:r w:rsidRPr="00796FB8">
              <w:rPr>
                <w:rFonts w:ascii="Arial Narrow" w:hAnsi="Arial Narrow" w:cs="Calibri"/>
                <w:b/>
                <w:sz w:val="20"/>
                <w:lang w:eastAsia="en-GB"/>
              </w:rPr>
              <w:t>70/182 (38.5%)</w:t>
            </w:r>
          </w:p>
        </w:tc>
        <w:tc>
          <w:tcPr>
            <w:tcW w:w="2144" w:type="dxa"/>
          </w:tcPr>
          <w:p w:rsidR="007F0964" w:rsidRPr="00796FB8" w:rsidRDefault="007F0964" w:rsidP="00BF3C38">
            <w:pPr>
              <w:spacing w:before="40" w:after="40"/>
              <w:jc w:val="center"/>
              <w:rPr>
                <w:rFonts w:ascii="Arial Narrow" w:hAnsi="Arial Narrow" w:cs="Calibri"/>
                <w:b/>
                <w:sz w:val="20"/>
                <w:lang w:eastAsia="en-GB"/>
              </w:rPr>
            </w:pPr>
            <w:r w:rsidRPr="00796FB8">
              <w:rPr>
                <w:rFonts w:ascii="Arial Narrow" w:hAnsi="Arial Narrow" w:cs="Calibri"/>
                <w:b/>
                <w:sz w:val="20"/>
                <w:lang w:eastAsia="en-GB"/>
              </w:rPr>
              <w:t>88/179 (49.2%)</w:t>
            </w:r>
          </w:p>
        </w:tc>
      </w:tr>
      <w:tr w:rsidR="007F0964" w:rsidRPr="00796FB8" w:rsidTr="005B097B">
        <w:tc>
          <w:tcPr>
            <w:tcW w:w="1947" w:type="dxa"/>
            <w:shd w:val="clear" w:color="auto" w:fill="D9D9D9" w:themeFill="background1" w:themeFillShade="D9"/>
            <w:tcMar>
              <w:top w:w="0" w:type="dxa"/>
              <w:left w:w="108" w:type="dxa"/>
              <w:bottom w:w="0" w:type="dxa"/>
              <w:right w:w="28" w:type="dxa"/>
            </w:tcMar>
          </w:tcPr>
          <w:p w:rsidR="007F0964" w:rsidRPr="00796FB8" w:rsidRDefault="007F0964" w:rsidP="00BF3C38">
            <w:pPr>
              <w:spacing w:before="40" w:after="40"/>
              <w:jc w:val="center"/>
              <w:rPr>
                <w:rFonts w:ascii="Arial Narrow" w:hAnsi="Arial Narrow" w:cs="Calibri"/>
                <w:b/>
                <w:bCs/>
                <w:sz w:val="20"/>
                <w:lang w:eastAsia="en-GB"/>
              </w:rPr>
            </w:pPr>
          </w:p>
        </w:tc>
        <w:tc>
          <w:tcPr>
            <w:tcW w:w="7171" w:type="dxa"/>
            <w:gridSpan w:val="3"/>
            <w:shd w:val="clear" w:color="auto" w:fill="D9D9D9" w:themeFill="background1" w:themeFillShade="D9"/>
          </w:tcPr>
          <w:p w:rsidR="007F0964" w:rsidRPr="00796FB8" w:rsidRDefault="007F0964" w:rsidP="00BF3C38">
            <w:pPr>
              <w:spacing w:before="40" w:after="40"/>
              <w:jc w:val="center"/>
              <w:rPr>
                <w:rFonts w:ascii="Arial Narrow" w:hAnsi="Arial Narrow" w:cs="Calibri"/>
                <w:b/>
                <w:bCs/>
                <w:sz w:val="20"/>
                <w:lang w:eastAsia="en-GB"/>
              </w:rPr>
            </w:pPr>
            <w:r w:rsidRPr="00796FB8">
              <w:rPr>
                <w:rFonts w:ascii="Arial Narrow" w:hAnsi="Arial Narrow" w:cs="Calibri"/>
                <w:b/>
                <w:bCs/>
                <w:sz w:val="20"/>
                <w:lang w:eastAsia="en-GB"/>
              </w:rPr>
              <w:t>Seizure freedom: n with event/N (%)</w:t>
            </w:r>
          </w:p>
        </w:tc>
      </w:tr>
      <w:tr w:rsidR="005B097B" w:rsidRPr="00796FB8" w:rsidTr="005B097B">
        <w:tc>
          <w:tcPr>
            <w:tcW w:w="1947" w:type="dxa"/>
            <w:shd w:val="clear" w:color="auto" w:fill="auto"/>
            <w:tcMar>
              <w:top w:w="0" w:type="dxa"/>
              <w:left w:w="108" w:type="dxa"/>
              <w:bottom w:w="0" w:type="dxa"/>
              <w:right w:w="28" w:type="dxa"/>
            </w:tcMar>
            <w:hideMark/>
          </w:tcPr>
          <w:p w:rsidR="005B097B" w:rsidRPr="00796FB8" w:rsidRDefault="005B097B" w:rsidP="00BF3C38">
            <w:pPr>
              <w:spacing w:before="40" w:after="40"/>
              <w:rPr>
                <w:rFonts w:ascii="Arial Narrow" w:hAnsi="Arial Narrow" w:cs="Calibri"/>
                <w:b/>
                <w:bCs/>
                <w:sz w:val="20"/>
                <w:lang w:eastAsia="en-GB"/>
              </w:rPr>
            </w:pPr>
            <w:r w:rsidRPr="00796FB8">
              <w:rPr>
                <w:rFonts w:ascii="Arial Narrow" w:hAnsi="Arial Narrow" w:cs="Calibri"/>
                <w:b/>
                <w:bCs/>
                <w:sz w:val="20"/>
                <w:lang w:eastAsia="en-GB"/>
              </w:rPr>
              <w:t>SP667</w:t>
            </w:r>
          </w:p>
        </w:tc>
        <w:tc>
          <w:tcPr>
            <w:tcW w:w="2513" w:type="dxa"/>
            <w:shd w:val="clear" w:color="auto" w:fill="auto"/>
            <w:tcMar>
              <w:top w:w="0" w:type="dxa"/>
              <w:left w:w="108" w:type="dxa"/>
              <w:bottom w:w="0" w:type="dxa"/>
              <w:right w:w="108" w:type="dxa"/>
            </w:tcMar>
            <w:hideMark/>
          </w:tcPr>
          <w:p w:rsidR="005B097B" w:rsidRPr="00796FB8" w:rsidRDefault="005B097B"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0 /96 (0%)</w:t>
            </w:r>
          </w:p>
        </w:tc>
        <w:tc>
          <w:tcPr>
            <w:tcW w:w="2514" w:type="dxa"/>
            <w:shd w:val="clear" w:color="auto" w:fill="auto"/>
            <w:tcMar>
              <w:top w:w="0" w:type="dxa"/>
              <w:left w:w="108" w:type="dxa"/>
              <w:bottom w:w="0" w:type="dxa"/>
              <w:right w:w="108" w:type="dxa"/>
            </w:tcMar>
            <w:hideMark/>
          </w:tcPr>
          <w:p w:rsidR="005B097B" w:rsidRPr="00796FB8" w:rsidRDefault="005B097B"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1 / 107 (0.93%)</w:t>
            </w:r>
          </w:p>
        </w:tc>
        <w:tc>
          <w:tcPr>
            <w:tcW w:w="2144" w:type="dxa"/>
          </w:tcPr>
          <w:p w:rsidR="005B097B" w:rsidRPr="00796FB8" w:rsidRDefault="005B097B"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5 /107 (4.67%)</w:t>
            </w:r>
          </w:p>
        </w:tc>
      </w:tr>
      <w:tr w:rsidR="005B097B" w:rsidRPr="00796FB8" w:rsidTr="005B097B">
        <w:tc>
          <w:tcPr>
            <w:tcW w:w="1947" w:type="dxa"/>
            <w:shd w:val="clear" w:color="auto" w:fill="auto"/>
            <w:tcMar>
              <w:top w:w="0" w:type="dxa"/>
              <w:left w:w="108" w:type="dxa"/>
              <w:bottom w:w="0" w:type="dxa"/>
              <w:right w:w="28" w:type="dxa"/>
            </w:tcMar>
          </w:tcPr>
          <w:p w:rsidR="005B097B" w:rsidRPr="00796FB8" w:rsidRDefault="005B097B" w:rsidP="00BF3C38">
            <w:pPr>
              <w:spacing w:before="40" w:after="40"/>
              <w:rPr>
                <w:rFonts w:ascii="Arial Narrow" w:hAnsi="Arial Narrow" w:cs="Calibri"/>
                <w:b/>
                <w:bCs/>
                <w:sz w:val="20"/>
                <w:lang w:eastAsia="en-GB"/>
              </w:rPr>
            </w:pPr>
            <w:r w:rsidRPr="00796FB8">
              <w:rPr>
                <w:rFonts w:ascii="Arial Narrow" w:hAnsi="Arial Narrow" w:cs="Calibri"/>
                <w:b/>
                <w:bCs/>
                <w:sz w:val="20"/>
                <w:lang w:eastAsia="en-GB"/>
              </w:rPr>
              <w:t>SP755</w:t>
            </w:r>
          </w:p>
        </w:tc>
        <w:tc>
          <w:tcPr>
            <w:tcW w:w="2513" w:type="dxa"/>
            <w:shd w:val="clear" w:color="auto" w:fill="auto"/>
            <w:tcMar>
              <w:top w:w="0" w:type="dxa"/>
              <w:left w:w="108" w:type="dxa"/>
              <w:bottom w:w="0" w:type="dxa"/>
              <w:right w:w="108" w:type="dxa"/>
            </w:tcMar>
          </w:tcPr>
          <w:p w:rsidR="005B097B" w:rsidRPr="00796FB8" w:rsidRDefault="005B097B"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3 /143 (2.10%)</w:t>
            </w:r>
          </w:p>
        </w:tc>
        <w:tc>
          <w:tcPr>
            <w:tcW w:w="2514" w:type="dxa"/>
            <w:shd w:val="clear" w:color="auto" w:fill="auto"/>
            <w:tcMar>
              <w:top w:w="0" w:type="dxa"/>
              <w:left w:w="108" w:type="dxa"/>
              <w:bottom w:w="0" w:type="dxa"/>
              <w:right w:w="108" w:type="dxa"/>
            </w:tcMar>
          </w:tcPr>
          <w:p w:rsidR="005B097B" w:rsidRPr="00796FB8" w:rsidRDefault="005B097B"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5 /137 (3.60%)</w:t>
            </w:r>
          </w:p>
        </w:tc>
        <w:tc>
          <w:tcPr>
            <w:tcW w:w="2144" w:type="dxa"/>
          </w:tcPr>
          <w:p w:rsidR="005B097B" w:rsidRPr="00796FB8" w:rsidRDefault="005B097B"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3 /123 (2.40%)</w:t>
            </w:r>
          </w:p>
        </w:tc>
      </w:tr>
      <w:tr w:rsidR="005B097B" w:rsidRPr="00796FB8" w:rsidTr="005B097B">
        <w:tc>
          <w:tcPr>
            <w:tcW w:w="1947" w:type="dxa"/>
            <w:shd w:val="clear" w:color="auto" w:fill="auto"/>
            <w:tcMar>
              <w:top w:w="0" w:type="dxa"/>
              <w:left w:w="108" w:type="dxa"/>
              <w:bottom w:w="0" w:type="dxa"/>
              <w:right w:w="28" w:type="dxa"/>
            </w:tcMar>
            <w:hideMark/>
          </w:tcPr>
          <w:p w:rsidR="005B097B" w:rsidRPr="00796FB8" w:rsidRDefault="005B097B" w:rsidP="00BF3C38">
            <w:pPr>
              <w:spacing w:before="40" w:after="40"/>
              <w:rPr>
                <w:rFonts w:ascii="Arial Narrow" w:hAnsi="Arial Narrow" w:cs="Calibri"/>
                <w:b/>
                <w:bCs/>
                <w:sz w:val="20"/>
                <w:lang w:eastAsia="en-GB"/>
              </w:rPr>
            </w:pPr>
            <w:r w:rsidRPr="00796FB8">
              <w:rPr>
                <w:rFonts w:ascii="Arial Narrow" w:hAnsi="Arial Narrow" w:cs="Calibri"/>
                <w:b/>
                <w:bCs/>
                <w:sz w:val="20"/>
                <w:lang w:eastAsia="en-GB"/>
              </w:rPr>
              <w:t>SP754</w:t>
            </w:r>
          </w:p>
        </w:tc>
        <w:tc>
          <w:tcPr>
            <w:tcW w:w="2513" w:type="dxa"/>
            <w:shd w:val="clear" w:color="auto" w:fill="auto"/>
            <w:tcMar>
              <w:top w:w="0" w:type="dxa"/>
              <w:left w:w="108" w:type="dxa"/>
              <w:bottom w:w="0" w:type="dxa"/>
              <w:right w:w="108" w:type="dxa"/>
            </w:tcMar>
            <w:hideMark/>
          </w:tcPr>
          <w:p w:rsidR="005B097B" w:rsidRPr="00796FB8" w:rsidRDefault="005B097B"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0 / 96 (0%)</w:t>
            </w:r>
          </w:p>
        </w:tc>
        <w:tc>
          <w:tcPr>
            <w:tcW w:w="2514" w:type="dxa"/>
            <w:shd w:val="clear" w:color="auto" w:fill="auto"/>
            <w:tcMar>
              <w:top w:w="0" w:type="dxa"/>
              <w:left w:w="108" w:type="dxa"/>
              <w:bottom w:w="0" w:type="dxa"/>
              <w:right w:w="108" w:type="dxa"/>
            </w:tcMar>
            <w:hideMark/>
          </w:tcPr>
          <w:p w:rsidR="005B097B" w:rsidRPr="00796FB8" w:rsidRDefault="005B097B"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N/A</w:t>
            </w:r>
          </w:p>
        </w:tc>
        <w:tc>
          <w:tcPr>
            <w:tcW w:w="2144" w:type="dxa"/>
          </w:tcPr>
          <w:p w:rsidR="005B097B" w:rsidRPr="00796FB8" w:rsidRDefault="005B097B"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4 /160 (2.50%)</w:t>
            </w:r>
          </w:p>
        </w:tc>
      </w:tr>
      <w:tr w:rsidR="007F0964" w:rsidRPr="00796FB8" w:rsidTr="005B097B">
        <w:tc>
          <w:tcPr>
            <w:tcW w:w="1947" w:type="dxa"/>
            <w:shd w:val="clear" w:color="auto" w:fill="auto"/>
            <w:tcMar>
              <w:top w:w="0" w:type="dxa"/>
              <w:left w:w="108" w:type="dxa"/>
              <w:bottom w:w="0" w:type="dxa"/>
              <w:right w:w="28" w:type="dxa"/>
            </w:tcMar>
          </w:tcPr>
          <w:p w:rsidR="007F0964" w:rsidRPr="00796FB8" w:rsidRDefault="005B097B" w:rsidP="00BF3C38">
            <w:pPr>
              <w:spacing w:before="40" w:after="40"/>
              <w:rPr>
                <w:rFonts w:ascii="Arial Narrow" w:hAnsi="Arial Narrow" w:cs="Calibri"/>
                <w:b/>
                <w:bCs/>
                <w:sz w:val="20"/>
                <w:lang w:eastAsia="en-GB"/>
              </w:rPr>
            </w:pPr>
            <w:r w:rsidRPr="00796FB8">
              <w:rPr>
                <w:rFonts w:ascii="Arial Narrow" w:hAnsi="Arial Narrow" w:cs="Calibri"/>
                <w:b/>
                <w:bCs/>
                <w:sz w:val="20"/>
                <w:lang w:eastAsia="en-GB"/>
              </w:rPr>
              <w:t>EP0008</w:t>
            </w:r>
          </w:p>
        </w:tc>
        <w:tc>
          <w:tcPr>
            <w:tcW w:w="2513" w:type="dxa"/>
            <w:shd w:val="clear" w:color="auto" w:fill="auto"/>
            <w:tcMar>
              <w:top w:w="0" w:type="dxa"/>
              <w:left w:w="108" w:type="dxa"/>
              <w:bottom w:w="0" w:type="dxa"/>
              <w:right w:w="108" w:type="dxa"/>
            </w:tcMar>
          </w:tcPr>
          <w:p w:rsidR="007F0964" w:rsidRPr="00796FB8" w:rsidRDefault="007F0964"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0/183 (0%)</w:t>
            </w:r>
          </w:p>
        </w:tc>
        <w:tc>
          <w:tcPr>
            <w:tcW w:w="2514" w:type="dxa"/>
            <w:shd w:val="clear" w:color="auto" w:fill="auto"/>
            <w:tcMar>
              <w:top w:w="0" w:type="dxa"/>
              <w:left w:w="108" w:type="dxa"/>
              <w:bottom w:w="0" w:type="dxa"/>
              <w:right w:w="108" w:type="dxa"/>
            </w:tcMar>
          </w:tcPr>
          <w:p w:rsidR="007F0964" w:rsidRPr="00796FB8" w:rsidRDefault="007F0964"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9/182 (4.7%)</w:t>
            </w:r>
          </w:p>
        </w:tc>
        <w:tc>
          <w:tcPr>
            <w:tcW w:w="2144" w:type="dxa"/>
          </w:tcPr>
          <w:p w:rsidR="007F0964" w:rsidRPr="00796FB8" w:rsidRDefault="007F0964" w:rsidP="00BF3C38">
            <w:pPr>
              <w:spacing w:before="40" w:after="40"/>
              <w:jc w:val="center"/>
              <w:rPr>
                <w:rFonts w:ascii="Arial Narrow" w:hAnsi="Arial Narrow" w:cs="Calibri"/>
                <w:sz w:val="20"/>
                <w:lang w:eastAsia="en-GB"/>
              </w:rPr>
            </w:pPr>
            <w:r w:rsidRPr="00796FB8">
              <w:rPr>
                <w:rFonts w:ascii="Arial Narrow" w:hAnsi="Arial Narrow" w:cs="Calibri"/>
                <w:sz w:val="20"/>
                <w:lang w:eastAsia="en-GB"/>
              </w:rPr>
              <w:t>10/179 (5.4%)</w:t>
            </w:r>
          </w:p>
        </w:tc>
      </w:tr>
    </w:tbl>
    <w:p w:rsidR="00ED0194" w:rsidRPr="00796FB8" w:rsidRDefault="00ED0194" w:rsidP="00BF3C38">
      <w:pPr>
        <w:pStyle w:val="TableFigureFooter"/>
      </w:pPr>
      <w:r w:rsidRPr="00796FB8">
        <w:t>Source: Table 2-38, pp 76-77 and Table 2-40, p 78 of the submission.</w:t>
      </w:r>
    </w:p>
    <w:p w:rsidR="00ED0194" w:rsidRPr="00796FB8" w:rsidRDefault="00701B8A" w:rsidP="00BF3C38">
      <w:pPr>
        <w:pStyle w:val="TableFigureFooter"/>
      </w:pPr>
      <w:r w:rsidRPr="00796FB8">
        <w:t xml:space="preserve">N/A = not available; </w:t>
      </w:r>
      <w:r w:rsidR="00ED0194" w:rsidRPr="00796FB8">
        <w:t>LAC = lacosamide.</w:t>
      </w:r>
    </w:p>
    <w:p w:rsidR="00ED0194" w:rsidRPr="00796FB8" w:rsidRDefault="00ED0194" w:rsidP="00BF3C38">
      <w:pPr>
        <w:pStyle w:val="TableFigureFooter"/>
        <w:jc w:val="left"/>
      </w:pPr>
      <w:r w:rsidRPr="00796FB8">
        <w:rPr>
          <w:b/>
        </w:rPr>
        <w:t>Bold</w:t>
      </w:r>
      <w:r w:rsidRPr="00796FB8">
        <w:t xml:space="preserve"> indicates statistically significant results.</w:t>
      </w:r>
      <w:r w:rsidR="005B097B" w:rsidRPr="00796FB8">
        <w:br/>
      </w:r>
    </w:p>
    <w:p w:rsidR="007F0964" w:rsidRPr="00796FB8" w:rsidRDefault="006433A8" w:rsidP="00BF3C38">
      <w:pPr>
        <w:pStyle w:val="3-BodyText"/>
      </w:pPr>
      <w:r w:rsidRPr="00796FB8">
        <w:t>A</w:t>
      </w:r>
      <w:r w:rsidR="007F0964" w:rsidRPr="00796FB8">
        <w:t>s there are no</w:t>
      </w:r>
      <w:r w:rsidR="007F0964" w:rsidRPr="00796FB8">
        <w:rPr>
          <w:color w:val="0066FF"/>
        </w:rPr>
        <w:t xml:space="preserve"> </w:t>
      </w:r>
      <w:r w:rsidR="007F0964" w:rsidRPr="00796FB8">
        <w:t xml:space="preserve">direct head-to-head RCTs comparing ESL with LAC, an ITC was performed between Study 304 (ESL) and the four LAC studies, using placebo as the common reference. The efficacy outcomes for the ITC were based </w:t>
      </w:r>
      <w:r w:rsidR="00890EA7" w:rsidRPr="00796FB8">
        <w:t xml:space="preserve"> on </w:t>
      </w:r>
      <w:r w:rsidR="007F0964" w:rsidRPr="00796FB8">
        <w:t>those previously accepted by the PBAC (most recently in the brivaracetam November 2017 PSD), and consisted of two binary outcomes:</w:t>
      </w:r>
    </w:p>
    <w:p w:rsidR="007F0964" w:rsidRPr="00796FB8" w:rsidRDefault="007F0964" w:rsidP="00BF3C38">
      <w:pPr>
        <w:pStyle w:val="ListParagraph"/>
        <w:numPr>
          <w:ilvl w:val="0"/>
          <w:numId w:val="10"/>
        </w:numPr>
        <w:spacing w:after="160" w:line="259" w:lineRule="auto"/>
        <w:ind w:left="1080"/>
        <w:contextualSpacing/>
        <w:jc w:val="left"/>
      </w:pPr>
      <w:r w:rsidRPr="00796FB8">
        <w:t>Number and percentage of patients reporting a 50% reduction in 28-day seizure frequency</w:t>
      </w:r>
      <w:r w:rsidR="00DB1DF8" w:rsidRPr="00796FB8">
        <w:t>;</w:t>
      </w:r>
    </w:p>
    <w:p w:rsidR="007F0964" w:rsidRPr="00796FB8" w:rsidRDefault="007F0964" w:rsidP="00BF3C38">
      <w:pPr>
        <w:pStyle w:val="ListParagraph"/>
        <w:numPr>
          <w:ilvl w:val="0"/>
          <w:numId w:val="10"/>
        </w:numPr>
        <w:spacing w:after="160" w:line="259" w:lineRule="auto"/>
        <w:ind w:left="1080"/>
        <w:contextualSpacing/>
        <w:jc w:val="left"/>
      </w:pPr>
      <w:r w:rsidRPr="00796FB8">
        <w:t xml:space="preserve">Seizure </w:t>
      </w:r>
      <w:r w:rsidR="00DB1DF8" w:rsidRPr="00796FB8">
        <w:t>f</w:t>
      </w:r>
      <w:r w:rsidRPr="00796FB8">
        <w:t>reedom</w:t>
      </w:r>
      <w:r w:rsidR="00DB1DF8" w:rsidRPr="00796FB8">
        <w:t>.</w:t>
      </w:r>
    </w:p>
    <w:p w:rsidR="007F0964" w:rsidRPr="00796FB8" w:rsidRDefault="007F0964" w:rsidP="00BF3C38">
      <w:pPr>
        <w:pStyle w:val="3-BodyText"/>
        <w:rPr>
          <w:iCs/>
        </w:rPr>
      </w:pPr>
      <w:r w:rsidRPr="00796FB8">
        <w:rPr>
          <w:iCs/>
        </w:rPr>
        <w:t xml:space="preserve">A comparison of key factors that might influence the transitivity of the ITC is provided in </w:t>
      </w:r>
      <w:r w:rsidR="002C71DF" w:rsidRPr="00796FB8">
        <w:rPr>
          <w:iCs/>
        </w:rPr>
        <w:t>Table 7</w:t>
      </w:r>
      <w:r w:rsidRPr="00796FB8">
        <w:rPr>
          <w:iCs/>
        </w:rPr>
        <w:t xml:space="preserve"> below. </w:t>
      </w:r>
      <w:r w:rsidR="006433A8" w:rsidRPr="00796FB8">
        <w:rPr>
          <w:iCs/>
        </w:rPr>
        <w:t>T</w:t>
      </w:r>
      <w:r w:rsidRPr="00796FB8">
        <w:rPr>
          <w:iCs/>
        </w:rPr>
        <w:t>here were three differences which may influence the transitivity assumption:</w:t>
      </w:r>
    </w:p>
    <w:p w:rsidR="007F0964" w:rsidRPr="00796FB8" w:rsidRDefault="007F0964" w:rsidP="00BF3C38">
      <w:pPr>
        <w:pStyle w:val="ListParagraph"/>
        <w:numPr>
          <w:ilvl w:val="0"/>
          <w:numId w:val="11"/>
        </w:numPr>
        <w:ind w:left="1134"/>
        <w:rPr>
          <w:iCs/>
        </w:rPr>
      </w:pPr>
      <w:r w:rsidRPr="00796FB8">
        <w:rPr>
          <w:iCs/>
        </w:rPr>
        <w:t>The prior AED use is difficult to directly compare due to differences in reporting, however two of the LAC trials reported approximately 50% of their cohort had tried ≥7 prior AEDs, suggesting the</w:t>
      </w:r>
      <w:r w:rsidR="00C00DB2" w:rsidRPr="00796FB8">
        <w:rPr>
          <w:iCs/>
        </w:rPr>
        <w:t>ir</w:t>
      </w:r>
      <w:r w:rsidRPr="00796FB8">
        <w:rPr>
          <w:iCs/>
        </w:rPr>
        <w:t xml:space="preserve"> prior treatment exposure</w:t>
      </w:r>
      <w:r w:rsidR="00AD5828" w:rsidRPr="00796FB8">
        <w:rPr>
          <w:iCs/>
        </w:rPr>
        <w:t xml:space="preserve"> may have been</w:t>
      </w:r>
      <w:r w:rsidRPr="00796FB8">
        <w:rPr>
          <w:iCs/>
        </w:rPr>
        <w:t xml:space="preserve"> greater than </w:t>
      </w:r>
      <w:r w:rsidR="00C00DB2" w:rsidRPr="00796FB8">
        <w:rPr>
          <w:iCs/>
        </w:rPr>
        <w:t>the</w:t>
      </w:r>
      <w:r w:rsidRPr="00796FB8">
        <w:rPr>
          <w:iCs/>
        </w:rPr>
        <w:t xml:space="preserve"> ITT population mean </w:t>
      </w:r>
      <w:r w:rsidR="00C00DB2" w:rsidRPr="00796FB8">
        <w:rPr>
          <w:iCs/>
        </w:rPr>
        <w:t>of 5.7 prior AEDs in Study 304.</w:t>
      </w:r>
    </w:p>
    <w:p w:rsidR="007F0964" w:rsidRPr="00796FB8" w:rsidRDefault="007F0964" w:rsidP="00BF3C38">
      <w:pPr>
        <w:pStyle w:val="3-BodyText"/>
        <w:numPr>
          <w:ilvl w:val="0"/>
          <w:numId w:val="11"/>
        </w:numPr>
        <w:ind w:left="1134"/>
        <w:rPr>
          <w:iCs/>
        </w:rPr>
      </w:pPr>
      <w:r w:rsidRPr="00796FB8">
        <w:rPr>
          <w:iCs/>
        </w:rPr>
        <w:t>The baseline seizure frequency per 28 days was substantially higher in Study 304 (17.9), compared to the LAC trials (10.5-13)</w:t>
      </w:r>
      <w:r w:rsidR="00796FB8">
        <w:rPr>
          <w:iCs/>
        </w:rPr>
        <w:t xml:space="preserve">. </w:t>
      </w:r>
    </w:p>
    <w:p w:rsidR="007F0964" w:rsidRPr="00796FB8" w:rsidRDefault="007F0964" w:rsidP="00BF3C38">
      <w:pPr>
        <w:pStyle w:val="ListParagraph"/>
        <w:numPr>
          <w:ilvl w:val="0"/>
          <w:numId w:val="11"/>
        </w:numPr>
        <w:ind w:left="1134"/>
        <w:rPr>
          <w:iCs/>
        </w:rPr>
      </w:pPr>
      <w:r w:rsidRPr="00796FB8">
        <w:rPr>
          <w:iCs/>
        </w:rPr>
        <w:t>The LAC trials had a greater number of concomitant AEDs at baseline than in Study 304. The group of patients from Study 304 who were taking 1 concomitant AED are not representative of the proposed PBS target population, who must be taking at least 2 concomitant AEDs. This may also bias the safety profiles in favour of ESL.</w:t>
      </w:r>
    </w:p>
    <w:p w:rsidR="007F0964" w:rsidRPr="00796FB8" w:rsidRDefault="007F0964" w:rsidP="00BF3C38">
      <w:pPr>
        <w:pStyle w:val="3-BodyText"/>
      </w:pPr>
      <w:r w:rsidRPr="00796FB8">
        <w:rPr>
          <w:iCs/>
        </w:rPr>
        <w:t>Considered together, the patients in Study 304 generally had greater baseline seizure frequency and fewer concomitant AEDs than patients in the LAC trials. These differences suggest patients in the LAC trials may have had better disease control at</w:t>
      </w:r>
      <w:r w:rsidRPr="00796FB8">
        <w:rPr>
          <w:i/>
          <w:iCs/>
        </w:rPr>
        <w:t xml:space="preserve"> </w:t>
      </w:r>
      <w:r w:rsidRPr="00796FB8">
        <w:rPr>
          <w:iCs/>
        </w:rPr>
        <w:t>baseline than the ESL patients, who may have been under-treated compared to the LAC cohorts. This means the Study 304 cohort may have been more responsive to the addition of an AED than the LAC cohorts, which may have biased the efficacy in favour of ESL.</w:t>
      </w:r>
    </w:p>
    <w:p w:rsidR="007F0964" w:rsidRPr="00796FB8" w:rsidRDefault="007F0964" w:rsidP="00BF3C38">
      <w:pPr>
        <w:pStyle w:val="TableFigureHeading"/>
      </w:pPr>
      <w:bookmarkStart w:id="24" w:name="_Ref58204885"/>
      <w:r w:rsidRPr="00796FB8">
        <w:t xml:space="preserve">Table </w:t>
      </w:r>
      <w:r w:rsidR="002C71DF" w:rsidRPr="00796FB8">
        <w:t>7</w:t>
      </w:r>
      <w:bookmarkEnd w:id="24"/>
      <w:r w:rsidRPr="00796FB8">
        <w:t>: Comparison of select baseline demographics and disease characteristics in trials used for the ITC which may influence the transitivity</w:t>
      </w:r>
    </w:p>
    <w:tbl>
      <w:tblPr>
        <w:tblStyle w:val="Sourcetable1"/>
        <w:tblW w:w="5000" w:type="pct"/>
        <w:tblLook w:val="04A0" w:firstRow="1" w:lastRow="0" w:firstColumn="1" w:lastColumn="0" w:noHBand="0" w:noVBand="1"/>
        <w:tblCaption w:val="Table 7: Comparison of select baseline demographics and disease characteristics in trials used for the ITC which may influence the transitivity"/>
      </w:tblPr>
      <w:tblGrid>
        <w:gridCol w:w="2224"/>
        <w:gridCol w:w="1327"/>
        <w:gridCol w:w="1199"/>
        <w:gridCol w:w="1432"/>
        <w:gridCol w:w="1486"/>
        <w:gridCol w:w="1349"/>
      </w:tblGrid>
      <w:tr w:rsidR="007F0964" w:rsidRPr="00796FB8" w:rsidTr="0069318E">
        <w:trPr>
          <w:tblHeader/>
        </w:trPr>
        <w:tc>
          <w:tcPr>
            <w:tcW w:w="1233" w:type="pct"/>
            <w:shd w:val="clear" w:color="auto" w:fill="BFBFBF" w:themeFill="background1" w:themeFillShade="BF"/>
          </w:tcPr>
          <w:p w:rsidR="007F0964" w:rsidRPr="00796FB8" w:rsidRDefault="007F0964" w:rsidP="00BF3C38">
            <w:pPr>
              <w:jc w:val="left"/>
              <w:rPr>
                <w:rFonts w:ascii="Arial Narrow" w:hAnsi="Arial Narrow" w:cs="Calibri"/>
                <w:sz w:val="20"/>
                <w:szCs w:val="20"/>
                <w:lang w:val="en-AU"/>
              </w:rPr>
            </w:pPr>
          </w:p>
        </w:tc>
        <w:tc>
          <w:tcPr>
            <w:tcW w:w="736" w:type="pct"/>
            <w:shd w:val="clear" w:color="auto" w:fill="BFBFBF" w:themeFill="background1" w:themeFillShade="BF"/>
          </w:tcPr>
          <w:p w:rsidR="007F0964" w:rsidRPr="00796FB8" w:rsidRDefault="007F0964" w:rsidP="00BF3C38">
            <w:pPr>
              <w:jc w:val="center"/>
              <w:rPr>
                <w:rFonts w:ascii="Arial Narrow" w:hAnsi="Arial Narrow" w:cs="Calibri"/>
                <w:b/>
                <w:sz w:val="20"/>
                <w:szCs w:val="20"/>
                <w:lang w:val="en-AU"/>
              </w:rPr>
            </w:pPr>
            <w:r w:rsidRPr="00796FB8">
              <w:rPr>
                <w:rFonts w:ascii="Arial Narrow" w:hAnsi="Arial Narrow" w:cs="Calibri"/>
                <w:b/>
                <w:sz w:val="20"/>
                <w:szCs w:val="20"/>
                <w:lang w:val="en-AU"/>
              </w:rPr>
              <w:t>ESL Study</w:t>
            </w:r>
          </w:p>
        </w:tc>
        <w:tc>
          <w:tcPr>
            <w:tcW w:w="3031" w:type="pct"/>
            <w:gridSpan w:val="4"/>
            <w:shd w:val="clear" w:color="auto" w:fill="BFBFBF" w:themeFill="background1" w:themeFillShade="BF"/>
          </w:tcPr>
          <w:p w:rsidR="007F0964" w:rsidRPr="00796FB8" w:rsidRDefault="007F0964" w:rsidP="00BF3C38">
            <w:pPr>
              <w:jc w:val="center"/>
              <w:rPr>
                <w:rFonts w:ascii="Arial Narrow" w:hAnsi="Arial Narrow" w:cs="Calibri"/>
                <w:b/>
                <w:sz w:val="20"/>
                <w:szCs w:val="20"/>
                <w:lang w:val="en-AU"/>
              </w:rPr>
            </w:pPr>
            <w:r w:rsidRPr="00796FB8">
              <w:rPr>
                <w:rFonts w:ascii="Arial Narrow" w:hAnsi="Arial Narrow" w:cs="Calibri"/>
                <w:b/>
                <w:sz w:val="20"/>
                <w:szCs w:val="20"/>
                <w:lang w:val="en-AU"/>
              </w:rPr>
              <w:t>LAC studies</w:t>
            </w:r>
          </w:p>
        </w:tc>
      </w:tr>
      <w:tr w:rsidR="007F0964" w:rsidRPr="00796FB8" w:rsidTr="00FE31E4">
        <w:tc>
          <w:tcPr>
            <w:tcW w:w="1233" w:type="pct"/>
            <w:shd w:val="clear" w:color="auto" w:fill="D9D9D9" w:themeFill="background1" w:themeFillShade="D9"/>
          </w:tcPr>
          <w:p w:rsidR="007F0964" w:rsidRPr="00796FB8" w:rsidRDefault="007F0964" w:rsidP="00BF3C38">
            <w:pPr>
              <w:jc w:val="left"/>
              <w:rPr>
                <w:rFonts w:ascii="Arial Narrow" w:hAnsi="Arial Narrow" w:cs="Calibri"/>
                <w:b/>
                <w:bCs/>
                <w:sz w:val="20"/>
                <w:szCs w:val="20"/>
                <w:lang w:val="en-AU"/>
              </w:rPr>
            </w:pPr>
            <w:r w:rsidRPr="00796FB8">
              <w:rPr>
                <w:rFonts w:ascii="Arial Narrow" w:hAnsi="Arial Narrow" w:cs="Calibri"/>
                <w:b/>
                <w:bCs/>
                <w:sz w:val="20"/>
                <w:szCs w:val="20"/>
                <w:lang w:val="en-AU"/>
              </w:rPr>
              <w:t>Study</w:t>
            </w:r>
          </w:p>
        </w:tc>
        <w:tc>
          <w:tcPr>
            <w:tcW w:w="736" w:type="pct"/>
            <w:shd w:val="clear" w:color="auto" w:fill="D9D9D9" w:themeFill="background1" w:themeFillShade="D9"/>
          </w:tcPr>
          <w:p w:rsidR="007F0964" w:rsidRPr="00796FB8" w:rsidRDefault="007F0964" w:rsidP="00BF3C38">
            <w:pPr>
              <w:jc w:val="center"/>
              <w:rPr>
                <w:rFonts w:ascii="Arial Narrow" w:hAnsi="Arial Narrow" w:cs="Calibri"/>
                <w:b/>
                <w:bCs/>
                <w:sz w:val="20"/>
                <w:szCs w:val="20"/>
                <w:lang w:val="en-AU"/>
              </w:rPr>
            </w:pPr>
            <w:r w:rsidRPr="00796FB8">
              <w:rPr>
                <w:rFonts w:ascii="Arial Narrow" w:hAnsi="Arial Narrow"/>
                <w:b/>
                <w:bCs/>
                <w:sz w:val="20"/>
                <w:szCs w:val="20"/>
                <w:lang w:val="en-AU"/>
              </w:rPr>
              <w:t>Study 304</w:t>
            </w:r>
          </w:p>
        </w:tc>
        <w:tc>
          <w:tcPr>
            <w:tcW w:w="665" w:type="pct"/>
            <w:shd w:val="clear" w:color="auto" w:fill="D9D9D9" w:themeFill="background1" w:themeFillShade="D9"/>
          </w:tcPr>
          <w:p w:rsidR="007F0964" w:rsidRPr="00796FB8" w:rsidRDefault="007F0964" w:rsidP="00BF3C38">
            <w:pPr>
              <w:jc w:val="center"/>
              <w:rPr>
                <w:rFonts w:ascii="Arial Narrow" w:hAnsi="Arial Narrow" w:cs="Calibri"/>
                <w:b/>
                <w:bCs/>
                <w:sz w:val="20"/>
                <w:szCs w:val="20"/>
                <w:lang w:val="en-AU"/>
              </w:rPr>
            </w:pPr>
            <w:r w:rsidRPr="00796FB8">
              <w:rPr>
                <w:rFonts w:ascii="Arial Narrow" w:hAnsi="Arial Narrow" w:cs="Calibri"/>
                <w:b/>
                <w:bCs/>
                <w:sz w:val="20"/>
                <w:szCs w:val="20"/>
                <w:lang w:val="en-AU"/>
              </w:rPr>
              <w:t>Ben-M</w:t>
            </w:r>
          </w:p>
        </w:tc>
        <w:tc>
          <w:tcPr>
            <w:tcW w:w="794" w:type="pct"/>
            <w:shd w:val="clear" w:color="auto" w:fill="D9D9D9" w:themeFill="background1" w:themeFillShade="D9"/>
          </w:tcPr>
          <w:p w:rsidR="007F0964" w:rsidRPr="00796FB8" w:rsidRDefault="007F0964" w:rsidP="00BF3C38">
            <w:pPr>
              <w:jc w:val="center"/>
              <w:rPr>
                <w:rFonts w:ascii="Arial Narrow" w:hAnsi="Arial Narrow" w:cs="Calibri"/>
                <w:b/>
                <w:bCs/>
                <w:sz w:val="20"/>
                <w:szCs w:val="20"/>
                <w:lang w:val="en-AU"/>
              </w:rPr>
            </w:pPr>
            <w:r w:rsidRPr="00796FB8">
              <w:rPr>
                <w:rFonts w:ascii="Arial Narrow" w:hAnsi="Arial Narrow" w:cs="Calibri"/>
                <w:b/>
                <w:bCs/>
                <w:sz w:val="20"/>
                <w:szCs w:val="20"/>
                <w:lang w:val="en-AU"/>
              </w:rPr>
              <w:t>Chung</w:t>
            </w:r>
          </w:p>
        </w:tc>
        <w:tc>
          <w:tcPr>
            <w:tcW w:w="824" w:type="pct"/>
            <w:shd w:val="clear" w:color="auto" w:fill="D9D9D9" w:themeFill="background1" w:themeFillShade="D9"/>
          </w:tcPr>
          <w:p w:rsidR="007F0964" w:rsidRPr="00796FB8" w:rsidRDefault="007F0964" w:rsidP="00BF3C38">
            <w:pPr>
              <w:jc w:val="center"/>
              <w:rPr>
                <w:rFonts w:ascii="Arial Narrow" w:hAnsi="Arial Narrow" w:cs="Calibri"/>
                <w:b/>
                <w:bCs/>
                <w:sz w:val="20"/>
                <w:szCs w:val="20"/>
                <w:lang w:val="en-AU"/>
              </w:rPr>
            </w:pPr>
            <w:r w:rsidRPr="00796FB8">
              <w:rPr>
                <w:rFonts w:ascii="Arial Narrow" w:hAnsi="Arial Narrow" w:cs="Calibri"/>
                <w:b/>
                <w:bCs/>
                <w:sz w:val="20"/>
                <w:szCs w:val="20"/>
                <w:lang w:val="en-AU"/>
              </w:rPr>
              <w:t>Halasz</w:t>
            </w:r>
          </w:p>
        </w:tc>
        <w:tc>
          <w:tcPr>
            <w:tcW w:w="748" w:type="pct"/>
            <w:shd w:val="clear" w:color="auto" w:fill="D9D9D9" w:themeFill="background1" w:themeFillShade="D9"/>
          </w:tcPr>
          <w:p w:rsidR="007F0964" w:rsidRPr="00796FB8" w:rsidRDefault="007F0964" w:rsidP="00BF3C38">
            <w:pPr>
              <w:jc w:val="center"/>
              <w:rPr>
                <w:rFonts w:ascii="Arial Narrow" w:hAnsi="Arial Narrow" w:cs="Calibri"/>
                <w:b/>
                <w:bCs/>
                <w:sz w:val="20"/>
                <w:szCs w:val="20"/>
                <w:lang w:val="en-AU"/>
              </w:rPr>
            </w:pPr>
            <w:r w:rsidRPr="00796FB8">
              <w:rPr>
                <w:rFonts w:ascii="Arial Narrow" w:hAnsi="Arial Narrow" w:cs="Calibri"/>
                <w:b/>
                <w:bCs/>
                <w:sz w:val="20"/>
                <w:szCs w:val="20"/>
                <w:lang w:val="en-AU"/>
              </w:rPr>
              <w:t>Hong</w:t>
            </w:r>
          </w:p>
        </w:tc>
      </w:tr>
      <w:tr w:rsidR="007F0964" w:rsidRPr="00796FB8" w:rsidTr="00FE31E4">
        <w:tc>
          <w:tcPr>
            <w:tcW w:w="1233" w:type="pct"/>
          </w:tcPr>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N</w:t>
            </w:r>
          </w:p>
        </w:tc>
        <w:tc>
          <w:tcPr>
            <w:tcW w:w="736"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AdvGSANS"/>
                <w:sz w:val="20"/>
                <w:szCs w:val="20"/>
                <w:lang w:val="en-AU"/>
              </w:rPr>
              <w:t>650</w:t>
            </w:r>
          </w:p>
        </w:tc>
        <w:tc>
          <w:tcPr>
            <w:tcW w:w="665"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312</w:t>
            </w:r>
          </w:p>
        </w:tc>
        <w:tc>
          <w:tcPr>
            <w:tcW w:w="79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305</w:t>
            </w:r>
          </w:p>
        </w:tc>
        <w:tc>
          <w:tcPr>
            <w:tcW w:w="82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477</w:t>
            </w:r>
          </w:p>
        </w:tc>
        <w:tc>
          <w:tcPr>
            <w:tcW w:w="748"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544 (FAS)</w:t>
            </w:r>
          </w:p>
        </w:tc>
      </w:tr>
      <w:tr w:rsidR="007F0964" w:rsidRPr="00796FB8" w:rsidTr="00FE31E4">
        <w:tc>
          <w:tcPr>
            <w:tcW w:w="5000" w:type="pct"/>
            <w:gridSpan w:val="6"/>
            <w:shd w:val="clear" w:color="auto" w:fill="D9D9D9" w:themeFill="background1" w:themeFillShade="D9"/>
          </w:tcPr>
          <w:p w:rsidR="007F0964" w:rsidRPr="00796FB8" w:rsidRDefault="007F0964" w:rsidP="00BF3C38">
            <w:pPr>
              <w:jc w:val="left"/>
              <w:rPr>
                <w:rFonts w:ascii="Arial Narrow" w:hAnsi="Arial Narrow" w:cs="Calibri"/>
                <w:b/>
                <w:bCs/>
                <w:sz w:val="20"/>
                <w:szCs w:val="20"/>
                <w:lang w:val="en-AU"/>
              </w:rPr>
            </w:pPr>
            <w:r w:rsidRPr="00796FB8">
              <w:rPr>
                <w:rFonts w:ascii="Arial Narrow" w:hAnsi="Arial Narrow" w:cs="Calibri"/>
                <w:b/>
                <w:bCs/>
                <w:sz w:val="20"/>
                <w:szCs w:val="20"/>
                <w:lang w:val="en-AU"/>
              </w:rPr>
              <w:t>Demographic baseline characteristics</w:t>
            </w:r>
          </w:p>
        </w:tc>
      </w:tr>
      <w:tr w:rsidR="007F0964" w:rsidRPr="00796FB8" w:rsidTr="00FE31E4">
        <w:tc>
          <w:tcPr>
            <w:tcW w:w="1233" w:type="pct"/>
          </w:tcPr>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Age, mean (range), years</w:t>
            </w:r>
          </w:p>
        </w:tc>
        <w:tc>
          <w:tcPr>
            <w:tcW w:w="736"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38.5 (16-71)</w:t>
            </w:r>
          </w:p>
        </w:tc>
        <w:tc>
          <w:tcPr>
            <w:tcW w:w="665"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40 (18-68)</w:t>
            </w:r>
          </w:p>
        </w:tc>
        <w:tc>
          <w:tcPr>
            <w:tcW w:w="79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38.8 (16.0-71.0)</w:t>
            </w:r>
          </w:p>
        </w:tc>
        <w:tc>
          <w:tcPr>
            <w:tcW w:w="82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37.8 (16-70)</w:t>
            </w:r>
          </w:p>
        </w:tc>
        <w:tc>
          <w:tcPr>
            <w:tcW w:w="748" w:type="pct"/>
            <w:shd w:val="clear" w:color="auto" w:fill="auto"/>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32.5</w:t>
            </w:r>
          </w:p>
        </w:tc>
      </w:tr>
      <w:tr w:rsidR="007F0964" w:rsidRPr="00796FB8" w:rsidTr="00FE31E4">
        <w:tc>
          <w:tcPr>
            <w:tcW w:w="5000" w:type="pct"/>
            <w:gridSpan w:val="6"/>
            <w:shd w:val="clear" w:color="auto" w:fill="D9D9D9" w:themeFill="background1" w:themeFillShade="D9"/>
          </w:tcPr>
          <w:p w:rsidR="007F0964" w:rsidRPr="00796FB8" w:rsidRDefault="007F0964" w:rsidP="00BF3C38">
            <w:pPr>
              <w:jc w:val="left"/>
              <w:rPr>
                <w:rFonts w:ascii="Arial Narrow" w:hAnsi="Arial Narrow" w:cs="Calibri"/>
                <w:b/>
                <w:bCs/>
                <w:sz w:val="20"/>
                <w:szCs w:val="20"/>
                <w:lang w:val="en-AU"/>
              </w:rPr>
            </w:pPr>
            <w:r w:rsidRPr="00796FB8">
              <w:rPr>
                <w:rFonts w:ascii="Arial Narrow" w:hAnsi="Arial Narrow" w:cs="Calibri"/>
                <w:b/>
                <w:bCs/>
                <w:sz w:val="20"/>
                <w:szCs w:val="20"/>
                <w:lang w:val="en-AU"/>
              </w:rPr>
              <w:t>Seizure Type at baseline, n (%)</w:t>
            </w:r>
            <w:r w:rsidR="005B097B" w:rsidRPr="00796FB8">
              <w:rPr>
                <w:rFonts w:ascii="Arial Narrow" w:hAnsi="Arial Narrow" w:cs="Calibri"/>
                <w:b/>
                <w:bCs/>
                <w:sz w:val="20"/>
                <w:szCs w:val="20"/>
                <w:vertAlign w:val="superscript"/>
                <w:lang w:val="en-AU"/>
              </w:rPr>
              <w:t>a</w:t>
            </w:r>
          </w:p>
        </w:tc>
      </w:tr>
      <w:tr w:rsidR="007F0964" w:rsidRPr="00796FB8" w:rsidTr="00FE31E4">
        <w:tc>
          <w:tcPr>
            <w:tcW w:w="1233" w:type="pct"/>
          </w:tcPr>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Simple partial</w:t>
            </w:r>
          </w:p>
        </w:tc>
        <w:tc>
          <w:tcPr>
            <w:tcW w:w="736"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231 (35.5)</w:t>
            </w:r>
          </w:p>
        </w:tc>
        <w:tc>
          <w:tcPr>
            <w:tcW w:w="665"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122 (39)</w:t>
            </w:r>
          </w:p>
        </w:tc>
        <w:tc>
          <w:tcPr>
            <w:tcW w:w="79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114 (37)</w:t>
            </w:r>
          </w:p>
        </w:tc>
        <w:tc>
          <w:tcPr>
            <w:tcW w:w="82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186 (38)</w:t>
            </w:r>
          </w:p>
        </w:tc>
        <w:tc>
          <w:tcPr>
            <w:tcW w:w="748" w:type="pct"/>
            <w:shd w:val="clear" w:color="auto" w:fill="auto"/>
          </w:tcPr>
          <w:p w:rsidR="007F0964" w:rsidRPr="00796FB8" w:rsidRDefault="007F0964" w:rsidP="00BF3C38">
            <w:pPr>
              <w:jc w:val="center"/>
              <w:rPr>
                <w:rFonts w:ascii="Arial Narrow" w:hAnsi="Arial Narrow" w:cs="Calibri"/>
                <w:sz w:val="20"/>
                <w:szCs w:val="20"/>
                <w:vertAlign w:val="superscript"/>
                <w:lang w:val="en-AU"/>
              </w:rPr>
            </w:pPr>
            <w:r w:rsidRPr="00796FB8">
              <w:rPr>
                <w:rFonts w:ascii="Arial Narrow" w:hAnsi="Arial Narrow" w:cs="Calibri"/>
                <w:sz w:val="20"/>
                <w:szCs w:val="20"/>
                <w:lang w:val="en-AU"/>
              </w:rPr>
              <w:t>185 (34)</w:t>
            </w:r>
          </w:p>
        </w:tc>
      </w:tr>
      <w:tr w:rsidR="007F0964" w:rsidRPr="00796FB8" w:rsidTr="00FE31E4">
        <w:tc>
          <w:tcPr>
            <w:tcW w:w="1233" w:type="pct"/>
          </w:tcPr>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Complex partial</w:t>
            </w:r>
          </w:p>
        </w:tc>
        <w:tc>
          <w:tcPr>
            <w:tcW w:w="736"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515 (79.2)</w:t>
            </w:r>
          </w:p>
        </w:tc>
        <w:tc>
          <w:tcPr>
            <w:tcW w:w="665"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278 (89)</w:t>
            </w:r>
          </w:p>
        </w:tc>
        <w:tc>
          <w:tcPr>
            <w:tcW w:w="79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256 (84)</w:t>
            </w:r>
          </w:p>
        </w:tc>
        <w:tc>
          <w:tcPr>
            <w:tcW w:w="82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426 (88)</w:t>
            </w:r>
          </w:p>
        </w:tc>
        <w:tc>
          <w:tcPr>
            <w:tcW w:w="748" w:type="pct"/>
            <w:shd w:val="clear" w:color="auto" w:fill="auto"/>
          </w:tcPr>
          <w:p w:rsidR="007F0964" w:rsidRPr="00796FB8" w:rsidRDefault="007F0964" w:rsidP="00BF3C38">
            <w:pPr>
              <w:jc w:val="center"/>
              <w:rPr>
                <w:rFonts w:ascii="Arial Narrow" w:hAnsi="Arial Narrow" w:cs="Calibri"/>
                <w:sz w:val="20"/>
                <w:szCs w:val="20"/>
                <w:vertAlign w:val="superscript"/>
                <w:lang w:val="en-AU"/>
              </w:rPr>
            </w:pPr>
            <w:r w:rsidRPr="00796FB8">
              <w:rPr>
                <w:rFonts w:ascii="Arial Narrow" w:hAnsi="Arial Narrow" w:cs="Calibri"/>
                <w:sz w:val="20"/>
                <w:szCs w:val="20"/>
                <w:lang w:val="en-AU"/>
              </w:rPr>
              <w:t>525 (96)</w:t>
            </w:r>
          </w:p>
        </w:tc>
      </w:tr>
      <w:tr w:rsidR="007F0964" w:rsidRPr="00796FB8" w:rsidTr="00FE31E4">
        <w:tc>
          <w:tcPr>
            <w:tcW w:w="1233" w:type="pct"/>
          </w:tcPr>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Partial-onset with secondary generalisation</w:t>
            </w:r>
          </w:p>
        </w:tc>
        <w:tc>
          <w:tcPr>
            <w:tcW w:w="736"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179 (27.5)</w:t>
            </w:r>
          </w:p>
        </w:tc>
        <w:tc>
          <w:tcPr>
            <w:tcW w:w="665"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229 (73)</w:t>
            </w:r>
          </w:p>
        </w:tc>
        <w:tc>
          <w:tcPr>
            <w:tcW w:w="79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129 (42)</w:t>
            </w:r>
          </w:p>
        </w:tc>
        <w:tc>
          <w:tcPr>
            <w:tcW w:w="82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382 (79)</w:t>
            </w:r>
          </w:p>
        </w:tc>
        <w:tc>
          <w:tcPr>
            <w:tcW w:w="748" w:type="pct"/>
            <w:shd w:val="clear" w:color="auto" w:fill="auto"/>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350 (64)</w:t>
            </w:r>
          </w:p>
        </w:tc>
      </w:tr>
      <w:tr w:rsidR="007F0964" w:rsidRPr="00796FB8" w:rsidTr="00FE31E4">
        <w:tc>
          <w:tcPr>
            <w:tcW w:w="5000" w:type="pct"/>
            <w:gridSpan w:val="6"/>
            <w:shd w:val="clear" w:color="auto" w:fill="D9D9D9" w:themeFill="background1" w:themeFillShade="D9"/>
          </w:tcPr>
          <w:p w:rsidR="007F0964" w:rsidRPr="00796FB8" w:rsidRDefault="007F0964" w:rsidP="00BF3C38">
            <w:pPr>
              <w:jc w:val="left"/>
              <w:rPr>
                <w:rFonts w:ascii="Arial Narrow" w:hAnsi="Arial Narrow" w:cs="Calibri"/>
                <w:b/>
                <w:bCs/>
                <w:sz w:val="20"/>
                <w:szCs w:val="20"/>
                <w:lang w:val="en-AU"/>
              </w:rPr>
            </w:pPr>
            <w:r w:rsidRPr="00796FB8">
              <w:rPr>
                <w:rFonts w:ascii="Arial Narrow" w:hAnsi="Arial Narrow" w:cs="Calibri"/>
                <w:b/>
                <w:bCs/>
                <w:sz w:val="20"/>
                <w:szCs w:val="20"/>
                <w:lang w:val="en-AU"/>
              </w:rPr>
              <w:t>Other disease characteristics</w:t>
            </w:r>
          </w:p>
        </w:tc>
      </w:tr>
      <w:tr w:rsidR="007F0964" w:rsidRPr="00796FB8" w:rsidTr="00FE31E4">
        <w:tc>
          <w:tcPr>
            <w:tcW w:w="1233" w:type="pct"/>
          </w:tcPr>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Disease duration, years</w:t>
            </w:r>
          </w:p>
        </w:tc>
        <w:tc>
          <w:tcPr>
            <w:tcW w:w="736"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21.4</w:t>
            </w:r>
          </w:p>
        </w:tc>
        <w:tc>
          <w:tcPr>
            <w:tcW w:w="665"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24.5</w:t>
            </w:r>
            <w:r w:rsidR="005B097B" w:rsidRPr="00796FB8">
              <w:rPr>
                <w:rFonts w:ascii="Arial Narrow" w:hAnsi="Arial Narrow" w:cs="Calibri"/>
                <w:sz w:val="20"/>
                <w:szCs w:val="20"/>
                <w:vertAlign w:val="superscript"/>
                <w:lang w:val="en-AU"/>
              </w:rPr>
              <w:t>c</w:t>
            </w:r>
          </w:p>
        </w:tc>
        <w:tc>
          <w:tcPr>
            <w:tcW w:w="79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24.8</w:t>
            </w:r>
          </w:p>
        </w:tc>
        <w:tc>
          <w:tcPr>
            <w:tcW w:w="82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22</w:t>
            </w:r>
          </w:p>
        </w:tc>
        <w:tc>
          <w:tcPr>
            <w:tcW w:w="748" w:type="pct"/>
            <w:shd w:val="clear" w:color="auto" w:fill="auto"/>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17.7</w:t>
            </w:r>
          </w:p>
        </w:tc>
      </w:tr>
      <w:tr w:rsidR="007F0964" w:rsidRPr="00796FB8" w:rsidTr="00FE31E4">
        <w:tc>
          <w:tcPr>
            <w:tcW w:w="1233" w:type="pct"/>
          </w:tcPr>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Mean seizure frequency in the 4 weeks prior</w:t>
            </w:r>
          </w:p>
        </w:tc>
        <w:tc>
          <w:tcPr>
            <w:tcW w:w="736"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17.9</w:t>
            </w:r>
          </w:p>
        </w:tc>
        <w:tc>
          <w:tcPr>
            <w:tcW w:w="665"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11-13</w:t>
            </w:r>
            <w:r w:rsidR="005B097B" w:rsidRPr="00796FB8">
              <w:rPr>
                <w:rFonts w:ascii="Arial Narrow" w:hAnsi="Arial Narrow" w:cs="Calibri"/>
                <w:sz w:val="20"/>
                <w:szCs w:val="20"/>
                <w:vertAlign w:val="superscript"/>
                <w:lang w:val="en-AU"/>
              </w:rPr>
              <w:t>c</w:t>
            </w:r>
          </w:p>
        </w:tc>
        <w:tc>
          <w:tcPr>
            <w:tcW w:w="79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12.7</w:t>
            </w:r>
            <w:r w:rsidR="005B097B" w:rsidRPr="00796FB8">
              <w:rPr>
                <w:rFonts w:ascii="Arial Narrow" w:hAnsi="Arial Narrow"/>
                <w:sz w:val="20"/>
                <w:szCs w:val="20"/>
                <w:vertAlign w:val="superscript"/>
                <w:lang w:val="en-AU"/>
              </w:rPr>
              <w:t>b</w:t>
            </w:r>
          </w:p>
        </w:tc>
        <w:tc>
          <w:tcPr>
            <w:tcW w:w="824"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10.6</w:t>
            </w:r>
            <w:r w:rsidR="005B097B" w:rsidRPr="00796FB8">
              <w:rPr>
                <w:rFonts w:ascii="Arial Narrow" w:hAnsi="Arial Narrow"/>
                <w:sz w:val="20"/>
                <w:szCs w:val="20"/>
                <w:vertAlign w:val="superscript"/>
                <w:lang w:val="en-AU"/>
              </w:rPr>
              <w:t>b</w:t>
            </w:r>
          </w:p>
        </w:tc>
        <w:tc>
          <w:tcPr>
            <w:tcW w:w="748" w:type="pct"/>
            <w:shd w:val="clear" w:color="auto" w:fill="auto"/>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10.5</w:t>
            </w:r>
            <w:r w:rsidR="005B097B" w:rsidRPr="00796FB8">
              <w:rPr>
                <w:rFonts w:ascii="Arial Narrow" w:hAnsi="Arial Narrow"/>
                <w:sz w:val="20"/>
                <w:szCs w:val="20"/>
                <w:vertAlign w:val="superscript"/>
                <w:lang w:val="en-AU"/>
              </w:rPr>
              <w:t>b</w:t>
            </w:r>
          </w:p>
        </w:tc>
      </w:tr>
      <w:tr w:rsidR="007F0964" w:rsidRPr="00796FB8" w:rsidTr="00FE31E4">
        <w:tc>
          <w:tcPr>
            <w:tcW w:w="1233" w:type="pct"/>
            <w:shd w:val="clear" w:color="auto" w:fill="D9D9D9" w:themeFill="background1" w:themeFillShade="D9"/>
          </w:tcPr>
          <w:p w:rsidR="007F0964" w:rsidRPr="00796FB8" w:rsidRDefault="007F0964" w:rsidP="00BF3C38">
            <w:pPr>
              <w:jc w:val="left"/>
              <w:rPr>
                <w:rFonts w:ascii="Arial Narrow" w:hAnsi="Arial Narrow" w:cs="Calibri"/>
                <w:b/>
                <w:bCs/>
                <w:sz w:val="20"/>
                <w:szCs w:val="20"/>
                <w:lang w:val="en-AU"/>
              </w:rPr>
            </w:pPr>
            <w:r w:rsidRPr="00796FB8">
              <w:rPr>
                <w:rFonts w:ascii="Arial Narrow" w:hAnsi="Arial Narrow" w:cs="Calibri"/>
                <w:b/>
                <w:bCs/>
                <w:sz w:val="20"/>
                <w:szCs w:val="20"/>
                <w:lang w:val="en-AU"/>
              </w:rPr>
              <w:t xml:space="preserve">PRIOR AED </w:t>
            </w:r>
          </w:p>
        </w:tc>
        <w:tc>
          <w:tcPr>
            <w:tcW w:w="736" w:type="pct"/>
            <w:shd w:val="clear" w:color="auto" w:fill="D9D9D9" w:themeFill="background1" w:themeFillShade="D9"/>
          </w:tcPr>
          <w:p w:rsidR="007F0964" w:rsidRPr="00796FB8" w:rsidRDefault="00845125" w:rsidP="00BF3C38">
            <w:pPr>
              <w:jc w:val="center"/>
              <w:rPr>
                <w:rFonts w:ascii="Arial Narrow" w:hAnsi="Arial Narrow" w:cs="Calibri"/>
                <w:b/>
                <w:bCs/>
                <w:sz w:val="20"/>
                <w:szCs w:val="20"/>
                <w:lang w:val="en-AU"/>
              </w:rPr>
            </w:pPr>
            <w:r>
              <w:rPr>
                <w:rFonts w:ascii="Arial Narrow" w:hAnsi="Arial Narrow" w:cs="Calibri"/>
                <w:b/>
                <w:bCs/>
                <w:sz w:val="20"/>
                <w:szCs w:val="20"/>
                <w:lang w:val="en-AU"/>
              </w:rPr>
              <w:t>(mean</w:t>
            </w:r>
            <w:r w:rsidR="007F0964" w:rsidRPr="00796FB8">
              <w:rPr>
                <w:rFonts w:ascii="Arial Narrow" w:hAnsi="Arial Narrow" w:cs="Calibri"/>
                <w:b/>
                <w:bCs/>
                <w:sz w:val="20"/>
                <w:szCs w:val="20"/>
                <w:lang w:val="en-AU"/>
              </w:rPr>
              <w:t>)</w:t>
            </w:r>
          </w:p>
        </w:tc>
        <w:tc>
          <w:tcPr>
            <w:tcW w:w="3031" w:type="pct"/>
            <w:gridSpan w:val="4"/>
            <w:shd w:val="clear" w:color="auto" w:fill="D9D9D9" w:themeFill="background1" w:themeFillShade="D9"/>
          </w:tcPr>
          <w:p w:rsidR="007F0964" w:rsidRPr="00796FB8" w:rsidRDefault="007F0964" w:rsidP="00BF3C38">
            <w:pPr>
              <w:jc w:val="center"/>
              <w:rPr>
                <w:rFonts w:ascii="Arial Narrow" w:hAnsi="Arial Narrow" w:cs="Calibri"/>
                <w:b/>
                <w:bCs/>
                <w:sz w:val="20"/>
                <w:szCs w:val="20"/>
                <w:lang w:val="en-AU"/>
              </w:rPr>
            </w:pPr>
            <w:r w:rsidRPr="00796FB8">
              <w:rPr>
                <w:rFonts w:ascii="Arial Narrow" w:hAnsi="Arial Narrow" w:cs="Calibri"/>
                <w:b/>
                <w:bCs/>
                <w:sz w:val="20"/>
                <w:szCs w:val="20"/>
                <w:lang w:val="en-AU"/>
              </w:rPr>
              <w:t>Number of AEDS: n (%)</w:t>
            </w:r>
          </w:p>
        </w:tc>
      </w:tr>
      <w:tr w:rsidR="007F0964" w:rsidRPr="00796FB8" w:rsidTr="00FE31E4">
        <w:tc>
          <w:tcPr>
            <w:tcW w:w="1233" w:type="pct"/>
          </w:tcPr>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Mean</w:t>
            </w:r>
          </w:p>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Range</w:t>
            </w:r>
          </w:p>
          <w:p w:rsidR="007F0964" w:rsidRPr="00796FB8" w:rsidRDefault="001D1E1E"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w:t>
            </w:r>
            <w:r w:rsidR="007F0964" w:rsidRPr="00796FB8">
              <w:rPr>
                <w:rFonts w:ascii="Arial Narrow" w:hAnsi="Arial Narrow" w:cs="Calibri"/>
                <w:bCs/>
                <w:sz w:val="20"/>
                <w:szCs w:val="20"/>
                <w:lang w:val="en-AU"/>
              </w:rPr>
              <w:t>25</w:t>
            </w:r>
            <w:r w:rsidR="007F0964" w:rsidRPr="00796FB8">
              <w:rPr>
                <w:rFonts w:ascii="Arial Narrow" w:hAnsi="Arial Narrow" w:cs="Calibri"/>
                <w:bCs/>
                <w:sz w:val="20"/>
                <w:szCs w:val="20"/>
                <w:vertAlign w:val="superscript"/>
                <w:lang w:val="en-AU"/>
              </w:rPr>
              <w:t>th</w:t>
            </w:r>
            <w:r w:rsidR="007F0964" w:rsidRPr="00796FB8">
              <w:rPr>
                <w:rFonts w:ascii="Arial Narrow" w:hAnsi="Arial Narrow" w:cs="Calibri"/>
                <w:bCs/>
                <w:sz w:val="20"/>
                <w:szCs w:val="20"/>
                <w:lang w:val="en-AU"/>
              </w:rPr>
              <w:t>-75</w:t>
            </w:r>
            <w:r w:rsidR="007F0964" w:rsidRPr="00796FB8">
              <w:rPr>
                <w:rFonts w:ascii="Arial Narrow" w:hAnsi="Arial Narrow" w:cs="Calibri"/>
                <w:bCs/>
                <w:sz w:val="20"/>
                <w:szCs w:val="20"/>
                <w:vertAlign w:val="superscript"/>
                <w:lang w:val="en-AU"/>
              </w:rPr>
              <w:t>th</w:t>
            </w:r>
            <w:r w:rsidR="007F0964" w:rsidRPr="00796FB8">
              <w:rPr>
                <w:rFonts w:ascii="Arial Narrow" w:hAnsi="Arial Narrow" w:cs="Calibri"/>
                <w:bCs/>
                <w:sz w:val="20"/>
                <w:szCs w:val="20"/>
                <w:lang w:val="en-AU"/>
              </w:rPr>
              <w:t xml:space="preserve"> percentiles)</w:t>
            </w:r>
          </w:p>
          <w:p w:rsidR="007F0964" w:rsidRPr="00796FB8" w:rsidRDefault="007F0964" w:rsidP="00BF3C38">
            <w:pPr>
              <w:jc w:val="left"/>
              <w:rPr>
                <w:rFonts w:ascii="Arial Narrow" w:hAnsi="Arial Narrow" w:cs="Calibri"/>
                <w:bCs/>
                <w:sz w:val="20"/>
                <w:szCs w:val="20"/>
                <w:lang w:val="en-AU"/>
              </w:rPr>
            </w:pPr>
          </w:p>
        </w:tc>
        <w:tc>
          <w:tcPr>
            <w:tcW w:w="736"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5.7</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1-22</w:t>
            </w:r>
          </w:p>
          <w:p w:rsidR="007F0964" w:rsidRPr="00796FB8" w:rsidRDefault="00845125" w:rsidP="00BF3C38">
            <w:pPr>
              <w:jc w:val="center"/>
              <w:rPr>
                <w:rFonts w:ascii="Arial Narrow" w:hAnsi="Arial Narrow" w:cs="Calibri"/>
                <w:sz w:val="20"/>
                <w:szCs w:val="20"/>
                <w:lang w:val="en-AU"/>
              </w:rPr>
            </w:pPr>
            <w:r>
              <w:rPr>
                <w:rFonts w:ascii="Arial Narrow" w:hAnsi="Arial Narrow" w:cs="Calibri"/>
                <w:sz w:val="20"/>
                <w:szCs w:val="20"/>
                <w:lang w:val="en-AU"/>
              </w:rPr>
              <w:t>(3-8)</w:t>
            </w:r>
          </w:p>
        </w:tc>
        <w:tc>
          <w:tcPr>
            <w:tcW w:w="665" w:type="pct"/>
          </w:tcPr>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Approx. 50% had tried ≥ 7 AEDs in their lifetime</w:t>
            </w:r>
          </w:p>
        </w:tc>
        <w:tc>
          <w:tcPr>
            <w:tcW w:w="794" w:type="pct"/>
          </w:tcPr>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1-3: 54 (17.7)</w:t>
            </w:r>
          </w:p>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4-6: 108 (32.8)</w:t>
            </w:r>
          </w:p>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≥7: 146 (47.9)</w:t>
            </w:r>
          </w:p>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NR: 5 (1.6)</w:t>
            </w:r>
          </w:p>
        </w:tc>
        <w:tc>
          <w:tcPr>
            <w:tcW w:w="824" w:type="pct"/>
          </w:tcPr>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1-3: 142 (29.8)</w:t>
            </w:r>
          </w:p>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4-6: 156 (32.7)</w:t>
            </w:r>
          </w:p>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≥7: 174 (36.5)</w:t>
            </w:r>
          </w:p>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NR:</w:t>
            </w:r>
            <w:r w:rsidRPr="00796FB8">
              <w:rPr>
                <w:rFonts w:ascii="Arial Narrow" w:hAnsi="Arial Narrow"/>
                <w:sz w:val="20"/>
                <w:szCs w:val="20"/>
                <w:lang w:val="en-AU"/>
              </w:rPr>
              <w:t xml:space="preserve"> </w:t>
            </w:r>
            <w:r w:rsidRPr="00796FB8">
              <w:rPr>
                <w:rFonts w:ascii="Arial Narrow" w:hAnsi="Arial Narrow" w:cs="Calibri"/>
                <w:sz w:val="20"/>
                <w:szCs w:val="20"/>
                <w:lang w:val="en-AU"/>
              </w:rPr>
              <w:t>5 (1.0)</w:t>
            </w:r>
          </w:p>
        </w:tc>
        <w:tc>
          <w:tcPr>
            <w:tcW w:w="748" w:type="pct"/>
            <w:shd w:val="clear" w:color="auto" w:fill="auto"/>
          </w:tcPr>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0: 40 (7.4)</w:t>
            </w:r>
          </w:p>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1: 89 (16.4)</w:t>
            </w:r>
          </w:p>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2: 119 (21.9)</w:t>
            </w:r>
          </w:p>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3: 104 (19.1)</w:t>
            </w:r>
          </w:p>
          <w:p w:rsidR="007F0964" w:rsidRPr="00796FB8" w:rsidRDefault="007F0964" w:rsidP="00BF3C38">
            <w:pPr>
              <w:jc w:val="left"/>
              <w:rPr>
                <w:rFonts w:ascii="Arial Narrow" w:hAnsi="Arial Narrow" w:cs="Calibri"/>
                <w:sz w:val="20"/>
                <w:szCs w:val="20"/>
                <w:lang w:val="en-AU"/>
              </w:rPr>
            </w:pPr>
            <w:r w:rsidRPr="00796FB8">
              <w:rPr>
                <w:rFonts w:ascii="Arial Narrow" w:hAnsi="Arial Narrow" w:cs="Calibri"/>
                <w:sz w:val="20"/>
                <w:szCs w:val="20"/>
                <w:lang w:val="en-AU"/>
              </w:rPr>
              <w:t>≥4: 192 (35.3)</w:t>
            </w:r>
          </w:p>
        </w:tc>
      </w:tr>
      <w:tr w:rsidR="007F0964" w:rsidRPr="00796FB8" w:rsidTr="00FE31E4">
        <w:tc>
          <w:tcPr>
            <w:tcW w:w="1233" w:type="pct"/>
          </w:tcPr>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Concomitant AEDs use (%):</w:t>
            </w:r>
          </w:p>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Carbamazepine</w:t>
            </w:r>
          </w:p>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Valproate</w:t>
            </w:r>
          </w:p>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Levetiracetam</w:t>
            </w:r>
          </w:p>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Lamotrigine</w:t>
            </w:r>
          </w:p>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Oxcarbazepine</w:t>
            </w:r>
          </w:p>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Topiramate</w:t>
            </w:r>
          </w:p>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Zonisamide</w:t>
            </w:r>
          </w:p>
        </w:tc>
        <w:tc>
          <w:tcPr>
            <w:tcW w:w="736" w:type="pct"/>
          </w:tcPr>
          <w:p w:rsidR="007F0964" w:rsidRPr="00796FB8" w:rsidRDefault="007F0964" w:rsidP="00BF3C38">
            <w:pPr>
              <w:jc w:val="center"/>
              <w:rPr>
                <w:rFonts w:ascii="Arial Narrow" w:hAnsi="Arial Narrow" w:cs="Calibri"/>
                <w:sz w:val="20"/>
                <w:szCs w:val="20"/>
                <w:lang w:val="en-AU"/>
              </w:rPr>
            </w:pPr>
          </w:p>
          <w:p w:rsidR="001D1E1E" w:rsidRPr="00796FB8" w:rsidRDefault="001D1E1E"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34.9%</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18.5%</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24.4%</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22.9%</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w:t>
            </w:r>
          </w:p>
        </w:tc>
        <w:tc>
          <w:tcPr>
            <w:tcW w:w="665" w:type="pct"/>
          </w:tcPr>
          <w:p w:rsidR="001D1E1E" w:rsidRPr="00796FB8" w:rsidRDefault="001D1E1E" w:rsidP="00BF3C38">
            <w:pPr>
              <w:rPr>
                <w:rFonts w:ascii="Arial Narrow" w:hAnsi="Arial Narrow" w:cs="Calibri"/>
                <w:sz w:val="20"/>
                <w:szCs w:val="20"/>
                <w:lang w:val="en-AU"/>
              </w:rPr>
            </w:pPr>
          </w:p>
          <w:p w:rsidR="001D1E1E" w:rsidRPr="00796FB8" w:rsidRDefault="001D1E1E" w:rsidP="00BF3C38">
            <w:pP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NR</w:t>
            </w:r>
          </w:p>
        </w:tc>
        <w:tc>
          <w:tcPr>
            <w:tcW w:w="794" w:type="pct"/>
          </w:tcPr>
          <w:p w:rsidR="007F0964" w:rsidRPr="00796FB8" w:rsidRDefault="007F0964" w:rsidP="00BF3C38">
            <w:pPr>
              <w:jc w:val="center"/>
              <w:rPr>
                <w:rFonts w:ascii="Arial Narrow" w:hAnsi="Arial Narrow" w:cs="Calibri"/>
                <w:sz w:val="20"/>
                <w:szCs w:val="20"/>
                <w:lang w:val="en-AU"/>
              </w:rPr>
            </w:pPr>
          </w:p>
          <w:p w:rsidR="001D1E1E" w:rsidRPr="00796FB8" w:rsidRDefault="001D1E1E"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24.9%</w:t>
            </w:r>
            <w:r w:rsidR="005B097B" w:rsidRPr="00796FB8">
              <w:rPr>
                <w:rFonts w:ascii="Arial Narrow" w:hAnsi="Arial Narrow" w:cs="Calibri"/>
                <w:sz w:val="20"/>
                <w:szCs w:val="20"/>
                <w:vertAlign w:val="superscript"/>
                <w:lang w:val="en-AU"/>
              </w:rPr>
              <w:t>c</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16.9%</w:t>
            </w:r>
            <w:r w:rsidR="005B097B" w:rsidRPr="00796FB8">
              <w:rPr>
                <w:rFonts w:ascii="Arial Narrow" w:hAnsi="Arial Narrow" w:cs="Calibri"/>
                <w:sz w:val="20"/>
                <w:szCs w:val="20"/>
                <w:vertAlign w:val="superscript"/>
                <w:lang w:val="en-AU"/>
              </w:rPr>
              <w:t>c</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39.1%</w:t>
            </w:r>
            <w:r w:rsidR="005B097B" w:rsidRPr="00796FB8">
              <w:rPr>
                <w:rFonts w:ascii="Arial Narrow" w:hAnsi="Arial Narrow" w:cs="Calibri"/>
                <w:sz w:val="20"/>
                <w:szCs w:val="20"/>
                <w:vertAlign w:val="superscript"/>
                <w:lang w:val="en-AU"/>
              </w:rPr>
              <w:t>c</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36.1%</w:t>
            </w:r>
            <w:r w:rsidR="005B097B" w:rsidRPr="00796FB8">
              <w:rPr>
                <w:rFonts w:ascii="Arial Narrow" w:hAnsi="Arial Narrow" w:cs="Calibri"/>
                <w:sz w:val="20"/>
                <w:szCs w:val="20"/>
                <w:vertAlign w:val="superscript"/>
                <w:lang w:val="en-AU"/>
              </w:rPr>
              <w:t>c</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21.4%</w:t>
            </w:r>
            <w:r w:rsidR="005B097B" w:rsidRPr="00796FB8">
              <w:rPr>
                <w:rFonts w:ascii="Arial Narrow" w:hAnsi="Arial Narrow" w:cs="Calibri"/>
                <w:sz w:val="20"/>
                <w:szCs w:val="20"/>
                <w:vertAlign w:val="superscript"/>
                <w:lang w:val="en-AU"/>
              </w:rPr>
              <w:t>c</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18.2%</w:t>
            </w:r>
            <w:r w:rsidR="005B097B" w:rsidRPr="00796FB8">
              <w:rPr>
                <w:rFonts w:ascii="Arial Narrow" w:hAnsi="Arial Narrow" w:cs="Calibri"/>
                <w:sz w:val="20"/>
                <w:szCs w:val="20"/>
                <w:vertAlign w:val="superscript"/>
                <w:lang w:val="en-AU"/>
              </w:rPr>
              <w:t>c</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14.7%</w:t>
            </w:r>
            <w:r w:rsidR="005B097B" w:rsidRPr="00796FB8">
              <w:rPr>
                <w:rFonts w:ascii="Arial Narrow" w:hAnsi="Arial Narrow" w:cs="Calibri"/>
                <w:sz w:val="20"/>
                <w:szCs w:val="20"/>
                <w:vertAlign w:val="superscript"/>
                <w:lang w:val="en-AU"/>
              </w:rPr>
              <w:t>c</w:t>
            </w:r>
          </w:p>
        </w:tc>
        <w:tc>
          <w:tcPr>
            <w:tcW w:w="824" w:type="pct"/>
          </w:tcPr>
          <w:p w:rsidR="007F0964" w:rsidRPr="00796FB8" w:rsidRDefault="007F0964" w:rsidP="00BF3C38">
            <w:pPr>
              <w:jc w:val="center"/>
              <w:rPr>
                <w:rFonts w:ascii="Arial Narrow" w:hAnsi="Arial Narrow" w:cs="Calibri"/>
                <w:sz w:val="20"/>
                <w:szCs w:val="20"/>
                <w:lang w:val="en-AU"/>
              </w:rPr>
            </w:pPr>
          </w:p>
          <w:p w:rsidR="001D1E1E" w:rsidRPr="00796FB8" w:rsidRDefault="001D1E1E"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47.8%</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32.8%</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19.8%</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30.5%</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NR</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28.2%</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NR</w:t>
            </w:r>
          </w:p>
        </w:tc>
        <w:tc>
          <w:tcPr>
            <w:tcW w:w="748" w:type="pct"/>
            <w:shd w:val="clear" w:color="auto" w:fill="auto"/>
          </w:tcPr>
          <w:p w:rsidR="007F0964" w:rsidRPr="00796FB8" w:rsidRDefault="007F0964" w:rsidP="00BF3C38">
            <w:pPr>
              <w:jc w:val="center"/>
              <w:rPr>
                <w:rFonts w:ascii="Arial Narrow" w:hAnsi="Arial Narrow" w:cs="Calibri"/>
                <w:sz w:val="20"/>
                <w:szCs w:val="20"/>
                <w:lang w:val="en-AU"/>
              </w:rPr>
            </w:pPr>
          </w:p>
          <w:p w:rsidR="001D1E1E" w:rsidRPr="00796FB8" w:rsidRDefault="001D1E1E"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47.6%</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45.4%</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23.9%</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21.7%</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15.8%</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15.3%</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NR</w:t>
            </w:r>
          </w:p>
        </w:tc>
      </w:tr>
      <w:tr w:rsidR="007F0964" w:rsidRPr="00796FB8" w:rsidTr="00FE31E4">
        <w:tc>
          <w:tcPr>
            <w:tcW w:w="1233" w:type="pct"/>
          </w:tcPr>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 xml:space="preserve">Total concomitant AEDs at baseline, </w:t>
            </w:r>
          </w:p>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n (%):</w:t>
            </w:r>
          </w:p>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1 AED</w:t>
            </w:r>
          </w:p>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2 AEDs</w:t>
            </w:r>
          </w:p>
          <w:p w:rsidR="007F0964" w:rsidRPr="00796FB8" w:rsidRDefault="007F0964" w:rsidP="00BF3C38">
            <w:pPr>
              <w:jc w:val="left"/>
              <w:rPr>
                <w:rFonts w:ascii="Arial Narrow" w:hAnsi="Arial Narrow" w:cs="Calibri"/>
                <w:bCs/>
                <w:sz w:val="20"/>
                <w:szCs w:val="20"/>
                <w:lang w:val="en-AU"/>
              </w:rPr>
            </w:pPr>
            <w:r w:rsidRPr="00796FB8">
              <w:rPr>
                <w:rFonts w:ascii="Arial Narrow" w:hAnsi="Arial Narrow" w:cs="Calibri"/>
                <w:bCs/>
                <w:sz w:val="20"/>
                <w:szCs w:val="20"/>
                <w:lang w:val="en-AU"/>
              </w:rPr>
              <w:t>3 AEDs</w:t>
            </w:r>
          </w:p>
        </w:tc>
        <w:tc>
          <w:tcPr>
            <w:tcW w:w="736" w:type="pct"/>
          </w:tcPr>
          <w:p w:rsidR="007F0964" w:rsidRPr="00796FB8" w:rsidRDefault="007F0964"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p>
          <w:p w:rsidR="001D1E1E" w:rsidRPr="00796FB8" w:rsidRDefault="001D1E1E"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 xml:space="preserve">183 (28.2) </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 xml:space="preserve">462 (71.1) </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 (0.2)</w:t>
            </w:r>
          </w:p>
        </w:tc>
        <w:tc>
          <w:tcPr>
            <w:tcW w:w="665" w:type="pct"/>
          </w:tcPr>
          <w:p w:rsidR="007F0964" w:rsidRPr="00796FB8" w:rsidRDefault="007F0964"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p>
          <w:p w:rsidR="001D1E1E" w:rsidRPr="00796FB8" w:rsidRDefault="001D1E1E"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16%</w:t>
            </w:r>
            <w:r w:rsidR="005B097B" w:rsidRPr="00796FB8">
              <w:rPr>
                <w:rFonts w:ascii="Arial Narrow" w:hAnsi="Arial Narrow" w:cs="Calibri"/>
                <w:sz w:val="20"/>
                <w:szCs w:val="20"/>
                <w:vertAlign w:val="superscript"/>
                <w:lang w:val="en-AU"/>
              </w:rPr>
              <w:t>c</w:t>
            </w:r>
          </w:p>
          <w:p w:rsidR="007F0964" w:rsidRPr="00796FB8" w:rsidRDefault="007F0964" w:rsidP="00BF3C38">
            <w:pPr>
              <w:jc w:val="center"/>
              <w:rPr>
                <w:rFonts w:ascii="Arial Narrow" w:hAnsi="Arial Narrow" w:cs="Calibri"/>
                <w:sz w:val="20"/>
                <w:szCs w:val="20"/>
                <w:vertAlign w:val="superscript"/>
                <w:lang w:val="en-AU"/>
              </w:rPr>
            </w:pPr>
            <w:r w:rsidRPr="00796FB8">
              <w:rPr>
                <w:rFonts w:ascii="Arial Narrow" w:hAnsi="Arial Narrow" w:cs="Calibri"/>
                <w:sz w:val="20"/>
                <w:szCs w:val="20"/>
                <w:lang w:val="en-AU"/>
              </w:rPr>
              <w:t>84%</w:t>
            </w:r>
            <w:r w:rsidR="005B097B" w:rsidRPr="00796FB8">
              <w:rPr>
                <w:rFonts w:ascii="Arial Narrow" w:hAnsi="Arial Narrow" w:cs="Calibri"/>
                <w:sz w:val="20"/>
                <w:szCs w:val="20"/>
                <w:vertAlign w:val="superscript"/>
                <w:lang w:val="en-AU"/>
              </w:rPr>
              <w:t>c</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w:t>
            </w:r>
          </w:p>
        </w:tc>
        <w:tc>
          <w:tcPr>
            <w:tcW w:w="794" w:type="pct"/>
          </w:tcPr>
          <w:p w:rsidR="007F0964" w:rsidRPr="00796FB8" w:rsidRDefault="007F0964"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p>
          <w:p w:rsidR="001D1E1E" w:rsidRPr="00796FB8" w:rsidRDefault="001D1E1E"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54 (17.7)</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164 (53.8)</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87 (28.5)</w:t>
            </w:r>
          </w:p>
        </w:tc>
        <w:tc>
          <w:tcPr>
            <w:tcW w:w="824" w:type="pct"/>
          </w:tcPr>
          <w:p w:rsidR="007F0964" w:rsidRPr="00796FB8" w:rsidRDefault="007F0964"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p>
          <w:p w:rsidR="001D1E1E" w:rsidRPr="00796FB8" w:rsidRDefault="001D1E1E"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63 (13.2)</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238 (49.9)</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176 (36.9)</w:t>
            </w:r>
          </w:p>
        </w:tc>
        <w:tc>
          <w:tcPr>
            <w:tcW w:w="748" w:type="pct"/>
            <w:shd w:val="clear" w:color="auto" w:fill="auto"/>
          </w:tcPr>
          <w:p w:rsidR="007F0964" w:rsidRPr="00796FB8" w:rsidRDefault="007F0964"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p>
          <w:p w:rsidR="001D1E1E" w:rsidRPr="00796FB8" w:rsidRDefault="001D1E1E" w:rsidP="00BF3C38">
            <w:pPr>
              <w:jc w:val="center"/>
              <w:rPr>
                <w:rFonts w:ascii="Arial Narrow" w:hAnsi="Arial Narrow" w:cs="Calibri"/>
                <w:sz w:val="20"/>
                <w:szCs w:val="20"/>
                <w:lang w:val="en-AU"/>
              </w:rPr>
            </w:pP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121 (22.2)</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231 (42.5)</w:t>
            </w:r>
          </w:p>
          <w:p w:rsidR="007F0964" w:rsidRPr="00796FB8" w:rsidRDefault="007F0964" w:rsidP="00BF3C38">
            <w:pPr>
              <w:jc w:val="center"/>
              <w:rPr>
                <w:rFonts w:ascii="Arial Narrow" w:hAnsi="Arial Narrow" w:cs="Calibri"/>
                <w:sz w:val="20"/>
                <w:szCs w:val="20"/>
                <w:lang w:val="en-AU"/>
              </w:rPr>
            </w:pPr>
            <w:r w:rsidRPr="00796FB8">
              <w:rPr>
                <w:rFonts w:ascii="Arial Narrow" w:hAnsi="Arial Narrow" w:cs="Calibri"/>
                <w:sz w:val="20"/>
                <w:szCs w:val="20"/>
                <w:lang w:val="en-AU"/>
              </w:rPr>
              <w:t>192 (35.3)</w:t>
            </w:r>
          </w:p>
        </w:tc>
      </w:tr>
    </w:tbl>
    <w:p w:rsidR="007F0964" w:rsidRPr="00796FB8" w:rsidRDefault="007F0964" w:rsidP="00BF3C38">
      <w:pPr>
        <w:pStyle w:val="TableFigureFooter"/>
        <w:rPr>
          <w:szCs w:val="18"/>
        </w:rPr>
      </w:pPr>
      <w:r w:rsidRPr="00796FB8">
        <w:rPr>
          <w:szCs w:val="18"/>
        </w:rPr>
        <w:t>Source: Data modified from Table 2-53, p 103 of the submission; additional data extracted from respective LAC study publications.</w:t>
      </w:r>
      <w:r w:rsidRPr="00796FB8">
        <w:rPr>
          <w:szCs w:val="18"/>
        </w:rPr>
        <w:br/>
        <w:t>AED = anti-epileptic drug; ESL = eslicarbazepine</w:t>
      </w:r>
      <w:r w:rsidR="00C4771F">
        <w:rPr>
          <w:szCs w:val="18"/>
        </w:rPr>
        <w:t xml:space="preserve"> </w:t>
      </w:r>
      <w:r w:rsidR="00C4771F">
        <w:t>acetate</w:t>
      </w:r>
      <w:r w:rsidRPr="00796FB8">
        <w:rPr>
          <w:szCs w:val="18"/>
        </w:rPr>
        <w:t>; FAS = full analysis set; LAC = lacosamide; NR = not reported.</w:t>
      </w:r>
    </w:p>
    <w:p w:rsidR="007F0964" w:rsidRPr="00796FB8" w:rsidRDefault="005B097B" w:rsidP="00BF3C38">
      <w:pPr>
        <w:pStyle w:val="TableFigureFooter"/>
        <w:rPr>
          <w:rFonts w:cs="Calibri"/>
          <w:szCs w:val="18"/>
        </w:rPr>
      </w:pPr>
      <w:r w:rsidRPr="00796FB8">
        <w:rPr>
          <w:rFonts w:cs="Calibri"/>
          <w:szCs w:val="18"/>
          <w:vertAlign w:val="superscript"/>
        </w:rPr>
        <w:t>a</w:t>
      </w:r>
      <w:r w:rsidR="007F0964" w:rsidRPr="00796FB8">
        <w:rPr>
          <w:rFonts w:cs="Calibri"/>
          <w:szCs w:val="18"/>
        </w:rPr>
        <w:t xml:space="preserve"> Patients could have more than one response for any seizure classification</w:t>
      </w:r>
      <w:r w:rsidR="00C07984">
        <w:rPr>
          <w:rFonts w:cs="Calibri"/>
          <w:szCs w:val="18"/>
        </w:rPr>
        <w:t>.</w:t>
      </w:r>
    </w:p>
    <w:p w:rsidR="007F0964" w:rsidRPr="00796FB8" w:rsidRDefault="005B097B" w:rsidP="00BF3C38">
      <w:pPr>
        <w:pStyle w:val="TableFigureFooter"/>
        <w:rPr>
          <w:szCs w:val="18"/>
        </w:rPr>
      </w:pPr>
      <w:r w:rsidRPr="00796FB8">
        <w:rPr>
          <w:szCs w:val="18"/>
          <w:vertAlign w:val="superscript"/>
        </w:rPr>
        <w:t>b</w:t>
      </w:r>
      <w:r w:rsidR="007F0964" w:rsidRPr="00796FB8">
        <w:rPr>
          <w:szCs w:val="18"/>
        </w:rPr>
        <w:t xml:space="preserve"> Weighted mean of median baseline seizure frequency per 28 days.</w:t>
      </w:r>
    </w:p>
    <w:p w:rsidR="007F0964" w:rsidRPr="00796FB8" w:rsidRDefault="005B097B" w:rsidP="00BF3C38">
      <w:pPr>
        <w:pStyle w:val="TableFigureFooter"/>
        <w:rPr>
          <w:rFonts w:cs="Calibri"/>
          <w:szCs w:val="18"/>
        </w:rPr>
      </w:pPr>
      <w:r w:rsidRPr="00796FB8">
        <w:rPr>
          <w:rFonts w:cs="Calibri"/>
          <w:szCs w:val="18"/>
          <w:vertAlign w:val="superscript"/>
        </w:rPr>
        <w:t>c</w:t>
      </w:r>
      <w:r w:rsidR="007F0964" w:rsidRPr="00796FB8">
        <w:rPr>
          <w:rFonts w:cs="Calibri"/>
          <w:szCs w:val="18"/>
        </w:rPr>
        <w:t xml:space="preserve"> Pooled data which included the LAC 600</w:t>
      </w:r>
      <w:r w:rsidR="000838B7" w:rsidRPr="00796FB8">
        <w:rPr>
          <w:rFonts w:cs="Calibri"/>
          <w:szCs w:val="18"/>
        </w:rPr>
        <w:t xml:space="preserve"> </w:t>
      </w:r>
      <w:r w:rsidR="007F0964" w:rsidRPr="00796FB8">
        <w:rPr>
          <w:rFonts w:cs="Calibri"/>
          <w:szCs w:val="18"/>
        </w:rPr>
        <w:t>mg group.</w:t>
      </w:r>
    </w:p>
    <w:p w:rsidR="007F0964" w:rsidRPr="00796FB8" w:rsidRDefault="007F0964" w:rsidP="00BF3C38">
      <w:pPr>
        <w:pStyle w:val="TableFigureFooter"/>
        <w:rPr>
          <w:rFonts w:cs="Calibri"/>
          <w:szCs w:val="18"/>
        </w:rPr>
      </w:pPr>
      <w:r w:rsidRPr="00796FB8">
        <w:rPr>
          <w:rFonts w:cs="Calibri"/>
          <w:szCs w:val="18"/>
        </w:rPr>
        <w:t xml:space="preserve">Note: </w:t>
      </w:r>
      <w:r w:rsidRPr="00796FB8">
        <w:rPr>
          <w:szCs w:val="18"/>
        </w:rPr>
        <w:t>The submission table included the 600</w:t>
      </w:r>
      <w:r w:rsidR="000838B7" w:rsidRPr="00796FB8">
        <w:rPr>
          <w:szCs w:val="18"/>
        </w:rPr>
        <w:t xml:space="preserve"> </w:t>
      </w:r>
      <w:r w:rsidRPr="00796FB8">
        <w:rPr>
          <w:szCs w:val="18"/>
        </w:rPr>
        <w:t xml:space="preserve">mg groups from the </w:t>
      </w:r>
      <w:r w:rsidR="00354138" w:rsidRPr="00796FB8">
        <w:rPr>
          <w:szCs w:val="18"/>
        </w:rPr>
        <w:t>SP667</w:t>
      </w:r>
      <w:r w:rsidR="00F0457A" w:rsidRPr="00796FB8">
        <w:rPr>
          <w:szCs w:val="18"/>
        </w:rPr>
        <w:t xml:space="preserve"> and </w:t>
      </w:r>
      <w:r w:rsidR="00354138" w:rsidRPr="00796FB8">
        <w:rPr>
          <w:szCs w:val="18"/>
        </w:rPr>
        <w:t>SP754</w:t>
      </w:r>
      <w:r w:rsidRPr="00796FB8">
        <w:rPr>
          <w:szCs w:val="18"/>
        </w:rPr>
        <w:t xml:space="preserve"> LAC studies; these data have been removed from the above table, which is limited to the 200</w:t>
      </w:r>
      <w:r w:rsidR="000838B7" w:rsidRPr="00796FB8">
        <w:rPr>
          <w:szCs w:val="18"/>
        </w:rPr>
        <w:t xml:space="preserve"> </w:t>
      </w:r>
      <w:r w:rsidRPr="00796FB8">
        <w:rPr>
          <w:szCs w:val="18"/>
        </w:rPr>
        <w:t>mg and 400</w:t>
      </w:r>
      <w:r w:rsidR="000838B7" w:rsidRPr="00796FB8">
        <w:rPr>
          <w:szCs w:val="18"/>
        </w:rPr>
        <w:t xml:space="preserve"> </w:t>
      </w:r>
      <w:r w:rsidRPr="00796FB8">
        <w:rPr>
          <w:szCs w:val="18"/>
        </w:rPr>
        <w:t>mg LAC groups, unless otherwise specified.</w:t>
      </w:r>
    </w:p>
    <w:p w:rsidR="007F0964" w:rsidRPr="00796FB8" w:rsidRDefault="007F0964" w:rsidP="00BF3C38">
      <w:pPr>
        <w:pStyle w:val="3-BodyText"/>
      </w:pPr>
      <w:r w:rsidRPr="00796FB8">
        <w:t xml:space="preserve">The results of the nominated efficacy outcomes of the ITC are provided in </w:t>
      </w:r>
      <w:r w:rsidR="002C71DF" w:rsidRPr="00796FB8">
        <w:t>Table 8</w:t>
      </w:r>
      <w:r w:rsidRPr="00796FB8">
        <w:t>. A risk ratio &gt;1 favours ESL.</w:t>
      </w:r>
      <w:r w:rsidRPr="00796FB8">
        <w:rPr>
          <w:iCs/>
        </w:rPr>
        <w:t xml:space="preserve"> </w:t>
      </w:r>
      <w:r w:rsidRPr="00796FB8">
        <w:t>The submission claimed that as there were no p</w:t>
      </w:r>
      <w:r w:rsidR="00EF6E63" w:rsidRPr="00796FB8">
        <w:noBreakHyphen/>
      </w:r>
      <w:r w:rsidRPr="00796FB8">
        <w:t xml:space="preserve">values &lt;0.05, it could be concluded there were no significant differences between ESL and LAC for either of the nominated comparisons. The submission used this evidence to support the claim of ESL non-inferiority to LAC in terms of these efficacy outcomes. </w:t>
      </w:r>
      <w:r w:rsidR="00D16857" w:rsidRPr="00796FB8">
        <w:rPr>
          <w:iCs/>
        </w:rPr>
        <w:t>This was</w:t>
      </w:r>
      <w:r w:rsidRPr="00796FB8">
        <w:rPr>
          <w:iCs/>
        </w:rPr>
        <w:t xml:space="preserve"> not a valid interpretation of this evidence; the fact that CIs are wide enough to traverse 1 does not </w:t>
      </w:r>
      <w:r w:rsidRPr="00796FB8">
        <w:t>necessarily</w:t>
      </w:r>
      <w:r w:rsidRPr="00796FB8">
        <w:rPr>
          <w:iCs/>
        </w:rPr>
        <w:t xml:space="preserve"> mean that there is no difference between these treatments.</w:t>
      </w:r>
      <w:r w:rsidRPr="00796FB8">
        <w:t xml:space="preserve"> </w:t>
      </w:r>
      <w:r w:rsidRPr="00796FB8">
        <w:rPr>
          <w:iCs/>
        </w:rPr>
        <w:t>The ITC</w:t>
      </w:r>
      <w:r w:rsidR="00624217" w:rsidRPr="00796FB8">
        <w:rPr>
          <w:iCs/>
        </w:rPr>
        <w:t xml:space="preserve"> indicates</w:t>
      </w:r>
      <w:r w:rsidRPr="00796FB8">
        <w:rPr>
          <w:iCs/>
        </w:rPr>
        <w:t xml:space="preserve"> that the true value likely lies within the range of the 95% CIs, but the ITC lacks the power to be more certain of the true value. The outcome of seizure freedom was highly uncertain, due to the low </w:t>
      </w:r>
      <w:r w:rsidR="00624217" w:rsidRPr="00796FB8">
        <w:rPr>
          <w:iCs/>
        </w:rPr>
        <w:t xml:space="preserve">event rate </w:t>
      </w:r>
      <w:r w:rsidRPr="00796FB8">
        <w:rPr>
          <w:iCs/>
        </w:rPr>
        <w:t>in the RCT data.</w:t>
      </w:r>
    </w:p>
    <w:p w:rsidR="00B915EB" w:rsidRPr="00796FB8" w:rsidRDefault="002B1346" w:rsidP="00BF3C38">
      <w:pPr>
        <w:pStyle w:val="TableFigureHeading"/>
      </w:pPr>
      <w:r w:rsidRPr="00796FB8">
        <w:t>Table 8</w:t>
      </w:r>
      <w:r w:rsidR="00B915EB" w:rsidRPr="00796FB8">
        <w:t>: Comparison of numbers of the three groups used to generate the efficacy outcome of the ITC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1266"/>
        <w:gridCol w:w="1291"/>
        <w:gridCol w:w="1291"/>
        <w:gridCol w:w="1410"/>
        <w:gridCol w:w="1407"/>
      </w:tblGrid>
      <w:tr w:rsidR="00C97820" w:rsidRPr="00796FB8" w:rsidTr="00C97820">
        <w:tc>
          <w:tcPr>
            <w:tcW w:w="1304" w:type="pct"/>
            <w:shd w:val="clear" w:color="auto" w:fill="D9D9D9" w:themeFill="background1" w:themeFillShade="D9"/>
            <w:tcMar>
              <w:left w:w="28" w:type="dxa"/>
              <w:right w:w="28" w:type="dxa"/>
            </w:tcMar>
          </w:tcPr>
          <w:p w:rsidR="00C97820" w:rsidRPr="00796FB8" w:rsidRDefault="00C97820" w:rsidP="00BF3C38">
            <w:pPr>
              <w:pStyle w:val="TableFigureFooter"/>
              <w:rPr>
                <w:sz w:val="20"/>
                <w:szCs w:val="20"/>
              </w:rPr>
            </w:pPr>
          </w:p>
        </w:tc>
        <w:tc>
          <w:tcPr>
            <w:tcW w:w="702" w:type="pct"/>
            <w:shd w:val="clear" w:color="auto" w:fill="D9D9D9" w:themeFill="background1" w:themeFillShade="D9"/>
            <w:tcMar>
              <w:left w:w="28" w:type="dxa"/>
              <w:right w:w="28" w:type="dxa"/>
            </w:tcMar>
            <w:vAlign w:val="center"/>
          </w:tcPr>
          <w:p w:rsidR="00C97820" w:rsidRPr="00796FB8" w:rsidRDefault="00C97820" w:rsidP="00BF3C38">
            <w:pPr>
              <w:pStyle w:val="TableFigureFooter"/>
              <w:jc w:val="left"/>
              <w:rPr>
                <w:b/>
                <w:sz w:val="20"/>
                <w:szCs w:val="20"/>
              </w:rPr>
            </w:pPr>
            <w:r w:rsidRPr="00796FB8">
              <w:rPr>
                <w:b/>
                <w:sz w:val="20"/>
                <w:szCs w:val="20"/>
              </w:rPr>
              <w:t>ESL,</w:t>
            </w:r>
          </w:p>
          <w:p w:rsidR="00C97820" w:rsidRPr="00796FB8" w:rsidRDefault="00C97820" w:rsidP="00BF3C38">
            <w:pPr>
              <w:pStyle w:val="TableFigureFooter"/>
              <w:jc w:val="left"/>
              <w:rPr>
                <w:sz w:val="20"/>
                <w:szCs w:val="20"/>
              </w:rPr>
            </w:pPr>
            <w:r w:rsidRPr="00796FB8">
              <w:rPr>
                <w:b/>
                <w:sz w:val="20"/>
                <w:szCs w:val="20"/>
              </w:rPr>
              <w:t>n/N (%)</w:t>
            </w:r>
          </w:p>
        </w:tc>
        <w:tc>
          <w:tcPr>
            <w:tcW w:w="716" w:type="pct"/>
            <w:shd w:val="clear" w:color="auto" w:fill="D9D9D9" w:themeFill="background1" w:themeFillShade="D9"/>
            <w:tcMar>
              <w:left w:w="28" w:type="dxa"/>
              <w:right w:w="28" w:type="dxa"/>
            </w:tcMar>
            <w:vAlign w:val="center"/>
          </w:tcPr>
          <w:p w:rsidR="00C97820" w:rsidRPr="00796FB8" w:rsidRDefault="00C97820" w:rsidP="00BF3C38">
            <w:pPr>
              <w:pStyle w:val="TableFigureFooter"/>
              <w:jc w:val="left"/>
              <w:rPr>
                <w:b/>
                <w:sz w:val="20"/>
                <w:szCs w:val="20"/>
              </w:rPr>
            </w:pPr>
            <w:r w:rsidRPr="00796FB8">
              <w:rPr>
                <w:b/>
                <w:sz w:val="20"/>
                <w:szCs w:val="20"/>
              </w:rPr>
              <w:t>Placebo (pooled),</w:t>
            </w:r>
          </w:p>
          <w:p w:rsidR="00C97820" w:rsidRPr="00796FB8" w:rsidRDefault="00C97820" w:rsidP="00BF3C38">
            <w:pPr>
              <w:pStyle w:val="TableFigureFooter"/>
              <w:jc w:val="left"/>
              <w:rPr>
                <w:sz w:val="20"/>
                <w:szCs w:val="20"/>
              </w:rPr>
            </w:pPr>
            <w:r w:rsidRPr="00796FB8">
              <w:rPr>
                <w:b/>
                <w:sz w:val="20"/>
                <w:szCs w:val="20"/>
              </w:rPr>
              <w:t>n/N (%)</w:t>
            </w:r>
          </w:p>
        </w:tc>
        <w:tc>
          <w:tcPr>
            <w:tcW w:w="716" w:type="pct"/>
            <w:shd w:val="clear" w:color="auto" w:fill="D9D9D9" w:themeFill="background1" w:themeFillShade="D9"/>
            <w:tcMar>
              <w:left w:w="28" w:type="dxa"/>
              <w:right w:w="28" w:type="dxa"/>
            </w:tcMar>
            <w:vAlign w:val="center"/>
          </w:tcPr>
          <w:p w:rsidR="00C97820" w:rsidRPr="00796FB8" w:rsidRDefault="00C97820" w:rsidP="00BF3C38">
            <w:pPr>
              <w:pStyle w:val="TableFigureFooter"/>
              <w:jc w:val="left"/>
              <w:rPr>
                <w:b/>
                <w:sz w:val="20"/>
                <w:szCs w:val="20"/>
              </w:rPr>
            </w:pPr>
            <w:r w:rsidRPr="00796FB8">
              <w:rPr>
                <w:b/>
                <w:sz w:val="20"/>
                <w:szCs w:val="20"/>
              </w:rPr>
              <w:t>LAC,</w:t>
            </w:r>
          </w:p>
          <w:p w:rsidR="00C97820" w:rsidRPr="00796FB8" w:rsidRDefault="00C97820" w:rsidP="00BF3C38">
            <w:pPr>
              <w:pStyle w:val="TableFigureFooter"/>
              <w:jc w:val="left"/>
              <w:rPr>
                <w:sz w:val="20"/>
                <w:szCs w:val="20"/>
              </w:rPr>
            </w:pPr>
            <w:r w:rsidRPr="00796FB8">
              <w:rPr>
                <w:b/>
                <w:sz w:val="20"/>
                <w:szCs w:val="20"/>
              </w:rPr>
              <w:t>n/N (%)</w:t>
            </w:r>
          </w:p>
        </w:tc>
        <w:tc>
          <w:tcPr>
            <w:tcW w:w="782" w:type="pct"/>
            <w:shd w:val="clear" w:color="auto" w:fill="D9D9D9" w:themeFill="background1" w:themeFillShade="D9"/>
            <w:tcMar>
              <w:left w:w="28" w:type="dxa"/>
              <w:right w:w="28" w:type="dxa"/>
            </w:tcMar>
            <w:vAlign w:val="center"/>
          </w:tcPr>
          <w:p w:rsidR="00C97820" w:rsidRPr="00796FB8" w:rsidRDefault="00C97820" w:rsidP="00BF3C38">
            <w:pPr>
              <w:pStyle w:val="TableFigureFooter"/>
              <w:jc w:val="left"/>
              <w:rPr>
                <w:sz w:val="20"/>
                <w:szCs w:val="20"/>
              </w:rPr>
            </w:pPr>
            <w:r w:rsidRPr="00796FB8">
              <w:rPr>
                <w:b/>
                <w:sz w:val="20"/>
                <w:szCs w:val="20"/>
              </w:rPr>
              <w:t>RR (95% CI)</w:t>
            </w:r>
          </w:p>
        </w:tc>
        <w:tc>
          <w:tcPr>
            <w:tcW w:w="781" w:type="pct"/>
            <w:shd w:val="clear" w:color="auto" w:fill="D9D9D9" w:themeFill="background1" w:themeFillShade="D9"/>
            <w:vAlign w:val="center"/>
          </w:tcPr>
          <w:p w:rsidR="00C97820" w:rsidRPr="00796FB8" w:rsidRDefault="00C97820" w:rsidP="00BF3C38">
            <w:pPr>
              <w:pStyle w:val="TableFigureFooter"/>
              <w:jc w:val="left"/>
              <w:rPr>
                <w:b/>
                <w:sz w:val="20"/>
                <w:szCs w:val="20"/>
              </w:rPr>
            </w:pPr>
            <w:r w:rsidRPr="00796FB8">
              <w:rPr>
                <w:b/>
                <w:sz w:val="20"/>
                <w:szCs w:val="20"/>
              </w:rPr>
              <w:t>p-value</w:t>
            </w:r>
          </w:p>
        </w:tc>
      </w:tr>
      <w:tr w:rsidR="00C97820" w:rsidRPr="00796FB8" w:rsidTr="00C97820">
        <w:tc>
          <w:tcPr>
            <w:tcW w:w="4219" w:type="pct"/>
            <w:gridSpan w:val="5"/>
            <w:shd w:val="clear" w:color="auto" w:fill="D9D9D9" w:themeFill="background1" w:themeFillShade="D9"/>
            <w:tcMar>
              <w:left w:w="28" w:type="dxa"/>
              <w:right w:w="28" w:type="dxa"/>
            </w:tcMar>
          </w:tcPr>
          <w:p w:rsidR="00C97820" w:rsidRPr="00796FB8" w:rsidRDefault="00C97820" w:rsidP="00BF3C38">
            <w:pPr>
              <w:pStyle w:val="TableFigureFooter"/>
              <w:rPr>
                <w:b/>
                <w:sz w:val="20"/>
                <w:szCs w:val="20"/>
              </w:rPr>
            </w:pPr>
            <w:r w:rsidRPr="00796FB8">
              <w:rPr>
                <w:b/>
                <w:sz w:val="20"/>
                <w:szCs w:val="20"/>
              </w:rPr>
              <w:t>50% responders at 28 days</w:t>
            </w:r>
          </w:p>
        </w:tc>
        <w:tc>
          <w:tcPr>
            <w:tcW w:w="781" w:type="pct"/>
            <w:shd w:val="clear" w:color="auto" w:fill="D9D9D9" w:themeFill="background1" w:themeFillShade="D9"/>
          </w:tcPr>
          <w:p w:rsidR="00C97820" w:rsidRPr="00796FB8" w:rsidRDefault="00C97820" w:rsidP="00BF3C38">
            <w:pPr>
              <w:pStyle w:val="TableFigureFooter"/>
              <w:rPr>
                <w:b/>
                <w:sz w:val="20"/>
                <w:szCs w:val="20"/>
              </w:rPr>
            </w:pPr>
          </w:p>
        </w:tc>
      </w:tr>
      <w:tr w:rsidR="00C97820" w:rsidRPr="00796FB8" w:rsidTr="00C97820">
        <w:tc>
          <w:tcPr>
            <w:tcW w:w="1304" w:type="pct"/>
            <w:tcMar>
              <w:left w:w="28" w:type="dxa"/>
              <w:right w:w="28" w:type="dxa"/>
            </w:tcMar>
          </w:tcPr>
          <w:p w:rsidR="00C97820" w:rsidRPr="00796FB8" w:rsidRDefault="00C97820" w:rsidP="00BF3C38">
            <w:pPr>
              <w:pStyle w:val="TableFigureFooter"/>
              <w:rPr>
                <w:sz w:val="20"/>
                <w:szCs w:val="20"/>
              </w:rPr>
            </w:pPr>
            <w:r w:rsidRPr="00796FB8">
              <w:rPr>
                <w:sz w:val="20"/>
                <w:szCs w:val="20"/>
              </w:rPr>
              <w:t>ESL 800 mg vs LAC 200 mg</w:t>
            </w:r>
          </w:p>
        </w:tc>
        <w:tc>
          <w:tcPr>
            <w:tcW w:w="702" w:type="pc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61/201 (30%)</w:t>
            </w:r>
          </w:p>
        </w:tc>
        <w:tc>
          <w:tcPr>
            <w:tcW w:w="716" w:type="pct"/>
            <w:vMerge w:val="restar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166/754 (22%)</w:t>
            </w:r>
          </w:p>
        </w:tc>
        <w:tc>
          <w:tcPr>
            <w:tcW w:w="716" w:type="pc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161/449 (36%)</w:t>
            </w:r>
          </w:p>
        </w:tc>
        <w:tc>
          <w:tcPr>
            <w:tcW w:w="782" w:type="pc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0.82 (0.55, 1.23)</w:t>
            </w:r>
          </w:p>
        </w:tc>
        <w:tc>
          <w:tcPr>
            <w:tcW w:w="781" w:type="pct"/>
          </w:tcPr>
          <w:p w:rsidR="00C97820" w:rsidRPr="00796FB8" w:rsidRDefault="00C97820" w:rsidP="00BF3C38">
            <w:pPr>
              <w:pStyle w:val="TableFigureFooter"/>
              <w:jc w:val="center"/>
              <w:rPr>
                <w:sz w:val="20"/>
                <w:szCs w:val="20"/>
              </w:rPr>
            </w:pPr>
            <w:r w:rsidRPr="00796FB8">
              <w:rPr>
                <w:sz w:val="20"/>
                <w:szCs w:val="20"/>
              </w:rPr>
              <w:t>0.339</w:t>
            </w:r>
          </w:p>
        </w:tc>
      </w:tr>
      <w:tr w:rsidR="00C97820" w:rsidRPr="00796FB8" w:rsidTr="00C97820">
        <w:tc>
          <w:tcPr>
            <w:tcW w:w="1304" w:type="pct"/>
            <w:tcMar>
              <w:left w:w="28" w:type="dxa"/>
              <w:right w:w="28" w:type="dxa"/>
            </w:tcMar>
          </w:tcPr>
          <w:p w:rsidR="00C97820" w:rsidRPr="00796FB8" w:rsidRDefault="00C97820" w:rsidP="00BF3C38">
            <w:pPr>
              <w:pStyle w:val="TableFigureFooter"/>
              <w:rPr>
                <w:sz w:val="20"/>
                <w:szCs w:val="20"/>
              </w:rPr>
            </w:pPr>
            <w:r w:rsidRPr="00796FB8">
              <w:rPr>
                <w:sz w:val="20"/>
                <w:szCs w:val="20"/>
              </w:rPr>
              <w:t>ESL 1,200 mg vs LAC 400 mg</w:t>
            </w:r>
          </w:p>
        </w:tc>
        <w:tc>
          <w:tcPr>
            <w:tcW w:w="702" w:type="pc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78/184 (42%)</w:t>
            </w:r>
          </w:p>
        </w:tc>
        <w:tc>
          <w:tcPr>
            <w:tcW w:w="716" w:type="pct"/>
            <w:vMerge/>
            <w:tcMar>
              <w:left w:w="28" w:type="dxa"/>
              <w:right w:w="28" w:type="dxa"/>
            </w:tcMar>
            <w:vAlign w:val="center"/>
          </w:tcPr>
          <w:p w:rsidR="00C97820" w:rsidRPr="00796FB8" w:rsidRDefault="00C97820" w:rsidP="00BF3C38">
            <w:pPr>
              <w:pStyle w:val="TableFigureFooter"/>
              <w:jc w:val="center"/>
              <w:rPr>
                <w:sz w:val="20"/>
                <w:szCs w:val="20"/>
              </w:rPr>
            </w:pPr>
          </w:p>
        </w:tc>
        <w:tc>
          <w:tcPr>
            <w:tcW w:w="716" w:type="pc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273/645 (42%)</w:t>
            </w:r>
          </w:p>
        </w:tc>
        <w:tc>
          <w:tcPr>
            <w:tcW w:w="782" w:type="pc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0.93 (0.64, 1.34)</w:t>
            </w:r>
          </w:p>
        </w:tc>
        <w:tc>
          <w:tcPr>
            <w:tcW w:w="781" w:type="pct"/>
          </w:tcPr>
          <w:p w:rsidR="00C97820" w:rsidRPr="00796FB8" w:rsidRDefault="00C97820" w:rsidP="00BF3C38">
            <w:pPr>
              <w:pStyle w:val="TableFigureFooter"/>
              <w:jc w:val="center"/>
              <w:rPr>
                <w:sz w:val="20"/>
                <w:szCs w:val="20"/>
              </w:rPr>
            </w:pPr>
            <w:r w:rsidRPr="00796FB8">
              <w:rPr>
                <w:sz w:val="20"/>
                <w:szCs w:val="20"/>
              </w:rPr>
              <w:t>0.683</w:t>
            </w:r>
          </w:p>
        </w:tc>
      </w:tr>
      <w:tr w:rsidR="00C97820" w:rsidRPr="00796FB8" w:rsidTr="00C97820">
        <w:tc>
          <w:tcPr>
            <w:tcW w:w="4219" w:type="pct"/>
            <w:gridSpan w:val="5"/>
            <w:shd w:val="clear" w:color="auto" w:fill="D9D9D9" w:themeFill="background1" w:themeFillShade="D9"/>
            <w:tcMar>
              <w:left w:w="28" w:type="dxa"/>
              <w:right w:w="28" w:type="dxa"/>
            </w:tcMar>
          </w:tcPr>
          <w:p w:rsidR="00C97820" w:rsidRPr="00796FB8" w:rsidRDefault="00C97820" w:rsidP="00BF3C38">
            <w:pPr>
              <w:pStyle w:val="TableFigureFooter"/>
              <w:jc w:val="left"/>
              <w:rPr>
                <w:b/>
                <w:sz w:val="20"/>
                <w:szCs w:val="20"/>
              </w:rPr>
            </w:pPr>
            <w:r w:rsidRPr="00796FB8">
              <w:rPr>
                <w:b/>
                <w:sz w:val="20"/>
                <w:szCs w:val="20"/>
              </w:rPr>
              <w:t>Seizure Freedom</w:t>
            </w:r>
          </w:p>
        </w:tc>
        <w:tc>
          <w:tcPr>
            <w:tcW w:w="781" w:type="pct"/>
            <w:shd w:val="clear" w:color="auto" w:fill="D9D9D9" w:themeFill="background1" w:themeFillShade="D9"/>
          </w:tcPr>
          <w:p w:rsidR="00C97820" w:rsidRPr="00796FB8" w:rsidRDefault="00C97820" w:rsidP="00BF3C38">
            <w:pPr>
              <w:pStyle w:val="TableFigureFooter"/>
              <w:jc w:val="left"/>
              <w:rPr>
                <w:b/>
                <w:sz w:val="20"/>
                <w:szCs w:val="20"/>
              </w:rPr>
            </w:pPr>
          </w:p>
        </w:tc>
      </w:tr>
      <w:tr w:rsidR="00C97820" w:rsidRPr="00796FB8" w:rsidTr="00C97820">
        <w:tc>
          <w:tcPr>
            <w:tcW w:w="1304" w:type="pct"/>
            <w:tcMar>
              <w:left w:w="28" w:type="dxa"/>
              <w:right w:w="28" w:type="dxa"/>
            </w:tcMar>
          </w:tcPr>
          <w:p w:rsidR="00C97820" w:rsidRPr="00796FB8" w:rsidRDefault="00C97820" w:rsidP="00BF3C38">
            <w:pPr>
              <w:pStyle w:val="TableFigureFooter"/>
              <w:rPr>
                <w:sz w:val="20"/>
                <w:szCs w:val="20"/>
              </w:rPr>
            </w:pPr>
            <w:r w:rsidRPr="00796FB8">
              <w:rPr>
                <w:sz w:val="20"/>
                <w:szCs w:val="20"/>
              </w:rPr>
              <w:t>ESL 800 mg vs LAC 200 mg</w:t>
            </w:r>
          </w:p>
        </w:tc>
        <w:tc>
          <w:tcPr>
            <w:tcW w:w="702" w:type="pc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4/201 (2%)</w:t>
            </w:r>
          </w:p>
        </w:tc>
        <w:tc>
          <w:tcPr>
            <w:tcW w:w="716" w:type="pct"/>
            <w:vMerge w:val="restar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5/730 (0.7%)</w:t>
            </w:r>
          </w:p>
        </w:tc>
        <w:tc>
          <w:tcPr>
            <w:tcW w:w="716" w:type="pc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20/426 (5%)</w:t>
            </w:r>
          </w:p>
        </w:tc>
        <w:tc>
          <w:tcPr>
            <w:tcW w:w="782" w:type="pc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0.65 (0.07, 6.16)</w:t>
            </w:r>
          </w:p>
        </w:tc>
        <w:tc>
          <w:tcPr>
            <w:tcW w:w="781" w:type="pct"/>
          </w:tcPr>
          <w:p w:rsidR="00C97820" w:rsidRPr="00796FB8" w:rsidRDefault="00C97820" w:rsidP="00BF3C38">
            <w:pPr>
              <w:pStyle w:val="TableFigureFooter"/>
              <w:jc w:val="center"/>
              <w:rPr>
                <w:sz w:val="20"/>
                <w:szCs w:val="20"/>
              </w:rPr>
            </w:pPr>
            <w:r w:rsidRPr="00796FB8">
              <w:rPr>
                <w:sz w:val="20"/>
                <w:szCs w:val="20"/>
              </w:rPr>
              <w:t>0.710</w:t>
            </w:r>
          </w:p>
        </w:tc>
      </w:tr>
      <w:tr w:rsidR="00C97820" w:rsidRPr="00796FB8" w:rsidTr="00C97820">
        <w:tc>
          <w:tcPr>
            <w:tcW w:w="1304" w:type="pct"/>
            <w:tcMar>
              <w:left w:w="28" w:type="dxa"/>
              <w:right w:w="28" w:type="dxa"/>
            </w:tcMar>
          </w:tcPr>
          <w:p w:rsidR="00C97820" w:rsidRPr="00796FB8" w:rsidRDefault="00C97820" w:rsidP="00BF3C38">
            <w:pPr>
              <w:pStyle w:val="TableFigureFooter"/>
              <w:rPr>
                <w:sz w:val="20"/>
                <w:szCs w:val="20"/>
              </w:rPr>
            </w:pPr>
            <w:r w:rsidRPr="00796FB8">
              <w:rPr>
                <w:sz w:val="20"/>
                <w:szCs w:val="20"/>
              </w:rPr>
              <w:t>ESL 1,200 mg vs LAC 400 mg</w:t>
            </w:r>
          </w:p>
        </w:tc>
        <w:tc>
          <w:tcPr>
            <w:tcW w:w="702" w:type="pc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4/184 (2%)</w:t>
            </w:r>
          </w:p>
        </w:tc>
        <w:tc>
          <w:tcPr>
            <w:tcW w:w="716" w:type="pct"/>
            <w:vMerge/>
            <w:tcMar>
              <w:left w:w="28" w:type="dxa"/>
              <w:right w:w="28" w:type="dxa"/>
            </w:tcMar>
            <w:vAlign w:val="center"/>
          </w:tcPr>
          <w:p w:rsidR="00C97820" w:rsidRPr="00796FB8" w:rsidRDefault="00C97820" w:rsidP="00BF3C38">
            <w:pPr>
              <w:pStyle w:val="TableFigureFooter"/>
              <w:jc w:val="center"/>
              <w:rPr>
                <w:sz w:val="20"/>
                <w:szCs w:val="20"/>
              </w:rPr>
            </w:pPr>
          </w:p>
        </w:tc>
        <w:tc>
          <w:tcPr>
            <w:tcW w:w="716" w:type="pc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22/569 (4%)</w:t>
            </w:r>
          </w:p>
        </w:tc>
        <w:tc>
          <w:tcPr>
            <w:tcW w:w="782" w:type="pct"/>
            <w:tcMar>
              <w:left w:w="28" w:type="dxa"/>
              <w:right w:w="28" w:type="dxa"/>
            </w:tcMar>
            <w:vAlign w:val="center"/>
          </w:tcPr>
          <w:p w:rsidR="00C97820" w:rsidRPr="00796FB8" w:rsidRDefault="00C97820" w:rsidP="00BF3C38">
            <w:pPr>
              <w:pStyle w:val="TableFigureFooter"/>
              <w:jc w:val="center"/>
              <w:rPr>
                <w:sz w:val="20"/>
                <w:szCs w:val="20"/>
              </w:rPr>
            </w:pPr>
            <w:r w:rsidRPr="00796FB8">
              <w:rPr>
                <w:sz w:val="20"/>
                <w:szCs w:val="20"/>
              </w:rPr>
              <w:t>0.53 (0.06, 5.08)</w:t>
            </w:r>
          </w:p>
        </w:tc>
        <w:tc>
          <w:tcPr>
            <w:tcW w:w="781" w:type="pct"/>
          </w:tcPr>
          <w:p w:rsidR="00C97820" w:rsidRPr="00796FB8" w:rsidRDefault="00C97820" w:rsidP="00BF3C38">
            <w:pPr>
              <w:pStyle w:val="TableFigureFooter"/>
              <w:jc w:val="center"/>
              <w:rPr>
                <w:sz w:val="20"/>
                <w:szCs w:val="20"/>
              </w:rPr>
            </w:pPr>
            <w:r w:rsidRPr="00796FB8">
              <w:rPr>
                <w:sz w:val="20"/>
                <w:szCs w:val="20"/>
              </w:rPr>
              <w:t>0.583</w:t>
            </w:r>
          </w:p>
        </w:tc>
      </w:tr>
    </w:tbl>
    <w:p w:rsidR="00B915EB" w:rsidRPr="00796FB8" w:rsidRDefault="00B915EB" w:rsidP="00BF3C38">
      <w:pPr>
        <w:pStyle w:val="TableFigureFooter"/>
      </w:pPr>
      <w:r w:rsidRPr="00796FB8">
        <w:t>Source: Constructed during the evaluation, from Table 2, p 5 &amp; Table 4, p 7 of the ITC Report.</w:t>
      </w:r>
    </w:p>
    <w:p w:rsidR="00314890" w:rsidRPr="00796FB8" w:rsidRDefault="00B915EB" w:rsidP="00BF3C38">
      <w:pPr>
        <w:pStyle w:val="TableFigureFooter"/>
      </w:pPr>
      <w:r w:rsidRPr="00796FB8">
        <w:t>ESL = eslicarbazepine</w:t>
      </w:r>
      <w:r w:rsidR="00C4771F" w:rsidRPr="00C4771F">
        <w:t xml:space="preserve"> </w:t>
      </w:r>
      <w:r w:rsidR="00C4771F">
        <w:t>acetate</w:t>
      </w:r>
      <w:r w:rsidRPr="00796FB8">
        <w:t xml:space="preserve">; LAC = lacosamide; RR = </w:t>
      </w:r>
      <w:r w:rsidR="00E33CC2" w:rsidRPr="00796FB8">
        <w:t>risk ratio</w:t>
      </w:r>
      <w:r w:rsidRPr="00796FB8">
        <w:t>.</w:t>
      </w:r>
    </w:p>
    <w:p w:rsidR="007F0964" w:rsidRPr="00796FB8" w:rsidRDefault="007F0964" w:rsidP="00BF3C38">
      <w:pPr>
        <w:pStyle w:val="3-BodyText"/>
      </w:pPr>
      <w:r w:rsidRPr="00796FB8">
        <w:t>It is more appropriate to have pre-specified a non-inferiority margin which is consistent with</w:t>
      </w:r>
      <w:r w:rsidR="00C00DB2" w:rsidRPr="00796FB8">
        <w:t xml:space="preserve"> </w:t>
      </w:r>
      <w:r w:rsidRPr="00796FB8">
        <w:t>previous PBAC considerations</w:t>
      </w:r>
      <w:r w:rsidR="002056B3" w:rsidRPr="00796FB8">
        <w:t xml:space="preserve"> for 50% responders at 28 days</w:t>
      </w:r>
      <w:r w:rsidRPr="00796FB8">
        <w:t xml:space="preserve">. </w:t>
      </w:r>
      <w:r w:rsidRPr="00796FB8">
        <w:rPr>
          <w:snapToGrid/>
        </w:rPr>
        <w:t>Most recently, the brivaracetam resubmission (March 2017 PSD) proposed a non-inferiority margin of 0.62 to 0.68 based on the accepted lower 95% CIs of the zonisamide Nov</w:t>
      </w:r>
      <w:r w:rsidR="00C07984">
        <w:rPr>
          <w:snapToGrid/>
        </w:rPr>
        <w:t>ember</w:t>
      </w:r>
      <w:r w:rsidRPr="00796FB8">
        <w:rPr>
          <w:snapToGrid/>
        </w:rPr>
        <w:t xml:space="preserve"> 2007 and </w:t>
      </w:r>
      <w:r w:rsidR="000A692E" w:rsidRPr="00796FB8">
        <w:rPr>
          <w:snapToGrid/>
        </w:rPr>
        <w:t>p</w:t>
      </w:r>
      <w:r w:rsidRPr="00796FB8">
        <w:rPr>
          <w:snapToGrid/>
        </w:rPr>
        <w:t xml:space="preserve">erampanel July 2014 submissions. The </w:t>
      </w:r>
      <w:r w:rsidR="008A050F" w:rsidRPr="00796FB8">
        <w:rPr>
          <w:snapToGrid/>
        </w:rPr>
        <w:t>zonisamide</w:t>
      </w:r>
      <w:r w:rsidRPr="00796FB8">
        <w:rPr>
          <w:snapToGrid/>
        </w:rPr>
        <w:t xml:space="preserve"> submission was for a different line of therapy, and 13 years ago when the treatment options for this condition were more limited</w:t>
      </w:r>
      <w:r w:rsidR="00D84502" w:rsidRPr="00796FB8">
        <w:rPr>
          <w:snapToGrid/>
        </w:rPr>
        <w:t xml:space="preserve">. </w:t>
      </w:r>
      <w:r w:rsidRPr="00796FB8">
        <w:rPr>
          <w:snapToGrid/>
        </w:rPr>
        <w:t>Brivaracetam had a lower 95% CI of 0.66, which was accepted in the Nov 2017 PSD.</w:t>
      </w:r>
      <w:r w:rsidR="00624217" w:rsidRPr="00796FB8">
        <w:rPr>
          <w:snapToGrid/>
        </w:rPr>
        <w:t xml:space="preserve"> The ESC noted that</w:t>
      </w:r>
      <w:r w:rsidR="00E473ED" w:rsidRPr="00796FB8">
        <w:rPr>
          <w:snapToGrid/>
        </w:rPr>
        <w:t xml:space="preserve"> neither of</w:t>
      </w:r>
      <w:r w:rsidR="00624217" w:rsidRPr="00796FB8">
        <w:rPr>
          <w:snapToGrid/>
        </w:rPr>
        <w:t xml:space="preserve"> the </w:t>
      </w:r>
      <w:r w:rsidR="00E473ED" w:rsidRPr="00796FB8">
        <w:rPr>
          <w:snapToGrid/>
        </w:rPr>
        <w:t xml:space="preserve">lower 95% CIs for the ESL vs LAC comparison of 50% responders at 28 days (0.55 for </w:t>
      </w:r>
      <w:r w:rsidR="00E473ED" w:rsidRPr="00796FB8">
        <w:rPr>
          <w:iCs/>
          <w:snapToGrid/>
        </w:rPr>
        <w:t>ESL 800 mg vs LAC 200 mg,</w:t>
      </w:r>
      <w:r w:rsidR="00E473ED" w:rsidRPr="00796FB8">
        <w:rPr>
          <w:snapToGrid/>
        </w:rPr>
        <w:t xml:space="preserve"> and 0.64 for ESL 1,200 mg vs LAC 400 mg) satisfied a non-inferiority margin of 0.66.</w:t>
      </w:r>
    </w:p>
    <w:p w:rsidR="00687009" w:rsidRPr="00796FB8" w:rsidRDefault="007F0964" w:rsidP="00BF3C38">
      <w:pPr>
        <w:pStyle w:val="3-BodyText"/>
      </w:pPr>
      <w:r w:rsidRPr="00796FB8">
        <w:rPr>
          <w:iCs/>
          <w:snapToGrid/>
        </w:rPr>
        <w:t>The submission described ESL as non-inferior in terms of effectiveness compared with LAC in third-line treatment of treatment-resistant POS. T</w:t>
      </w:r>
      <w:r w:rsidR="001A329B" w:rsidRPr="00796FB8">
        <w:rPr>
          <w:iCs/>
          <w:snapToGrid/>
        </w:rPr>
        <w:t>he ESC agreed with the evaluation that t</w:t>
      </w:r>
      <w:r w:rsidRPr="00796FB8">
        <w:rPr>
          <w:iCs/>
          <w:snapToGrid/>
        </w:rPr>
        <w:t>his therapeutic conclusion is not adequately supported by the submitted evidence</w:t>
      </w:r>
      <w:r w:rsidR="000B57B1" w:rsidRPr="00796FB8">
        <w:rPr>
          <w:iCs/>
          <w:snapToGrid/>
        </w:rPr>
        <w:t xml:space="preserve"> </w:t>
      </w:r>
      <w:r w:rsidR="002A3F40" w:rsidRPr="00796FB8">
        <w:rPr>
          <w:iCs/>
          <w:snapToGrid/>
        </w:rPr>
        <w:t>because</w:t>
      </w:r>
      <w:r w:rsidR="000B57B1" w:rsidRPr="00796FB8">
        <w:rPr>
          <w:iCs/>
          <w:snapToGrid/>
        </w:rPr>
        <w:t>:</w:t>
      </w:r>
      <w:r w:rsidRPr="00796FB8">
        <w:rPr>
          <w:iCs/>
          <w:snapToGrid/>
        </w:rPr>
        <w:t xml:space="preserve"> </w:t>
      </w:r>
      <w:r w:rsidR="00313FC6" w:rsidRPr="00796FB8">
        <w:t xml:space="preserve">(i) </w:t>
      </w:r>
      <w:r w:rsidR="00313FC6" w:rsidRPr="00796FB8">
        <w:rPr>
          <w:iCs/>
          <w:snapToGrid/>
        </w:rPr>
        <w:t xml:space="preserve">the ESL 800 mg group failed to achieve statistical significance in primary and secondary outcomes; </w:t>
      </w:r>
      <w:r w:rsidR="002A3F40" w:rsidRPr="00796FB8">
        <w:t>(i</w:t>
      </w:r>
      <w:r w:rsidR="00313FC6" w:rsidRPr="00796FB8">
        <w:t>i</w:t>
      </w:r>
      <w:r w:rsidR="002A3F40" w:rsidRPr="00796FB8">
        <w:t xml:space="preserve">) </w:t>
      </w:r>
      <w:r w:rsidR="00E53DFB" w:rsidRPr="00796FB8">
        <w:rPr>
          <w:iCs/>
          <w:snapToGrid/>
        </w:rPr>
        <w:t>S</w:t>
      </w:r>
      <w:r w:rsidRPr="00796FB8">
        <w:rPr>
          <w:iCs/>
          <w:snapToGrid/>
        </w:rPr>
        <w:t xml:space="preserve">tudy 304 failed to demonstrate a benefit of ESL over placebo which met the </w:t>
      </w:r>
      <w:r w:rsidR="00954F9C">
        <w:rPr>
          <w:iCs/>
          <w:snapToGrid/>
        </w:rPr>
        <w:t>s</w:t>
      </w:r>
      <w:r w:rsidRPr="00796FB8">
        <w:rPr>
          <w:iCs/>
          <w:snapToGrid/>
        </w:rPr>
        <w:t>ponsor-nominated MCID</w:t>
      </w:r>
      <w:r w:rsidR="000B57B1" w:rsidRPr="00796FB8">
        <w:rPr>
          <w:iCs/>
          <w:snapToGrid/>
        </w:rPr>
        <w:t>;</w:t>
      </w:r>
      <w:r w:rsidRPr="00796FB8">
        <w:rPr>
          <w:iCs/>
          <w:snapToGrid/>
        </w:rPr>
        <w:t xml:space="preserve"> </w:t>
      </w:r>
      <w:r w:rsidR="002A3F40" w:rsidRPr="00796FB8">
        <w:t xml:space="preserve">(iii) </w:t>
      </w:r>
      <w:r w:rsidR="002A3F40" w:rsidRPr="00796FB8">
        <w:rPr>
          <w:iCs/>
          <w:snapToGrid/>
        </w:rPr>
        <w:t>t</w:t>
      </w:r>
      <w:r w:rsidRPr="00796FB8">
        <w:rPr>
          <w:iCs/>
          <w:snapToGrid/>
        </w:rPr>
        <w:t xml:space="preserve">he transitivity concerns about baseline characteristics may have biased the ITC in favour of ESL; </w:t>
      </w:r>
      <w:r w:rsidR="002A3F40" w:rsidRPr="00796FB8">
        <w:rPr>
          <w:iCs/>
          <w:snapToGrid/>
        </w:rPr>
        <w:t xml:space="preserve">and </w:t>
      </w:r>
      <w:r w:rsidR="002A3F40" w:rsidRPr="00796FB8">
        <w:t>(iv) t</w:t>
      </w:r>
      <w:r w:rsidR="00687009" w:rsidRPr="00796FB8">
        <w:rPr>
          <w:iCs/>
          <w:snapToGrid/>
        </w:rPr>
        <w:t xml:space="preserve">he </w:t>
      </w:r>
      <w:r w:rsidRPr="00796FB8">
        <w:rPr>
          <w:iCs/>
          <w:snapToGrid/>
        </w:rPr>
        <w:t>ITC generated wide confidence intervals, was not performed with a pre-specified non-inferiority margin,</w:t>
      </w:r>
      <w:r w:rsidR="001A329B" w:rsidRPr="00796FB8">
        <w:rPr>
          <w:iCs/>
          <w:snapToGrid/>
        </w:rPr>
        <w:t xml:space="preserve"> and did not satisfy a margin previously accepted by the PBAC.</w:t>
      </w:r>
      <w:r w:rsidRPr="00796FB8">
        <w:rPr>
          <w:iCs/>
          <w:snapToGrid/>
        </w:rPr>
        <w:t xml:space="preserve"> </w:t>
      </w:r>
    </w:p>
    <w:p w:rsidR="00B60939" w:rsidRPr="00796FB8" w:rsidRDefault="00B60939" w:rsidP="00BF3C38">
      <w:pPr>
        <w:pStyle w:val="4-SubsectionHeading"/>
      </w:pPr>
      <w:bookmarkStart w:id="25" w:name="_Toc22897642"/>
      <w:bookmarkStart w:id="26" w:name="_Toc62035369"/>
      <w:r w:rsidRPr="00796FB8">
        <w:t>Comparative harms</w:t>
      </w:r>
      <w:bookmarkEnd w:id="25"/>
      <w:bookmarkEnd w:id="26"/>
    </w:p>
    <w:p w:rsidR="00101155" w:rsidRPr="00796FB8" w:rsidRDefault="00101155" w:rsidP="00BF3C38">
      <w:pPr>
        <w:pStyle w:val="3-BodyText"/>
      </w:pPr>
      <w:bookmarkStart w:id="27" w:name="_Toc22897644"/>
      <w:r w:rsidRPr="00796FB8">
        <w:rPr>
          <w:snapToGrid/>
        </w:rPr>
        <w:t xml:space="preserve">A summary of various treatment emergent adverse events (TEAEs) in Study 304 is provided in </w:t>
      </w:r>
      <w:r w:rsidR="002B1346" w:rsidRPr="00796FB8">
        <w:rPr>
          <w:snapToGrid/>
        </w:rPr>
        <w:t xml:space="preserve">Table 9 </w:t>
      </w:r>
      <w:r w:rsidRPr="00796FB8">
        <w:rPr>
          <w:snapToGrid/>
        </w:rPr>
        <w:t>below.</w:t>
      </w:r>
    </w:p>
    <w:p w:rsidR="00101155" w:rsidRPr="00796FB8" w:rsidRDefault="00101155" w:rsidP="00BF3C38">
      <w:pPr>
        <w:pStyle w:val="TableFigureHeading"/>
      </w:pPr>
      <w:bookmarkStart w:id="28" w:name="_Ref58210334"/>
      <w:r w:rsidRPr="00796FB8">
        <w:t xml:space="preserve">Table </w:t>
      </w:r>
      <w:bookmarkEnd w:id="28"/>
      <w:r w:rsidR="002B1346" w:rsidRPr="00796FB8">
        <w:t>9</w:t>
      </w:r>
      <w:r w:rsidRPr="00796FB8">
        <w:t>: TEAEs affecting ≥5% of patients, TEAEs leading to discontinuation in ≥2% of patients, all serious TEAEs, and deaths (safety population), Study 304</w:t>
      </w:r>
    </w:p>
    <w:tbl>
      <w:tblPr>
        <w:tblStyle w:val="TableGrid"/>
        <w:tblW w:w="5000" w:type="pct"/>
        <w:jc w:val="center"/>
        <w:tblLook w:val="04A0" w:firstRow="1" w:lastRow="0" w:firstColumn="1" w:lastColumn="0" w:noHBand="0" w:noVBand="1"/>
        <w:tblCaption w:val="Table 9: TEAEs affecting ≥5% of patients, TEAEs leading to discontinuation in ≥2% of patients, all serious TEAEs, and deaths (safety population), Study 304"/>
      </w:tblPr>
      <w:tblGrid>
        <w:gridCol w:w="2725"/>
        <w:gridCol w:w="1971"/>
        <w:gridCol w:w="2078"/>
        <w:gridCol w:w="2243"/>
      </w:tblGrid>
      <w:tr w:rsidR="00101155" w:rsidRPr="00796FB8" w:rsidTr="0069318E">
        <w:trPr>
          <w:trHeight w:val="327"/>
          <w:tblHeader/>
          <w:jc w:val="center"/>
        </w:trPr>
        <w:tc>
          <w:tcPr>
            <w:tcW w:w="151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101155" w:rsidRPr="00796FB8" w:rsidRDefault="00101155" w:rsidP="00BF3C38">
            <w:pPr>
              <w:rPr>
                <w:rFonts w:ascii="Arial Narrow" w:hAnsi="Arial Narrow" w:cstheme="majorBidi"/>
                <w:b/>
                <w:bCs/>
                <w:sz w:val="20"/>
                <w:szCs w:val="20"/>
              </w:rPr>
            </w:pPr>
          </w:p>
        </w:tc>
        <w:tc>
          <w:tcPr>
            <w:tcW w:w="348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01155" w:rsidRPr="00796FB8" w:rsidRDefault="00101155" w:rsidP="00BF3C38">
            <w:pPr>
              <w:jc w:val="center"/>
              <w:rPr>
                <w:rFonts w:ascii="Arial Narrow" w:hAnsi="Arial Narrow"/>
                <w:b/>
                <w:bCs/>
                <w:sz w:val="20"/>
                <w:szCs w:val="20"/>
              </w:rPr>
            </w:pPr>
            <w:r w:rsidRPr="00796FB8">
              <w:rPr>
                <w:rFonts w:ascii="Arial Narrow" w:hAnsi="Arial Narrow"/>
                <w:b/>
                <w:bCs/>
                <w:sz w:val="20"/>
                <w:szCs w:val="20"/>
              </w:rPr>
              <w:t>Number (%) of patients</w:t>
            </w:r>
          </w:p>
        </w:tc>
      </w:tr>
      <w:tr w:rsidR="00101155" w:rsidRPr="00796FB8" w:rsidTr="0069318E">
        <w:trPr>
          <w:trHeight w:val="354"/>
          <w:tblHeader/>
          <w:jc w:val="center"/>
        </w:trPr>
        <w:tc>
          <w:tcPr>
            <w:tcW w:w="151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rPr>
                <w:rFonts w:ascii="Arial Narrow" w:hAnsi="Arial Narrow"/>
                <w:b/>
                <w:bCs/>
                <w:sz w:val="20"/>
                <w:szCs w:val="20"/>
                <w:lang w:eastAsia="en-US" w:bidi="en-US"/>
              </w:rPr>
            </w:pP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01155" w:rsidRPr="00796FB8" w:rsidRDefault="00101155" w:rsidP="00BF3C38">
            <w:pPr>
              <w:jc w:val="center"/>
              <w:rPr>
                <w:rFonts w:ascii="Arial Narrow" w:hAnsi="Arial Narrow"/>
                <w:b/>
                <w:bCs/>
                <w:sz w:val="20"/>
                <w:szCs w:val="20"/>
              </w:rPr>
            </w:pPr>
            <w:r w:rsidRPr="00796FB8">
              <w:rPr>
                <w:rFonts w:ascii="Arial Narrow" w:hAnsi="Arial Narrow"/>
                <w:b/>
                <w:bCs/>
                <w:sz w:val="20"/>
                <w:szCs w:val="20"/>
              </w:rPr>
              <w:t>Placebo (n = 224)</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01155" w:rsidRPr="00796FB8" w:rsidRDefault="00101155" w:rsidP="00BF3C38">
            <w:pPr>
              <w:jc w:val="center"/>
              <w:rPr>
                <w:rFonts w:ascii="Arial Narrow" w:hAnsi="Arial Narrow"/>
                <w:b/>
                <w:bCs/>
                <w:sz w:val="20"/>
                <w:szCs w:val="20"/>
              </w:rPr>
            </w:pPr>
            <w:r w:rsidRPr="00796FB8">
              <w:rPr>
                <w:rFonts w:ascii="Arial Narrow" w:hAnsi="Arial Narrow" w:cstheme="minorBidi"/>
                <w:b/>
                <w:bCs/>
                <w:sz w:val="20"/>
                <w:szCs w:val="20"/>
              </w:rPr>
              <w:t>ESL 80</w:t>
            </w:r>
            <w:r w:rsidR="00EA1200" w:rsidRPr="00796FB8">
              <w:rPr>
                <w:rFonts w:ascii="Arial Narrow" w:hAnsi="Arial Narrow" w:cstheme="minorBidi"/>
                <w:b/>
                <w:bCs/>
                <w:sz w:val="20"/>
                <w:szCs w:val="20"/>
              </w:rPr>
              <w:t>0</w:t>
            </w:r>
            <w:r w:rsidR="00111C03" w:rsidRPr="00796FB8">
              <w:rPr>
                <w:rFonts w:ascii="Arial Narrow" w:hAnsi="Arial Narrow" w:cstheme="minorBidi"/>
                <w:b/>
                <w:bCs/>
                <w:sz w:val="20"/>
                <w:szCs w:val="20"/>
              </w:rPr>
              <w:t xml:space="preserve"> </w:t>
            </w:r>
            <w:r w:rsidR="00EA1200" w:rsidRPr="00796FB8">
              <w:rPr>
                <w:rFonts w:ascii="Arial Narrow" w:hAnsi="Arial Narrow" w:cstheme="minorBidi"/>
                <w:b/>
                <w:bCs/>
                <w:sz w:val="20"/>
                <w:szCs w:val="20"/>
              </w:rPr>
              <w:t>mg</w:t>
            </w:r>
            <w:r w:rsidRPr="00796FB8">
              <w:rPr>
                <w:rFonts w:ascii="Arial Narrow" w:hAnsi="Arial Narrow" w:cstheme="minorBidi"/>
                <w:b/>
                <w:bCs/>
                <w:sz w:val="20"/>
                <w:szCs w:val="20"/>
              </w:rPr>
              <w:t xml:space="preserve"> (n = 216)</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01155" w:rsidRPr="00796FB8" w:rsidRDefault="00101155" w:rsidP="00BF3C38">
            <w:pPr>
              <w:jc w:val="center"/>
              <w:rPr>
                <w:rFonts w:ascii="Arial Narrow" w:hAnsi="Arial Narrow"/>
                <w:b/>
                <w:bCs/>
                <w:sz w:val="20"/>
                <w:szCs w:val="20"/>
              </w:rPr>
            </w:pPr>
            <w:r w:rsidRPr="00796FB8">
              <w:rPr>
                <w:rFonts w:ascii="Arial Narrow" w:hAnsi="Arial Narrow" w:cstheme="minorBidi"/>
                <w:b/>
                <w:bCs/>
                <w:sz w:val="20"/>
                <w:szCs w:val="20"/>
              </w:rPr>
              <w:t>ESL 1,20</w:t>
            </w:r>
            <w:r w:rsidR="00EA1200" w:rsidRPr="00796FB8">
              <w:rPr>
                <w:rFonts w:ascii="Arial Narrow" w:hAnsi="Arial Narrow" w:cstheme="minorBidi"/>
                <w:b/>
                <w:bCs/>
                <w:sz w:val="20"/>
                <w:szCs w:val="20"/>
              </w:rPr>
              <w:t>0</w:t>
            </w:r>
            <w:r w:rsidR="00111C03" w:rsidRPr="00796FB8">
              <w:rPr>
                <w:rFonts w:ascii="Arial Narrow" w:hAnsi="Arial Narrow" w:cstheme="minorBidi"/>
                <w:b/>
                <w:bCs/>
                <w:sz w:val="20"/>
                <w:szCs w:val="20"/>
              </w:rPr>
              <w:t xml:space="preserve"> </w:t>
            </w:r>
            <w:r w:rsidR="00EA1200" w:rsidRPr="00796FB8">
              <w:rPr>
                <w:rFonts w:ascii="Arial Narrow" w:hAnsi="Arial Narrow" w:cstheme="minorBidi"/>
                <w:b/>
                <w:bCs/>
                <w:sz w:val="20"/>
                <w:szCs w:val="20"/>
              </w:rPr>
              <w:t>mg</w:t>
            </w:r>
            <w:r w:rsidRPr="00796FB8">
              <w:rPr>
                <w:rFonts w:ascii="Arial Narrow" w:hAnsi="Arial Narrow" w:cstheme="minorBidi"/>
                <w:b/>
                <w:bCs/>
                <w:sz w:val="20"/>
                <w:szCs w:val="20"/>
              </w:rPr>
              <w:t xml:space="preserve"> (n = 210)</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101155" w:rsidRPr="00796FB8" w:rsidRDefault="00101155" w:rsidP="00BF3C38">
            <w:pPr>
              <w:autoSpaceDE w:val="0"/>
              <w:autoSpaceDN w:val="0"/>
              <w:adjustRightInd w:val="0"/>
              <w:rPr>
                <w:rFonts w:ascii="Arial Narrow" w:hAnsi="Arial Narrow" w:cstheme="minorHAnsi"/>
                <w:sz w:val="20"/>
                <w:szCs w:val="20"/>
              </w:rPr>
            </w:pPr>
            <w:r w:rsidRPr="00796FB8">
              <w:rPr>
                <w:rFonts w:ascii="Arial Narrow" w:hAnsi="Arial Narrow" w:cstheme="minorHAnsi"/>
                <w:sz w:val="20"/>
                <w:szCs w:val="20"/>
              </w:rPr>
              <w:t>Any TEAE</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125 (55.8)</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145 (67.1)</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163 (77.6)</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 xml:space="preserve">Dizziness </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 xml:space="preserve">19 (8.5)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34 (15.7)</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55 (26.2)</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Somnolence</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 xml:space="preserve">12 (5.4)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16 (7.4)</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36 (17.1)</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Nausea</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 xml:space="preserve">11 (4.9)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16 (7.4)</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32 (15.2)</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Headache</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 xml:space="preserve">17 (7.6)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20 (9.3)</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24 (11.4)</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Vomiting</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 xml:space="preserve">3 (1.3)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6 (2.8)</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23 (11.0)</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Diplopia</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 xml:space="preserve">4 (1.8)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14 (6.5)</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22 (10.5)</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Vertigo</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 xml:space="preserve">1 (0.4)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6 (2.8</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15 (7.1)</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Fatigue</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 xml:space="preserve">6 (2.7)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8 (3.7)</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11 (5.2)</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101155" w:rsidRPr="00796FB8" w:rsidRDefault="00101155" w:rsidP="00BF3C38">
            <w:pPr>
              <w:rPr>
                <w:rFonts w:ascii="Arial Narrow" w:hAnsi="Arial Narrow" w:cstheme="minorHAnsi"/>
                <w:sz w:val="20"/>
                <w:szCs w:val="20"/>
              </w:rPr>
            </w:pPr>
            <w:r w:rsidRPr="00796FB8">
              <w:rPr>
                <w:rFonts w:ascii="Arial Narrow" w:hAnsi="Arial Narrow" w:cstheme="minorHAnsi"/>
                <w:sz w:val="20"/>
                <w:szCs w:val="20"/>
              </w:rPr>
              <w:t>Potentially related TEAE</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 xml:space="preserve">83 (37.1)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111 (51.4)</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140 (66.7)</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101155" w:rsidRPr="00796FB8" w:rsidRDefault="00101155" w:rsidP="00BF3C38">
            <w:pPr>
              <w:rPr>
                <w:rFonts w:ascii="Arial Narrow" w:hAnsi="Arial Narrow" w:cstheme="minorHAnsi"/>
                <w:sz w:val="20"/>
                <w:szCs w:val="20"/>
              </w:rPr>
            </w:pPr>
            <w:r w:rsidRPr="00796FB8">
              <w:rPr>
                <w:rFonts w:ascii="Arial Narrow" w:hAnsi="Arial Narrow" w:cstheme="minorHAnsi"/>
                <w:sz w:val="20"/>
                <w:szCs w:val="20"/>
              </w:rPr>
              <w:t xml:space="preserve">TEAEs leading to discontinuation </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 xml:space="preserve">18 (8)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26 (12.0)</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54 (25.7)</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Dizziness</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1 (0.4)</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11 (5.1)</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19 (9.0)</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Nausea</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 xml:space="preserve">0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3 (1.4)</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13 (6.2)</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Vomiting</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0</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0</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8 (3.8)</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Ataxia</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0</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1 (0.5)</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8 (3.8)</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 xml:space="preserve">Dysarthria </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0</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0</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5 (2.4)</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right"/>
              <w:rPr>
                <w:rFonts w:ascii="Arial Narrow" w:hAnsi="Arial Narrow" w:cstheme="minorHAnsi"/>
                <w:sz w:val="20"/>
                <w:szCs w:val="20"/>
              </w:rPr>
            </w:pPr>
            <w:r w:rsidRPr="00796FB8">
              <w:rPr>
                <w:rFonts w:ascii="Arial Narrow" w:hAnsi="Arial Narrow" w:cstheme="minorHAnsi"/>
                <w:sz w:val="20"/>
                <w:szCs w:val="20"/>
              </w:rPr>
              <w:t xml:space="preserve">Somnolence </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2 (0.9)</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2 (0.9)</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5 (2.4)</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rPr>
                <w:rFonts w:ascii="Arial Narrow" w:hAnsi="Arial Narrow" w:cstheme="minorHAnsi"/>
                <w:sz w:val="20"/>
                <w:szCs w:val="20"/>
              </w:rPr>
            </w:pPr>
            <w:r w:rsidRPr="00796FB8">
              <w:rPr>
                <w:rFonts w:ascii="Arial Narrow" w:hAnsi="Arial Narrow" w:cstheme="minorHAnsi"/>
                <w:sz w:val="20"/>
                <w:szCs w:val="20"/>
              </w:rPr>
              <w:t>Serious TEAEs</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 xml:space="preserve">7 (3.1)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14 (6.5)</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AdvGSANS"/>
                <w:sz w:val="20"/>
                <w:szCs w:val="20"/>
              </w:rPr>
              <w:t>3 (1.4)</w:t>
            </w:r>
          </w:p>
        </w:tc>
      </w:tr>
      <w:tr w:rsidR="00101155" w:rsidRPr="00796FB8" w:rsidTr="00D74404">
        <w:trPr>
          <w:trHeight w:val="321"/>
          <w:jc w:val="center"/>
        </w:trPr>
        <w:tc>
          <w:tcPr>
            <w:tcW w:w="15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rPr>
                <w:rFonts w:ascii="Arial Narrow" w:hAnsi="Arial Narrow" w:cstheme="minorHAnsi"/>
                <w:sz w:val="20"/>
                <w:szCs w:val="20"/>
              </w:rPr>
            </w:pPr>
            <w:r w:rsidRPr="00796FB8">
              <w:rPr>
                <w:rFonts w:ascii="Arial Narrow" w:hAnsi="Arial Narrow" w:cstheme="minorHAnsi"/>
                <w:sz w:val="20"/>
                <w:szCs w:val="20"/>
              </w:rPr>
              <w:t>Deaths</w:t>
            </w:r>
            <w:r w:rsidRPr="00796FB8">
              <w:rPr>
                <w:rFonts w:ascii="Arial Narrow" w:hAnsi="Arial Narrow" w:cstheme="minorHAnsi"/>
                <w:sz w:val="20"/>
                <w:szCs w:val="20"/>
                <w:vertAlign w:val="superscript"/>
              </w:rPr>
              <w:t>a</w:t>
            </w:r>
          </w:p>
        </w:tc>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1 (0.4)</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1 (0.5)</w:t>
            </w:r>
          </w:p>
        </w:tc>
        <w:tc>
          <w:tcPr>
            <w:tcW w:w="12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1155" w:rsidRPr="00796FB8" w:rsidRDefault="00101155" w:rsidP="00BF3C38">
            <w:pPr>
              <w:jc w:val="center"/>
              <w:rPr>
                <w:rFonts w:ascii="Arial Narrow" w:hAnsi="Arial Narrow" w:cstheme="minorHAnsi"/>
                <w:sz w:val="20"/>
                <w:szCs w:val="20"/>
              </w:rPr>
            </w:pPr>
            <w:r w:rsidRPr="00796FB8">
              <w:rPr>
                <w:rFonts w:ascii="Arial Narrow" w:hAnsi="Arial Narrow" w:cstheme="minorHAnsi"/>
                <w:sz w:val="20"/>
                <w:szCs w:val="20"/>
              </w:rPr>
              <w:t>0</w:t>
            </w:r>
          </w:p>
        </w:tc>
      </w:tr>
    </w:tbl>
    <w:p w:rsidR="00101155" w:rsidRPr="00796FB8" w:rsidRDefault="00101155" w:rsidP="00BF3C38">
      <w:pPr>
        <w:pStyle w:val="TableFigureFooter"/>
        <w:ind w:left="142" w:hanging="142"/>
        <w:rPr>
          <w:rFonts w:ascii="Calibri" w:hAnsi="Calibri"/>
        </w:rPr>
      </w:pPr>
      <w:r w:rsidRPr="00796FB8">
        <w:t>Source: Table 2-45, p 87 of the submission; data modified to correct the safety population numbers in the table.</w:t>
      </w:r>
    </w:p>
    <w:p w:rsidR="00101155" w:rsidRPr="00796FB8" w:rsidRDefault="00101155" w:rsidP="00BF3C38">
      <w:pPr>
        <w:pStyle w:val="TableFigureFooter"/>
        <w:ind w:left="142" w:hanging="142"/>
        <w:rPr>
          <w:rFonts w:ascii="Calibri" w:hAnsi="Calibri"/>
          <w:szCs w:val="18"/>
        </w:rPr>
      </w:pPr>
      <w:r w:rsidRPr="00796FB8">
        <w:rPr>
          <w:szCs w:val="18"/>
        </w:rPr>
        <w:t>ESL = eslicarbazepine acetate; TEAE = treatment-emergent adverse event.</w:t>
      </w:r>
    </w:p>
    <w:p w:rsidR="00101155" w:rsidRPr="00796FB8" w:rsidRDefault="00101155" w:rsidP="00BF3C38">
      <w:pPr>
        <w:pStyle w:val="TableFigureFooter"/>
        <w:ind w:left="142" w:hanging="142"/>
        <w:rPr>
          <w:szCs w:val="18"/>
        </w:rPr>
      </w:pPr>
      <w:r w:rsidRPr="00796FB8">
        <w:rPr>
          <w:szCs w:val="18"/>
          <w:vertAlign w:val="superscript"/>
        </w:rPr>
        <w:t>a</w:t>
      </w:r>
      <w:r w:rsidR="00C07984">
        <w:rPr>
          <w:szCs w:val="18"/>
          <w:vertAlign w:val="superscript"/>
        </w:rPr>
        <w:t xml:space="preserve"> </w:t>
      </w:r>
      <w:r w:rsidRPr="00796FB8">
        <w:rPr>
          <w:szCs w:val="18"/>
        </w:rPr>
        <w:t>Data are based on the double-blind, placebo-controlled period.</w:t>
      </w:r>
    </w:p>
    <w:p w:rsidR="00101155" w:rsidRPr="00796FB8" w:rsidRDefault="00101155" w:rsidP="00BF3C38">
      <w:pPr>
        <w:pStyle w:val="3-BodyText"/>
      </w:pPr>
      <w:r w:rsidRPr="00796FB8">
        <w:t>An ITC was performed between Study 304 and the four LAC studies, using placebo as the common reference. The outcomes consisted of three safety outcomes:</w:t>
      </w:r>
    </w:p>
    <w:p w:rsidR="00101155" w:rsidRPr="00796FB8" w:rsidRDefault="00101155" w:rsidP="00BF3C38">
      <w:pPr>
        <w:numPr>
          <w:ilvl w:val="0"/>
          <w:numId w:val="12"/>
        </w:numPr>
        <w:spacing w:line="259" w:lineRule="auto"/>
        <w:ind w:left="1080"/>
        <w:jc w:val="left"/>
      </w:pPr>
      <w:r w:rsidRPr="00796FB8">
        <w:t>Withdrawal due to AE</w:t>
      </w:r>
    </w:p>
    <w:p w:rsidR="00101155" w:rsidRPr="00796FB8" w:rsidRDefault="00101155" w:rsidP="00BF3C38">
      <w:pPr>
        <w:numPr>
          <w:ilvl w:val="0"/>
          <w:numId w:val="12"/>
        </w:numPr>
        <w:spacing w:line="259" w:lineRule="auto"/>
        <w:ind w:left="1080"/>
        <w:jc w:val="left"/>
      </w:pPr>
      <w:r w:rsidRPr="00796FB8">
        <w:t>Dizziness</w:t>
      </w:r>
    </w:p>
    <w:p w:rsidR="00101155" w:rsidRPr="00796FB8" w:rsidRDefault="00101155" w:rsidP="00BF3C38">
      <w:pPr>
        <w:numPr>
          <w:ilvl w:val="0"/>
          <w:numId w:val="12"/>
        </w:numPr>
        <w:spacing w:after="120" w:line="259" w:lineRule="auto"/>
        <w:ind w:left="1077" w:hanging="357"/>
        <w:jc w:val="left"/>
      </w:pPr>
      <w:r w:rsidRPr="00796FB8">
        <w:t>Somnolence</w:t>
      </w:r>
    </w:p>
    <w:p w:rsidR="00101155" w:rsidRPr="00796FB8" w:rsidRDefault="005B3EEF" w:rsidP="00BF3C38">
      <w:pPr>
        <w:pStyle w:val="3-BodyText"/>
        <w:rPr>
          <w:color w:val="0066FF"/>
        </w:rPr>
      </w:pPr>
      <w:r w:rsidRPr="00796FB8">
        <w:rPr>
          <w:iCs/>
        </w:rPr>
        <w:t xml:space="preserve">Limiting the safety comparison to withdrawal due to AE and two individual TEAEs </w:t>
      </w:r>
      <w:r w:rsidR="000920C2" w:rsidRPr="00796FB8">
        <w:rPr>
          <w:iCs/>
        </w:rPr>
        <w:t xml:space="preserve">did </w:t>
      </w:r>
      <w:r w:rsidRPr="00796FB8">
        <w:rPr>
          <w:iCs/>
        </w:rPr>
        <w:t>not provide a comprehensive comparison of the safety data</w:t>
      </w:r>
      <w:r w:rsidR="00842C50" w:rsidRPr="00796FB8">
        <w:rPr>
          <w:iCs/>
        </w:rPr>
        <w:t>,</w:t>
      </w:r>
      <w:r w:rsidRPr="00796FB8">
        <w:rPr>
          <w:iCs/>
        </w:rPr>
        <w:t xml:space="preserve"> particularly when the individual TEAE profiles of ESL and LAC may differ. A</w:t>
      </w:r>
      <w:r w:rsidR="00C00DB2" w:rsidRPr="00796FB8">
        <w:rPr>
          <w:iCs/>
        </w:rPr>
        <w:t xml:space="preserve"> more </w:t>
      </w:r>
      <w:r w:rsidRPr="00796FB8">
        <w:rPr>
          <w:iCs/>
        </w:rPr>
        <w:t>appropriate comparison may include categories such as ‘</w:t>
      </w:r>
      <w:r w:rsidR="00101155" w:rsidRPr="00796FB8">
        <w:rPr>
          <w:iCs/>
        </w:rPr>
        <w:t>Any TEAE</w:t>
      </w:r>
      <w:r w:rsidRPr="00796FB8">
        <w:rPr>
          <w:iCs/>
        </w:rPr>
        <w:t>’ and ‘</w:t>
      </w:r>
      <w:r w:rsidR="00101155" w:rsidRPr="00796FB8">
        <w:rPr>
          <w:iCs/>
        </w:rPr>
        <w:t>serious adverse events</w:t>
      </w:r>
      <w:r w:rsidRPr="00796FB8">
        <w:rPr>
          <w:iCs/>
        </w:rPr>
        <w:t xml:space="preserve">’, as well as </w:t>
      </w:r>
      <w:r w:rsidR="00AA4F2D" w:rsidRPr="00796FB8">
        <w:rPr>
          <w:iCs/>
        </w:rPr>
        <w:t>up to</w:t>
      </w:r>
      <w:r w:rsidRPr="00796FB8">
        <w:rPr>
          <w:iCs/>
        </w:rPr>
        <w:t xml:space="preserve"> 12 individual TEAEs.</w:t>
      </w:r>
      <w:r w:rsidR="00101155" w:rsidRPr="00796FB8">
        <w:rPr>
          <w:iCs/>
        </w:rPr>
        <w:t xml:space="preserve"> </w:t>
      </w:r>
    </w:p>
    <w:p w:rsidR="00101155" w:rsidRPr="00796FB8" w:rsidRDefault="00101155" w:rsidP="00BF3C38">
      <w:pPr>
        <w:pStyle w:val="3-BodyText"/>
      </w:pPr>
      <w:r w:rsidRPr="00796FB8">
        <w:t xml:space="preserve">The safety outcomes </w:t>
      </w:r>
      <w:r w:rsidR="00AA4F2D" w:rsidRPr="00796FB8">
        <w:t>of the ITC are</w:t>
      </w:r>
      <w:r w:rsidRPr="00796FB8">
        <w:t xml:space="preserve"> provided in </w:t>
      </w:r>
      <w:r w:rsidR="002B1346" w:rsidRPr="00796FB8">
        <w:t>Table 10</w:t>
      </w:r>
      <w:r w:rsidRPr="00796FB8">
        <w:t xml:space="preserve"> below. A risk ratio less than 1 favours ESL. The submission stated these results favoured the claim that ESL has a similar (non-inferior) tolerability profile when compared to LAC.</w:t>
      </w:r>
      <w:r w:rsidRPr="00796FB8">
        <w:rPr>
          <w:iCs/>
        </w:rPr>
        <w:t xml:space="preserve"> Similar to the efficacy claim, this is not a reasonable interpretation of these data. </w:t>
      </w:r>
      <w:r w:rsidR="00C97820" w:rsidRPr="00796FB8">
        <w:rPr>
          <w:iCs/>
        </w:rPr>
        <w:t>All of the upper 95% CIs are greater than 1, with upper CIs for withdrawal due to AE and somnolence being greater than 3, indicating that the CIs are very wide and may not be able to be meaningfully interpreted.</w:t>
      </w:r>
    </w:p>
    <w:p w:rsidR="00101155" w:rsidRPr="00796FB8" w:rsidRDefault="00101155" w:rsidP="00BF3C38">
      <w:pPr>
        <w:pStyle w:val="TableFigureHeading"/>
      </w:pPr>
      <w:bookmarkStart w:id="29" w:name="_Ref58211935"/>
      <w:r w:rsidRPr="00796FB8">
        <w:t xml:space="preserve">Table </w:t>
      </w:r>
      <w:bookmarkEnd w:id="29"/>
      <w:r w:rsidR="002B1346" w:rsidRPr="00796FB8">
        <w:t>10</w:t>
      </w:r>
      <w:r w:rsidRPr="00796FB8">
        <w:t>: Indirect comparisons of ESL and LAC for safety outcomes</w:t>
      </w:r>
    </w:p>
    <w:tbl>
      <w:tblPr>
        <w:tblStyle w:val="Sourcetable8"/>
        <w:tblW w:w="0" w:type="auto"/>
        <w:tblLook w:val="04A0" w:firstRow="1" w:lastRow="0" w:firstColumn="1" w:lastColumn="0" w:noHBand="0" w:noVBand="1"/>
        <w:tblCaption w:val="Table 10: Indirect comparisons of ESL and LAC for safety outcomes"/>
      </w:tblPr>
      <w:tblGrid>
        <w:gridCol w:w="2028"/>
        <w:gridCol w:w="1323"/>
        <w:gridCol w:w="1245"/>
        <w:gridCol w:w="1402"/>
        <w:gridCol w:w="1540"/>
        <w:gridCol w:w="1479"/>
      </w:tblGrid>
      <w:tr w:rsidR="00101155" w:rsidRPr="00796FB8" w:rsidTr="0069318E">
        <w:trPr>
          <w:tblHeader/>
        </w:trPr>
        <w:tc>
          <w:tcPr>
            <w:tcW w:w="2028" w:type="dxa"/>
            <w:shd w:val="clear" w:color="auto" w:fill="BFBFBF"/>
          </w:tcPr>
          <w:p w:rsidR="00101155" w:rsidRPr="00796FB8" w:rsidRDefault="00101155" w:rsidP="00BF3C38">
            <w:pPr>
              <w:jc w:val="left"/>
              <w:rPr>
                <w:rFonts w:ascii="Arial Narrow" w:hAnsi="Arial Narrow" w:cs="Times New Roman"/>
                <w:sz w:val="20"/>
                <w:szCs w:val="22"/>
                <w:lang w:val="en-AU"/>
              </w:rPr>
            </w:pPr>
          </w:p>
        </w:tc>
        <w:tc>
          <w:tcPr>
            <w:tcW w:w="2568" w:type="dxa"/>
            <w:gridSpan w:val="2"/>
            <w:shd w:val="clear" w:color="auto" w:fill="BFBFBF"/>
          </w:tcPr>
          <w:p w:rsidR="00101155" w:rsidRPr="00796FB8" w:rsidRDefault="00101155" w:rsidP="00BF3C38">
            <w:pPr>
              <w:jc w:val="left"/>
              <w:rPr>
                <w:rFonts w:ascii="Arial Narrow" w:hAnsi="Arial Narrow" w:cs="Times New Roman"/>
                <w:sz w:val="20"/>
                <w:szCs w:val="22"/>
                <w:lang w:val="en-AU"/>
              </w:rPr>
            </w:pPr>
          </w:p>
        </w:tc>
        <w:tc>
          <w:tcPr>
            <w:tcW w:w="4421" w:type="dxa"/>
            <w:gridSpan w:val="3"/>
            <w:shd w:val="clear" w:color="auto" w:fill="BFBFBF"/>
          </w:tcPr>
          <w:p w:rsidR="00101155" w:rsidRPr="00796FB8" w:rsidRDefault="00101155" w:rsidP="00BF3C38">
            <w:pPr>
              <w:jc w:val="center"/>
              <w:rPr>
                <w:rFonts w:ascii="Arial Narrow" w:hAnsi="Arial Narrow" w:cs="Times New Roman"/>
                <w:b/>
                <w:bCs/>
                <w:sz w:val="20"/>
                <w:szCs w:val="22"/>
                <w:lang w:val="en-AU"/>
              </w:rPr>
            </w:pPr>
            <w:r w:rsidRPr="00796FB8">
              <w:rPr>
                <w:rFonts w:ascii="Arial Narrow" w:hAnsi="Arial Narrow" w:cs="Times New Roman"/>
                <w:b/>
                <w:bCs/>
                <w:sz w:val="20"/>
                <w:szCs w:val="22"/>
                <w:lang w:val="en-AU"/>
              </w:rPr>
              <w:t>Risk ratio</w:t>
            </w:r>
          </w:p>
        </w:tc>
      </w:tr>
      <w:tr w:rsidR="00101155" w:rsidRPr="00796FB8" w:rsidTr="00A116FD">
        <w:tc>
          <w:tcPr>
            <w:tcW w:w="2028" w:type="dxa"/>
            <w:shd w:val="clear" w:color="auto" w:fill="BFBFBF"/>
          </w:tcPr>
          <w:p w:rsidR="00101155" w:rsidRPr="00796FB8" w:rsidRDefault="00101155" w:rsidP="00BF3C38">
            <w:pPr>
              <w:jc w:val="left"/>
              <w:rPr>
                <w:rFonts w:ascii="Arial Narrow" w:hAnsi="Arial Narrow" w:cs="Times New Roman"/>
                <w:sz w:val="20"/>
                <w:szCs w:val="22"/>
                <w:lang w:val="en-AU"/>
              </w:rPr>
            </w:pPr>
          </w:p>
        </w:tc>
        <w:tc>
          <w:tcPr>
            <w:tcW w:w="2568" w:type="dxa"/>
            <w:gridSpan w:val="2"/>
            <w:shd w:val="clear" w:color="auto" w:fill="BFBFBF"/>
          </w:tcPr>
          <w:p w:rsidR="00101155" w:rsidRPr="00796FB8" w:rsidRDefault="00101155" w:rsidP="00BF3C38">
            <w:pPr>
              <w:jc w:val="center"/>
              <w:rPr>
                <w:rFonts w:ascii="Arial Narrow" w:hAnsi="Arial Narrow" w:cs="Times New Roman"/>
                <w:b/>
                <w:bCs/>
                <w:sz w:val="20"/>
                <w:szCs w:val="22"/>
                <w:lang w:val="en-AU"/>
              </w:rPr>
            </w:pPr>
            <w:r w:rsidRPr="00796FB8">
              <w:rPr>
                <w:rFonts w:ascii="Arial Narrow" w:hAnsi="Arial Narrow" w:cs="Times New Roman"/>
                <w:b/>
                <w:bCs/>
                <w:sz w:val="20"/>
                <w:szCs w:val="22"/>
                <w:lang w:val="en-AU"/>
              </w:rPr>
              <w:t>Estimated effect Treatment / Placebo</w:t>
            </w:r>
          </w:p>
        </w:tc>
        <w:tc>
          <w:tcPr>
            <w:tcW w:w="4421" w:type="dxa"/>
            <w:gridSpan w:val="3"/>
            <w:shd w:val="clear" w:color="auto" w:fill="BFBFBF"/>
          </w:tcPr>
          <w:p w:rsidR="00101155" w:rsidRPr="00796FB8" w:rsidRDefault="00101155" w:rsidP="00BF3C38">
            <w:pPr>
              <w:jc w:val="center"/>
              <w:rPr>
                <w:rFonts w:ascii="Arial Narrow" w:hAnsi="Arial Narrow" w:cs="Times New Roman"/>
                <w:b/>
                <w:bCs/>
                <w:sz w:val="20"/>
                <w:szCs w:val="22"/>
                <w:lang w:val="en-AU"/>
              </w:rPr>
            </w:pPr>
            <w:r w:rsidRPr="00796FB8">
              <w:rPr>
                <w:rFonts w:ascii="Arial Narrow" w:hAnsi="Arial Narrow" w:cs="Times New Roman"/>
                <w:b/>
                <w:bCs/>
                <w:sz w:val="20"/>
                <w:szCs w:val="22"/>
                <w:lang w:val="en-AU"/>
              </w:rPr>
              <w:t>Indirect comparison ESL / LAC</w:t>
            </w:r>
          </w:p>
        </w:tc>
      </w:tr>
      <w:tr w:rsidR="00101155" w:rsidRPr="00796FB8" w:rsidTr="00A116FD">
        <w:tc>
          <w:tcPr>
            <w:tcW w:w="2028" w:type="dxa"/>
            <w:shd w:val="clear" w:color="auto" w:fill="D9D9D9"/>
          </w:tcPr>
          <w:p w:rsidR="00101155" w:rsidRPr="00796FB8" w:rsidRDefault="00101155" w:rsidP="00BF3C38">
            <w:pPr>
              <w:jc w:val="left"/>
              <w:rPr>
                <w:rFonts w:ascii="Arial Narrow" w:hAnsi="Arial Narrow" w:cs="Times New Roman"/>
                <w:sz w:val="20"/>
                <w:szCs w:val="22"/>
                <w:lang w:val="en-AU"/>
              </w:rPr>
            </w:pPr>
            <w:bookmarkStart w:id="30" w:name="_GoBack"/>
          </w:p>
        </w:tc>
        <w:tc>
          <w:tcPr>
            <w:tcW w:w="1323" w:type="dxa"/>
            <w:shd w:val="clear" w:color="auto" w:fill="D9D9D9"/>
          </w:tcPr>
          <w:p w:rsidR="00101155" w:rsidRPr="00796FB8" w:rsidRDefault="00101155" w:rsidP="00BF3C38">
            <w:pPr>
              <w:jc w:val="center"/>
              <w:rPr>
                <w:rFonts w:ascii="Arial Narrow" w:hAnsi="Arial Narrow" w:cs="Times New Roman"/>
                <w:b/>
                <w:bCs/>
                <w:sz w:val="20"/>
                <w:szCs w:val="22"/>
                <w:lang w:val="en-AU"/>
              </w:rPr>
            </w:pPr>
            <w:r w:rsidRPr="00796FB8">
              <w:rPr>
                <w:rFonts w:ascii="Arial Narrow" w:hAnsi="Arial Narrow" w:cs="Times New Roman"/>
                <w:b/>
                <w:bCs/>
                <w:sz w:val="20"/>
                <w:szCs w:val="22"/>
                <w:lang w:val="en-AU"/>
              </w:rPr>
              <w:t>ESL</w:t>
            </w:r>
          </w:p>
        </w:tc>
        <w:tc>
          <w:tcPr>
            <w:tcW w:w="1245" w:type="dxa"/>
            <w:shd w:val="clear" w:color="auto" w:fill="D9D9D9"/>
          </w:tcPr>
          <w:p w:rsidR="00101155" w:rsidRPr="00796FB8" w:rsidRDefault="00101155" w:rsidP="00BF3C38">
            <w:pPr>
              <w:jc w:val="center"/>
              <w:rPr>
                <w:rFonts w:ascii="Arial Narrow" w:hAnsi="Arial Narrow" w:cs="Times New Roman"/>
                <w:b/>
                <w:bCs/>
                <w:sz w:val="20"/>
                <w:szCs w:val="22"/>
                <w:lang w:val="en-AU"/>
              </w:rPr>
            </w:pPr>
            <w:r w:rsidRPr="00796FB8">
              <w:rPr>
                <w:rFonts w:ascii="Arial Narrow" w:hAnsi="Arial Narrow" w:cs="Times New Roman"/>
                <w:b/>
                <w:bCs/>
                <w:sz w:val="20"/>
                <w:szCs w:val="22"/>
                <w:lang w:val="en-AU"/>
              </w:rPr>
              <w:t>LAC</w:t>
            </w:r>
          </w:p>
        </w:tc>
        <w:tc>
          <w:tcPr>
            <w:tcW w:w="1402" w:type="dxa"/>
            <w:shd w:val="clear" w:color="auto" w:fill="D9D9D9"/>
          </w:tcPr>
          <w:p w:rsidR="00101155" w:rsidRPr="00796FB8" w:rsidRDefault="00101155" w:rsidP="00BF3C38">
            <w:pPr>
              <w:jc w:val="center"/>
              <w:rPr>
                <w:rFonts w:ascii="Arial Narrow" w:hAnsi="Arial Narrow" w:cs="Times New Roman"/>
                <w:b/>
                <w:bCs/>
                <w:sz w:val="20"/>
                <w:szCs w:val="22"/>
                <w:lang w:val="en-AU"/>
              </w:rPr>
            </w:pPr>
            <w:r w:rsidRPr="00796FB8">
              <w:rPr>
                <w:rFonts w:ascii="Arial Narrow" w:hAnsi="Arial Narrow" w:cs="Times New Roman"/>
                <w:b/>
                <w:bCs/>
                <w:sz w:val="20"/>
                <w:szCs w:val="22"/>
                <w:lang w:val="en-AU"/>
              </w:rPr>
              <w:t>Estimate</w:t>
            </w:r>
          </w:p>
        </w:tc>
        <w:tc>
          <w:tcPr>
            <w:tcW w:w="1540" w:type="dxa"/>
            <w:shd w:val="clear" w:color="auto" w:fill="D9D9D9"/>
          </w:tcPr>
          <w:p w:rsidR="00101155" w:rsidRPr="00796FB8" w:rsidRDefault="00101155" w:rsidP="00BF3C38">
            <w:pPr>
              <w:jc w:val="center"/>
              <w:rPr>
                <w:rFonts w:ascii="Arial Narrow" w:hAnsi="Arial Narrow" w:cs="Times New Roman"/>
                <w:b/>
                <w:bCs/>
                <w:sz w:val="20"/>
                <w:szCs w:val="22"/>
                <w:lang w:val="en-AU"/>
              </w:rPr>
            </w:pPr>
            <w:r w:rsidRPr="00796FB8">
              <w:rPr>
                <w:rFonts w:ascii="Arial Narrow" w:hAnsi="Arial Narrow" w:cs="Times New Roman"/>
                <w:b/>
                <w:bCs/>
                <w:sz w:val="20"/>
                <w:szCs w:val="22"/>
                <w:lang w:val="en-AU"/>
              </w:rPr>
              <w:t>95% confidence interval</w:t>
            </w:r>
          </w:p>
        </w:tc>
        <w:tc>
          <w:tcPr>
            <w:tcW w:w="1479" w:type="dxa"/>
            <w:shd w:val="clear" w:color="auto" w:fill="D9D9D9"/>
          </w:tcPr>
          <w:p w:rsidR="00101155" w:rsidRPr="00796FB8" w:rsidRDefault="00101155" w:rsidP="00BF3C38">
            <w:pPr>
              <w:jc w:val="center"/>
              <w:rPr>
                <w:rFonts w:ascii="Arial Narrow" w:hAnsi="Arial Narrow" w:cs="Times New Roman"/>
                <w:b/>
                <w:bCs/>
                <w:sz w:val="20"/>
                <w:szCs w:val="22"/>
                <w:lang w:val="en-AU"/>
              </w:rPr>
            </w:pPr>
            <w:r w:rsidRPr="00796FB8">
              <w:rPr>
                <w:rFonts w:ascii="Arial Narrow" w:hAnsi="Arial Narrow" w:cs="Times New Roman"/>
                <w:b/>
                <w:bCs/>
                <w:sz w:val="20"/>
                <w:szCs w:val="22"/>
                <w:lang w:val="en-AU"/>
              </w:rPr>
              <w:t>P-value</w:t>
            </w:r>
          </w:p>
        </w:tc>
      </w:tr>
      <w:bookmarkEnd w:id="30"/>
      <w:tr w:rsidR="00101155" w:rsidRPr="00796FB8" w:rsidTr="00A116FD">
        <w:tc>
          <w:tcPr>
            <w:tcW w:w="9017" w:type="dxa"/>
            <w:gridSpan w:val="6"/>
          </w:tcPr>
          <w:p w:rsidR="00101155" w:rsidRPr="00796FB8" w:rsidRDefault="00101155" w:rsidP="00BF3C38">
            <w:pPr>
              <w:jc w:val="left"/>
              <w:rPr>
                <w:rFonts w:ascii="Arial Narrow" w:hAnsi="Arial Narrow" w:cs="Times New Roman"/>
                <w:b/>
                <w:bCs/>
                <w:sz w:val="20"/>
                <w:szCs w:val="22"/>
                <w:lang w:val="en-AU"/>
              </w:rPr>
            </w:pPr>
            <w:r w:rsidRPr="00796FB8">
              <w:rPr>
                <w:rFonts w:ascii="Arial Narrow" w:hAnsi="Arial Narrow" w:cs="Times New Roman"/>
                <w:b/>
                <w:bCs/>
                <w:sz w:val="20"/>
                <w:szCs w:val="22"/>
                <w:lang w:val="en-AU"/>
              </w:rPr>
              <w:t>ESL 800</w:t>
            </w:r>
            <w:r w:rsidR="008175AD" w:rsidRPr="00796FB8">
              <w:rPr>
                <w:rFonts w:ascii="Arial Narrow" w:hAnsi="Arial Narrow" w:cs="Times New Roman"/>
                <w:b/>
                <w:bCs/>
                <w:sz w:val="20"/>
                <w:szCs w:val="22"/>
                <w:lang w:val="en-AU"/>
              </w:rPr>
              <w:t xml:space="preserve"> </w:t>
            </w:r>
            <w:r w:rsidRPr="00796FB8">
              <w:rPr>
                <w:rFonts w:ascii="Arial Narrow" w:hAnsi="Arial Narrow" w:cs="Times New Roman"/>
                <w:b/>
                <w:bCs/>
                <w:sz w:val="20"/>
                <w:szCs w:val="22"/>
                <w:lang w:val="en-AU"/>
              </w:rPr>
              <w:t>mg versus LAC 200</w:t>
            </w:r>
            <w:r w:rsidR="008175AD" w:rsidRPr="00796FB8">
              <w:rPr>
                <w:rFonts w:ascii="Arial Narrow" w:hAnsi="Arial Narrow" w:cs="Times New Roman"/>
                <w:b/>
                <w:bCs/>
                <w:sz w:val="20"/>
                <w:szCs w:val="22"/>
                <w:lang w:val="en-AU"/>
              </w:rPr>
              <w:t xml:space="preserve"> </w:t>
            </w:r>
            <w:r w:rsidRPr="00796FB8">
              <w:rPr>
                <w:rFonts w:ascii="Arial Narrow" w:hAnsi="Arial Narrow" w:cs="Times New Roman"/>
                <w:b/>
                <w:bCs/>
                <w:sz w:val="20"/>
                <w:szCs w:val="22"/>
                <w:lang w:val="en-AU"/>
              </w:rPr>
              <w:t>mg</w:t>
            </w:r>
          </w:p>
        </w:tc>
      </w:tr>
      <w:tr w:rsidR="00101155" w:rsidRPr="00796FB8" w:rsidTr="00A116FD">
        <w:tc>
          <w:tcPr>
            <w:tcW w:w="2028" w:type="dxa"/>
          </w:tcPr>
          <w:p w:rsidR="00101155" w:rsidRPr="00796FB8" w:rsidRDefault="00101155" w:rsidP="00BF3C38">
            <w:pPr>
              <w:jc w:val="right"/>
              <w:rPr>
                <w:rFonts w:ascii="Arial Narrow" w:hAnsi="Arial Narrow" w:cs="Times New Roman"/>
                <w:sz w:val="20"/>
                <w:szCs w:val="22"/>
                <w:lang w:val="en-AU"/>
              </w:rPr>
            </w:pPr>
            <w:r w:rsidRPr="00796FB8">
              <w:rPr>
                <w:rFonts w:ascii="Arial Narrow" w:hAnsi="Arial Narrow" w:cs="Times New Roman"/>
                <w:sz w:val="20"/>
                <w:szCs w:val="22"/>
                <w:lang w:val="en-AU"/>
              </w:rPr>
              <w:t>Withdrawal due to AE</w:t>
            </w:r>
          </w:p>
        </w:tc>
        <w:tc>
          <w:tcPr>
            <w:tcW w:w="1323"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1.50</w:t>
            </w:r>
          </w:p>
        </w:tc>
        <w:tc>
          <w:tcPr>
            <w:tcW w:w="1245"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1.17</w:t>
            </w:r>
          </w:p>
        </w:tc>
        <w:tc>
          <w:tcPr>
            <w:tcW w:w="1402"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1.28</w:t>
            </w:r>
          </w:p>
        </w:tc>
        <w:tc>
          <w:tcPr>
            <w:tcW w:w="1540"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0.54, 3.07</w:t>
            </w:r>
          </w:p>
        </w:tc>
        <w:tc>
          <w:tcPr>
            <w:tcW w:w="1479"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0.575</w:t>
            </w:r>
          </w:p>
        </w:tc>
      </w:tr>
      <w:tr w:rsidR="00101155" w:rsidRPr="00796FB8" w:rsidTr="00A116FD">
        <w:tc>
          <w:tcPr>
            <w:tcW w:w="2028" w:type="dxa"/>
          </w:tcPr>
          <w:p w:rsidR="00101155" w:rsidRPr="00796FB8" w:rsidRDefault="00101155" w:rsidP="00BF3C38">
            <w:pPr>
              <w:jc w:val="right"/>
              <w:rPr>
                <w:rFonts w:ascii="Arial Narrow" w:hAnsi="Arial Narrow" w:cs="Times New Roman"/>
                <w:sz w:val="20"/>
                <w:szCs w:val="22"/>
                <w:lang w:val="en-AU"/>
              </w:rPr>
            </w:pPr>
            <w:r w:rsidRPr="00796FB8">
              <w:rPr>
                <w:rFonts w:ascii="Arial Narrow" w:hAnsi="Arial Narrow" w:cs="Times New Roman"/>
                <w:sz w:val="20"/>
                <w:szCs w:val="22"/>
                <w:lang w:val="en-AU"/>
              </w:rPr>
              <w:t>Dizziness</w:t>
            </w:r>
          </w:p>
        </w:tc>
        <w:tc>
          <w:tcPr>
            <w:tcW w:w="1323"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1.86</w:t>
            </w:r>
          </w:p>
        </w:tc>
        <w:tc>
          <w:tcPr>
            <w:tcW w:w="1245"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2.01</w:t>
            </w:r>
          </w:p>
        </w:tc>
        <w:tc>
          <w:tcPr>
            <w:tcW w:w="1402"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0.92</w:t>
            </w:r>
          </w:p>
        </w:tc>
        <w:tc>
          <w:tcPr>
            <w:tcW w:w="1540"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0.48, 1.77</w:t>
            </w:r>
          </w:p>
        </w:tc>
        <w:tc>
          <w:tcPr>
            <w:tcW w:w="1479"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0.805</w:t>
            </w:r>
          </w:p>
        </w:tc>
      </w:tr>
      <w:tr w:rsidR="00101155" w:rsidRPr="00796FB8" w:rsidTr="00A116FD">
        <w:tc>
          <w:tcPr>
            <w:tcW w:w="2028" w:type="dxa"/>
          </w:tcPr>
          <w:p w:rsidR="00101155" w:rsidRPr="00796FB8" w:rsidRDefault="00101155" w:rsidP="00BF3C38">
            <w:pPr>
              <w:jc w:val="right"/>
              <w:rPr>
                <w:rFonts w:ascii="Arial Narrow" w:hAnsi="Arial Narrow" w:cs="Times New Roman"/>
                <w:sz w:val="20"/>
                <w:szCs w:val="22"/>
                <w:lang w:val="en-AU"/>
              </w:rPr>
            </w:pPr>
            <w:r w:rsidRPr="00796FB8">
              <w:rPr>
                <w:rFonts w:ascii="Arial Narrow" w:hAnsi="Arial Narrow" w:cs="Times New Roman"/>
                <w:sz w:val="20"/>
                <w:szCs w:val="22"/>
                <w:lang w:val="en-AU"/>
              </w:rPr>
              <w:t>Somnolence</w:t>
            </w:r>
          </w:p>
        </w:tc>
        <w:tc>
          <w:tcPr>
            <w:tcW w:w="1323"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1.38</w:t>
            </w:r>
          </w:p>
        </w:tc>
        <w:tc>
          <w:tcPr>
            <w:tcW w:w="1245"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1.86</w:t>
            </w:r>
          </w:p>
        </w:tc>
        <w:tc>
          <w:tcPr>
            <w:tcW w:w="1402"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0.74</w:t>
            </w:r>
          </w:p>
        </w:tc>
        <w:tc>
          <w:tcPr>
            <w:tcW w:w="1540"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0.26, 2.08</w:t>
            </w:r>
          </w:p>
        </w:tc>
        <w:tc>
          <w:tcPr>
            <w:tcW w:w="1479"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0.570</w:t>
            </w:r>
          </w:p>
        </w:tc>
      </w:tr>
      <w:tr w:rsidR="00101155" w:rsidRPr="00796FB8" w:rsidTr="00A116FD">
        <w:tc>
          <w:tcPr>
            <w:tcW w:w="9017" w:type="dxa"/>
            <w:gridSpan w:val="6"/>
          </w:tcPr>
          <w:p w:rsidR="00101155" w:rsidRPr="00796FB8" w:rsidRDefault="00101155" w:rsidP="00BF3C38">
            <w:pPr>
              <w:jc w:val="left"/>
              <w:rPr>
                <w:rFonts w:ascii="Arial Narrow" w:hAnsi="Arial Narrow" w:cs="Times New Roman"/>
                <w:b/>
                <w:bCs/>
                <w:sz w:val="20"/>
                <w:szCs w:val="22"/>
                <w:lang w:val="en-AU"/>
              </w:rPr>
            </w:pPr>
            <w:r w:rsidRPr="00796FB8">
              <w:rPr>
                <w:rFonts w:ascii="Arial Narrow" w:hAnsi="Arial Narrow" w:cs="Times New Roman"/>
                <w:b/>
                <w:bCs/>
                <w:sz w:val="20"/>
                <w:szCs w:val="22"/>
                <w:lang w:val="en-AU"/>
              </w:rPr>
              <w:t>ESL 1</w:t>
            </w:r>
            <w:r w:rsidR="00464A5B" w:rsidRPr="00796FB8">
              <w:rPr>
                <w:rFonts w:ascii="Arial Narrow" w:hAnsi="Arial Narrow" w:cs="Times New Roman"/>
                <w:b/>
                <w:bCs/>
                <w:sz w:val="20"/>
                <w:szCs w:val="22"/>
                <w:lang w:val="en-AU"/>
              </w:rPr>
              <w:t>,</w:t>
            </w:r>
            <w:r w:rsidRPr="00796FB8">
              <w:rPr>
                <w:rFonts w:ascii="Arial Narrow" w:hAnsi="Arial Narrow" w:cs="Times New Roman"/>
                <w:b/>
                <w:bCs/>
                <w:sz w:val="20"/>
                <w:szCs w:val="22"/>
                <w:lang w:val="en-AU"/>
              </w:rPr>
              <w:t>200</w:t>
            </w:r>
            <w:r w:rsidR="008175AD" w:rsidRPr="00796FB8">
              <w:rPr>
                <w:rFonts w:ascii="Arial Narrow" w:hAnsi="Arial Narrow" w:cs="Times New Roman"/>
                <w:b/>
                <w:bCs/>
                <w:sz w:val="20"/>
                <w:szCs w:val="22"/>
                <w:lang w:val="en-AU"/>
              </w:rPr>
              <w:t xml:space="preserve"> </w:t>
            </w:r>
            <w:r w:rsidRPr="00796FB8">
              <w:rPr>
                <w:rFonts w:ascii="Arial Narrow" w:hAnsi="Arial Narrow" w:cs="Times New Roman"/>
                <w:b/>
                <w:bCs/>
                <w:sz w:val="20"/>
                <w:szCs w:val="22"/>
                <w:lang w:val="en-AU"/>
              </w:rPr>
              <w:t>mg versus LAC 400</w:t>
            </w:r>
            <w:r w:rsidR="008175AD" w:rsidRPr="00796FB8">
              <w:rPr>
                <w:rFonts w:ascii="Arial Narrow" w:hAnsi="Arial Narrow" w:cs="Times New Roman"/>
                <w:b/>
                <w:bCs/>
                <w:sz w:val="20"/>
                <w:szCs w:val="22"/>
                <w:lang w:val="en-AU"/>
              </w:rPr>
              <w:t xml:space="preserve"> </w:t>
            </w:r>
            <w:r w:rsidRPr="00796FB8">
              <w:rPr>
                <w:rFonts w:ascii="Arial Narrow" w:hAnsi="Arial Narrow" w:cs="Times New Roman"/>
                <w:b/>
                <w:bCs/>
                <w:sz w:val="20"/>
                <w:szCs w:val="22"/>
                <w:lang w:val="en-AU"/>
              </w:rPr>
              <w:t>mg</w:t>
            </w:r>
          </w:p>
        </w:tc>
      </w:tr>
      <w:tr w:rsidR="00101155" w:rsidRPr="00796FB8" w:rsidTr="004B2E31">
        <w:trPr>
          <w:trHeight w:val="187"/>
        </w:trPr>
        <w:tc>
          <w:tcPr>
            <w:tcW w:w="2028" w:type="dxa"/>
          </w:tcPr>
          <w:p w:rsidR="00101155" w:rsidRPr="00796FB8" w:rsidRDefault="00101155" w:rsidP="00BF3C38">
            <w:pPr>
              <w:jc w:val="right"/>
              <w:rPr>
                <w:rFonts w:ascii="Arial Narrow" w:hAnsi="Arial Narrow" w:cs="Times New Roman"/>
                <w:sz w:val="20"/>
                <w:szCs w:val="22"/>
                <w:lang w:val="en-AU"/>
              </w:rPr>
            </w:pPr>
            <w:r w:rsidRPr="00796FB8">
              <w:rPr>
                <w:rFonts w:ascii="Arial Narrow" w:hAnsi="Arial Narrow" w:cs="Times New Roman"/>
                <w:sz w:val="20"/>
                <w:szCs w:val="22"/>
                <w:lang w:val="en-AU"/>
              </w:rPr>
              <w:t>Withdrawal due to AE</w:t>
            </w:r>
          </w:p>
        </w:tc>
        <w:tc>
          <w:tcPr>
            <w:tcW w:w="1323"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3.20</w:t>
            </w:r>
          </w:p>
        </w:tc>
        <w:tc>
          <w:tcPr>
            <w:tcW w:w="1245"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2.97</w:t>
            </w:r>
          </w:p>
        </w:tc>
        <w:tc>
          <w:tcPr>
            <w:tcW w:w="1402"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1.08</w:t>
            </w:r>
          </w:p>
        </w:tc>
        <w:tc>
          <w:tcPr>
            <w:tcW w:w="1540"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0.57, 2.04</w:t>
            </w:r>
          </w:p>
        </w:tc>
        <w:tc>
          <w:tcPr>
            <w:tcW w:w="1479"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0.817</w:t>
            </w:r>
          </w:p>
        </w:tc>
      </w:tr>
      <w:tr w:rsidR="00101155" w:rsidRPr="00796FB8" w:rsidTr="00A116FD">
        <w:tc>
          <w:tcPr>
            <w:tcW w:w="2028" w:type="dxa"/>
          </w:tcPr>
          <w:p w:rsidR="00101155" w:rsidRPr="00796FB8" w:rsidRDefault="00101155" w:rsidP="00BF3C38">
            <w:pPr>
              <w:jc w:val="right"/>
              <w:rPr>
                <w:rFonts w:ascii="Arial Narrow" w:hAnsi="Arial Narrow" w:cs="Times New Roman"/>
                <w:sz w:val="20"/>
                <w:szCs w:val="22"/>
                <w:lang w:val="en-AU"/>
              </w:rPr>
            </w:pPr>
            <w:r w:rsidRPr="00796FB8">
              <w:rPr>
                <w:rFonts w:ascii="Arial Narrow" w:hAnsi="Arial Narrow" w:cs="Times New Roman"/>
                <w:sz w:val="20"/>
                <w:szCs w:val="22"/>
                <w:lang w:val="en-AU"/>
              </w:rPr>
              <w:t>Dizziness</w:t>
            </w:r>
          </w:p>
        </w:tc>
        <w:tc>
          <w:tcPr>
            <w:tcW w:w="1323"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3.09</w:t>
            </w:r>
          </w:p>
        </w:tc>
        <w:tc>
          <w:tcPr>
            <w:tcW w:w="1245"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3.46</w:t>
            </w:r>
          </w:p>
        </w:tc>
        <w:tc>
          <w:tcPr>
            <w:tcW w:w="1402"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0.89</w:t>
            </w:r>
          </w:p>
        </w:tc>
        <w:tc>
          <w:tcPr>
            <w:tcW w:w="1540"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0.50, 1.58</w:t>
            </w:r>
          </w:p>
        </w:tc>
        <w:tc>
          <w:tcPr>
            <w:tcW w:w="1479"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0.700</w:t>
            </w:r>
          </w:p>
        </w:tc>
      </w:tr>
      <w:tr w:rsidR="00101155" w:rsidRPr="00796FB8" w:rsidTr="00A116FD">
        <w:tc>
          <w:tcPr>
            <w:tcW w:w="2028" w:type="dxa"/>
          </w:tcPr>
          <w:p w:rsidR="00101155" w:rsidRPr="00796FB8" w:rsidRDefault="00101155" w:rsidP="00BF3C38">
            <w:pPr>
              <w:jc w:val="right"/>
              <w:rPr>
                <w:rFonts w:ascii="Arial Narrow" w:hAnsi="Arial Narrow" w:cs="Times New Roman"/>
                <w:sz w:val="20"/>
                <w:szCs w:val="22"/>
                <w:lang w:val="en-AU"/>
              </w:rPr>
            </w:pPr>
            <w:r w:rsidRPr="00796FB8">
              <w:rPr>
                <w:rFonts w:ascii="Arial Narrow" w:hAnsi="Arial Narrow" w:cs="Times New Roman"/>
                <w:sz w:val="20"/>
                <w:szCs w:val="22"/>
                <w:lang w:val="en-AU"/>
              </w:rPr>
              <w:t>Somnolence</w:t>
            </w:r>
          </w:p>
        </w:tc>
        <w:tc>
          <w:tcPr>
            <w:tcW w:w="1323"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3.20</w:t>
            </w:r>
          </w:p>
        </w:tc>
        <w:tc>
          <w:tcPr>
            <w:tcW w:w="1245"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2.01</w:t>
            </w:r>
          </w:p>
        </w:tc>
        <w:tc>
          <w:tcPr>
            <w:tcW w:w="1402"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1.59</w:t>
            </w:r>
          </w:p>
        </w:tc>
        <w:tc>
          <w:tcPr>
            <w:tcW w:w="1540"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0.72, 3.53</w:t>
            </w:r>
          </w:p>
        </w:tc>
        <w:tc>
          <w:tcPr>
            <w:tcW w:w="1479" w:type="dxa"/>
          </w:tcPr>
          <w:p w:rsidR="00101155" w:rsidRPr="00796FB8" w:rsidRDefault="00101155" w:rsidP="00BF3C38">
            <w:pPr>
              <w:jc w:val="center"/>
              <w:rPr>
                <w:rFonts w:ascii="Arial Narrow" w:hAnsi="Arial Narrow" w:cs="Times New Roman"/>
                <w:sz w:val="20"/>
                <w:szCs w:val="22"/>
                <w:lang w:val="en-AU"/>
              </w:rPr>
            </w:pPr>
            <w:r w:rsidRPr="00796FB8">
              <w:rPr>
                <w:rFonts w:ascii="Arial Narrow" w:hAnsi="Arial Narrow" w:cs="Times New Roman"/>
                <w:sz w:val="20"/>
                <w:szCs w:val="22"/>
                <w:lang w:val="en-AU"/>
              </w:rPr>
              <w:t>0.255</w:t>
            </w:r>
          </w:p>
        </w:tc>
      </w:tr>
    </w:tbl>
    <w:p w:rsidR="00101155" w:rsidRPr="00796FB8" w:rsidRDefault="00101155" w:rsidP="00BF3C38">
      <w:pPr>
        <w:pStyle w:val="TableFigureFooter"/>
      </w:pPr>
      <w:r w:rsidRPr="00796FB8">
        <w:t>Source: Table 2-61, p 107 of the submission.</w:t>
      </w:r>
    </w:p>
    <w:p w:rsidR="00101155" w:rsidRPr="00796FB8" w:rsidRDefault="00101155" w:rsidP="00BF3C38">
      <w:pPr>
        <w:pStyle w:val="TableFigureFooter"/>
      </w:pPr>
      <w:r w:rsidRPr="00796FB8">
        <w:t>AE = adverse event; ESL = eslicarbazepine</w:t>
      </w:r>
      <w:r w:rsidR="00C4771F" w:rsidRPr="00C4771F">
        <w:t xml:space="preserve"> </w:t>
      </w:r>
      <w:r w:rsidR="00C4771F">
        <w:t>acetate</w:t>
      </w:r>
      <w:r w:rsidRPr="00796FB8">
        <w:t>; LAC = lacosamide.</w:t>
      </w:r>
    </w:p>
    <w:bookmarkEnd w:id="27"/>
    <w:p w:rsidR="00884FBA" w:rsidRPr="00796FB8" w:rsidRDefault="00A856F5" w:rsidP="00BF3C38">
      <w:pPr>
        <w:pStyle w:val="3-BodyText"/>
        <w:rPr>
          <w:color w:val="0066FF"/>
        </w:rPr>
      </w:pPr>
      <w:r w:rsidRPr="00796FB8">
        <w:rPr>
          <w:iCs/>
        </w:rPr>
        <w:t>The PSCR</w:t>
      </w:r>
      <w:r w:rsidR="00C72999" w:rsidRPr="00796FB8">
        <w:rPr>
          <w:iCs/>
        </w:rPr>
        <w:t xml:space="preserve"> and pre-PBAC response</w:t>
      </w:r>
      <w:r w:rsidRPr="00796FB8">
        <w:rPr>
          <w:iCs/>
        </w:rPr>
        <w:t xml:space="preserve"> argued that ESL is a well-tolerated treatment with a manageable adverse event profile that is comparable to the profile of LAC. The ESC noted that the PSCR provided raw tabulated data in support of this statement, and considered these data would need to be included in the ITC to allow for appropriate interpretation.</w:t>
      </w:r>
      <w:r w:rsidR="00635CA5" w:rsidRPr="00796FB8">
        <w:rPr>
          <w:iCs/>
        </w:rPr>
        <w:t xml:space="preserve"> The pre-PBAC response provided a naïve comparison for additional AEs that were not included in the </w:t>
      </w:r>
      <w:r w:rsidR="00FB6EA9" w:rsidRPr="00796FB8">
        <w:rPr>
          <w:iCs/>
        </w:rPr>
        <w:t>original submission</w:t>
      </w:r>
      <w:r w:rsidR="00635CA5" w:rsidRPr="00796FB8">
        <w:rPr>
          <w:iCs/>
        </w:rPr>
        <w:t>.</w:t>
      </w:r>
    </w:p>
    <w:p w:rsidR="00A856F5" w:rsidRPr="00796FB8" w:rsidRDefault="00635CA5" w:rsidP="00BF3C38">
      <w:pPr>
        <w:pStyle w:val="4-SubsectionHeading"/>
      </w:pPr>
      <w:r w:rsidRPr="00796FB8">
        <w:rPr>
          <w:iCs/>
        </w:rPr>
        <w:t xml:space="preserve"> </w:t>
      </w:r>
      <w:r w:rsidR="00A856F5" w:rsidRPr="00796FB8">
        <w:t>Clinical claim</w:t>
      </w:r>
    </w:p>
    <w:p w:rsidR="001F6943" w:rsidRPr="00796FB8" w:rsidRDefault="00392958" w:rsidP="00BF3C38">
      <w:pPr>
        <w:pStyle w:val="3-BodyText"/>
        <w:rPr>
          <w:color w:val="0066FF"/>
        </w:rPr>
      </w:pPr>
      <w:r w:rsidRPr="00796FB8">
        <w:t>The submission described ESL (both 80</w:t>
      </w:r>
      <w:r w:rsidR="00EA1200" w:rsidRPr="00796FB8">
        <w:t>0</w:t>
      </w:r>
      <w:r w:rsidR="00F14D3E" w:rsidRPr="00796FB8">
        <w:t xml:space="preserve"> </w:t>
      </w:r>
      <w:r w:rsidR="00EA1200" w:rsidRPr="00796FB8">
        <w:t>mg</w:t>
      </w:r>
      <w:r w:rsidRPr="00796FB8">
        <w:t xml:space="preserve"> and 1,20</w:t>
      </w:r>
      <w:r w:rsidR="00EA1200" w:rsidRPr="00796FB8">
        <w:t>0</w:t>
      </w:r>
      <w:r w:rsidR="00F14D3E" w:rsidRPr="00796FB8">
        <w:t xml:space="preserve"> </w:t>
      </w:r>
      <w:r w:rsidR="00EA1200" w:rsidRPr="00796FB8">
        <w:t>mg</w:t>
      </w:r>
      <w:r w:rsidRPr="00796FB8">
        <w:t xml:space="preserve"> doses) as non-inferior in terms of effectiveness and safety compared with LAC in the third-line treatment of treatment-resistant POS. </w:t>
      </w:r>
      <w:r w:rsidRPr="00796FB8">
        <w:rPr>
          <w:iCs/>
        </w:rPr>
        <w:t xml:space="preserve">This claim was not supported by </w:t>
      </w:r>
      <w:r w:rsidR="00273FDE" w:rsidRPr="00796FB8">
        <w:rPr>
          <w:iCs/>
        </w:rPr>
        <w:t xml:space="preserve">the </w:t>
      </w:r>
      <w:r w:rsidRPr="00796FB8">
        <w:rPr>
          <w:iCs/>
        </w:rPr>
        <w:t>evidence submitted</w:t>
      </w:r>
      <w:r w:rsidR="00975E04" w:rsidRPr="00796FB8">
        <w:rPr>
          <w:iCs/>
        </w:rPr>
        <w:t>.</w:t>
      </w:r>
    </w:p>
    <w:p w:rsidR="00392958" w:rsidRPr="00796FB8" w:rsidRDefault="00975E04" w:rsidP="00BF3C38">
      <w:pPr>
        <w:pStyle w:val="3-BodyText"/>
        <w:rPr>
          <w:color w:val="0066FF"/>
        </w:rPr>
      </w:pPr>
      <w:r w:rsidRPr="00796FB8">
        <w:rPr>
          <w:iCs/>
        </w:rPr>
        <w:t>T</w:t>
      </w:r>
      <w:r w:rsidR="00392958" w:rsidRPr="00796FB8">
        <w:rPr>
          <w:iCs/>
        </w:rPr>
        <w:t>he key issues were:</w:t>
      </w:r>
    </w:p>
    <w:p w:rsidR="00392958" w:rsidRPr="00796FB8" w:rsidRDefault="00392958" w:rsidP="00BF3C38">
      <w:pPr>
        <w:pStyle w:val="3-BodyText"/>
        <w:numPr>
          <w:ilvl w:val="1"/>
          <w:numId w:val="13"/>
        </w:numPr>
        <w:ind w:left="1134" w:hanging="436"/>
        <w:rPr>
          <w:iCs/>
        </w:rPr>
      </w:pPr>
      <w:r w:rsidRPr="00796FB8">
        <w:rPr>
          <w:iCs/>
        </w:rPr>
        <w:t xml:space="preserve">The proposed line of therapy and comparator </w:t>
      </w:r>
      <w:r w:rsidR="003B2288" w:rsidRPr="00796FB8">
        <w:rPr>
          <w:iCs/>
        </w:rPr>
        <w:t>was</w:t>
      </w:r>
      <w:r w:rsidRPr="00796FB8">
        <w:rPr>
          <w:iCs/>
        </w:rPr>
        <w:t xml:space="preserve"> inappropriate, and ESL </w:t>
      </w:r>
      <w:r w:rsidR="003B2288" w:rsidRPr="00796FB8">
        <w:rPr>
          <w:iCs/>
        </w:rPr>
        <w:t>is</w:t>
      </w:r>
      <w:r w:rsidRPr="00796FB8">
        <w:rPr>
          <w:iCs/>
        </w:rPr>
        <w:t xml:space="preserve"> unlikely to displace LAC</w:t>
      </w:r>
      <w:r w:rsidR="00275CF9" w:rsidRPr="00796FB8">
        <w:rPr>
          <w:iCs/>
        </w:rPr>
        <w:t xml:space="preserve"> (paragraph 5.3)</w:t>
      </w:r>
      <w:r w:rsidRPr="00796FB8">
        <w:rPr>
          <w:iCs/>
        </w:rPr>
        <w:t xml:space="preserve">. </w:t>
      </w:r>
      <w:r w:rsidR="00DB552A" w:rsidRPr="00796FB8">
        <w:rPr>
          <w:iCs/>
        </w:rPr>
        <w:t>The ESC considered there was no evidence that ESL would confer any substantial benefit to any subgroup of patients with medically refractory epilepsy in the third-line setting; after having tried and failed another dibenzazepine clinicians may be unlikely to forgo the opportunity to add a drug with a novel mechanism of action.</w:t>
      </w:r>
    </w:p>
    <w:p w:rsidR="00392958" w:rsidRPr="00796FB8" w:rsidRDefault="00392958" w:rsidP="00BF3C38">
      <w:pPr>
        <w:pStyle w:val="3-BodyText"/>
        <w:numPr>
          <w:ilvl w:val="1"/>
          <w:numId w:val="13"/>
        </w:numPr>
        <w:ind w:left="1134" w:hanging="436"/>
        <w:rPr>
          <w:iCs/>
        </w:rPr>
      </w:pPr>
      <w:r w:rsidRPr="00796FB8">
        <w:rPr>
          <w:iCs/>
        </w:rPr>
        <w:t xml:space="preserve">Study 304 failed to demonstrate a robust benefit of ESL over placebo. </w:t>
      </w:r>
      <w:r w:rsidR="006D6B20" w:rsidRPr="00796FB8">
        <w:rPr>
          <w:iCs/>
        </w:rPr>
        <w:t>O</w:t>
      </w:r>
      <w:r w:rsidRPr="00796FB8">
        <w:rPr>
          <w:iCs/>
        </w:rPr>
        <w:t>nly the 1,20</w:t>
      </w:r>
      <w:r w:rsidR="00EA1200" w:rsidRPr="00796FB8">
        <w:rPr>
          <w:iCs/>
        </w:rPr>
        <w:t>0</w:t>
      </w:r>
      <w:r w:rsidR="00327772" w:rsidRPr="00796FB8">
        <w:rPr>
          <w:iCs/>
        </w:rPr>
        <w:t xml:space="preserve"> </w:t>
      </w:r>
      <w:r w:rsidR="00EA1200" w:rsidRPr="00796FB8">
        <w:rPr>
          <w:iCs/>
        </w:rPr>
        <w:t>mg</w:t>
      </w:r>
      <w:r w:rsidRPr="00796FB8">
        <w:rPr>
          <w:iCs/>
        </w:rPr>
        <w:t xml:space="preserve"> group was able to demonstrate a statistically significant difference to placebo </w:t>
      </w:r>
      <w:r w:rsidR="00327772" w:rsidRPr="00796FB8">
        <w:rPr>
          <w:iCs/>
        </w:rPr>
        <w:t>for the</w:t>
      </w:r>
      <w:r w:rsidRPr="00796FB8">
        <w:rPr>
          <w:iCs/>
        </w:rPr>
        <w:t xml:space="preserve"> primary and secondary efficacy outcomes</w:t>
      </w:r>
      <w:r w:rsidR="00287F87" w:rsidRPr="00796FB8">
        <w:rPr>
          <w:iCs/>
        </w:rPr>
        <w:t xml:space="preserve"> (paragraph 6.</w:t>
      </w:r>
      <w:r w:rsidR="0036118B" w:rsidRPr="00796FB8">
        <w:rPr>
          <w:iCs/>
        </w:rPr>
        <w:t>7</w:t>
      </w:r>
      <w:r w:rsidR="00287F87" w:rsidRPr="00796FB8">
        <w:rPr>
          <w:iCs/>
        </w:rPr>
        <w:t>)</w:t>
      </w:r>
      <w:r w:rsidRPr="00796FB8">
        <w:rPr>
          <w:iCs/>
        </w:rPr>
        <w:t>. The 1,20</w:t>
      </w:r>
      <w:r w:rsidR="00EA1200" w:rsidRPr="00796FB8">
        <w:rPr>
          <w:iCs/>
        </w:rPr>
        <w:t>0</w:t>
      </w:r>
      <w:r w:rsidR="00327772" w:rsidRPr="00796FB8">
        <w:rPr>
          <w:iCs/>
        </w:rPr>
        <w:t xml:space="preserve"> </w:t>
      </w:r>
      <w:r w:rsidR="00EA1200" w:rsidRPr="00796FB8">
        <w:rPr>
          <w:iCs/>
        </w:rPr>
        <w:t>mg</w:t>
      </w:r>
      <w:r w:rsidRPr="00796FB8">
        <w:rPr>
          <w:iCs/>
        </w:rPr>
        <w:t xml:space="preserve"> group had a higher rate of discontinuations and missing data than the other groups, which may have affected the internal validity and biased the results of Study 304</w:t>
      </w:r>
      <w:r w:rsidR="00287F87" w:rsidRPr="00796FB8">
        <w:rPr>
          <w:iCs/>
        </w:rPr>
        <w:t xml:space="preserve"> (</w:t>
      </w:r>
      <w:r w:rsidR="005A4A0E" w:rsidRPr="00796FB8">
        <w:rPr>
          <w:iCs/>
        </w:rPr>
        <w:t>paragraph 6.</w:t>
      </w:r>
      <w:r w:rsidR="0036118B" w:rsidRPr="00796FB8">
        <w:rPr>
          <w:iCs/>
        </w:rPr>
        <w:t>6</w:t>
      </w:r>
      <w:r w:rsidR="00287F87" w:rsidRPr="00796FB8">
        <w:rPr>
          <w:iCs/>
        </w:rPr>
        <w:t>)</w:t>
      </w:r>
      <w:r w:rsidRPr="00796FB8">
        <w:rPr>
          <w:iCs/>
        </w:rPr>
        <w:t>.</w:t>
      </w:r>
      <w:r w:rsidR="008201E8" w:rsidRPr="00796FB8">
        <w:rPr>
          <w:iCs/>
        </w:rPr>
        <w:t xml:space="preserve"> The</w:t>
      </w:r>
      <w:r w:rsidR="008201E8" w:rsidRPr="00796FB8">
        <w:t xml:space="preserve"> pre-PBAC response commented that</w:t>
      </w:r>
      <w:r w:rsidR="008201E8" w:rsidRPr="00796FB8">
        <w:rPr>
          <w:bCs/>
          <w:iCs/>
        </w:rPr>
        <w:t xml:space="preserve"> for the LAC studies presented to the PBAC in November 2009, only the higher dose (LAC 400 mg) achieved a statistically significant higher response versus placebo (in terms of reduction in seizure frequency </w:t>
      </w:r>
      <w:r w:rsidR="008201E8" w:rsidRPr="00796FB8">
        <w:rPr>
          <w:rFonts w:cs="Calibri"/>
        </w:rPr>
        <w:t>≥</w:t>
      </w:r>
      <w:r w:rsidR="008201E8" w:rsidRPr="00796FB8">
        <w:t>50% relative to baseline) for this highly refractory patient population.</w:t>
      </w:r>
    </w:p>
    <w:p w:rsidR="00392958" w:rsidRPr="00796FB8" w:rsidRDefault="00392958" w:rsidP="00BF3C38">
      <w:pPr>
        <w:pStyle w:val="3-BodyText"/>
        <w:numPr>
          <w:ilvl w:val="1"/>
          <w:numId w:val="13"/>
        </w:numPr>
        <w:ind w:left="1134" w:hanging="436"/>
        <w:rPr>
          <w:iCs/>
        </w:rPr>
      </w:pPr>
      <w:r w:rsidRPr="00796FB8">
        <w:rPr>
          <w:iCs/>
        </w:rPr>
        <w:t>The ITC suffered from transitivity concerns</w:t>
      </w:r>
      <w:r w:rsidR="005A4A0E" w:rsidRPr="00796FB8">
        <w:rPr>
          <w:iCs/>
        </w:rPr>
        <w:t xml:space="preserve"> (</w:t>
      </w:r>
      <w:r w:rsidR="009817B7" w:rsidRPr="00796FB8">
        <w:rPr>
          <w:iCs/>
        </w:rPr>
        <w:t>paragraph 6.1</w:t>
      </w:r>
      <w:r w:rsidR="0036118B" w:rsidRPr="00796FB8">
        <w:rPr>
          <w:iCs/>
        </w:rPr>
        <w:t>2</w:t>
      </w:r>
      <w:r w:rsidR="005A4A0E" w:rsidRPr="00796FB8">
        <w:rPr>
          <w:iCs/>
        </w:rPr>
        <w:t>)</w:t>
      </w:r>
      <w:r w:rsidRPr="00796FB8">
        <w:rPr>
          <w:iCs/>
        </w:rPr>
        <w:t>; the patients in Study 304 had greater baseline seizure frequency and fewer concomitant AEDs than patients in the LAC trials, suggesting they may be under-treated and more responsive to the addition of another AED compared to the LAC cohorts.</w:t>
      </w:r>
    </w:p>
    <w:p w:rsidR="00392958" w:rsidRPr="00796FB8" w:rsidRDefault="00392958" w:rsidP="00BF3C38">
      <w:pPr>
        <w:pStyle w:val="3-BodyText"/>
        <w:numPr>
          <w:ilvl w:val="1"/>
          <w:numId w:val="13"/>
        </w:numPr>
        <w:ind w:left="1134" w:hanging="436"/>
        <w:rPr>
          <w:iCs/>
        </w:rPr>
      </w:pPr>
      <w:r w:rsidRPr="00796FB8">
        <w:rPr>
          <w:iCs/>
        </w:rPr>
        <w:t xml:space="preserve">The ITC did not pre-specify a non-inferiority margin, </w:t>
      </w:r>
      <w:r w:rsidR="00CB4CD9" w:rsidRPr="00796FB8">
        <w:rPr>
          <w:iCs/>
        </w:rPr>
        <w:t xml:space="preserve">and </w:t>
      </w:r>
      <w:r w:rsidR="006D6B20" w:rsidRPr="00796FB8">
        <w:rPr>
          <w:iCs/>
        </w:rPr>
        <w:t>t</w:t>
      </w:r>
      <w:r w:rsidR="002056B3" w:rsidRPr="00796FB8">
        <w:rPr>
          <w:iCs/>
        </w:rPr>
        <w:t xml:space="preserve">he lower </w:t>
      </w:r>
      <w:r w:rsidR="002056B3" w:rsidRPr="00796FB8">
        <w:rPr>
          <w:iCs/>
          <w:snapToGrid/>
        </w:rPr>
        <w:t xml:space="preserve">95% CIs for </w:t>
      </w:r>
      <w:r w:rsidR="002056B3" w:rsidRPr="00796FB8">
        <w:rPr>
          <w:iCs/>
        </w:rPr>
        <w:t>50% responders at 28 days for</w:t>
      </w:r>
      <w:r w:rsidR="002056B3" w:rsidRPr="00796FB8">
        <w:rPr>
          <w:iCs/>
          <w:snapToGrid/>
        </w:rPr>
        <w:t xml:space="preserve"> ESL 800 mg vs LAC 200 mg and ESL </w:t>
      </w:r>
      <w:r w:rsidR="00464A5B" w:rsidRPr="00796FB8">
        <w:rPr>
          <w:iCs/>
          <w:snapToGrid/>
        </w:rPr>
        <w:t>1,200</w:t>
      </w:r>
      <w:r w:rsidR="002056B3" w:rsidRPr="00796FB8">
        <w:rPr>
          <w:iCs/>
          <w:snapToGrid/>
        </w:rPr>
        <w:t xml:space="preserve"> mg vs LAC 400 mg were</w:t>
      </w:r>
      <w:r w:rsidR="006A459A" w:rsidRPr="00796FB8">
        <w:rPr>
          <w:iCs/>
          <w:snapToGrid/>
        </w:rPr>
        <w:t xml:space="preserve"> 0.55 and 0.64, respectively; both values are outside the l</w:t>
      </w:r>
      <w:r w:rsidR="00102052">
        <w:rPr>
          <w:iCs/>
          <w:snapToGrid/>
        </w:rPr>
        <w:t>ower 95% CI of 0.66 in the brivaracetam submission</w:t>
      </w:r>
      <w:r w:rsidR="006A459A" w:rsidRPr="00796FB8">
        <w:rPr>
          <w:iCs/>
          <w:snapToGrid/>
        </w:rPr>
        <w:t xml:space="preserve"> </w:t>
      </w:r>
      <w:r w:rsidR="00D74404" w:rsidRPr="00796FB8">
        <w:rPr>
          <w:iCs/>
          <w:snapToGrid/>
        </w:rPr>
        <w:t>(</w:t>
      </w:r>
      <w:r w:rsidR="006A459A" w:rsidRPr="00796FB8">
        <w:rPr>
          <w:iCs/>
          <w:snapToGrid/>
        </w:rPr>
        <w:t>brivaracetam</w:t>
      </w:r>
      <w:r w:rsidR="00D74404" w:rsidRPr="00796FB8">
        <w:rPr>
          <w:iCs/>
          <w:snapToGrid/>
        </w:rPr>
        <w:t xml:space="preserve"> PSD,</w:t>
      </w:r>
      <w:r w:rsidR="006A459A" w:rsidRPr="00796FB8">
        <w:rPr>
          <w:iCs/>
          <w:snapToGrid/>
        </w:rPr>
        <w:t xml:space="preserve"> November 201</w:t>
      </w:r>
      <w:r w:rsidR="00102052">
        <w:rPr>
          <w:iCs/>
          <w:snapToGrid/>
        </w:rPr>
        <w:t>7, Table 2</w:t>
      </w:r>
      <w:r w:rsidR="005A4A0E" w:rsidRPr="00796FB8">
        <w:rPr>
          <w:iCs/>
          <w:snapToGrid/>
        </w:rPr>
        <w:t>)</w:t>
      </w:r>
      <w:r w:rsidR="006A459A" w:rsidRPr="00796FB8">
        <w:rPr>
          <w:iCs/>
          <w:snapToGrid/>
        </w:rPr>
        <w:t>.</w:t>
      </w:r>
    </w:p>
    <w:p w:rsidR="005F7588" w:rsidRPr="00796FB8" w:rsidRDefault="00635CA5" w:rsidP="00BF3C38">
      <w:pPr>
        <w:pStyle w:val="3-BodyText"/>
        <w:numPr>
          <w:ilvl w:val="1"/>
          <w:numId w:val="13"/>
        </w:numPr>
        <w:ind w:left="1134" w:hanging="436"/>
        <w:rPr>
          <w:iCs/>
        </w:rPr>
      </w:pPr>
      <w:r w:rsidRPr="00796FB8">
        <w:rPr>
          <w:iCs/>
        </w:rPr>
        <w:t>The PBAC noted t</w:t>
      </w:r>
      <w:r w:rsidR="00392958" w:rsidRPr="00796FB8">
        <w:rPr>
          <w:iCs/>
        </w:rPr>
        <w:t>he ITC for safety outcomes had wide confidence intervals, where ESL may cause approximately half or up to three times as many adverse events as LAC</w:t>
      </w:r>
      <w:r w:rsidR="007C4297" w:rsidRPr="00796FB8">
        <w:rPr>
          <w:iCs/>
        </w:rPr>
        <w:t>, and considered that t</w:t>
      </w:r>
      <w:r w:rsidR="00392958" w:rsidRPr="00796FB8">
        <w:rPr>
          <w:iCs/>
        </w:rPr>
        <w:t>hese data cannot be confidently interpreted. Further, the ESL cohort were on fewer concomitant AEDs t</w:t>
      </w:r>
      <w:r w:rsidR="00AA4F2D" w:rsidRPr="00796FB8">
        <w:rPr>
          <w:iCs/>
        </w:rPr>
        <w:t>han patients in the LAC studies, which</w:t>
      </w:r>
      <w:r w:rsidR="00392958" w:rsidRPr="00796FB8">
        <w:rPr>
          <w:iCs/>
        </w:rPr>
        <w:t xml:space="preserve"> may bias the </w:t>
      </w:r>
      <w:r w:rsidR="000378F8" w:rsidRPr="00796FB8">
        <w:rPr>
          <w:iCs/>
        </w:rPr>
        <w:t>ITC</w:t>
      </w:r>
      <w:r w:rsidR="00392958" w:rsidRPr="00796FB8">
        <w:rPr>
          <w:iCs/>
        </w:rPr>
        <w:t xml:space="preserve"> in favour of ESL.</w:t>
      </w:r>
      <w:r w:rsidR="00B721A6" w:rsidRPr="00796FB8">
        <w:rPr>
          <w:iCs/>
        </w:rPr>
        <w:t xml:space="preserve"> </w:t>
      </w:r>
    </w:p>
    <w:p w:rsidR="001F6943" w:rsidRPr="00796FB8" w:rsidRDefault="001C368D" w:rsidP="00BF3C38">
      <w:pPr>
        <w:pStyle w:val="ExecSumBodyText"/>
        <w:numPr>
          <w:ilvl w:val="1"/>
          <w:numId w:val="1"/>
        </w:numPr>
      </w:pPr>
      <w:r w:rsidRPr="00796FB8">
        <w:t>The PBAC considered that the claim of non-inferior comparative effectiveness and safety was not adequately supported by the available data.</w:t>
      </w:r>
    </w:p>
    <w:p w:rsidR="00B60939" w:rsidRPr="00796FB8" w:rsidRDefault="00B60939" w:rsidP="00BF3C38">
      <w:pPr>
        <w:pStyle w:val="4-SubsectionHeading"/>
      </w:pPr>
      <w:bookmarkStart w:id="31" w:name="_Toc22897645"/>
      <w:bookmarkStart w:id="32" w:name="_Toc62035371"/>
      <w:r w:rsidRPr="00796FB8">
        <w:t>Economic analysis</w:t>
      </w:r>
      <w:bookmarkEnd w:id="31"/>
      <w:bookmarkEnd w:id="32"/>
      <w:r w:rsidR="00491B3A" w:rsidRPr="00796FB8">
        <w:t xml:space="preserve"> </w:t>
      </w:r>
    </w:p>
    <w:p w:rsidR="00495CE2" w:rsidRPr="00796FB8" w:rsidRDefault="00495CE2" w:rsidP="00BF3C38">
      <w:pPr>
        <w:pStyle w:val="3-BodyText"/>
      </w:pPr>
      <w:bookmarkStart w:id="33" w:name="_Toc22897646"/>
      <w:r w:rsidRPr="00796FB8">
        <w:t>The submission estimated that ESL 800</w:t>
      </w:r>
      <w:r w:rsidR="00F14D3E" w:rsidRPr="00796FB8">
        <w:t xml:space="preserve"> </w:t>
      </w:r>
      <w:r w:rsidRPr="00796FB8">
        <w:t>mg daily is equi-effective to LAC 200</w:t>
      </w:r>
      <w:r w:rsidR="00F14D3E" w:rsidRPr="00796FB8">
        <w:t xml:space="preserve"> </w:t>
      </w:r>
      <w:r w:rsidRPr="00796FB8">
        <w:t>mg daily (4:1), and ESL 1,200</w:t>
      </w:r>
      <w:r w:rsidR="00F14D3E" w:rsidRPr="00796FB8">
        <w:t xml:space="preserve"> </w:t>
      </w:r>
      <w:r w:rsidRPr="00796FB8">
        <w:t>mg daily is equi-effective to LAC 400</w:t>
      </w:r>
      <w:r w:rsidR="00872B97" w:rsidRPr="00796FB8">
        <w:t xml:space="preserve"> </w:t>
      </w:r>
      <w:r w:rsidRPr="00796FB8">
        <w:t xml:space="preserve">mg daily (3:1), based on the recommended doses used in the trials and the respective Australian PI. The submission </w:t>
      </w:r>
      <w:r w:rsidR="00B1008C" w:rsidRPr="00796FB8">
        <w:t xml:space="preserve">applied </w:t>
      </w:r>
      <w:r w:rsidR="00A65834" w:rsidRPr="00796FB8">
        <w:t>the dosage</w:t>
      </w:r>
      <w:r w:rsidRPr="00796FB8">
        <w:t xml:space="preserve"> proportions of</w:t>
      </w:r>
      <w:r w:rsidR="00A65834" w:rsidRPr="00796FB8">
        <w:t xml:space="preserve"> LAC</w:t>
      </w:r>
      <w:r w:rsidRPr="00796FB8">
        <w:t xml:space="preserve"> u</w:t>
      </w:r>
      <w:r w:rsidR="00A65834" w:rsidRPr="00796FB8">
        <w:t>tilisation</w:t>
      </w:r>
      <w:r w:rsidRPr="00796FB8">
        <w:t xml:space="preserve"> to</w:t>
      </w:r>
      <w:r w:rsidR="00A65834" w:rsidRPr="00796FB8">
        <w:t xml:space="preserve"> calculate the split between th</w:t>
      </w:r>
      <w:r w:rsidR="00C4193E">
        <w:t>e ESL 800 mg and 1,200 mg doses</w:t>
      </w:r>
      <w:r w:rsidRPr="00796FB8">
        <w:t>. This is not reasonable</w:t>
      </w:r>
      <w:r w:rsidR="005D2CD8" w:rsidRPr="00796FB8">
        <w:t>, because the utilisation distribution of LAC doses does not apply to the potential distribution of ESL doses</w:t>
      </w:r>
      <w:r w:rsidRPr="00796FB8">
        <w:t>.</w:t>
      </w:r>
      <w:r w:rsidR="009A5C34" w:rsidRPr="00796FB8">
        <w:t xml:space="preserve"> </w:t>
      </w:r>
    </w:p>
    <w:p w:rsidR="007615D6" w:rsidRPr="00796FB8" w:rsidRDefault="005D2CD8" w:rsidP="00BF3C38">
      <w:pPr>
        <w:pStyle w:val="3-BodyText"/>
      </w:pPr>
      <w:r w:rsidRPr="00796FB8">
        <w:t>The submission claim</w:t>
      </w:r>
      <w:r w:rsidR="00B1008C" w:rsidRPr="00796FB8">
        <w:t>ed</w:t>
      </w:r>
      <w:r w:rsidRPr="00796FB8">
        <w:t xml:space="preserve"> that the proposed equi-effective doses are valid because they are trial-based; however, the ESL dose was allocated to patients on trial entry, and therefore does not a</w:t>
      </w:r>
      <w:r w:rsidR="00954F9C">
        <w:t>pply to clinical practice. The s</w:t>
      </w:r>
      <w:r w:rsidRPr="00796FB8">
        <w:t>ponsor did not provide further analysis of the actual doses received in the clinical trials (e.g. mean dosage used, treatment duration etc)</w:t>
      </w:r>
      <w:r w:rsidR="00495CE2" w:rsidRPr="00796FB8">
        <w:t xml:space="preserve">. </w:t>
      </w:r>
      <w:r w:rsidR="006964A4" w:rsidRPr="00796FB8">
        <w:t xml:space="preserve">The </w:t>
      </w:r>
      <w:r w:rsidR="00291ED5" w:rsidRPr="00796FB8">
        <w:t>ESC</w:t>
      </w:r>
      <w:r w:rsidR="007615D6" w:rsidRPr="00796FB8">
        <w:t xml:space="preserve"> noted that</w:t>
      </w:r>
      <w:r w:rsidR="006964A4" w:rsidRPr="00796FB8">
        <w:t xml:space="preserve"> </w:t>
      </w:r>
      <w:r w:rsidR="007615D6" w:rsidRPr="00796FB8">
        <w:t>real-world data</w:t>
      </w:r>
      <w:r w:rsidR="00390E97" w:rsidRPr="00796FB8">
        <w:t xml:space="preserve"> from</w:t>
      </w:r>
      <w:r w:rsidR="007615D6" w:rsidRPr="00796FB8">
        <w:t xml:space="preserve"> </w:t>
      </w:r>
      <w:r w:rsidR="007615D6" w:rsidRPr="00796FB8">
        <w:rPr>
          <w:iCs/>
        </w:rPr>
        <w:t xml:space="preserve">Villaneuva et al. </w:t>
      </w:r>
      <w:r w:rsidR="005D7591" w:rsidRPr="00796FB8">
        <w:rPr>
          <w:iCs/>
        </w:rPr>
        <w:t>(</w:t>
      </w:r>
      <w:r w:rsidR="007615D6" w:rsidRPr="00796FB8">
        <w:rPr>
          <w:iCs/>
        </w:rPr>
        <w:t>2017</w:t>
      </w:r>
      <w:r w:rsidR="005D7591" w:rsidRPr="00796FB8">
        <w:rPr>
          <w:iCs/>
        </w:rPr>
        <w:t>)</w:t>
      </w:r>
      <w:r w:rsidR="00390E97" w:rsidRPr="00796FB8">
        <w:rPr>
          <w:iCs/>
        </w:rPr>
        <w:t xml:space="preserve"> </w:t>
      </w:r>
      <w:r w:rsidR="007615D6" w:rsidRPr="00796FB8">
        <w:rPr>
          <w:iCs/>
        </w:rPr>
        <w:t xml:space="preserve">is broadly consistent </w:t>
      </w:r>
      <w:r w:rsidR="008809CA" w:rsidRPr="00796FB8">
        <w:rPr>
          <w:iCs/>
        </w:rPr>
        <w:t>with</w:t>
      </w:r>
      <w:r w:rsidR="007615D6" w:rsidRPr="00796FB8">
        <w:rPr>
          <w:iCs/>
        </w:rPr>
        <w:t xml:space="preserve"> the expected dosing presented in the submission, however it does not mitigate all uncertainty around the equi-effective doses and the cost-minimisation approach.</w:t>
      </w:r>
      <w:r w:rsidR="0051467A" w:rsidRPr="00796FB8">
        <w:rPr>
          <w:iCs/>
        </w:rPr>
        <w:t xml:space="preserve"> </w:t>
      </w:r>
      <w:r w:rsidR="0051467A" w:rsidRPr="00796FB8">
        <w:t>The pre-PBAC response acknowledged there is no long-term utilisation and dosing patterns of ESL in practice in Australia, but maintained that the trial-based approach used to determine a price of ESL is appropriate. The PBAC considered there is limited evidence that identifies the distribution of ESL doses (between 800 mg and 1,200 mg) that would be expected to occur in clinical practice.</w:t>
      </w:r>
    </w:p>
    <w:p w:rsidR="00495CE2" w:rsidRPr="00796FB8" w:rsidRDefault="00495CE2" w:rsidP="00BF3C38">
      <w:pPr>
        <w:pStyle w:val="3-BodyText"/>
      </w:pPr>
      <w:r w:rsidRPr="00796FB8">
        <w:t>The submission presented a cost-minimisation analysis using the approved ex-manufacturer price (AEMP) for LAC 100</w:t>
      </w:r>
      <w:r w:rsidR="00F14D3E" w:rsidRPr="00796FB8">
        <w:t xml:space="preserve"> </w:t>
      </w:r>
      <w:r w:rsidRPr="00796FB8">
        <w:t>mg and 200</w:t>
      </w:r>
      <w:r w:rsidR="00F14D3E" w:rsidRPr="00796FB8">
        <w:t xml:space="preserve"> </w:t>
      </w:r>
      <w:r w:rsidRPr="00796FB8">
        <w:t>mg tablet strengths</w:t>
      </w:r>
      <w:r w:rsidR="002B1346" w:rsidRPr="00796FB8">
        <w:t xml:space="preserve"> (Table 11</w:t>
      </w:r>
      <w:r w:rsidR="00FC0F05" w:rsidRPr="00796FB8">
        <w:t>)</w:t>
      </w:r>
      <w:r w:rsidRPr="00796FB8">
        <w:t>. The submission calculated a weighted AEMP of $</w:t>
      </w:r>
      <w:r w:rsidRPr="00D84370">
        <w:t>21</w:t>
      </w:r>
      <w:r w:rsidR="00AC37F6" w:rsidRPr="00D84370">
        <w:t>6</w:t>
      </w:r>
      <w:r w:rsidRPr="00D84370">
        <w:t>.78</w:t>
      </w:r>
      <w:r w:rsidRPr="00796FB8">
        <w:t xml:space="preserve"> for LAC based on </w:t>
      </w:r>
      <w:r w:rsidR="00906CDB">
        <w:t>PBS utilisation statistics 2015–</w:t>
      </w:r>
      <w:r w:rsidRPr="00796FB8">
        <w:t>2019. This approach omits consideration of other lacosamide products: 50</w:t>
      </w:r>
      <w:r w:rsidR="00872B97" w:rsidRPr="00796FB8">
        <w:t xml:space="preserve"> </w:t>
      </w:r>
      <w:r w:rsidRPr="00796FB8">
        <w:t>mg tablets, 150</w:t>
      </w:r>
      <w:r w:rsidR="00872B97" w:rsidRPr="00796FB8">
        <w:t xml:space="preserve"> </w:t>
      </w:r>
      <w:r w:rsidRPr="00796FB8">
        <w:t xml:space="preserve">mg tablets and the oral solution. The simplistic low dose/high dose allocation does not accurately reflect the distribution of LAC doses, nor the weighted mean dose of LAC used in practice. </w:t>
      </w:r>
      <w:r w:rsidR="00784B30" w:rsidRPr="00796FB8">
        <w:t xml:space="preserve">The ESC considered that the simplified dose utilisation estimates based on </w:t>
      </w:r>
      <w:r w:rsidR="004A3E2C" w:rsidRPr="00796FB8">
        <w:t>only</w:t>
      </w:r>
      <w:r w:rsidR="00784B30" w:rsidRPr="00796FB8">
        <w:t xml:space="preserve"> two strengths of LAC </w:t>
      </w:r>
      <w:r w:rsidR="00070A5C">
        <w:t>was</w:t>
      </w:r>
      <w:r w:rsidR="00784B30" w:rsidRPr="00796FB8">
        <w:t xml:space="preserve"> uncertain.</w:t>
      </w:r>
    </w:p>
    <w:p w:rsidR="00FC0F05" w:rsidRPr="00796FB8" w:rsidRDefault="002B1346" w:rsidP="00BF3C38">
      <w:pPr>
        <w:pStyle w:val="TableFigureHeading"/>
      </w:pPr>
      <w:r w:rsidRPr="00796FB8">
        <w:rPr>
          <w:rStyle w:val="CommentReference"/>
          <w:b/>
          <w:szCs w:val="20"/>
        </w:rPr>
        <w:t>Table 11</w:t>
      </w:r>
      <w:r w:rsidR="00FC0F05" w:rsidRPr="00796FB8">
        <w:rPr>
          <w:rStyle w:val="CommentReference"/>
          <w:b/>
          <w:szCs w:val="20"/>
        </w:rPr>
        <w:t>: Results of the cost minimisation analysis conducted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71"/>
        <w:gridCol w:w="1874"/>
        <w:gridCol w:w="1518"/>
        <w:gridCol w:w="1378"/>
        <w:gridCol w:w="3776"/>
      </w:tblGrid>
      <w:tr w:rsidR="00FC0F05" w:rsidRPr="00796FB8" w:rsidTr="00624D41">
        <w:trPr>
          <w:cantSplit/>
          <w:tblHeader/>
        </w:trPr>
        <w:tc>
          <w:tcPr>
            <w:tcW w:w="1300" w:type="pct"/>
            <w:gridSpan w:val="2"/>
            <w:tcBorders>
              <w:top w:val="single" w:sz="4" w:space="0" w:color="auto"/>
              <w:left w:val="single" w:sz="4" w:space="0" w:color="auto"/>
              <w:bottom w:val="single" w:sz="4" w:space="0" w:color="auto"/>
              <w:right w:val="single" w:sz="4" w:space="0" w:color="auto"/>
            </w:tcBorders>
            <w:shd w:val="clear" w:color="auto" w:fill="FFFFFF"/>
          </w:tcPr>
          <w:p w:rsidR="00FC0F05" w:rsidRPr="00796FB8" w:rsidRDefault="00FC0F05" w:rsidP="00BF3C38">
            <w:pPr>
              <w:pStyle w:val="In-tableHeading"/>
              <w:jc w:val="center"/>
              <w:rPr>
                <w:highlight w:val="yellow"/>
                <w:lang w:val="en-AU"/>
              </w:rPr>
            </w:pPr>
          </w:p>
        </w:tc>
        <w:tc>
          <w:tcPr>
            <w:tcW w:w="842" w:type="pct"/>
            <w:tcBorders>
              <w:top w:val="single" w:sz="4" w:space="0" w:color="auto"/>
              <w:left w:val="single" w:sz="4" w:space="0" w:color="auto"/>
              <w:bottom w:val="single" w:sz="4" w:space="0" w:color="auto"/>
              <w:right w:val="single" w:sz="4" w:space="0" w:color="auto"/>
            </w:tcBorders>
            <w:shd w:val="clear" w:color="auto" w:fill="FFFFFF"/>
          </w:tcPr>
          <w:p w:rsidR="00FC0F05" w:rsidRPr="00796FB8" w:rsidRDefault="007A25B6" w:rsidP="00BF3C38">
            <w:pPr>
              <w:pStyle w:val="In-tableHeading"/>
              <w:jc w:val="center"/>
              <w:rPr>
                <w:lang w:val="en-AU"/>
              </w:rPr>
            </w:pPr>
            <w:r w:rsidRPr="00796FB8">
              <w:rPr>
                <w:lang w:val="en-AU"/>
              </w:rPr>
              <w:t>LAC</w:t>
            </w:r>
          </w:p>
        </w:tc>
        <w:tc>
          <w:tcPr>
            <w:tcW w:w="764" w:type="pct"/>
            <w:tcBorders>
              <w:top w:val="single" w:sz="4" w:space="0" w:color="auto"/>
              <w:left w:val="single" w:sz="4" w:space="0" w:color="auto"/>
              <w:bottom w:val="single" w:sz="4" w:space="0" w:color="auto"/>
              <w:right w:val="single" w:sz="4" w:space="0" w:color="auto"/>
            </w:tcBorders>
            <w:shd w:val="clear" w:color="auto" w:fill="FFFFFF"/>
          </w:tcPr>
          <w:p w:rsidR="00FC0F05" w:rsidRPr="00796FB8" w:rsidRDefault="007A25B6" w:rsidP="00BF3C38">
            <w:pPr>
              <w:pStyle w:val="In-tableHeading"/>
              <w:jc w:val="center"/>
              <w:rPr>
                <w:lang w:val="en-AU"/>
              </w:rPr>
            </w:pPr>
            <w:r w:rsidRPr="00796FB8">
              <w:rPr>
                <w:lang w:val="en-AU"/>
              </w:rPr>
              <w:t>ESL</w:t>
            </w:r>
          </w:p>
        </w:tc>
        <w:tc>
          <w:tcPr>
            <w:tcW w:w="2094" w:type="pct"/>
            <w:tcBorders>
              <w:top w:val="single" w:sz="4" w:space="0" w:color="auto"/>
              <w:left w:val="single" w:sz="4" w:space="0" w:color="auto"/>
              <w:bottom w:val="single" w:sz="4" w:space="0" w:color="auto"/>
              <w:right w:val="single" w:sz="4" w:space="0" w:color="auto"/>
            </w:tcBorders>
            <w:shd w:val="clear" w:color="auto" w:fill="FFFFFF"/>
          </w:tcPr>
          <w:p w:rsidR="00FC0F05" w:rsidRPr="00796FB8" w:rsidRDefault="00FC0F05" w:rsidP="00BF3C38">
            <w:pPr>
              <w:pStyle w:val="In-tableHeading"/>
              <w:jc w:val="center"/>
              <w:rPr>
                <w:lang w:val="en-AU"/>
              </w:rPr>
            </w:pPr>
            <w:r w:rsidRPr="00796FB8">
              <w:rPr>
                <w:lang w:val="en-AU"/>
              </w:rPr>
              <w:t>Source/calculation</w:t>
            </w:r>
          </w:p>
        </w:tc>
      </w:tr>
      <w:tr w:rsidR="00FC0F05" w:rsidRPr="00796FB8" w:rsidTr="00624D41">
        <w:trPr>
          <w:cantSplit/>
        </w:trPr>
        <w:tc>
          <w:tcPr>
            <w:tcW w:w="261" w:type="pct"/>
            <w:tcBorders>
              <w:top w:val="single" w:sz="4" w:space="0" w:color="auto"/>
              <w:left w:val="single" w:sz="4" w:space="0" w:color="auto"/>
              <w:bottom w:val="single" w:sz="4" w:space="0" w:color="auto"/>
              <w:right w:val="single" w:sz="4" w:space="0" w:color="auto"/>
            </w:tcBorders>
          </w:tcPr>
          <w:p w:rsidR="00FC0F05" w:rsidRPr="00796FB8" w:rsidRDefault="00FC0F05" w:rsidP="00BF3C38">
            <w:pPr>
              <w:pStyle w:val="TableText0"/>
            </w:pPr>
            <w:r w:rsidRPr="00796FB8">
              <w:t>A</w:t>
            </w:r>
          </w:p>
        </w:tc>
        <w:tc>
          <w:tcPr>
            <w:tcW w:w="1039" w:type="pct"/>
            <w:tcBorders>
              <w:top w:val="single" w:sz="4" w:space="0" w:color="auto"/>
              <w:left w:val="single" w:sz="4" w:space="0" w:color="auto"/>
              <w:bottom w:val="single" w:sz="4" w:space="0" w:color="auto"/>
              <w:right w:val="single" w:sz="4" w:space="0" w:color="auto"/>
            </w:tcBorders>
            <w:shd w:val="clear" w:color="auto" w:fill="auto"/>
          </w:tcPr>
          <w:p w:rsidR="00FC0F05" w:rsidRPr="00796FB8" w:rsidRDefault="00FC0F05" w:rsidP="00BF3C38">
            <w:pPr>
              <w:pStyle w:val="TableText0"/>
            </w:pPr>
            <w:r w:rsidRPr="00796FB8">
              <w:t xml:space="preserve">Ex-manufacturer price </w:t>
            </w:r>
          </w:p>
          <w:p w:rsidR="001027F8" w:rsidRPr="00796FB8" w:rsidRDefault="00B37853" w:rsidP="00BF3C38">
            <w:pPr>
              <w:pStyle w:val="TableText0"/>
            </w:pPr>
            <w:r w:rsidRPr="00796FB8">
              <w:t xml:space="preserve">100 mg and </w:t>
            </w:r>
            <w:r w:rsidR="001027F8" w:rsidRPr="00796FB8">
              <w:t>200 mg</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624D41" w:rsidRPr="00796FB8" w:rsidRDefault="00624D41" w:rsidP="00BF3C38">
            <w:pPr>
              <w:pStyle w:val="TableText0"/>
              <w:jc w:val="center"/>
              <w:rPr>
                <w:iCs/>
                <w:vertAlign w:val="superscript"/>
              </w:rPr>
            </w:pPr>
            <w:r w:rsidRPr="00796FB8">
              <w:rPr>
                <w:iCs/>
              </w:rPr>
              <w:t>$</w:t>
            </w:r>
            <w:r w:rsidR="00B37853" w:rsidRPr="00D84370">
              <w:rPr>
                <w:iCs/>
              </w:rPr>
              <w:t>216.78</w:t>
            </w:r>
            <w:r w:rsidR="00B37853" w:rsidRPr="00796FB8">
              <w:rPr>
                <w:iCs/>
                <w:vertAlign w:val="superscript"/>
              </w:rPr>
              <w:t>a</w:t>
            </w: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FC0F05" w:rsidRPr="00796FB8" w:rsidRDefault="00FC0F05" w:rsidP="00BF3C38">
            <w:pPr>
              <w:pStyle w:val="TableText0"/>
              <w:jc w:val="center"/>
              <w:rPr>
                <w:iCs/>
                <w:highlight w:val="yellow"/>
              </w:rPr>
            </w:pPr>
            <w:r w:rsidRPr="00796FB8">
              <w:rPr>
                <w:iCs/>
              </w:rPr>
              <w:t>$</w:t>
            </w:r>
            <w:r w:rsidR="004C4B81">
              <w:rPr>
                <w:iCs/>
                <w:noProof/>
                <w:color w:val="000000"/>
                <w:highlight w:val="black"/>
              </w:rPr>
              <w:t>'''''''''''''''</w:t>
            </w:r>
          </w:p>
        </w:tc>
        <w:tc>
          <w:tcPr>
            <w:tcW w:w="2094" w:type="pct"/>
            <w:tcBorders>
              <w:top w:val="single" w:sz="4" w:space="0" w:color="auto"/>
              <w:left w:val="single" w:sz="4" w:space="0" w:color="auto"/>
              <w:bottom w:val="single" w:sz="4" w:space="0" w:color="auto"/>
              <w:right w:val="single" w:sz="4" w:space="0" w:color="auto"/>
            </w:tcBorders>
          </w:tcPr>
          <w:p w:rsidR="00FC0F05" w:rsidRPr="00796FB8" w:rsidRDefault="007A25B6" w:rsidP="00BF3C38">
            <w:pPr>
              <w:pStyle w:val="TableText0"/>
              <w:rPr>
                <w:iCs/>
              </w:rPr>
            </w:pPr>
            <w:r w:rsidRPr="00796FB8">
              <w:rPr>
                <w:iCs/>
              </w:rPr>
              <w:t>LAC</w:t>
            </w:r>
            <w:r w:rsidR="00FC0F05" w:rsidRPr="00796FB8">
              <w:rPr>
                <w:iCs/>
              </w:rPr>
              <w:t xml:space="preserve"> =</w:t>
            </w:r>
            <w:r w:rsidR="005F416F" w:rsidRPr="00796FB8">
              <w:rPr>
                <w:iCs/>
              </w:rPr>
              <w:t xml:space="preserve"> (51.75% * $</w:t>
            </w:r>
            <w:r w:rsidR="005F416F" w:rsidRPr="00095DD3">
              <w:rPr>
                <w:iCs/>
              </w:rPr>
              <w:t>146.24</w:t>
            </w:r>
            <w:r w:rsidR="005F416F" w:rsidRPr="00796FB8">
              <w:rPr>
                <w:iCs/>
              </w:rPr>
              <w:t>) + (</w:t>
            </w:r>
            <w:r w:rsidR="0047539D" w:rsidRPr="00796FB8">
              <w:rPr>
                <w:iCs/>
              </w:rPr>
              <w:t>48.25% * $</w:t>
            </w:r>
            <w:r w:rsidR="0047539D" w:rsidRPr="00095DD3">
              <w:rPr>
                <w:iCs/>
              </w:rPr>
              <w:t>292.42</w:t>
            </w:r>
            <w:r w:rsidR="0047539D" w:rsidRPr="00796FB8">
              <w:rPr>
                <w:iCs/>
              </w:rPr>
              <w:t>)</w:t>
            </w:r>
          </w:p>
          <w:p w:rsidR="00FC0F05" w:rsidRPr="00796FB8" w:rsidRDefault="007A25B6" w:rsidP="00BF3C38">
            <w:pPr>
              <w:pStyle w:val="TableText0"/>
              <w:rPr>
                <w:iCs/>
              </w:rPr>
            </w:pPr>
            <w:r w:rsidRPr="00796FB8">
              <w:rPr>
                <w:iCs/>
              </w:rPr>
              <w:t>ESL</w:t>
            </w:r>
            <w:r w:rsidR="00FC0F05" w:rsidRPr="00796FB8">
              <w:rPr>
                <w:iCs/>
              </w:rPr>
              <w:t xml:space="preserve"> = </w:t>
            </w:r>
            <w:r w:rsidR="00DB28A2" w:rsidRPr="00796FB8">
              <w:rPr>
                <w:iCs/>
              </w:rPr>
              <w:t>D / C</w:t>
            </w:r>
          </w:p>
        </w:tc>
      </w:tr>
      <w:tr w:rsidR="00FC0F05" w:rsidRPr="00796FB8" w:rsidTr="00624D41">
        <w:trPr>
          <w:cantSplit/>
        </w:trPr>
        <w:tc>
          <w:tcPr>
            <w:tcW w:w="261" w:type="pct"/>
            <w:tcBorders>
              <w:top w:val="single" w:sz="4" w:space="0" w:color="auto"/>
              <w:left w:val="single" w:sz="4" w:space="0" w:color="auto"/>
              <w:bottom w:val="single" w:sz="4" w:space="0" w:color="auto"/>
              <w:right w:val="single" w:sz="4" w:space="0" w:color="auto"/>
            </w:tcBorders>
          </w:tcPr>
          <w:p w:rsidR="00FC0F05" w:rsidRPr="00796FB8" w:rsidRDefault="00FC0F05" w:rsidP="00BF3C38">
            <w:pPr>
              <w:pStyle w:val="TableText0"/>
            </w:pPr>
            <w:r w:rsidRPr="00796FB8">
              <w:t>B</w:t>
            </w:r>
          </w:p>
        </w:tc>
        <w:tc>
          <w:tcPr>
            <w:tcW w:w="1039" w:type="pct"/>
            <w:tcBorders>
              <w:top w:val="single" w:sz="4" w:space="0" w:color="auto"/>
              <w:left w:val="single" w:sz="4" w:space="0" w:color="auto"/>
              <w:bottom w:val="single" w:sz="4" w:space="0" w:color="auto"/>
              <w:right w:val="single" w:sz="4" w:space="0" w:color="auto"/>
            </w:tcBorders>
            <w:shd w:val="clear" w:color="auto" w:fill="auto"/>
          </w:tcPr>
          <w:p w:rsidR="00FC0F05" w:rsidRPr="00796FB8" w:rsidRDefault="00624D41" w:rsidP="00BF3C38">
            <w:pPr>
              <w:pStyle w:val="TableText0"/>
            </w:pPr>
            <w:r w:rsidRPr="00796FB8">
              <w:t>Days per pack</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FC0F05" w:rsidRPr="00796FB8" w:rsidRDefault="00624D41" w:rsidP="00BF3C38">
            <w:pPr>
              <w:pStyle w:val="TableText0"/>
              <w:jc w:val="center"/>
              <w:rPr>
                <w:iCs/>
              </w:rPr>
            </w:pPr>
            <w:r w:rsidRPr="00796FB8">
              <w:rPr>
                <w:iCs/>
              </w:rPr>
              <w:t>28</w:t>
            </w: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FC0F05" w:rsidRPr="00796FB8" w:rsidRDefault="003355BE" w:rsidP="00BF3C38">
            <w:pPr>
              <w:pStyle w:val="TableText0"/>
              <w:jc w:val="center"/>
              <w:rPr>
                <w:iCs/>
                <w:highlight w:val="yellow"/>
              </w:rPr>
            </w:pPr>
            <w:r w:rsidRPr="00796FB8">
              <w:rPr>
                <w:iCs/>
              </w:rPr>
              <w:t>25.17</w:t>
            </w:r>
            <w:r w:rsidRPr="00796FB8">
              <w:rPr>
                <w:iCs/>
                <w:vertAlign w:val="superscript"/>
              </w:rPr>
              <w:t>b</w:t>
            </w:r>
          </w:p>
        </w:tc>
        <w:tc>
          <w:tcPr>
            <w:tcW w:w="2094" w:type="pct"/>
            <w:tcBorders>
              <w:top w:val="single" w:sz="4" w:space="0" w:color="auto"/>
              <w:left w:val="single" w:sz="4" w:space="0" w:color="auto"/>
              <w:bottom w:val="single" w:sz="4" w:space="0" w:color="auto"/>
              <w:right w:val="single" w:sz="4" w:space="0" w:color="auto"/>
            </w:tcBorders>
          </w:tcPr>
          <w:p w:rsidR="00FC0F05" w:rsidRPr="00796FB8" w:rsidRDefault="007A25B6" w:rsidP="00BF3C38">
            <w:pPr>
              <w:pStyle w:val="TableText0"/>
            </w:pPr>
            <w:r w:rsidRPr="00796FB8">
              <w:rPr>
                <w:iCs/>
              </w:rPr>
              <w:t>LAC</w:t>
            </w:r>
            <w:r w:rsidR="00FC0F05" w:rsidRPr="00796FB8">
              <w:rPr>
                <w:iCs/>
              </w:rPr>
              <w:t xml:space="preserve"> =</w:t>
            </w:r>
            <w:r w:rsidR="00624D41" w:rsidRPr="00796FB8">
              <w:rPr>
                <w:iCs/>
              </w:rPr>
              <w:t xml:space="preserve"> pack size (56) / 2</w:t>
            </w:r>
          </w:p>
          <w:p w:rsidR="00FC0F05" w:rsidRPr="00796FB8" w:rsidRDefault="007A25B6" w:rsidP="00BF3C38">
            <w:pPr>
              <w:pStyle w:val="TableText0"/>
              <w:rPr>
                <w:iCs/>
                <w:highlight w:val="yellow"/>
              </w:rPr>
            </w:pPr>
            <w:r w:rsidRPr="00796FB8">
              <w:t>ESL</w:t>
            </w:r>
            <w:r w:rsidR="00FC0F05" w:rsidRPr="00796FB8">
              <w:t xml:space="preserve"> = </w:t>
            </w:r>
            <w:r w:rsidR="003355BE" w:rsidRPr="00796FB8">
              <w:rPr>
                <w:iCs/>
              </w:rPr>
              <w:t>(30 * 51.75%) + (20 * 48.25%)</w:t>
            </w:r>
          </w:p>
        </w:tc>
      </w:tr>
      <w:tr w:rsidR="00FC0F05" w:rsidRPr="00796FB8" w:rsidTr="00624D41">
        <w:trPr>
          <w:cantSplit/>
        </w:trPr>
        <w:tc>
          <w:tcPr>
            <w:tcW w:w="261" w:type="pct"/>
            <w:tcBorders>
              <w:top w:val="single" w:sz="4" w:space="0" w:color="auto"/>
              <w:left w:val="single" w:sz="4" w:space="0" w:color="auto"/>
              <w:bottom w:val="single" w:sz="4" w:space="0" w:color="auto"/>
              <w:right w:val="single" w:sz="4" w:space="0" w:color="auto"/>
            </w:tcBorders>
          </w:tcPr>
          <w:p w:rsidR="00FC0F05" w:rsidRPr="00796FB8" w:rsidRDefault="00FC0F05" w:rsidP="00BF3C38">
            <w:pPr>
              <w:pStyle w:val="TableText0"/>
            </w:pPr>
            <w:r w:rsidRPr="00796FB8">
              <w:t>C</w:t>
            </w:r>
          </w:p>
        </w:tc>
        <w:tc>
          <w:tcPr>
            <w:tcW w:w="1039" w:type="pct"/>
            <w:tcBorders>
              <w:top w:val="single" w:sz="4" w:space="0" w:color="auto"/>
              <w:left w:val="single" w:sz="4" w:space="0" w:color="auto"/>
              <w:bottom w:val="single" w:sz="4" w:space="0" w:color="auto"/>
              <w:right w:val="single" w:sz="4" w:space="0" w:color="auto"/>
            </w:tcBorders>
            <w:shd w:val="clear" w:color="auto" w:fill="auto"/>
          </w:tcPr>
          <w:p w:rsidR="00FC0F05" w:rsidRPr="00796FB8" w:rsidRDefault="003D66F0" w:rsidP="00BF3C38">
            <w:pPr>
              <w:pStyle w:val="TableText0"/>
            </w:pPr>
            <w:r w:rsidRPr="00796FB8">
              <w:t>Scripts per year</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FC0F05" w:rsidRPr="004C4B81" w:rsidRDefault="004C4B81" w:rsidP="00BF3C38">
            <w:pPr>
              <w:pStyle w:val="TableText0"/>
              <w:jc w:val="center"/>
              <w:rPr>
                <w:iCs/>
                <w:highlight w:val="black"/>
              </w:rPr>
            </w:pPr>
            <w:r>
              <w:rPr>
                <w:iCs/>
                <w:noProof/>
                <w:color w:val="000000"/>
                <w:highlight w:val="black"/>
              </w:rPr>
              <w:t>''''''''''''</w:t>
            </w: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FC0F05" w:rsidRPr="004C4B81" w:rsidRDefault="004C4B81" w:rsidP="00BF3C38">
            <w:pPr>
              <w:pStyle w:val="TableText0"/>
              <w:jc w:val="center"/>
              <w:rPr>
                <w:iCs/>
                <w:highlight w:val="black"/>
              </w:rPr>
            </w:pPr>
            <w:r>
              <w:rPr>
                <w:iCs/>
                <w:noProof/>
                <w:color w:val="000000"/>
                <w:highlight w:val="black"/>
              </w:rPr>
              <w:t>'''''''''''''</w:t>
            </w:r>
          </w:p>
        </w:tc>
        <w:tc>
          <w:tcPr>
            <w:tcW w:w="2094" w:type="pct"/>
            <w:tcBorders>
              <w:top w:val="single" w:sz="4" w:space="0" w:color="auto"/>
              <w:left w:val="single" w:sz="4" w:space="0" w:color="auto"/>
              <w:bottom w:val="single" w:sz="4" w:space="0" w:color="auto"/>
              <w:right w:val="single" w:sz="4" w:space="0" w:color="auto"/>
            </w:tcBorders>
          </w:tcPr>
          <w:p w:rsidR="00FC0F05" w:rsidRPr="00796FB8" w:rsidRDefault="007A25B6" w:rsidP="00BF3C38">
            <w:pPr>
              <w:pStyle w:val="TableText0"/>
              <w:rPr>
                <w:iCs/>
                <w:highlight w:val="yellow"/>
              </w:rPr>
            </w:pPr>
            <w:r w:rsidRPr="00796FB8">
              <w:rPr>
                <w:iCs/>
              </w:rPr>
              <w:t>LAC</w:t>
            </w:r>
            <w:r w:rsidR="00FC0F05" w:rsidRPr="00796FB8">
              <w:rPr>
                <w:iCs/>
              </w:rPr>
              <w:t xml:space="preserve"> = </w:t>
            </w:r>
            <w:r w:rsidR="00DF451A" w:rsidRPr="00796FB8">
              <w:rPr>
                <w:iCs/>
              </w:rPr>
              <w:t xml:space="preserve">365.25 / </w:t>
            </w:r>
            <w:r w:rsidR="00FF54F8" w:rsidRPr="00796FB8">
              <w:rPr>
                <w:iCs/>
              </w:rPr>
              <w:t>B</w:t>
            </w:r>
          </w:p>
          <w:p w:rsidR="00FC0F05" w:rsidRPr="00796FB8" w:rsidRDefault="007A25B6" w:rsidP="00BF3C38">
            <w:pPr>
              <w:pStyle w:val="TableText0"/>
              <w:rPr>
                <w:iCs/>
                <w:highlight w:val="yellow"/>
              </w:rPr>
            </w:pPr>
            <w:r w:rsidRPr="00796FB8">
              <w:rPr>
                <w:iCs/>
              </w:rPr>
              <w:t>ESL</w:t>
            </w:r>
            <w:r w:rsidR="00FC0F05" w:rsidRPr="00796FB8">
              <w:rPr>
                <w:iCs/>
              </w:rPr>
              <w:t xml:space="preserve"> = </w:t>
            </w:r>
            <w:r w:rsidR="00FF54F8" w:rsidRPr="00796FB8">
              <w:rPr>
                <w:iCs/>
              </w:rPr>
              <w:t>365.25 / B</w:t>
            </w:r>
          </w:p>
        </w:tc>
      </w:tr>
      <w:tr w:rsidR="00FC0F05" w:rsidRPr="00796FB8" w:rsidTr="00624D41">
        <w:trPr>
          <w:cantSplit/>
        </w:trPr>
        <w:tc>
          <w:tcPr>
            <w:tcW w:w="261" w:type="pct"/>
            <w:tcBorders>
              <w:top w:val="single" w:sz="4" w:space="0" w:color="auto"/>
              <w:left w:val="single" w:sz="4" w:space="0" w:color="auto"/>
              <w:bottom w:val="single" w:sz="4" w:space="0" w:color="auto"/>
              <w:right w:val="single" w:sz="4" w:space="0" w:color="auto"/>
            </w:tcBorders>
          </w:tcPr>
          <w:p w:rsidR="00FC0F05" w:rsidRPr="00796FB8" w:rsidRDefault="00FC0F05" w:rsidP="00BF3C38">
            <w:pPr>
              <w:pStyle w:val="TableText0"/>
            </w:pPr>
            <w:r w:rsidRPr="00796FB8">
              <w:t>D</w:t>
            </w:r>
          </w:p>
        </w:tc>
        <w:tc>
          <w:tcPr>
            <w:tcW w:w="1039" w:type="pct"/>
            <w:tcBorders>
              <w:top w:val="single" w:sz="4" w:space="0" w:color="auto"/>
              <w:left w:val="single" w:sz="4" w:space="0" w:color="auto"/>
              <w:bottom w:val="single" w:sz="4" w:space="0" w:color="auto"/>
              <w:right w:val="single" w:sz="4" w:space="0" w:color="auto"/>
            </w:tcBorders>
            <w:shd w:val="clear" w:color="auto" w:fill="auto"/>
          </w:tcPr>
          <w:p w:rsidR="00FC0F05" w:rsidRPr="00796FB8" w:rsidRDefault="00DF451A" w:rsidP="00BF3C38">
            <w:pPr>
              <w:pStyle w:val="TableText0"/>
            </w:pPr>
            <w:r w:rsidRPr="00796FB8">
              <w:t>Cost per year</w:t>
            </w:r>
          </w:p>
        </w:tc>
        <w:tc>
          <w:tcPr>
            <w:tcW w:w="842" w:type="pct"/>
            <w:tcBorders>
              <w:top w:val="single" w:sz="4" w:space="0" w:color="auto"/>
              <w:left w:val="single" w:sz="4" w:space="0" w:color="auto"/>
              <w:bottom w:val="single" w:sz="4" w:space="0" w:color="auto"/>
              <w:right w:val="single" w:sz="4" w:space="0" w:color="auto"/>
            </w:tcBorders>
          </w:tcPr>
          <w:p w:rsidR="00FC0F05" w:rsidRPr="00796FB8" w:rsidRDefault="00FC0F05" w:rsidP="00BF3C38">
            <w:pPr>
              <w:pStyle w:val="TableText0"/>
              <w:jc w:val="center"/>
            </w:pPr>
            <w:r w:rsidRPr="00796FB8">
              <w:t>$</w:t>
            </w:r>
            <w:r w:rsidR="004C4B81">
              <w:rPr>
                <w:noProof/>
                <w:color w:val="000000"/>
                <w:highlight w:val="black"/>
              </w:rPr>
              <w:t>''''''''''''''''''''</w:t>
            </w:r>
          </w:p>
        </w:tc>
        <w:tc>
          <w:tcPr>
            <w:tcW w:w="764" w:type="pct"/>
            <w:tcBorders>
              <w:top w:val="single" w:sz="4" w:space="0" w:color="auto"/>
              <w:left w:val="single" w:sz="4" w:space="0" w:color="auto"/>
              <w:bottom w:val="single" w:sz="4" w:space="0" w:color="auto"/>
              <w:right w:val="single" w:sz="4" w:space="0" w:color="auto"/>
            </w:tcBorders>
          </w:tcPr>
          <w:p w:rsidR="00FC0F05" w:rsidRPr="00796FB8" w:rsidRDefault="00FC0F05" w:rsidP="00BF3C38">
            <w:pPr>
              <w:pStyle w:val="TableText0"/>
              <w:jc w:val="center"/>
            </w:pPr>
            <w:r w:rsidRPr="00796FB8">
              <w:t>$</w:t>
            </w:r>
            <w:r w:rsidR="004C4B81">
              <w:rPr>
                <w:noProof/>
                <w:color w:val="000000"/>
                <w:highlight w:val="black"/>
              </w:rPr>
              <w:t>'''''''''''''''''''''''</w:t>
            </w:r>
          </w:p>
        </w:tc>
        <w:tc>
          <w:tcPr>
            <w:tcW w:w="2094" w:type="pct"/>
            <w:tcBorders>
              <w:top w:val="single" w:sz="4" w:space="0" w:color="auto"/>
              <w:left w:val="single" w:sz="4" w:space="0" w:color="auto"/>
              <w:bottom w:val="single" w:sz="4" w:space="0" w:color="auto"/>
              <w:right w:val="single" w:sz="4" w:space="0" w:color="auto"/>
            </w:tcBorders>
          </w:tcPr>
          <w:p w:rsidR="00FC0F05" w:rsidRPr="00796FB8" w:rsidRDefault="007A25B6" w:rsidP="00BF3C38">
            <w:pPr>
              <w:pStyle w:val="TableText0"/>
            </w:pPr>
            <w:r w:rsidRPr="00796FB8">
              <w:t>LAC</w:t>
            </w:r>
            <w:r w:rsidR="00FC0F05" w:rsidRPr="00796FB8">
              <w:t xml:space="preserve"> = </w:t>
            </w:r>
            <w:r w:rsidR="00545173" w:rsidRPr="00796FB8">
              <w:t>A * C</w:t>
            </w:r>
          </w:p>
          <w:p w:rsidR="00FC0F05" w:rsidRPr="00796FB8" w:rsidRDefault="007A25B6" w:rsidP="00BF3C38">
            <w:pPr>
              <w:pStyle w:val="TableText0"/>
            </w:pPr>
            <w:r w:rsidRPr="00796FB8">
              <w:t>ESL</w:t>
            </w:r>
            <w:r w:rsidR="00FC0F05" w:rsidRPr="00796FB8">
              <w:t xml:space="preserve"> </w:t>
            </w:r>
            <w:r w:rsidR="00545173" w:rsidRPr="00796FB8">
              <w:t xml:space="preserve">= </w:t>
            </w:r>
            <w:r w:rsidRPr="00796FB8">
              <w:t>LAC</w:t>
            </w:r>
            <w:r w:rsidR="00FC0F05" w:rsidRPr="00796FB8">
              <w:t xml:space="preserve"> </w:t>
            </w:r>
          </w:p>
        </w:tc>
      </w:tr>
    </w:tbl>
    <w:p w:rsidR="00FC0F05" w:rsidRPr="00796FB8" w:rsidRDefault="00FC0F05" w:rsidP="00BF3C38">
      <w:pPr>
        <w:pStyle w:val="TableFooter"/>
        <w:rPr>
          <w:highlight w:val="yellow"/>
        </w:rPr>
      </w:pPr>
      <w:r w:rsidRPr="00796FB8">
        <w:t xml:space="preserve">Source: Table </w:t>
      </w:r>
      <w:r w:rsidR="003D66F0" w:rsidRPr="00796FB8">
        <w:t>3-3</w:t>
      </w:r>
      <w:r w:rsidRPr="00796FB8">
        <w:t xml:space="preserve"> of the submission.</w:t>
      </w:r>
    </w:p>
    <w:p w:rsidR="00FC0F05" w:rsidRPr="00796FB8" w:rsidRDefault="003355BE" w:rsidP="00BF3C38">
      <w:pPr>
        <w:pStyle w:val="TableFooter"/>
        <w:rPr>
          <w:highlight w:val="yellow"/>
        </w:rPr>
      </w:pPr>
      <w:r w:rsidRPr="00796FB8">
        <w:t xml:space="preserve">AEMP = approved ex-manufacturer price; </w:t>
      </w:r>
      <w:r w:rsidR="001116E5" w:rsidRPr="00796FB8">
        <w:t>ESL = eslicarbazepine</w:t>
      </w:r>
      <w:r w:rsidR="00C4771F" w:rsidRPr="00C4771F">
        <w:t xml:space="preserve"> </w:t>
      </w:r>
      <w:r w:rsidR="00C4771F">
        <w:t>acetate</w:t>
      </w:r>
      <w:r w:rsidR="001116E5" w:rsidRPr="00796FB8">
        <w:t>; LAC = lacosamide.</w:t>
      </w:r>
    </w:p>
    <w:p w:rsidR="00FC0F05" w:rsidRPr="00796FB8" w:rsidRDefault="00FC0F05" w:rsidP="00BF3C38">
      <w:pPr>
        <w:pStyle w:val="TableFooter"/>
      </w:pPr>
      <w:r w:rsidRPr="00796FB8">
        <w:rPr>
          <w:vertAlign w:val="superscript"/>
        </w:rPr>
        <w:t>a</w:t>
      </w:r>
      <w:r w:rsidR="00624D41" w:rsidRPr="00796FB8">
        <w:t xml:space="preserve"> Based on the weighted average AEMP of LAC 100 mg and 200 mg</w:t>
      </w:r>
      <w:r w:rsidR="003355BE" w:rsidRPr="00796FB8">
        <w:t xml:space="preserve"> strengths</w:t>
      </w:r>
      <w:r w:rsidR="00624D41" w:rsidRPr="00796FB8">
        <w:t>; derived using item numbers 9335H</w:t>
      </w:r>
      <w:r w:rsidR="003355BE" w:rsidRPr="00796FB8">
        <w:t xml:space="preserve"> (200 mg/day)</w:t>
      </w:r>
      <w:r w:rsidR="00624D41" w:rsidRPr="00796FB8">
        <w:t xml:space="preserve"> and 9338L</w:t>
      </w:r>
      <w:r w:rsidR="003355BE" w:rsidRPr="00796FB8">
        <w:t xml:space="preserve"> (400 mg/day)</w:t>
      </w:r>
      <w:r w:rsidR="00624D41" w:rsidRPr="00796FB8">
        <w:t>.</w:t>
      </w:r>
    </w:p>
    <w:p w:rsidR="003355BE" w:rsidRPr="00796FB8" w:rsidRDefault="003355BE" w:rsidP="00BF3C38">
      <w:pPr>
        <w:pStyle w:val="TableFooter"/>
      </w:pPr>
      <w:r w:rsidRPr="00796FB8">
        <w:rPr>
          <w:vertAlign w:val="superscript"/>
        </w:rPr>
        <w:t>b</w:t>
      </w:r>
      <w:r w:rsidRPr="00796FB8">
        <w:t xml:space="preserve"> Based on the weighted average usage of </w:t>
      </w:r>
      <w:r w:rsidR="00FF54F8" w:rsidRPr="00796FB8">
        <w:t>ESL 800 mg</w:t>
      </w:r>
      <w:r w:rsidR="00AC37F6" w:rsidRPr="00796FB8">
        <w:t>/day</w:t>
      </w:r>
      <w:r w:rsidR="00FF54F8" w:rsidRPr="00796FB8">
        <w:t xml:space="preserve"> (pack lasts 30 days) and 1</w:t>
      </w:r>
      <w:r w:rsidR="00AC37F6" w:rsidRPr="00796FB8">
        <w:t>,</w:t>
      </w:r>
      <w:r w:rsidR="00FF54F8" w:rsidRPr="00796FB8">
        <w:t>200 mg</w:t>
      </w:r>
      <w:r w:rsidR="00AC37F6" w:rsidRPr="00796FB8">
        <w:t>/day</w:t>
      </w:r>
      <w:r w:rsidR="00FF54F8" w:rsidRPr="00796FB8">
        <w:t xml:space="preserve"> (pack lasts 20 days).</w:t>
      </w:r>
    </w:p>
    <w:p w:rsidR="00545173" w:rsidRPr="00796FB8" w:rsidRDefault="00545173" w:rsidP="00BF3C38">
      <w:pPr>
        <w:pStyle w:val="TableFooter"/>
      </w:pPr>
    </w:p>
    <w:p w:rsidR="00495CE2" w:rsidRPr="00796FB8" w:rsidRDefault="00495CE2" w:rsidP="00BF3C38">
      <w:pPr>
        <w:pStyle w:val="3-BodyText"/>
      </w:pPr>
      <w:r w:rsidRPr="00796FB8">
        <w:t xml:space="preserve">‘The number of prescriptions per year’ was calculated as </w:t>
      </w:r>
      <w:r w:rsidR="002E720F">
        <w:t>&lt; 500</w:t>
      </w:r>
      <w:r w:rsidRPr="00796FB8">
        <w:t xml:space="preserve">, and the </w:t>
      </w:r>
      <w:r w:rsidR="0022072C" w:rsidRPr="00796FB8">
        <w:t>28</w:t>
      </w:r>
      <w:r w:rsidRPr="00796FB8">
        <w:t xml:space="preserve"> ‘days lasted per pack’ was obtained by dividing the number of tablets in LAC continuing treatment pack (56) by the number of tablets required for recommended LAC daily dosing (2 tablets per day), which are both likely overestimated assuming 100.0% adherence. The AEMP cost of LAC per year was calculated as $</w:t>
      </w:r>
      <w:r w:rsidR="004C4B81">
        <w:rPr>
          <w:noProof/>
          <w:color w:val="000000"/>
          <w:highlight w:val="black"/>
        </w:rPr>
        <w:t>'''''''''''''''</w:t>
      </w:r>
      <w:r w:rsidRPr="00796FB8">
        <w:t xml:space="preserve"> (=$</w:t>
      </w:r>
      <w:r w:rsidRPr="00D84370">
        <w:t>21</w:t>
      </w:r>
      <w:r w:rsidR="00AC37F6" w:rsidRPr="00D84370">
        <w:t>6</w:t>
      </w:r>
      <w:r w:rsidRPr="00D84370">
        <w:t>.78</w:t>
      </w:r>
      <w:r w:rsidRPr="00796FB8">
        <w:t xml:space="preserve"> * </w:t>
      </w:r>
      <w:r w:rsidR="00095DD3">
        <w:t>&lt;500</w:t>
      </w:r>
      <w:r w:rsidRPr="00796FB8">
        <w:t>).</w:t>
      </w:r>
    </w:p>
    <w:p w:rsidR="00495CE2" w:rsidRPr="00796FB8" w:rsidRDefault="00495CE2" w:rsidP="00BF3C38">
      <w:pPr>
        <w:pStyle w:val="3-BodyText"/>
      </w:pPr>
      <w:r w:rsidRPr="00796FB8">
        <w:t>The ESL 800</w:t>
      </w:r>
      <w:r w:rsidR="00862DD3" w:rsidRPr="00796FB8">
        <w:t xml:space="preserve"> </w:t>
      </w:r>
      <w:r w:rsidRPr="00796FB8">
        <w:t>mg tablet cost minimised AEMP price was calculated to be $</w:t>
      </w:r>
      <w:r w:rsidR="004C4B81">
        <w:rPr>
          <w:noProof/>
          <w:color w:val="000000"/>
          <w:highlight w:val="black"/>
        </w:rPr>
        <w:t>''''''''''''</w:t>
      </w:r>
      <w:r w:rsidRPr="00796FB8">
        <w:t>. This is not reasonable since the equi-effective doses</w:t>
      </w:r>
      <w:r w:rsidR="00F663FC" w:rsidRPr="00796FB8">
        <w:t xml:space="preserve"> (paragraph 6.2</w:t>
      </w:r>
      <w:r w:rsidR="0024085F" w:rsidRPr="00796FB8">
        <w:t>5</w:t>
      </w:r>
      <w:r w:rsidR="00F663FC" w:rsidRPr="00796FB8">
        <w:t>)</w:t>
      </w:r>
      <w:r w:rsidRPr="00796FB8">
        <w:t xml:space="preserve"> are not adequately supported</w:t>
      </w:r>
      <w:r w:rsidR="00EB2AFD" w:rsidRPr="00796FB8">
        <w:t xml:space="preserve">, and no data </w:t>
      </w:r>
      <w:r w:rsidR="00435D56" w:rsidRPr="00796FB8">
        <w:t>were</w:t>
      </w:r>
      <w:r w:rsidR="00EB2AFD" w:rsidRPr="00796FB8">
        <w:t xml:space="preserve"> provided on the distribution of ESL doses (paragraphs 6.2</w:t>
      </w:r>
      <w:r w:rsidR="0024085F" w:rsidRPr="00796FB8">
        <w:t>5</w:t>
      </w:r>
      <w:r w:rsidR="00EB2AFD" w:rsidRPr="00796FB8">
        <w:t xml:space="preserve"> </w:t>
      </w:r>
      <w:r w:rsidR="0024085F" w:rsidRPr="00796FB8">
        <w:t xml:space="preserve">to </w:t>
      </w:r>
      <w:r w:rsidR="00EB2AFD" w:rsidRPr="00796FB8">
        <w:t>6.2</w:t>
      </w:r>
      <w:r w:rsidR="00390E97" w:rsidRPr="00796FB8">
        <w:t>6</w:t>
      </w:r>
      <w:r w:rsidR="00EB2AFD" w:rsidRPr="00796FB8">
        <w:t>), or all LAC tablet strengths (paragraph 6.2</w:t>
      </w:r>
      <w:r w:rsidR="00390E97" w:rsidRPr="00796FB8">
        <w:t>7</w:t>
      </w:r>
      <w:r w:rsidR="00EB2AFD" w:rsidRPr="00796FB8">
        <w:t>)</w:t>
      </w:r>
      <w:r w:rsidRPr="00796FB8">
        <w:t>.</w:t>
      </w:r>
    </w:p>
    <w:p w:rsidR="0024085F" w:rsidRPr="00796FB8" w:rsidRDefault="00495CE2" w:rsidP="00BF3C38">
      <w:pPr>
        <w:pStyle w:val="3-BodyText"/>
        <w:rPr>
          <w:i/>
        </w:rPr>
      </w:pPr>
      <w:r w:rsidRPr="00796FB8">
        <w:t>The submission did not include any additional costs or cost-offsets in the cost-minimisation analysis, which is reasonable.</w:t>
      </w:r>
    </w:p>
    <w:p w:rsidR="0024085F" w:rsidRPr="00796FB8" w:rsidRDefault="0033123A" w:rsidP="00BF3C38">
      <w:pPr>
        <w:pStyle w:val="3-BodyText"/>
        <w:rPr>
          <w:i/>
        </w:rPr>
      </w:pPr>
      <w:r w:rsidRPr="00796FB8">
        <w:t xml:space="preserve">The PBAC noted that </w:t>
      </w:r>
      <w:r w:rsidR="00495CE2" w:rsidRPr="00796FB8">
        <w:t>the cost-minimisation approach must establish that the cost per patient for treatment with ESL would be no more than the cost per patient of LAC. The cost per patient takes into account the mean equi-effective doses of the new intervention and the alternative therapy. Where these cost per patient calculations are uncertain, the guiding principle is that the Australian Government should not bear the financial risk</w:t>
      </w:r>
      <w:r w:rsidR="00495CE2" w:rsidRPr="00796FB8">
        <w:rPr>
          <w:i/>
        </w:rPr>
        <w:t xml:space="preserve"> </w:t>
      </w:r>
      <w:r w:rsidR="00495CE2" w:rsidRPr="00796FB8">
        <w:t>of this uncertainty because the Australian population already has access to therapy that is at least as effective and safe.</w:t>
      </w:r>
    </w:p>
    <w:p w:rsidR="00C25D9C" w:rsidRPr="00796FB8" w:rsidRDefault="00C25D9C" w:rsidP="00BF3C38">
      <w:pPr>
        <w:pStyle w:val="4-SubsectionHeading"/>
      </w:pPr>
      <w:bookmarkStart w:id="34" w:name="_Toc62035372"/>
      <w:r w:rsidRPr="00796FB8">
        <w:t>Drug</w:t>
      </w:r>
      <w:r w:rsidR="00D001A0" w:rsidRPr="00796FB8">
        <w:t xml:space="preserve"> cost/patient/</w:t>
      </w:r>
      <w:r w:rsidRPr="00796FB8">
        <w:t>year</w:t>
      </w:r>
      <w:bookmarkEnd w:id="33"/>
      <w:r w:rsidR="00D07310" w:rsidRPr="00796FB8">
        <w:t>: $</w:t>
      </w:r>
      <w:bookmarkEnd w:id="34"/>
      <w:r w:rsidR="004C4B81">
        <w:rPr>
          <w:noProof/>
          <w:color w:val="000000"/>
          <w:highlight w:val="black"/>
        </w:rPr>
        <w:t>''''''''''''''</w:t>
      </w:r>
    </w:p>
    <w:p w:rsidR="00495CE2" w:rsidRPr="00796FB8" w:rsidRDefault="00495CE2" w:rsidP="00BF3C38">
      <w:pPr>
        <w:pStyle w:val="3-BodyText"/>
        <w:rPr>
          <w:snapToGrid/>
        </w:rPr>
      </w:pPr>
      <w:bookmarkStart w:id="35" w:name="_Toc22897647"/>
      <w:r w:rsidRPr="00796FB8">
        <w:t>This is based on the proposed DPMQ of $</w:t>
      </w:r>
      <w:r w:rsidR="004C4B81">
        <w:rPr>
          <w:noProof/>
          <w:color w:val="000000"/>
          <w:highlight w:val="black"/>
        </w:rPr>
        <w:t>'''''''''''''</w:t>
      </w:r>
      <w:r w:rsidRPr="00796FB8">
        <w:t xml:space="preserve"> for ESL 800</w:t>
      </w:r>
      <w:r w:rsidR="00F663FC" w:rsidRPr="00796FB8">
        <w:t xml:space="preserve"> </w:t>
      </w:r>
      <w:r w:rsidRPr="00796FB8">
        <w:t>mg tablet, 30 tablet</w:t>
      </w:r>
      <w:r w:rsidR="00F663FC" w:rsidRPr="00796FB8">
        <w:t>s</w:t>
      </w:r>
      <w:r w:rsidRPr="00796FB8">
        <w:t xml:space="preserve"> per pack, which is sufficient for a 30 day supply</w:t>
      </w:r>
      <w:r w:rsidR="009F66A4" w:rsidRPr="00796FB8">
        <w:t xml:space="preserve"> (</w:t>
      </w:r>
      <w:r w:rsidR="00095DD3">
        <w:t>&lt; 500</w:t>
      </w:r>
      <w:r w:rsidR="009F66A4" w:rsidRPr="00796FB8">
        <w:t xml:space="preserve"> scripts per year</w:t>
      </w:r>
      <w:r w:rsidR="00113573" w:rsidRPr="00796FB8">
        <w:t>, as calculated by t</w:t>
      </w:r>
      <w:r w:rsidRPr="00796FB8">
        <w:t>he submission</w:t>
      </w:r>
      <w:r w:rsidR="00113573" w:rsidRPr="00796FB8">
        <w:t>). It is</w:t>
      </w:r>
      <w:r w:rsidRPr="00796FB8">
        <w:t xml:space="preserve"> assumed that the cost/patient/year of treatment with ESL and LAC is the same</w:t>
      </w:r>
      <w:r w:rsidR="00113573" w:rsidRPr="00796FB8">
        <w:t xml:space="preserve"> (based on AEMP)</w:t>
      </w:r>
      <w:r w:rsidRPr="00796FB8">
        <w:t>, but this is highly uncertain given the concerns in calculations of equi-effective doses</w:t>
      </w:r>
      <w:r w:rsidR="00AF1C06" w:rsidRPr="00796FB8">
        <w:t xml:space="preserve"> (paragraphs 6.2</w:t>
      </w:r>
      <w:r w:rsidR="00F02134" w:rsidRPr="00796FB8">
        <w:t>5</w:t>
      </w:r>
      <w:r w:rsidR="00AF1C06" w:rsidRPr="00796FB8">
        <w:t xml:space="preserve"> </w:t>
      </w:r>
      <w:r w:rsidR="00F02134" w:rsidRPr="00796FB8">
        <w:t xml:space="preserve">to </w:t>
      </w:r>
      <w:r w:rsidR="00AF1C06" w:rsidRPr="00796FB8">
        <w:t>6.2</w:t>
      </w:r>
      <w:r w:rsidR="00390E97" w:rsidRPr="00796FB8">
        <w:t>7</w:t>
      </w:r>
      <w:r w:rsidR="00AF1C06" w:rsidRPr="00796FB8">
        <w:t>)</w:t>
      </w:r>
      <w:r w:rsidRPr="00796FB8">
        <w:t>.</w:t>
      </w:r>
    </w:p>
    <w:p w:rsidR="00B60939" w:rsidRPr="00796FB8" w:rsidRDefault="00B60939" w:rsidP="00BF3C38">
      <w:pPr>
        <w:pStyle w:val="4-SubsectionHeading"/>
      </w:pPr>
      <w:bookmarkStart w:id="36" w:name="_Toc62035373"/>
      <w:r w:rsidRPr="00796FB8">
        <w:t>Estimated PBS usage &amp; financial implications</w:t>
      </w:r>
      <w:bookmarkEnd w:id="35"/>
      <w:bookmarkEnd w:id="36"/>
    </w:p>
    <w:p w:rsidR="00495CE2" w:rsidRPr="00796FB8" w:rsidRDefault="00BE755A" w:rsidP="00BF3C38">
      <w:pPr>
        <w:pStyle w:val="3-BodyText"/>
      </w:pPr>
      <w:bookmarkStart w:id="37" w:name="_Toc22897650"/>
      <w:r w:rsidRPr="00796FB8">
        <w:t>This submission was not</w:t>
      </w:r>
      <w:r w:rsidR="00495CE2" w:rsidRPr="00796FB8">
        <w:t xml:space="preserve"> considered by DUSC. The submission used a market-share approach to predict the likely use and financial impact of listing of ESL on the PBS. </w:t>
      </w:r>
    </w:p>
    <w:p w:rsidR="00495CE2" w:rsidRPr="00AC61A4" w:rsidRDefault="00273BFA" w:rsidP="00BF3C38">
      <w:pPr>
        <w:pStyle w:val="TableFigureHeading"/>
        <w:rPr>
          <w:rStyle w:val="CommentReference"/>
          <w:b/>
        </w:rPr>
      </w:pPr>
      <w:r w:rsidRPr="00AC61A4">
        <w:rPr>
          <w:rStyle w:val="CommentReference"/>
          <w:b/>
        </w:rPr>
        <w:t xml:space="preserve">Table </w:t>
      </w:r>
      <w:r w:rsidR="002B1346" w:rsidRPr="00AC61A4">
        <w:rPr>
          <w:rStyle w:val="CommentReference"/>
          <w:b/>
        </w:rPr>
        <w:t>12</w:t>
      </w:r>
      <w:r w:rsidR="00495CE2" w:rsidRPr="00AC61A4">
        <w:rPr>
          <w:rStyle w:val="CommentReference"/>
          <w:b/>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2"/>
        <w:gridCol w:w="3270"/>
        <w:gridCol w:w="2117"/>
        <w:gridCol w:w="2368"/>
      </w:tblGrid>
      <w:tr w:rsidR="00495CE2" w:rsidRPr="00796FB8" w:rsidTr="00E22635">
        <w:trPr>
          <w:tblHeader/>
        </w:trPr>
        <w:tc>
          <w:tcPr>
            <w:tcW w:w="700" w:type="pct"/>
            <w:shd w:val="clear" w:color="auto" w:fill="auto"/>
            <w:vAlign w:val="center"/>
          </w:tcPr>
          <w:p w:rsidR="00495CE2" w:rsidRPr="00796FB8" w:rsidRDefault="00495CE2" w:rsidP="00BF3C38">
            <w:pPr>
              <w:pStyle w:val="In-tableHeading"/>
              <w:keepLines/>
              <w:rPr>
                <w:lang w:val="en-AU"/>
              </w:rPr>
            </w:pPr>
            <w:r w:rsidRPr="00796FB8">
              <w:rPr>
                <w:lang w:val="en-AU"/>
              </w:rPr>
              <w:t>Parameter</w:t>
            </w:r>
          </w:p>
        </w:tc>
        <w:tc>
          <w:tcPr>
            <w:tcW w:w="1813" w:type="pct"/>
            <w:shd w:val="clear" w:color="auto" w:fill="auto"/>
            <w:vAlign w:val="center"/>
          </w:tcPr>
          <w:p w:rsidR="00495CE2" w:rsidRPr="00796FB8" w:rsidRDefault="00495CE2" w:rsidP="00BF3C38">
            <w:pPr>
              <w:pStyle w:val="In-tableHeading"/>
              <w:keepLines/>
              <w:rPr>
                <w:lang w:val="en-AU"/>
              </w:rPr>
            </w:pPr>
            <w:r w:rsidRPr="00796FB8">
              <w:rPr>
                <w:lang w:val="en-AU"/>
              </w:rPr>
              <w:t xml:space="preserve">Value </w:t>
            </w:r>
          </w:p>
        </w:tc>
        <w:tc>
          <w:tcPr>
            <w:tcW w:w="1174" w:type="pct"/>
          </w:tcPr>
          <w:p w:rsidR="00495CE2" w:rsidRPr="00796FB8" w:rsidRDefault="00495CE2" w:rsidP="00BF3C38">
            <w:pPr>
              <w:pStyle w:val="In-tableHeading"/>
              <w:keepLines/>
              <w:rPr>
                <w:lang w:val="en-AU"/>
              </w:rPr>
            </w:pPr>
            <w:r w:rsidRPr="00796FB8">
              <w:rPr>
                <w:lang w:val="en-AU"/>
              </w:rPr>
              <w:t>Source</w:t>
            </w:r>
          </w:p>
        </w:tc>
        <w:tc>
          <w:tcPr>
            <w:tcW w:w="1313" w:type="pct"/>
            <w:shd w:val="clear" w:color="auto" w:fill="auto"/>
            <w:vAlign w:val="center"/>
          </w:tcPr>
          <w:p w:rsidR="00495CE2" w:rsidRPr="00796FB8" w:rsidRDefault="00495CE2" w:rsidP="00BF3C38">
            <w:pPr>
              <w:pStyle w:val="In-tableHeading"/>
              <w:keepLines/>
              <w:rPr>
                <w:lang w:val="en-AU"/>
              </w:rPr>
            </w:pPr>
            <w:r w:rsidRPr="00796FB8">
              <w:rPr>
                <w:lang w:val="en-AU"/>
              </w:rPr>
              <w:t>Comment</w:t>
            </w:r>
          </w:p>
        </w:tc>
      </w:tr>
      <w:tr w:rsidR="00495CE2" w:rsidRPr="00796FB8" w:rsidTr="00E22635">
        <w:tc>
          <w:tcPr>
            <w:tcW w:w="5000" w:type="pct"/>
            <w:gridSpan w:val="4"/>
            <w:shd w:val="clear" w:color="auto" w:fill="auto"/>
            <w:vAlign w:val="center"/>
          </w:tcPr>
          <w:p w:rsidR="00495CE2" w:rsidRPr="00796FB8" w:rsidRDefault="00495CE2" w:rsidP="00BF3C38">
            <w:pPr>
              <w:pStyle w:val="TableText0"/>
              <w:keepLines/>
            </w:pPr>
          </w:p>
        </w:tc>
      </w:tr>
      <w:tr w:rsidR="00495CE2" w:rsidRPr="00796FB8" w:rsidTr="00E22635">
        <w:tc>
          <w:tcPr>
            <w:tcW w:w="700" w:type="pct"/>
            <w:shd w:val="clear" w:color="auto" w:fill="auto"/>
            <w:vAlign w:val="center"/>
          </w:tcPr>
          <w:p w:rsidR="00495CE2" w:rsidRPr="00796FB8" w:rsidRDefault="00495CE2" w:rsidP="00BF3C38">
            <w:pPr>
              <w:pStyle w:val="TableText0"/>
              <w:keepLines/>
            </w:pPr>
            <w:r w:rsidRPr="00796FB8">
              <w:t>Market Size</w:t>
            </w:r>
          </w:p>
        </w:tc>
        <w:tc>
          <w:tcPr>
            <w:tcW w:w="1813" w:type="pct"/>
            <w:shd w:val="clear" w:color="auto" w:fill="auto"/>
            <w:vAlign w:val="center"/>
          </w:tcPr>
          <w:p w:rsidR="00495CE2" w:rsidRPr="00796FB8" w:rsidRDefault="00495CE2" w:rsidP="00BF3C38">
            <w:pPr>
              <w:pStyle w:val="TableText0"/>
              <w:keepLines/>
            </w:pPr>
            <w:r w:rsidRPr="00796FB8">
              <w:t xml:space="preserve">Total services each year (Jan 2015 – Dec 2019) for currently listed medicines (LAC, PER BRV) for intractable POS </w:t>
            </w:r>
          </w:p>
        </w:tc>
        <w:tc>
          <w:tcPr>
            <w:tcW w:w="1174" w:type="pct"/>
            <w:vAlign w:val="center"/>
          </w:tcPr>
          <w:p w:rsidR="00495CE2" w:rsidRPr="00796FB8" w:rsidRDefault="00495CE2" w:rsidP="00BF3C38">
            <w:pPr>
              <w:pStyle w:val="TableText0"/>
              <w:keepLines/>
              <w:rPr>
                <w:i/>
              </w:rPr>
            </w:pPr>
            <w:r w:rsidRPr="00796FB8">
              <w:t xml:space="preserve">PBS Usage Statistics </w:t>
            </w:r>
          </w:p>
        </w:tc>
        <w:tc>
          <w:tcPr>
            <w:tcW w:w="1313" w:type="pct"/>
            <w:shd w:val="clear" w:color="auto" w:fill="auto"/>
            <w:vAlign w:val="center"/>
          </w:tcPr>
          <w:p w:rsidR="00495CE2" w:rsidRPr="00796FB8" w:rsidRDefault="00495CE2" w:rsidP="00BF3C38">
            <w:pPr>
              <w:pStyle w:val="TableText0"/>
              <w:keepLines/>
            </w:pPr>
          </w:p>
        </w:tc>
      </w:tr>
      <w:tr w:rsidR="00495CE2" w:rsidRPr="00796FB8" w:rsidTr="00E22635">
        <w:tc>
          <w:tcPr>
            <w:tcW w:w="700" w:type="pct"/>
            <w:shd w:val="clear" w:color="auto" w:fill="auto"/>
            <w:vAlign w:val="center"/>
          </w:tcPr>
          <w:p w:rsidR="00495CE2" w:rsidRPr="00796FB8" w:rsidRDefault="00495CE2" w:rsidP="00BF3C38">
            <w:pPr>
              <w:pStyle w:val="TableText0"/>
              <w:keepLines/>
            </w:pPr>
            <w:r w:rsidRPr="00796FB8">
              <w:t xml:space="preserve">Average annual increase in services for intractable POS </w:t>
            </w:r>
          </w:p>
        </w:tc>
        <w:tc>
          <w:tcPr>
            <w:tcW w:w="1813" w:type="pct"/>
            <w:shd w:val="clear" w:color="auto" w:fill="auto"/>
            <w:vAlign w:val="center"/>
          </w:tcPr>
          <w:p w:rsidR="00495CE2" w:rsidRPr="00796FB8" w:rsidRDefault="00495CE2" w:rsidP="00BF3C38">
            <w:pPr>
              <w:pStyle w:val="Tabletext"/>
              <w:keepNext/>
              <w:keepLines/>
            </w:pPr>
            <w:r w:rsidRPr="00796FB8">
              <w:t xml:space="preserve">2016: 13.4% </w:t>
            </w:r>
          </w:p>
          <w:p w:rsidR="00495CE2" w:rsidRPr="00796FB8" w:rsidRDefault="00495CE2" w:rsidP="00BF3C38">
            <w:pPr>
              <w:pStyle w:val="Tabletext"/>
              <w:keepNext/>
              <w:keepLines/>
            </w:pPr>
            <w:r w:rsidRPr="00796FB8">
              <w:t>2017: 16.22%</w:t>
            </w:r>
          </w:p>
          <w:p w:rsidR="00495CE2" w:rsidRPr="00796FB8" w:rsidRDefault="00495CE2" w:rsidP="00BF3C38">
            <w:pPr>
              <w:pStyle w:val="Tabletext"/>
              <w:keepNext/>
              <w:keepLines/>
            </w:pPr>
            <w:r w:rsidRPr="00796FB8">
              <w:t>2018: 17.98%</w:t>
            </w:r>
          </w:p>
          <w:p w:rsidR="00495CE2" w:rsidRPr="00796FB8" w:rsidRDefault="00495CE2" w:rsidP="00BF3C38">
            <w:pPr>
              <w:pStyle w:val="Tabletext"/>
              <w:keepNext/>
              <w:keepLines/>
            </w:pPr>
            <w:r w:rsidRPr="00796FB8">
              <w:t>2019: 25.16%</w:t>
            </w:r>
          </w:p>
          <w:p w:rsidR="00495CE2" w:rsidRPr="00796FB8" w:rsidRDefault="00495CE2" w:rsidP="00BF3C38">
            <w:pPr>
              <w:pStyle w:val="Tabletext"/>
              <w:keepNext/>
              <w:keepLines/>
              <w:rPr>
                <w:i/>
              </w:rPr>
            </w:pPr>
            <w:r w:rsidRPr="00796FB8">
              <w:t xml:space="preserve">2020: 8.89% </w:t>
            </w:r>
          </w:p>
          <w:p w:rsidR="00495CE2" w:rsidRPr="00796FB8" w:rsidRDefault="00495CE2" w:rsidP="00BF3C38">
            <w:pPr>
              <w:pStyle w:val="Tabletext"/>
              <w:keepNext/>
              <w:keepLines/>
            </w:pPr>
            <w:r w:rsidRPr="00796FB8">
              <w:t>2021 (Year 1): 11.19%</w:t>
            </w:r>
          </w:p>
          <w:p w:rsidR="00495CE2" w:rsidRPr="00796FB8" w:rsidRDefault="00495CE2" w:rsidP="00BF3C38">
            <w:pPr>
              <w:pStyle w:val="Tabletext"/>
              <w:keepNext/>
              <w:keepLines/>
            </w:pPr>
            <w:r w:rsidRPr="00796FB8">
              <w:t>2022 (Year 2): 10.06%</w:t>
            </w:r>
          </w:p>
          <w:p w:rsidR="00495CE2" w:rsidRPr="00796FB8" w:rsidRDefault="00495CE2" w:rsidP="00BF3C38">
            <w:pPr>
              <w:pStyle w:val="Tabletext"/>
              <w:keepNext/>
              <w:keepLines/>
            </w:pPr>
            <w:r w:rsidRPr="00796FB8">
              <w:t>2023 (Year 3): 9.14%</w:t>
            </w:r>
          </w:p>
          <w:p w:rsidR="00495CE2" w:rsidRPr="00796FB8" w:rsidRDefault="00495CE2" w:rsidP="00BF3C38">
            <w:pPr>
              <w:pStyle w:val="TableText0"/>
              <w:keepLines/>
            </w:pPr>
            <w:r w:rsidRPr="00796FB8">
              <w:t>2024 (Year 4): 8.38%</w:t>
            </w:r>
          </w:p>
          <w:p w:rsidR="00495CE2" w:rsidRPr="00796FB8" w:rsidRDefault="00495CE2" w:rsidP="00BF3C38">
            <w:pPr>
              <w:pStyle w:val="TableText0"/>
              <w:keepLines/>
            </w:pPr>
            <w:r w:rsidRPr="00796FB8">
              <w:t>2025 (Year 5): 7.73%</w:t>
            </w:r>
          </w:p>
          <w:p w:rsidR="00495CE2" w:rsidRPr="00796FB8" w:rsidRDefault="00495CE2" w:rsidP="00BF3C38">
            <w:pPr>
              <w:pStyle w:val="TableText0"/>
              <w:keepLines/>
            </w:pPr>
            <w:r w:rsidRPr="00796FB8">
              <w:t>2026 (Year 6): 7.17%</w:t>
            </w:r>
          </w:p>
        </w:tc>
        <w:tc>
          <w:tcPr>
            <w:tcW w:w="1174" w:type="pct"/>
            <w:vAlign w:val="center"/>
          </w:tcPr>
          <w:p w:rsidR="00495CE2" w:rsidRPr="00796FB8" w:rsidRDefault="00495CE2" w:rsidP="00BF3C38">
            <w:pPr>
              <w:pStyle w:val="Tabletext"/>
              <w:keepNext/>
              <w:keepLines/>
              <w:rPr>
                <w:u w:val="single"/>
              </w:rPr>
            </w:pPr>
            <w:r w:rsidRPr="00796FB8">
              <w:rPr>
                <w:u w:val="single"/>
              </w:rPr>
              <w:t>2016 – 2019:</w:t>
            </w:r>
          </w:p>
          <w:p w:rsidR="00495CE2" w:rsidRPr="00796FB8" w:rsidRDefault="00495CE2" w:rsidP="00BF3C38">
            <w:pPr>
              <w:pStyle w:val="Tabletext"/>
              <w:keepNext/>
              <w:keepLines/>
            </w:pPr>
            <w:r w:rsidRPr="00796FB8">
              <w:t>based on PBS usage statistics (Medicare Australia)</w:t>
            </w:r>
          </w:p>
          <w:p w:rsidR="00495CE2" w:rsidRPr="00796FB8" w:rsidRDefault="00495CE2" w:rsidP="00BF3C38">
            <w:pPr>
              <w:pStyle w:val="TableText0"/>
              <w:keepLines/>
              <w:rPr>
                <w:i/>
              </w:rPr>
            </w:pPr>
            <w:r w:rsidRPr="00796FB8">
              <w:rPr>
                <w:u w:val="single"/>
              </w:rPr>
              <w:t>2020 - 2026:</w:t>
            </w:r>
            <w:r w:rsidRPr="00796FB8">
              <w:t xml:space="preserve"> Forecast calculation by Microsoft Excel FORECAST.ETS Formula using PBS usage statistics for 2016-2019</w:t>
            </w:r>
          </w:p>
        </w:tc>
        <w:tc>
          <w:tcPr>
            <w:tcW w:w="1313" w:type="pct"/>
            <w:shd w:val="clear" w:color="auto" w:fill="auto"/>
            <w:vAlign w:val="center"/>
          </w:tcPr>
          <w:p w:rsidR="00495CE2" w:rsidRPr="00796FB8" w:rsidRDefault="00D6114F" w:rsidP="00BF3C38">
            <w:pPr>
              <w:pStyle w:val="TableText0"/>
              <w:keepLines/>
            </w:pPr>
            <w:r w:rsidRPr="00796FB8">
              <w:t>T</w:t>
            </w:r>
            <w:r w:rsidR="00495CE2" w:rsidRPr="00796FB8">
              <w:t xml:space="preserve">he submission has not adequately justified the annual increase in services for intractable POS treatment over 2016-2019. No rationale was provided for the decrease in growth rate in 2020 and onwards. </w:t>
            </w:r>
          </w:p>
        </w:tc>
      </w:tr>
      <w:tr w:rsidR="00495CE2" w:rsidRPr="00796FB8" w:rsidTr="00E22635">
        <w:tc>
          <w:tcPr>
            <w:tcW w:w="5000" w:type="pct"/>
            <w:gridSpan w:val="4"/>
            <w:shd w:val="clear" w:color="auto" w:fill="auto"/>
            <w:vAlign w:val="center"/>
          </w:tcPr>
          <w:p w:rsidR="00495CE2" w:rsidRPr="00796FB8" w:rsidRDefault="00495CE2" w:rsidP="003C798D">
            <w:pPr>
              <w:pStyle w:val="TableText0"/>
              <w:keepLines/>
            </w:pPr>
            <w:r w:rsidRPr="00796FB8">
              <w:rPr>
                <w:b/>
              </w:rPr>
              <w:t>Treatment utilisation of eslicarbazepine</w:t>
            </w:r>
            <w:r w:rsidR="00C4771F">
              <w:rPr>
                <w:b/>
              </w:rPr>
              <w:t xml:space="preserve"> </w:t>
            </w:r>
            <w:r w:rsidR="00C4771F">
              <w:t>acetate</w:t>
            </w:r>
          </w:p>
        </w:tc>
      </w:tr>
      <w:tr w:rsidR="00495CE2" w:rsidRPr="00796FB8" w:rsidTr="00E22635">
        <w:tc>
          <w:tcPr>
            <w:tcW w:w="700" w:type="pct"/>
            <w:shd w:val="clear" w:color="auto" w:fill="auto"/>
            <w:vAlign w:val="center"/>
          </w:tcPr>
          <w:p w:rsidR="00495CE2" w:rsidRPr="00796FB8" w:rsidRDefault="00495CE2" w:rsidP="00BF3C38">
            <w:pPr>
              <w:pStyle w:val="TableText0"/>
              <w:keepLines/>
            </w:pPr>
            <w:r w:rsidRPr="00796FB8">
              <w:t>Uptake rate</w:t>
            </w:r>
          </w:p>
          <w:p w:rsidR="008E3F52" w:rsidRPr="00796FB8" w:rsidRDefault="008E3F52" w:rsidP="00BF3C38">
            <w:pPr>
              <w:pStyle w:val="TableText0"/>
              <w:keepLines/>
              <w:rPr>
                <w:i/>
              </w:rPr>
            </w:pPr>
            <w:r w:rsidRPr="00796FB8">
              <w:t>(as substitution for LAC)</w:t>
            </w:r>
          </w:p>
        </w:tc>
        <w:tc>
          <w:tcPr>
            <w:tcW w:w="1813" w:type="pct"/>
            <w:shd w:val="clear" w:color="auto" w:fill="auto"/>
            <w:vAlign w:val="center"/>
          </w:tcPr>
          <w:p w:rsidR="00495CE2" w:rsidRPr="00796FB8" w:rsidRDefault="00495CE2" w:rsidP="00BF3C38">
            <w:pPr>
              <w:pStyle w:val="TableText0"/>
              <w:keepLines/>
            </w:pPr>
            <w:r w:rsidRPr="00796FB8">
              <w:t>Year 1: 4.0%</w:t>
            </w:r>
          </w:p>
          <w:p w:rsidR="00495CE2" w:rsidRPr="00796FB8" w:rsidRDefault="00495CE2" w:rsidP="00BF3C38">
            <w:pPr>
              <w:pStyle w:val="TableText0"/>
              <w:keepLines/>
            </w:pPr>
            <w:r w:rsidRPr="00796FB8">
              <w:t>Year 2: 6.0%</w:t>
            </w:r>
          </w:p>
          <w:p w:rsidR="00495CE2" w:rsidRPr="00796FB8" w:rsidRDefault="00495CE2" w:rsidP="00BF3C38">
            <w:pPr>
              <w:pStyle w:val="TableText0"/>
              <w:keepLines/>
            </w:pPr>
            <w:r w:rsidRPr="00796FB8">
              <w:t>Year 3: 8.0%</w:t>
            </w:r>
          </w:p>
          <w:p w:rsidR="00495CE2" w:rsidRPr="00796FB8" w:rsidRDefault="00495CE2" w:rsidP="00BF3C38">
            <w:pPr>
              <w:pStyle w:val="TableText0"/>
              <w:keepLines/>
            </w:pPr>
            <w:r w:rsidRPr="00796FB8">
              <w:t>Year 4: 10.0%</w:t>
            </w:r>
          </w:p>
          <w:p w:rsidR="00495CE2" w:rsidRPr="00796FB8" w:rsidRDefault="00495CE2" w:rsidP="00BF3C38">
            <w:pPr>
              <w:pStyle w:val="TableText0"/>
              <w:keepLines/>
            </w:pPr>
            <w:r w:rsidRPr="00796FB8">
              <w:t>Year 5: 12.0%</w:t>
            </w:r>
          </w:p>
          <w:p w:rsidR="00495CE2" w:rsidRPr="00796FB8" w:rsidRDefault="00495CE2" w:rsidP="00BF3C38">
            <w:pPr>
              <w:pStyle w:val="TableText0"/>
              <w:keepLines/>
            </w:pPr>
            <w:r w:rsidRPr="00796FB8">
              <w:t>Year 6: 15.0%</w:t>
            </w:r>
          </w:p>
        </w:tc>
        <w:tc>
          <w:tcPr>
            <w:tcW w:w="1174" w:type="pct"/>
            <w:vAlign w:val="center"/>
          </w:tcPr>
          <w:p w:rsidR="00495CE2" w:rsidRPr="00796FB8" w:rsidRDefault="00495CE2" w:rsidP="00BF3C38">
            <w:pPr>
              <w:pStyle w:val="TableText0"/>
              <w:keepLines/>
              <w:rPr>
                <w:i/>
              </w:rPr>
            </w:pPr>
            <w:r w:rsidRPr="00796FB8">
              <w:t>Assumption</w:t>
            </w:r>
          </w:p>
        </w:tc>
        <w:tc>
          <w:tcPr>
            <w:tcW w:w="1313" w:type="pct"/>
            <w:shd w:val="clear" w:color="auto" w:fill="auto"/>
            <w:vAlign w:val="center"/>
          </w:tcPr>
          <w:p w:rsidR="00495CE2" w:rsidRPr="00796FB8" w:rsidRDefault="00C166C3" w:rsidP="00954F9C">
            <w:pPr>
              <w:pStyle w:val="TableText0"/>
              <w:keepLines/>
            </w:pPr>
            <w:r w:rsidRPr="00796FB8">
              <w:t xml:space="preserve">The </w:t>
            </w:r>
            <w:r w:rsidR="00954F9C">
              <w:t>s</w:t>
            </w:r>
            <w:r w:rsidR="00495CE2" w:rsidRPr="00796FB8">
              <w:t>ponsor did not provide any</w:t>
            </w:r>
            <w:r w:rsidR="00882FBB" w:rsidRPr="00796FB8">
              <w:t xml:space="preserve"> rationale for this assumption. The PSCR stated that the uptake was estimated based on the uptake and growth of perampanel and brivaracetam when they were recommended for listing</w:t>
            </w:r>
            <w:r w:rsidR="00520AD3" w:rsidRPr="00796FB8">
              <w:t>, with ESL expected to take a small share of the current market</w:t>
            </w:r>
            <w:r w:rsidR="00882FBB" w:rsidRPr="00796FB8">
              <w:t xml:space="preserve">. </w:t>
            </w:r>
          </w:p>
        </w:tc>
      </w:tr>
    </w:tbl>
    <w:p w:rsidR="00495CE2" w:rsidRPr="00796FB8" w:rsidRDefault="00495CE2" w:rsidP="00BF3C38">
      <w:pPr>
        <w:pStyle w:val="TableFigureFooter"/>
        <w:keepNext/>
        <w:keepLines/>
        <w:rPr>
          <w:color w:val="3366FF"/>
        </w:rPr>
      </w:pPr>
      <w:r w:rsidRPr="00796FB8">
        <w:t>Source: Compiled during evaluation from Table 4-2 -4.4, pp120-121 of the submission</w:t>
      </w:r>
    </w:p>
    <w:p w:rsidR="00495CE2" w:rsidRPr="00796FB8" w:rsidRDefault="00495CE2" w:rsidP="00BF3C38">
      <w:pPr>
        <w:pStyle w:val="3-BodyText"/>
      </w:pPr>
      <w:r w:rsidRPr="00796FB8">
        <w:t xml:space="preserve">The estimated use and financial implications of listing </w:t>
      </w:r>
      <w:r w:rsidR="00F663FC" w:rsidRPr="00796FB8">
        <w:t xml:space="preserve">ESL </w:t>
      </w:r>
      <w:r w:rsidRPr="00796FB8">
        <w:t xml:space="preserve">on the PBS are summarised below. </w:t>
      </w:r>
      <w:r w:rsidR="00862DD3" w:rsidRPr="00796FB8">
        <w:t xml:space="preserve">Revised figures </w:t>
      </w:r>
      <w:r w:rsidR="00BE755A" w:rsidRPr="00796FB8">
        <w:t>were</w:t>
      </w:r>
      <w:r w:rsidR="00BF5425" w:rsidRPr="00796FB8">
        <w:t xml:space="preserve"> provided during the evaluation</w:t>
      </w:r>
      <w:r w:rsidR="00862DD3" w:rsidRPr="00796FB8">
        <w:t xml:space="preserve"> to correct a typographical error in the worksheet calculations.</w:t>
      </w:r>
      <w:r w:rsidR="00B44E73" w:rsidRPr="00796FB8">
        <w:t xml:space="preserve"> The ESC considered that the market share approach applied in the submission is likely to overestimate the ESL uptake rate since the proposed comparator LAC is used as a second-line treatment for the management of intractable POS in clinical practice, not only as third-line adjunctive agent, and it is also used in children &lt;16 years, but ESL is not.</w:t>
      </w:r>
    </w:p>
    <w:p w:rsidR="00495CE2" w:rsidRPr="00796FB8" w:rsidRDefault="00273BFA" w:rsidP="00BF3C38">
      <w:pPr>
        <w:pStyle w:val="TableFigureHeading"/>
      </w:pPr>
      <w:r w:rsidRPr="00796FB8">
        <w:t xml:space="preserve">Table </w:t>
      </w:r>
      <w:r w:rsidR="002B1346" w:rsidRPr="00796FB8">
        <w:t>13</w:t>
      </w:r>
      <w:r w:rsidR="00495CE2" w:rsidRPr="00796FB8">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495CE2" w:rsidRPr="00796FB8" w:rsidTr="00E22635">
        <w:trPr>
          <w:tblHeader/>
        </w:trPr>
        <w:tc>
          <w:tcPr>
            <w:tcW w:w="1116" w:type="pct"/>
            <w:shd w:val="clear" w:color="auto" w:fill="auto"/>
            <w:vAlign w:val="center"/>
          </w:tcPr>
          <w:p w:rsidR="00495CE2" w:rsidRPr="00796FB8" w:rsidRDefault="00495CE2" w:rsidP="00BF3C38">
            <w:pPr>
              <w:pStyle w:val="In-tableHeading"/>
              <w:jc w:val="center"/>
              <w:rPr>
                <w:lang w:val="en-AU"/>
              </w:rPr>
            </w:pPr>
          </w:p>
        </w:tc>
        <w:tc>
          <w:tcPr>
            <w:tcW w:w="647" w:type="pct"/>
            <w:shd w:val="clear" w:color="auto" w:fill="auto"/>
            <w:vAlign w:val="center"/>
          </w:tcPr>
          <w:p w:rsidR="00495CE2" w:rsidRPr="00796FB8" w:rsidRDefault="00495CE2" w:rsidP="00BF3C38">
            <w:pPr>
              <w:pStyle w:val="In-tableHeading"/>
              <w:jc w:val="center"/>
              <w:rPr>
                <w:lang w:val="en-AU"/>
              </w:rPr>
            </w:pPr>
            <w:r w:rsidRPr="00796FB8">
              <w:rPr>
                <w:lang w:val="en-AU"/>
              </w:rPr>
              <w:t>Year 1</w:t>
            </w:r>
          </w:p>
        </w:tc>
        <w:tc>
          <w:tcPr>
            <w:tcW w:w="647" w:type="pct"/>
            <w:shd w:val="clear" w:color="auto" w:fill="auto"/>
            <w:vAlign w:val="center"/>
          </w:tcPr>
          <w:p w:rsidR="00495CE2" w:rsidRPr="00796FB8" w:rsidRDefault="00495CE2" w:rsidP="00BF3C38">
            <w:pPr>
              <w:pStyle w:val="In-tableHeading"/>
              <w:jc w:val="center"/>
              <w:rPr>
                <w:lang w:val="en-AU"/>
              </w:rPr>
            </w:pPr>
            <w:r w:rsidRPr="00796FB8">
              <w:rPr>
                <w:lang w:val="en-AU"/>
              </w:rPr>
              <w:t>Year 2</w:t>
            </w:r>
          </w:p>
        </w:tc>
        <w:tc>
          <w:tcPr>
            <w:tcW w:w="647" w:type="pct"/>
            <w:shd w:val="clear" w:color="auto" w:fill="auto"/>
            <w:vAlign w:val="center"/>
          </w:tcPr>
          <w:p w:rsidR="00495CE2" w:rsidRPr="00796FB8" w:rsidRDefault="00495CE2" w:rsidP="00BF3C38">
            <w:pPr>
              <w:pStyle w:val="In-tableHeading"/>
              <w:jc w:val="center"/>
              <w:rPr>
                <w:lang w:val="en-AU"/>
              </w:rPr>
            </w:pPr>
            <w:r w:rsidRPr="00796FB8">
              <w:rPr>
                <w:lang w:val="en-AU"/>
              </w:rPr>
              <w:t>Year 3</w:t>
            </w:r>
          </w:p>
        </w:tc>
        <w:tc>
          <w:tcPr>
            <w:tcW w:w="647" w:type="pct"/>
            <w:shd w:val="clear" w:color="auto" w:fill="auto"/>
            <w:vAlign w:val="center"/>
          </w:tcPr>
          <w:p w:rsidR="00495CE2" w:rsidRPr="00796FB8" w:rsidRDefault="00495CE2" w:rsidP="00BF3C38">
            <w:pPr>
              <w:pStyle w:val="In-tableHeading"/>
              <w:jc w:val="center"/>
              <w:rPr>
                <w:lang w:val="en-AU"/>
              </w:rPr>
            </w:pPr>
            <w:r w:rsidRPr="00796FB8">
              <w:rPr>
                <w:lang w:val="en-AU"/>
              </w:rPr>
              <w:t>Year 4</w:t>
            </w:r>
          </w:p>
        </w:tc>
        <w:tc>
          <w:tcPr>
            <w:tcW w:w="647" w:type="pct"/>
            <w:shd w:val="clear" w:color="auto" w:fill="auto"/>
            <w:vAlign w:val="center"/>
          </w:tcPr>
          <w:p w:rsidR="00495CE2" w:rsidRPr="00796FB8" w:rsidRDefault="00495CE2" w:rsidP="00BF3C38">
            <w:pPr>
              <w:pStyle w:val="In-tableHeading"/>
              <w:jc w:val="center"/>
              <w:rPr>
                <w:lang w:val="en-AU"/>
              </w:rPr>
            </w:pPr>
            <w:r w:rsidRPr="00796FB8">
              <w:rPr>
                <w:lang w:val="en-AU"/>
              </w:rPr>
              <w:t>Year 5</w:t>
            </w:r>
          </w:p>
        </w:tc>
        <w:tc>
          <w:tcPr>
            <w:tcW w:w="649" w:type="pct"/>
          </w:tcPr>
          <w:p w:rsidR="00495CE2" w:rsidRPr="00796FB8" w:rsidRDefault="00495CE2" w:rsidP="00BF3C38">
            <w:pPr>
              <w:pStyle w:val="In-tableHeading"/>
              <w:jc w:val="center"/>
              <w:rPr>
                <w:lang w:val="en-AU"/>
              </w:rPr>
            </w:pPr>
            <w:r w:rsidRPr="00796FB8">
              <w:rPr>
                <w:lang w:val="en-AU"/>
              </w:rPr>
              <w:t>Year 6</w:t>
            </w:r>
          </w:p>
        </w:tc>
      </w:tr>
      <w:tr w:rsidR="00495CE2" w:rsidRPr="00796FB8" w:rsidTr="00E22635">
        <w:tc>
          <w:tcPr>
            <w:tcW w:w="5000" w:type="pct"/>
            <w:gridSpan w:val="7"/>
            <w:shd w:val="clear" w:color="auto" w:fill="auto"/>
            <w:vAlign w:val="center"/>
          </w:tcPr>
          <w:p w:rsidR="00495CE2" w:rsidRPr="00796FB8" w:rsidRDefault="00495CE2" w:rsidP="00BF3C38">
            <w:pPr>
              <w:pStyle w:val="In-tableHeading"/>
              <w:rPr>
                <w:bCs/>
                <w:color w:val="000000"/>
                <w:lang w:val="en-AU"/>
              </w:rPr>
            </w:pPr>
            <w:r w:rsidRPr="00796FB8">
              <w:rPr>
                <w:bCs/>
                <w:color w:val="000000"/>
                <w:lang w:val="en-AU"/>
              </w:rPr>
              <w:t>Estimated extent of use</w:t>
            </w:r>
          </w:p>
        </w:tc>
      </w:tr>
      <w:tr w:rsidR="00495CE2" w:rsidRPr="00796FB8" w:rsidTr="00E22635">
        <w:tc>
          <w:tcPr>
            <w:tcW w:w="1116" w:type="pct"/>
            <w:shd w:val="clear" w:color="auto" w:fill="auto"/>
            <w:vAlign w:val="center"/>
          </w:tcPr>
          <w:p w:rsidR="00495CE2" w:rsidRPr="00796FB8" w:rsidRDefault="00495CE2" w:rsidP="00095DD3">
            <w:pPr>
              <w:pStyle w:val="TableText0"/>
              <w:rPr>
                <w:rFonts w:ascii="Times" w:hAnsi="Times"/>
              </w:rPr>
            </w:pPr>
            <w:r w:rsidRPr="00796FB8">
              <w:t>Number of scripts dispensed</w:t>
            </w:r>
            <w:r w:rsidRPr="00796FB8">
              <w:rPr>
                <w:vertAlign w:val="superscript"/>
              </w:rPr>
              <w:t>a</w:t>
            </w:r>
          </w:p>
        </w:tc>
        <w:tc>
          <w:tcPr>
            <w:tcW w:w="647" w:type="pct"/>
            <w:shd w:val="clear" w:color="auto" w:fill="auto"/>
          </w:tcPr>
          <w:p w:rsidR="00495CE2" w:rsidRPr="004C4B81" w:rsidRDefault="004C4B81" w:rsidP="00BF3C38">
            <w:pPr>
              <w:pStyle w:val="TableText0"/>
              <w:jc w:val="center"/>
              <w:rPr>
                <w:color w:val="000000"/>
              </w:rPr>
            </w:pPr>
            <w:r>
              <w:rPr>
                <w:noProof/>
                <w:color w:val="000000"/>
                <w:highlight w:val="black"/>
              </w:rPr>
              <w:t>'''''''''''''''</w:t>
            </w:r>
            <w:r w:rsidR="00095DD3">
              <w:rPr>
                <w:vertAlign w:val="superscript"/>
              </w:rPr>
              <w:t>1</w:t>
            </w:r>
            <w:r>
              <w:rPr>
                <w:noProof/>
                <w:color w:val="000000"/>
                <w:highlight w:val="black"/>
              </w:rPr>
              <w:t xml:space="preserve"> </w:t>
            </w:r>
          </w:p>
        </w:tc>
        <w:tc>
          <w:tcPr>
            <w:tcW w:w="647" w:type="pct"/>
            <w:shd w:val="clear" w:color="auto" w:fill="auto"/>
          </w:tcPr>
          <w:p w:rsidR="00495CE2" w:rsidRPr="004C4B81" w:rsidRDefault="004C4B81" w:rsidP="00BF3C38">
            <w:pPr>
              <w:pStyle w:val="TableText0"/>
              <w:jc w:val="center"/>
              <w:rPr>
                <w:color w:val="000000"/>
              </w:rPr>
            </w:pPr>
            <w:r>
              <w:rPr>
                <w:noProof/>
                <w:color w:val="000000"/>
                <w:highlight w:val="black"/>
              </w:rPr>
              <w:t>''''''''''''</w:t>
            </w:r>
            <w:r w:rsidR="00095DD3">
              <w:rPr>
                <w:vertAlign w:val="superscript"/>
              </w:rPr>
              <w:t>1</w:t>
            </w:r>
            <w:r>
              <w:rPr>
                <w:noProof/>
                <w:color w:val="000000"/>
                <w:highlight w:val="black"/>
              </w:rPr>
              <w:t xml:space="preserve"> </w:t>
            </w:r>
          </w:p>
        </w:tc>
        <w:tc>
          <w:tcPr>
            <w:tcW w:w="647" w:type="pct"/>
            <w:shd w:val="clear" w:color="auto" w:fill="auto"/>
          </w:tcPr>
          <w:p w:rsidR="00495CE2" w:rsidRPr="004C4B81" w:rsidRDefault="004C4B81" w:rsidP="00BF3C38">
            <w:pPr>
              <w:pStyle w:val="TableText0"/>
              <w:jc w:val="center"/>
              <w:rPr>
                <w:color w:val="000000"/>
              </w:rPr>
            </w:pPr>
            <w:r>
              <w:rPr>
                <w:noProof/>
                <w:color w:val="000000"/>
                <w:highlight w:val="black"/>
              </w:rPr>
              <w:t>'''''''''''''</w:t>
            </w:r>
            <w:r w:rsidR="00095DD3">
              <w:rPr>
                <w:vertAlign w:val="superscript"/>
              </w:rPr>
              <w:t>2</w:t>
            </w:r>
            <w:r>
              <w:rPr>
                <w:noProof/>
                <w:color w:val="000000"/>
                <w:highlight w:val="black"/>
              </w:rPr>
              <w:t xml:space="preserve"> </w:t>
            </w:r>
          </w:p>
        </w:tc>
        <w:tc>
          <w:tcPr>
            <w:tcW w:w="647" w:type="pct"/>
            <w:shd w:val="clear" w:color="auto" w:fill="auto"/>
          </w:tcPr>
          <w:p w:rsidR="00495CE2" w:rsidRPr="004C4B81" w:rsidRDefault="004C4B81" w:rsidP="00BF3C38">
            <w:pPr>
              <w:pStyle w:val="TableText0"/>
              <w:jc w:val="center"/>
              <w:rPr>
                <w:color w:val="000000"/>
              </w:rPr>
            </w:pPr>
            <w:r>
              <w:rPr>
                <w:noProof/>
                <w:color w:val="000000"/>
                <w:highlight w:val="black"/>
              </w:rPr>
              <w:t>''''''''''''''</w:t>
            </w:r>
            <w:r w:rsidR="00095DD3">
              <w:rPr>
                <w:vertAlign w:val="superscript"/>
              </w:rPr>
              <w:t>2</w:t>
            </w:r>
            <w:r>
              <w:rPr>
                <w:noProof/>
                <w:color w:val="000000"/>
                <w:highlight w:val="black"/>
              </w:rPr>
              <w:t xml:space="preserve"> </w:t>
            </w:r>
          </w:p>
        </w:tc>
        <w:tc>
          <w:tcPr>
            <w:tcW w:w="647" w:type="pct"/>
            <w:shd w:val="clear" w:color="auto" w:fill="auto"/>
          </w:tcPr>
          <w:p w:rsidR="00495CE2" w:rsidRPr="004C4B81" w:rsidRDefault="004C4B81" w:rsidP="00BF3C38">
            <w:pPr>
              <w:pStyle w:val="TableText0"/>
              <w:jc w:val="center"/>
              <w:rPr>
                <w:color w:val="000000"/>
              </w:rPr>
            </w:pPr>
            <w:r>
              <w:rPr>
                <w:noProof/>
                <w:color w:val="000000"/>
                <w:highlight w:val="black"/>
              </w:rPr>
              <w:t>'''''''''''''''</w:t>
            </w:r>
            <w:r w:rsidR="00095DD3">
              <w:rPr>
                <w:vertAlign w:val="superscript"/>
              </w:rPr>
              <w:t>3</w:t>
            </w:r>
            <w:r>
              <w:rPr>
                <w:noProof/>
                <w:color w:val="000000"/>
                <w:highlight w:val="black"/>
              </w:rPr>
              <w:t xml:space="preserve"> </w:t>
            </w:r>
          </w:p>
        </w:tc>
        <w:tc>
          <w:tcPr>
            <w:tcW w:w="649" w:type="pct"/>
          </w:tcPr>
          <w:p w:rsidR="00495CE2" w:rsidRPr="004C4B81" w:rsidRDefault="004C4B81" w:rsidP="00BF3C38">
            <w:pPr>
              <w:pStyle w:val="TableText0"/>
              <w:jc w:val="center"/>
              <w:rPr>
                <w:color w:val="000000"/>
              </w:rPr>
            </w:pPr>
            <w:r>
              <w:rPr>
                <w:noProof/>
                <w:color w:val="000000"/>
                <w:highlight w:val="black"/>
              </w:rPr>
              <w:t>'''''''''''''''''</w:t>
            </w:r>
            <w:r w:rsidR="00095DD3">
              <w:rPr>
                <w:vertAlign w:val="superscript"/>
              </w:rPr>
              <w:t>3</w:t>
            </w:r>
            <w:r>
              <w:rPr>
                <w:noProof/>
                <w:color w:val="000000"/>
                <w:highlight w:val="black"/>
              </w:rPr>
              <w:t xml:space="preserve"> </w:t>
            </w:r>
          </w:p>
        </w:tc>
      </w:tr>
      <w:tr w:rsidR="00495CE2" w:rsidRPr="00796FB8" w:rsidTr="00E22635">
        <w:tc>
          <w:tcPr>
            <w:tcW w:w="1116" w:type="pct"/>
            <w:shd w:val="clear" w:color="auto" w:fill="auto"/>
          </w:tcPr>
          <w:p w:rsidR="00495CE2" w:rsidRPr="00796FB8" w:rsidRDefault="00495CE2" w:rsidP="00BF3C38">
            <w:pPr>
              <w:pStyle w:val="TableText0"/>
              <w:jc w:val="right"/>
            </w:pPr>
            <w:r w:rsidRPr="00796FB8">
              <w:t xml:space="preserve">Revised </w:t>
            </w:r>
          </w:p>
        </w:tc>
        <w:tc>
          <w:tcPr>
            <w:tcW w:w="647" w:type="pct"/>
            <w:shd w:val="clear" w:color="auto" w:fill="auto"/>
          </w:tcPr>
          <w:p w:rsidR="00495CE2" w:rsidRPr="004C4B81" w:rsidRDefault="004C4B81" w:rsidP="00BF3C38">
            <w:pPr>
              <w:pStyle w:val="TableText0"/>
              <w:jc w:val="center"/>
            </w:pPr>
            <w:r>
              <w:rPr>
                <w:noProof/>
                <w:color w:val="000000"/>
                <w:highlight w:val="black"/>
              </w:rPr>
              <w:t>''''''''''''</w:t>
            </w:r>
            <w:r w:rsidR="00095DD3">
              <w:rPr>
                <w:vertAlign w:val="superscript"/>
              </w:rPr>
              <w:t>1</w:t>
            </w:r>
            <w:r>
              <w:rPr>
                <w:noProof/>
                <w:color w:val="000000"/>
                <w:highlight w:val="black"/>
              </w:rPr>
              <w:t xml:space="preserve"> </w:t>
            </w:r>
          </w:p>
        </w:tc>
        <w:tc>
          <w:tcPr>
            <w:tcW w:w="647" w:type="pct"/>
            <w:shd w:val="clear" w:color="auto" w:fill="auto"/>
          </w:tcPr>
          <w:p w:rsidR="00495CE2" w:rsidRPr="004C4B81" w:rsidRDefault="004C4B81" w:rsidP="00BF3C38">
            <w:pPr>
              <w:pStyle w:val="TableText0"/>
              <w:jc w:val="center"/>
            </w:pPr>
            <w:r>
              <w:rPr>
                <w:noProof/>
                <w:color w:val="000000"/>
                <w:highlight w:val="black"/>
              </w:rPr>
              <w:t>''''''''''''</w:t>
            </w:r>
            <w:r w:rsidR="00095DD3">
              <w:rPr>
                <w:vertAlign w:val="superscript"/>
              </w:rPr>
              <w:t>2</w:t>
            </w:r>
            <w:r>
              <w:rPr>
                <w:noProof/>
                <w:color w:val="000000"/>
                <w:highlight w:val="black"/>
              </w:rPr>
              <w:t xml:space="preserve"> </w:t>
            </w:r>
          </w:p>
        </w:tc>
        <w:tc>
          <w:tcPr>
            <w:tcW w:w="647" w:type="pct"/>
            <w:shd w:val="clear" w:color="auto" w:fill="auto"/>
          </w:tcPr>
          <w:p w:rsidR="00495CE2" w:rsidRPr="004C4B81" w:rsidRDefault="004C4B81" w:rsidP="00BF3C38">
            <w:pPr>
              <w:pStyle w:val="TableText0"/>
              <w:jc w:val="center"/>
            </w:pPr>
            <w:r>
              <w:rPr>
                <w:noProof/>
                <w:color w:val="000000"/>
                <w:highlight w:val="black"/>
              </w:rPr>
              <w:t>''''''''''''''</w:t>
            </w:r>
            <w:r w:rsidR="00095DD3">
              <w:rPr>
                <w:vertAlign w:val="superscript"/>
              </w:rPr>
              <w:t>2</w:t>
            </w:r>
            <w:r>
              <w:rPr>
                <w:noProof/>
                <w:color w:val="000000"/>
                <w:highlight w:val="black"/>
              </w:rPr>
              <w:t xml:space="preserve"> </w:t>
            </w:r>
          </w:p>
        </w:tc>
        <w:tc>
          <w:tcPr>
            <w:tcW w:w="647" w:type="pct"/>
            <w:shd w:val="clear" w:color="auto" w:fill="auto"/>
          </w:tcPr>
          <w:p w:rsidR="00495CE2" w:rsidRPr="004C4B81" w:rsidRDefault="004C4B81" w:rsidP="00BF3C38">
            <w:pPr>
              <w:pStyle w:val="TableText0"/>
              <w:jc w:val="center"/>
            </w:pPr>
            <w:r>
              <w:rPr>
                <w:noProof/>
                <w:color w:val="000000"/>
                <w:highlight w:val="black"/>
              </w:rPr>
              <w:t>''''''''''''''''</w:t>
            </w:r>
            <w:r w:rsidR="00095DD3">
              <w:rPr>
                <w:vertAlign w:val="superscript"/>
              </w:rPr>
              <w:t>3</w:t>
            </w:r>
            <w:r>
              <w:rPr>
                <w:noProof/>
                <w:color w:val="000000"/>
                <w:highlight w:val="black"/>
              </w:rPr>
              <w:t xml:space="preserve"> </w:t>
            </w:r>
          </w:p>
        </w:tc>
        <w:tc>
          <w:tcPr>
            <w:tcW w:w="647" w:type="pct"/>
            <w:shd w:val="clear" w:color="auto" w:fill="auto"/>
          </w:tcPr>
          <w:p w:rsidR="00495CE2" w:rsidRPr="004C4B81" w:rsidRDefault="004C4B81" w:rsidP="00BF3C38">
            <w:pPr>
              <w:pStyle w:val="TableText0"/>
              <w:jc w:val="center"/>
            </w:pPr>
            <w:r>
              <w:rPr>
                <w:noProof/>
                <w:color w:val="000000"/>
                <w:highlight w:val="black"/>
              </w:rPr>
              <w:t>'''''''''''''''</w:t>
            </w:r>
            <w:r w:rsidR="00095DD3">
              <w:rPr>
                <w:vertAlign w:val="superscript"/>
              </w:rPr>
              <w:t>3</w:t>
            </w:r>
            <w:r>
              <w:rPr>
                <w:noProof/>
                <w:color w:val="000000"/>
                <w:highlight w:val="black"/>
              </w:rPr>
              <w:t xml:space="preserve"> </w:t>
            </w:r>
          </w:p>
        </w:tc>
        <w:tc>
          <w:tcPr>
            <w:tcW w:w="649" w:type="pct"/>
          </w:tcPr>
          <w:p w:rsidR="00495CE2" w:rsidRPr="004C4B81" w:rsidRDefault="004C4B81" w:rsidP="00BF3C38">
            <w:pPr>
              <w:pStyle w:val="TableText0"/>
              <w:jc w:val="center"/>
            </w:pPr>
            <w:r>
              <w:rPr>
                <w:noProof/>
                <w:color w:val="000000"/>
                <w:highlight w:val="black"/>
              </w:rPr>
              <w:t>'''''''''''''''''</w:t>
            </w:r>
            <w:r w:rsidR="00095DD3">
              <w:rPr>
                <w:vertAlign w:val="superscript"/>
              </w:rPr>
              <w:t>3</w:t>
            </w:r>
            <w:r>
              <w:rPr>
                <w:noProof/>
                <w:color w:val="000000"/>
                <w:highlight w:val="black"/>
              </w:rPr>
              <w:t xml:space="preserve"> </w:t>
            </w:r>
          </w:p>
        </w:tc>
      </w:tr>
      <w:tr w:rsidR="00495CE2" w:rsidRPr="00796FB8" w:rsidTr="00E22635">
        <w:tc>
          <w:tcPr>
            <w:tcW w:w="5000" w:type="pct"/>
            <w:gridSpan w:val="7"/>
            <w:shd w:val="clear" w:color="auto" w:fill="auto"/>
            <w:vAlign w:val="center"/>
          </w:tcPr>
          <w:p w:rsidR="00495CE2" w:rsidRPr="00796FB8" w:rsidRDefault="00495CE2" w:rsidP="003C798D">
            <w:pPr>
              <w:pStyle w:val="In-tableHeading"/>
              <w:rPr>
                <w:lang w:val="en-AU"/>
              </w:rPr>
            </w:pPr>
            <w:r w:rsidRPr="00796FB8">
              <w:rPr>
                <w:lang w:val="en-AU"/>
              </w:rPr>
              <w:t>Estimated financial implications of eslicarbazepine</w:t>
            </w:r>
            <w:r w:rsidR="00C4771F">
              <w:rPr>
                <w:lang w:val="en-AU"/>
              </w:rPr>
              <w:t xml:space="preserve"> </w:t>
            </w:r>
            <w:r w:rsidR="00C4771F">
              <w:t>acetate</w:t>
            </w:r>
          </w:p>
        </w:tc>
      </w:tr>
      <w:tr w:rsidR="00495CE2" w:rsidRPr="00796FB8" w:rsidTr="00E22635">
        <w:tc>
          <w:tcPr>
            <w:tcW w:w="1116" w:type="pct"/>
            <w:shd w:val="clear" w:color="auto" w:fill="auto"/>
            <w:vAlign w:val="center"/>
          </w:tcPr>
          <w:p w:rsidR="00495CE2" w:rsidRPr="00796FB8" w:rsidRDefault="00495CE2" w:rsidP="00BF3C38">
            <w:pPr>
              <w:pStyle w:val="TableText0"/>
              <w:rPr>
                <w:sz w:val="19"/>
                <w:szCs w:val="19"/>
              </w:rPr>
            </w:pPr>
            <w:r w:rsidRPr="00796FB8">
              <w:rPr>
                <w:sz w:val="19"/>
                <w:szCs w:val="19"/>
              </w:rPr>
              <w:t>Cost to PBS/RPBS less copayments</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9" w:type="pct"/>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r>
      <w:tr w:rsidR="00495CE2" w:rsidRPr="00796FB8" w:rsidTr="00E22635">
        <w:tc>
          <w:tcPr>
            <w:tcW w:w="1116" w:type="pct"/>
            <w:shd w:val="clear" w:color="auto" w:fill="auto"/>
          </w:tcPr>
          <w:p w:rsidR="00495CE2" w:rsidRPr="00796FB8" w:rsidRDefault="00495CE2" w:rsidP="00BF3C38">
            <w:pPr>
              <w:pStyle w:val="TableText0"/>
              <w:jc w:val="right"/>
              <w:rPr>
                <w:sz w:val="19"/>
                <w:szCs w:val="19"/>
              </w:rPr>
            </w:pPr>
            <w:r w:rsidRPr="00796FB8">
              <w:t xml:space="preserve">Revised </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9" w:type="pct"/>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r>
      <w:tr w:rsidR="00495CE2" w:rsidRPr="00796FB8" w:rsidTr="00E22635">
        <w:tc>
          <w:tcPr>
            <w:tcW w:w="5000" w:type="pct"/>
            <w:gridSpan w:val="7"/>
            <w:shd w:val="clear" w:color="auto" w:fill="auto"/>
            <w:vAlign w:val="center"/>
          </w:tcPr>
          <w:p w:rsidR="00495CE2" w:rsidRPr="00796FB8" w:rsidRDefault="00495CE2" w:rsidP="00BF3C38">
            <w:pPr>
              <w:pStyle w:val="TableText0"/>
              <w:rPr>
                <w:b/>
              </w:rPr>
            </w:pPr>
            <w:r w:rsidRPr="00796FB8">
              <w:rPr>
                <w:b/>
              </w:rPr>
              <w:t>Estimated financial implications for lacosamide</w:t>
            </w:r>
          </w:p>
        </w:tc>
      </w:tr>
      <w:tr w:rsidR="00495CE2" w:rsidRPr="00796FB8" w:rsidTr="00E22635">
        <w:tc>
          <w:tcPr>
            <w:tcW w:w="1116" w:type="pct"/>
            <w:shd w:val="clear" w:color="auto" w:fill="auto"/>
          </w:tcPr>
          <w:p w:rsidR="00495CE2" w:rsidRPr="00796FB8" w:rsidRDefault="00495CE2" w:rsidP="00BF3C38">
            <w:pPr>
              <w:pStyle w:val="TableText0"/>
              <w:rPr>
                <w:sz w:val="19"/>
                <w:szCs w:val="19"/>
              </w:rPr>
            </w:pPr>
            <w:r w:rsidRPr="00796FB8">
              <w:rPr>
                <w:sz w:val="19"/>
                <w:szCs w:val="19"/>
              </w:rPr>
              <w:t>Cost to PBS/RPBS less copayments</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9" w:type="pct"/>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r>
      <w:tr w:rsidR="00495CE2" w:rsidRPr="00796FB8" w:rsidTr="00E22635">
        <w:tc>
          <w:tcPr>
            <w:tcW w:w="1116" w:type="pct"/>
            <w:shd w:val="clear" w:color="auto" w:fill="auto"/>
          </w:tcPr>
          <w:p w:rsidR="00495CE2" w:rsidRPr="00796FB8" w:rsidRDefault="00495CE2" w:rsidP="00BF3C38">
            <w:pPr>
              <w:pStyle w:val="TableText0"/>
              <w:jc w:val="right"/>
              <w:rPr>
                <w:sz w:val="19"/>
                <w:szCs w:val="19"/>
              </w:rPr>
            </w:pPr>
            <w:r w:rsidRPr="00796FB8">
              <w:t xml:space="preserve">Revised </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9" w:type="pct"/>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r>
      <w:tr w:rsidR="00495CE2" w:rsidRPr="00796FB8" w:rsidTr="00E22635">
        <w:tc>
          <w:tcPr>
            <w:tcW w:w="5000" w:type="pct"/>
            <w:gridSpan w:val="7"/>
            <w:shd w:val="clear" w:color="auto" w:fill="auto"/>
            <w:vAlign w:val="center"/>
          </w:tcPr>
          <w:p w:rsidR="00495CE2" w:rsidRPr="00796FB8" w:rsidRDefault="00495CE2" w:rsidP="00BF3C38">
            <w:pPr>
              <w:pStyle w:val="In-tableHeading"/>
              <w:rPr>
                <w:lang w:val="en-AU"/>
              </w:rPr>
            </w:pPr>
            <w:r w:rsidRPr="00796FB8">
              <w:rPr>
                <w:lang w:val="en-AU"/>
              </w:rPr>
              <w:t>Net financial implications</w:t>
            </w:r>
            <w:r w:rsidRPr="00796FB8">
              <w:rPr>
                <w:color w:val="4BACC6" w:themeColor="accent5"/>
                <w:lang w:val="en-AU"/>
              </w:rPr>
              <w:t xml:space="preserve"> </w:t>
            </w:r>
          </w:p>
        </w:tc>
      </w:tr>
      <w:tr w:rsidR="00495CE2" w:rsidRPr="00796FB8" w:rsidTr="00E22635">
        <w:tc>
          <w:tcPr>
            <w:tcW w:w="1116" w:type="pct"/>
            <w:shd w:val="clear" w:color="auto" w:fill="auto"/>
          </w:tcPr>
          <w:p w:rsidR="00495CE2" w:rsidRPr="00796FB8" w:rsidRDefault="00495CE2" w:rsidP="00BF3C38">
            <w:pPr>
              <w:pStyle w:val="TableText0"/>
              <w:rPr>
                <w:sz w:val="19"/>
                <w:szCs w:val="19"/>
              </w:rPr>
            </w:pPr>
            <w:r w:rsidRPr="00796FB8">
              <w:t>Net cost PBS / RPBS</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9" w:type="pct"/>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r>
      <w:tr w:rsidR="00495CE2" w:rsidRPr="00796FB8" w:rsidTr="00E22635">
        <w:tc>
          <w:tcPr>
            <w:tcW w:w="1116" w:type="pct"/>
            <w:shd w:val="clear" w:color="auto" w:fill="auto"/>
          </w:tcPr>
          <w:p w:rsidR="00495CE2" w:rsidRPr="00796FB8" w:rsidRDefault="00495CE2" w:rsidP="00BF3C38">
            <w:pPr>
              <w:pStyle w:val="TableText0"/>
              <w:jc w:val="right"/>
              <w:rPr>
                <w:sz w:val="19"/>
                <w:szCs w:val="19"/>
              </w:rPr>
            </w:pPr>
            <w:r w:rsidRPr="00796FB8">
              <w:t>Revised</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7" w:type="pct"/>
            <w:shd w:val="clear" w:color="auto" w:fill="auto"/>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c>
          <w:tcPr>
            <w:tcW w:w="649" w:type="pct"/>
          </w:tcPr>
          <w:p w:rsidR="00495CE2" w:rsidRPr="004C4B81" w:rsidRDefault="00495CE2" w:rsidP="00BF3C38">
            <w:pPr>
              <w:pStyle w:val="TableText0"/>
              <w:jc w:val="center"/>
            </w:pPr>
            <w:r w:rsidRPr="00F3199A">
              <w:t>$</w:t>
            </w:r>
            <w:r w:rsidR="004C4B81">
              <w:rPr>
                <w:noProof/>
                <w:color w:val="000000"/>
                <w:highlight w:val="black"/>
              </w:rPr>
              <w:t>'''''''''''''''''''</w:t>
            </w:r>
            <w:r w:rsidR="00095DD3">
              <w:rPr>
                <w:vertAlign w:val="superscript"/>
              </w:rPr>
              <w:t>4</w:t>
            </w:r>
          </w:p>
        </w:tc>
      </w:tr>
    </w:tbl>
    <w:p w:rsidR="00495CE2" w:rsidRPr="00796FB8" w:rsidRDefault="00495CE2" w:rsidP="00BF3C38">
      <w:pPr>
        <w:pStyle w:val="TableFigureFooter"/>
        <w:rPr>
          <w:rStyle w:val="CommentReference"/>
        </w:rPr>
      </w:pPr>
      <w:r w:rsidRPr="00796FB8">
        <w:t xml:space="preserve">Source: Compiled during evaluation from Tables 4-6 </w:t>
      </w:r>
      <w:r w:rsidR="00215397" w:rsidRPr="00796FB8">
        <w:t>and</w:t>
      </w:r>
      <w:r w:rsidRPr="00796FB8">
        <w:t xml:space="preserve"> 4-10, p122/pp125 and Zebinix Section 4 workbook of the submission  </w:t>
      </w:r>
    </w:p>
    <w:p w:rsidR="00495CE2" w:rsidRDefault="00495CE2" w:rsidP="00BF3C38">
      <w:pPr>
        <w:pStyle w:val="TableFigureFooter"/>
      </w:pPr>
      <w:r w:rsidRPr="00796FB8">
        <w:rPr>
          <w:vertAlign w:val="superscript"/>
        </w:rPr>
        <w:t>a</w:t>
      </w:r>
      <w:r w:rsidR="005B507F" w:rsidRPr="00796FB8">
        <w:t xml:space="preserve"> Assuming </w:t>
      </w:r>
      <w:r w:rsidR="004C4B81">
        <w:rPr>
          <w:noProof/>
          <w:color w:val="000000"/>
          <w:highlight w:val="black"/>
        </w:rPr>
        <w:t>''''''''''''''</w:t>
      </w:r>
      <w:r w:rsidR="00095DD3">
        <w:rPr>
          <w:vertAlign w:val="superscript"/>
        </w:rPr>
        <w:t>5</w:t>
      </w:r>
      <w:r w:rsidR="005B507F" w:rsidRPr="00796FB8">
        <w:t xml:space="preserve"> </w:t>
      </w:r>
      <w:r w:rsidRPr="00796FB8">
        <w:t>scripts per year as estimated by the submission</w:t>
      </w:r>
    </w:p>
    <w:p w:rsidR="00095DD3" w:rsidRPr="009868C4" w:rsidRDefault="00095DD3" w:rsidP="00095DD3">
      <w:pPr>
        <w:pStyle w:val="TableFigureFooter"/>
        <w:spacing w:after="0"/>
        <w:contextualSpacing w:val="0"/>
      </w:pPr>
      <w:r w:rsidRPr="009868C4">
        <w:rPr>
          <w:i/>
        </w:rPr>
        <w:t>The redacted values correspond to the following ranges</w:t>
      </w:r>
      <w:r>
        <w:rPr>
          <w:i/>
        </w:rPr>
        <w:t xml:space="preserve">: </w:t>
      </w:r>
    </w:p>
    <w:p w:rsidR="00095DD3" w:rsidRPr="00095DD3" w:rsidRDefault="00095DD3" w:rsidP="00095DD3">
      <w:pPr>
        <w:pStyle w:val="TableFigureFooter"/>
        <w:rPr>
          <w:i/>
        </w:rPr>
      </w:pPr>
      <w:r>
        <w:rPr>
          <w:i/>
          <w:vertAlign w:val="superscript"/>
        </w:rPr>
        <w:t xml:space="preserve">1 </w:t>
      </w:r>
      <w:r w:rsidRPr="00095DD3">
        <w:rPr>
          <w:i/>
        </w:rPr>
        <w:t>500 to &lt; 5,000</w:t>
      </w:r>
    </w:p>
    <w:p w:rsidR="00095DD3" w:rsidRPr="00095DD3" w:rsidRDefault="00095DD3" w:rsidP="00095DD3">
      <w:pPr>
        <w:pStyle w:val="TableFigureFooter"/>
        <w:rPr>
          <w:i/>
        </w:rPr>
      </w:pPr>
      <w:r>
        <w:rPr>
          <w:i/>
          <w:vertAlign w:val="superscript"/>
        </w:rPr>
        <w:t xml:space="preserve">2 </w:t>
      </w:r>
      <w:r w:rsidRPr="00095DD3">
        <w:rPr>
          <w:i/>
        </w:rPr>
        <w:t>5,000 to &lt; 10,000</w:t>
      </w:r>
    </w:p>
    <w:p w:rsidR="00095DD3" w:rsidRDefault="00095DD3" w:rsidP="00095DD3">
      <w:pPr>
        <w:pStyle w:val="TableFigureFooter"/>
        <w:rPr>
          <w:i/>
        </w:rPr>
      </w:pPr>
      <w:r>
        <w:rPr>
          <w:i/>
          <w:vertAlign w:val="superscript"/>
        </w:rPr>
        <w:t xml:space="preserve">3 </w:t>
      </w:r>
      <w:r w:rsidRPr="00095DD3">
        <w:rPr>
          <w:i/>
        </w:rPr>
        <w:t>10,000 to &lt; 20,000</w:t>
      </w:r>
    </w:p>
    <w:p w:rsidR="00095DD3" w:rsidRDefault="00095DD3" w:rsidP="00095DD3">
      <w:pPr>
        <w:pStyle w:val="TableFigureFooter"/>
        <w:rPr>
          <w:i/>
        </w:rPr>
      </w:pPr>
      <w:r>
        <w:rPr>
          <w:i/>
          <w:vertAlign w:val="superscript"/>
        </w:rPr>
        <w:t xml:space="preserve">4 </w:t>
      </w:r>
      <w:r w:rsidRPr="00095DD3">
        <w:rPr>
          <w:i/>
        </w:rPr>
        <w:t>$0 to &lt; $10 million</w:t>
      </w:r>
    </w:p>
    <w:p w:rsidR="00095DD3" w:rsidRPr="00095DD3" w:rsidRDefault="00095DD3" w:rsidP="00095DD3">
      <w:pPr>
        <w:pStyle w:val="TableFigureFooter"/>
        <w:rPr>
          <w:i/>
        </w:rPr>
      </w:pPr>
      <w:r>
        <w:rPr>
          <w:i/>
          <w:vertAlign w:val="superscript"/>
        </w:rPr>
        <w:t xml:space="preserve">5 </w:t>
      </w:r>
      <w:r w:rsidRPr="00095DD3">
        <w:rPr>
          <w:i/>
        </w:rPr>
        <w:t>&lt; 500</w:t>
      </w:r>
    </w:p>
    <w:p w:rsidR="00495CE2" w:rsidRPr="00796FB8" w:rsidRDefault="00495CE2" w:rsidP="00324955">
      <w:pPr>
        <w:pStyle w:val="3-BodyText"/>
      </w:pPr>
      <w:r w:rsidRPr="00796FB8">
        <w:t xml:space="preserve">The total cost to the PBS/RPBS of listing ESL was estimated to be </w:t>
      </w:r>
      <w:r w:rsidR="00324955" w:rsidRPr="00324955">
        <w:t>$0 to &lt; $10 million</w:t>
      </w:r>
      <w:r w:rsidRPr="00796FB8">
        <w:t xml:space="preserve"> in Year</w:t>
      </w:r>
      <w:r w:rsidR="00F663FC" w:rsidRPr="00796FB8">
        <w:t> </w:t>
      </w:r>
      <w:r w:rsidRPr="00796FB8">
        <w:t xml:space="preserve">6, and a total of </w:t>
      </w:r>
      <w:r w:rsidR="00324955" w:rsidRPr="00324955">
        <w:t>$0 to &lt; $10 million</w:t>
      </w:r>
      <w:r w:rsidRPr="00796FB8">
        <w:t xml:space="preserve"> in the first 6 years of listing</w:t>
      </w:r>
      <w:r w:rsidRPr="00796FB8">
        <w:rPr>
          <w:color w:val="3366FF"/>
        </w:rPr>
        <w:t xml:space="preserve">. </w:t>
      </w:r>
      <w:r w:rsidRPr="00796FB8">
        <w:t xml:space="preserve">Although </w:t>
      </w:r>
      <w:r w:rsidR="00F93D7E" w:rsidRPr="00796FB8">
        <w:t>cost</w:t>
      </w:r>
      <w:r w:rsidRPr="00796FB8">
        <w:t xml:space="preserve">-minimised on AEMP prices, net financial costs to the PBS/RPBS are observed due to the expected increase in the number of prescriptions (and therefore dispensing fees), because when ESL is dosed at </w:t>
      </w:r>
      <w:r w:rsidR="00464A5B" w:rsidRPr="00796FB8">
        <w:t>1,200</w:t>
      </w:r>
      <w:r w:rsidR="00D62698" w:rsidRPr="00796FB8">
        <w:t xml:space="preserve"> </w:t>
      </w:r>
      <w:r w:rsidRPr="00796FB8">
        <w:t>mg dai</w:t>
      </w:r>
      <w:r w:rsidR="006042D5">
        <w:t>ly a script only lasts 20 days.</w:t>
      </w:r>
    </w:p>
    <w:p w:rsidR="00F02134" w:rsidRPr="00796FB8" w:rsidRDefault="00495CE2" w:rsidP="00BF3C38">
      <w:pPr>
        <w:pStyle w:val="3-BodyText"/>
      </w:pPr>
      <w:r w:rsidRPr="00796FB8">
        <w:t>There are significant concerns with the assumptions appl</w:t>
      </w:r>
      <w:r w:rsidR="0070450A" w:rsidRPr="00796FB8">
        <w:t>ied to estimate the cost-minimis</w:t>
      </w:r>
      <w:r w:rsidRPr="00796FB8">
        <w:t xml:space="preserve">ed price calculation for ESL (including establishing equi-effective doses, the claim of equi-effectiveness being poorly justified, uncertainty around LAC weighted average price calculation given it is based on just the two highly dispensed PBS items, and uncertainties around the ‘scripts per year’ and ‘days lasted per pack’, </w:t>
      </w:r>
      <w:r w:rsidR="00D27BB7" w:rsidRPr="00796FB8">
        <w:t>uptake rate etc</w:t>
      </w:r>
      <w:r w:rsidRPr="00796FB8">
        <w:t xml:space="preserve">). </w:t>
      </w:r>
      <w:r w:rsidR="00934C21" w:rsidRPr="00796FB8">
        <w:t>P</w:t>
      </w:r>
      <w:r w:rsidRPr="00796FB8">
        <w:t xml:space="preserve">rice and uptake rates are the major components in financial impact estimation, </w:t>
      </w:r>
      <w:r w:rsidR="00934C21" w:rsidRPr="00796FB8">
        <w:t xml:space="preserve">and the ESC agreed with the evaluation that given </w:t>
      </w:r>
      <w:r w:rsidRPr="00796FB8">
        <w:t>the</w:t>
      </w:r>
      <w:r w:rsidR="00934C21" w:rsidRPr="00796FB8">
        <w:t xml:space="preserve"> considerable</w:t>
      </w:r>
      <w:r w:rsidRPr="00796FB8">
        <w:t xml:space="preserve"> uncertainty in both of these</w:t>
      </w:r>
      <w:r w:rsidR="00E66056" w:rsidRPr="00796FB8">
        <w:t>,</w:t>
      </w:r>
      <w:r w:rsidRPr="00796FB8">
        <w:t xml:space="preserve"> </w:t>
      </w:r>
      <w:r w:rsidR="00934C21" w:rsidRPr="00796FB8">
        <w:t>the financial impact of eslicarbazepine</w:t>
      </w:r>
      <w:r w:rsidR="00C4771F">
        <w:t xml:space="preserve"> acetate</w:t>
      </w:r>
      <w:r w:rsidR="00934C21" w:rsidRPr="00796FB8">
        <w:t xml:space="preserve"> is difficult to measure and quantify</w:t>
      </w:r>
      <w:r w:rsidRPr="00796FB8">
        <w:t xml:space="preserve"> with the limited evidence available.</w:t>
      </w:r>
    </w:p>
    <w:p w:rsidR="00495CE2" w:rsidRPr="00796FB8" w:rsidRDefault="00495CE2" w:rsidP="00BF3C38">
      <w:pPr>
        <w:pStyle w:val="4-SubsectionHeading"/>
      </w:pPr>
      <w:bookmarkStart w:id="38" w:name="_Toc22897649"/>
      <w:bookmarkStart w:id="39" w:name="_Toc22898861"/>
      <w:bookmarkStart w:id="40" w:name="_Toc62035375"/>
      <w:r w:rsidRPr="00796FB8">
        <w:t>Financial Management – Risk Sharing Arrangements</w:t>
      </w:r>
      <w:bookmarkEnd w:id="38"/>
      <w:bookmarkEnd w:id="39"/>
      <w:bookmarkEnd w:id="40"/>
    </w:p>
    <w:p w:rsidR="0088355D" w:rsidRPr="00796FB8" w:rsidRDefault="00495CE2" w:rsidP="00BF3C38">
      <w:pPr>
        <w:pStyle w:val="3-BodyText"/>
        <w:rPr>
          <w:rFonts w:eastAsia="Calibri"/>
        </w:rPr>
      </w:pPr>
      <w:r w:rsidRPr="00796FB8">
        <w:t>The submission did not provide details of a risk sharing arrangement</w:t>
      </w:r>
      <w:r w:rsidR="005D2CD8" w:rsidRPr="00796FB8">
        <w:t xml:space="preserve"> (RSA)</w:t>
      </w:r>
      <w:r w:rsidR="00BE755A" w:rsidRPr="00796FB8">
        <w:t xml:space="preserve">. </w:t>
      </w:r>
      <w:r w:rsidRPr="00796FB8">
        <w:t>The</w:t>
      </w:r>
      <w:r w:rsidR="005D2CD8" w:rsidRPr="00796FB8">
        <w:t>re is a</w:t>
      </w:r>
      <w:r w:rsidRPr="00796FB8">
        <w:t xml:space="preserve"> RSA in place for the nominated comparator, lacosamide, in conjunction with brivaracetam and perampanel for the treatment of intractable partial epileptic seizures. </w:t>
      </w:r>
      <w:bookmarkEnd w:id="37"/>
      <w:r w:rsidR="003E1C8E" w:rsidRPr="00796FB8">
        <w:t xml:space="preserve">The pre-PBAC response stated that the </w:t>
      </w:r>
      <w:r w:rsidR="00954F9C">
        <w:t>s</w:t>
      </w:r>
      <w:r w:rsidR="003E1C8E" w:rsidRPr="00796FB8">
        <w:t>ponsor would be agreeable to joining the RSA, pending the Department providing the details of the agreement.</w:t>
      </w:r>
    </w:p>
    <w:p w:rsidR="001F6943" w:rsidRPr="00796FB8" w:rsidRDefault="001F6943" w:rsidP="00BF3C38">
      <w:pPr>
        <w:pStyle w:val="2-SectionHeading"/>
        <w:numPr>
          <w:ilvl w:val="0"/>
          <w:numId w:val="1"/>
        </w:numPr>
      </w:pPr>
      <w:r w:rsidRPr="00796FB8">
        <w:t>PBAC Outcome</w:t>
      </w:r>
    </w:p>
    <w:p w:rsidR="00415025" w:rsidRPr="00EA390D" w:rsidRDefault="001F6943" w:rsidP="00BF3C38">
      <w:pPr>
        <w:numPr>
          <w:ilvl w:val="1"/>
          <w:numId w:val="1"/>
        </w:numPr>
        <w:spacing w:after="120"/>
        <w:rPr>
          <w:rFonts w:asciiTheme="minorHAnsi" w:hAnsiTheme="minorHAnsi"/>
          <w:bCs/>
          <w:snapToGrid w:val="0"/>
        </w:rPr>
      </w:pPr>
      <w:r w:rsidRPr="00796FB8">
        <w:rPr>
          <w:rFonts w:asciiTheme="minorHAnsi" w:hAnsiTheme="minorHAnsi"/>
          <w:bCs/>
          <w:snapToGrid w:val="0"/>
        </w:rPr>
        <w:t xml:space="preserve">The </w:t>
      </w:r>
      <w:r w:rsidR="00C5085E" w:rsidRPr="00796FB8">
        <w:rPr>
          <w:rFonts w:asciiTheme="minorHAnsi" w:hAnsiTheme="minorHAnsi"/>
          <w:bCs/>
          <w:snapToGrid w:val="0"/>
        </w:rPr>
        <w:t xml:space="preserve">PBAC did not recommend the listing of </w:t>
      </w:r>
      <w:r w:rsidR="00C5085E" w:rsidRPr="00796FB8">
        <w:t>eslicarbazepine acetate (ESL) for the treatment of intractable partial epileptic seizures, with or without secondary generalis</w:t>
      </w:r>
      <w:r w:rsidR="00B501CC" w:rsidRPr="00796FB8">
        <w:t>ed seizures.</w:t>
      </w:r>
      <w:r w:rsidR="00C5085E" w:rsidRPr="00796FB8">
        <w:t xml:space="preserve"> </w:t>
      </w:r>
      <w:r w:rsidR="00DE387D" w:rsidRPr="00796FB8">
        <w:t>The PBAC considered that the efficacy of ESL compared to placebo</w:t>
      </w:r>
      <w:r w:rsidR="0036688D">
        <w:t xml:space="preserve"> in a treatment-resistant population</w:t>
      </w:r>
      <w:r w:rsidR="00DE387D" w:rsidRPr="00796FB8">
        <w:t>, and the claim of non-inferior effectiveness and safety of ESL com</w:t>
      </w:r>
      <w:r w:rsidR="006C66BC">
        <w:t>pared with lacosamide (LAC), were</w:t>
      </w:r>
      <w:r w:rsidR="00DE387D" w:rsidRPr="00796FB8">
        <w:t xml:space="preserve"> not supported by the clinical data and indirect treatment comparison (ITC).</w:t>
      </w:r>
      <w:r w:rsidR="008A22DC" w:rsidRPr="00796FB8">
        <w:t xml:space="preserve"> The PBAC also considered that the economic analysis was problematic with respect to the estimation of equi-</w:t>
      </w:r>
      <w:r w:rsidR="00EA390D">
        <w:t>effective doses.</w:t>
      </w:r>
    </w:p>
    <w:p w:rsidR="00F10648" w:rsidRPr="00796FB8" w:rsidRDefault="005E47D8" w:rsidP="00BF3C38">
      <w:pPr>
        <w:numPr>
          <w:ilvl w:val="1"/>
          <w:numId w:val="1"/>
        </w:numPr>
        <w:spacing w:after="120"/>
        <w:rPr>
          <w:rFonts w:asciiTheme="minorHAnsi" w:hAnsiTheme="minorHAnsi"/>
          <w:bCs/>
          <w:snapToGrid w:val="0"/>
        </w:rPr>
      </w:pPr>
      <w:r w:rsidRPr="00796FB8">
        <w:rPr>
          <w:rFonts w:asciiTheme="minorHAnsi" w:hAnsiTheme="minorHAnsi"/>
          <w:bCs/>
          <w:snapToGrid w:val="0"/>
        </w:rPr>
        <w:t>L</w:t>
      </w:r>
      <w:r w:rsidR="00F10648" w:rsidRPr="00796FB8">
        <w:rPr>
          <w:rFonts w:asciiTheme="minorHAnsi" w:hAnsiTheme="minorHAnsi"/>
          <w:bCs/>
          <w:snapToGrid w:val="0"/>
        </w:rPr>
        <w:t xml:space="preserve">ike carbamazepine and oxcarbazepine, </w:t>
      </w:r>
      <w:r w:rsidRPr="00796FB8">
        <w:rPr>
          <w:rFonts w:asciiTheme="minorHAnsi" w:hAnsiTheme="minorHAnsi"/>
          <w:bCs/>
          <w:snapToGrid w:val="0"/>
        </w:rPr>
        <w:t xml:space="preserve">the PBAC noted that </w:t>
      </w:r>
      <w:r w:rsidR="00F10648" w:rsidRPr="00796FB8">
        <w:rPr>
          <w:rFonts w:asciiTheme="minorHAnsi" w:hAnsiTheme="minorHAnsi"/>
          <w:bCs/>
          <w:snapToGrid w:val="0"/>
        </w:rPr>
        <w:t>ESL is</w:t>
      </w:r>
      <w:r w:rsidR="00C216B5" w:rsidRPr="00796FB8">
        <w:rPr>
          <w:rFonts w:asciiTheme="minorHAnsi" w:hAnsiTheme="minorHAnsi"/>
          <w:bCs/>
          <w:snapToGrid w:val="0"/>
        </w:rPr>
        <w:t xml:space="preserve"> a member of the</w:t>
      </w:r>
      <w:r w:rsidR="00F10648" w:rsidRPr="00796FB8">
        <w:rPr>
          <w:rFonts w:asciiTheme="minorHAnsi" w:hAnsiTheme="minorHAnsi"/>
          <w:bCs/>
          <w:snapToGrid w:val="0"/>
        </w:rPr>
        <w:t xml:space="preserve"> dibenzazepine</w:t>
      </w:r>
      <w:r w:rsidR="00C216B5" w:rsidRPr="00796FB8">
        <w:rPr>
          <w:rFonts w:asciiTheme="minorHAnsi" w:hAnsiTheme="minorHAnsi"/>
          <w:bCs/>
          <w:snapToGrid w:val="0"/>
        </w:rPr>
        <w:t xml:space="preserve"> </w:t>
      </w:r>
      <w:r w:rsidR="00CD1B30" w:rsidRPr="00796FB8">
        <w:rPr>
          <w:rFonts w:asciiTheme="minorHAnsi" w:hAnsiTheme="minorHAnsi"/>
          <w:bCs/>
          <w:snapToGrid w:val="0"/>
        </w:rPr>
        <w:t>f</w:t>
      </w:r>
      <w:r w:rsidR="00C216B5" w:rsidRPr="00796FB8">
        <w:rPr>
          <w:rFonts w:asciiTheme="minorHAnsi" w:hAnsiTheme="minorHAnsi"/>
          <w:bCs/>
          <w:snapToGrid w:val="0"/>
        </w:rPr>
        <w:t>amily</w:t>
      </w:r>
      <w:r w:rsidR="00CD1B30" w:rsidRPr="00796FB8">
        <w:rPr>
          <w:rFonts w:asciiTheme="minorHAnsi" w:hAnsiTheme="minorHAnsi"/>
          <w:bCs/>
          <w:snapToGrid w:val="0"/>
        </w:rPr>
        <w:t xml:space="preserve"> (</w:t>
      </w:r>
      <w:r w:rsidR="00CD1B30" w:rsidRPr="00796FB8">
        <w:t>the carboxamides)</w:t>
      </w:r>
      <w:r w:rsidR="00F10648" w:rsidRPr="00796FB8">
        <w:rPr>
          <w:rFonts w:asciiTheme="minorHAnsi" w:hAnsiTheme="minorHAnsi"/>
          <w:bCs/>
          <w:snapToGrid w:val="0"/>
        </w:rPr>
        <w:t xml:space="preserve">, </w:t>
      </w:r>
      <w:r w:rsidR="00B501CC" w:rsidRPr="00796FB8">
        <w:rPr>
          <w:rFonts w:asciiTheme="minorHAnsi" w:hAnsiTheme="minorHAnsi"/>
          <w:bCs/>
          <w:snapToGrid w:val="0"/>
        </w:rPr>
        <w:t xml:space="preserve">with similar </w:t>
      </w:r>
      <w:r w:rsidR="00F10648" w:rsidRPr="00796FB8">
        <w:rPr>
          <w:rFonts w:asciiTheme="minorHAnsi" w:hAnsiTheme="minorHAnsi"/>
          <w:bCs/>
          <w:snapToGrid w:val="0"/>
        </w:rPr>
        <w:t>potential side effects</w:t>
      </w:r>
      <w:r w:rsidRPr="00796FB8">
        <w:rPr>
          <w:rFonts w:asciiTheme="minorHAnsi" w:hAnsiTheme="minorHAnsi"/>
          <w:bCs/>
          <w:snapToGrid w:val="0"/>
        </w:rPr>
        <w:t xml:space="preserve">. </w:t>
      </w:r>
      <w:r w:rsidR="00581AC1" w:rsidRPr="00796FB8">
        <w:rPr>
          <w:rFonts w:asciiTheme="minorHAnsi" w:hAnsiTheme="minorHAnsi"/>
          <w:bCs/>
          <w:snapToGrid w:val="0"/>
        </w:rPr>
        <w:t>If ESL were used third-line, t</w:t>
      </w:r>
      <w:r w:rsidRPr="00796FB8">
        <w:rPr>
          <w:rFonts w:asciiTheme="minorHAnsi" w:hAnsiTheme="minorHAnsi"/>
          <w:bCs/>
          <w:snapToGrid w:val="0"/>
        </w:rPr>
        <w:t xml:space="preserve">he PBAC considered </w:t>
      </w:r>
      <w:r w:rsidR="00C216B5" w:rsidRPr="00796FB8">
        <w:rPr>
          <w:rFonts w:asciiTheme="minorHAnsi" w:hAnsiTheme="minorHAnsi"/>
          <w:bCs/>
          <w:snapToGrid w:val="0"/>
        </w:rPr>
        <w:t xml:space="preserve">that </w:t>
      </w:r>
      <w:r w:rsidR="00581AC1" w:rsidRPr="00796FB8">
        <w:rPr>
          <w:rFonts w:asciiTheme="minorHAnsi" w:hAnsiTheme="minorHAnsi"/>
          <w:bCs/>
          <w:snapToGrid w:val="0"/>
        </w:rPr>
        <w:t xml:space="preserve">it </w:t>
      </w:r>
      <w:r w:rsidR="00C216B5" w:rsidRPr="00796FB8">
        <w:rPr>
          <w:rFonts w:asciiTheme="minorHAnsi" w:hAnsiTheme="minorHAnsi"/>
          <w:bCs/>
          <w:snapToGrid w:val="0"/>
        </w:rPr>
        <w:t>may be a less attractive option for clinicians</w:t>
      </w:r>
      <w:r w:rsidR="00B501CC" w:rsidRPr="00796FB8">
        <w:rPr>
          <w:rFonts w:asciiTheme="minorHAnsi" w:hAnsiTheme="minorHAnsi"/>
          <w:bCs/>
          <w:snapToGrid w:val="0"/>
        </w:rPr>
        <w:t xml:space="preserve"> in an adjuvant</w:t>
      </w:r>
      <w:r w:rsidR="00C216B5" w:rsidRPr="00796FB8">
        <w:rPr>
          <w:rFonts w:asciiTheme="minorHAnsi" w:hAnsiTheme="minorHAnsi"/>
          <w:bCs/>
          <w:snapToGrid w:val="0"/>
        </w:rPr>
        <w:t xml:space="preserve"> setting compared to an agent from a novel therapeutic class</w:t>
      </w:r>
      <w:r w:rsidR="00CD1B30" w:rsidRPr="00796FB8">
        <w:rPr>
          <w:rFonts w:asciiTheme="minorHAnsi" w:hAnsiTheme="minorHAnsi"/>
          <w:bCs/>
          <w:snapToGrid w:val="0"/>
        </w:rPr>
        <w:t xml:space="preserve"> </w:t>
      </w:r>
      <w:r w:rsidR="00C216B5" w:rsidRPr="00796FB8">
        <w:rPr>
          <w:rFonts w:asciiTheme="minorHAnsi" w:hAnsiTheme="minorHAnsi"/>
          <w:bCs/>
          <w:snapToGrid w:val="0"/>
        </w:rPr>
        <w:t>(e.g. LA</w:t>
      </w:r>
      <w:r w:rsidRPr="00796FB8">
        <w:rPr>
          <w:rFonts w:asciiTheme="minorHAnsi" w:hAnsiTheme="minorHAnsi"/>
          <w:bCs/>
          <w:snapToGrid w:val="0"/>
        </w:rPr>
        <w:t>C), and that</w:t>
      </w:r>
      <w:r w:rsidR="00164902" w:rsidRPr="00796FB8">
        <w:rPr>
          <w:rFonts w:asciiTheme="minorHAnsi" w:hAnsiTheme="minorHAnsi"/>
          <w:bCs/>
          <w:snapToGrid w:val="0"/>
        </w:rPr>
        <w:t xml:space="preserve"> LAC may not be the therapy that is replaced.</w:t>
      </w:r>
      <w:r w:rsidRPr="00796FB8">
        <w:rPr>
          <w:rFonts w:asciiTheme="minorHAnsi" w:hAnsiTheme="minorHAnsi"/>
          <w:bCs/>
          <w:snapToGrid w:val="0"/>
        </w:rPr>
        <w:t xml:space="preserve"> </w:t>
      </w:r>
      <w:r w:rsidR="00164902" w:rsidRPr="00796FB8">
        <w:rPr>
          <w:rFonts w:asciiTheme="minorHAnsi" w:hAnsiTheme="minorHAnsi"/>
          <w:bCs/>
          <w:snapToGrid w:val="0"/>
        </w:rPr>
        <w:t>The PBAC</w:t>
      </w:r>
      <w:r w:rsidR="00581AC1" w:rsidRPr="00796FB8">
        <w:rPr>
          <w:rFonts w:asciiTheme="minorHAnsi" w:hAnsiTheme="minorHAnsi"/>
          <w:bCs/>
          <w:snapToGrid w:val="0"/>
        </w:rPr>
        <w:t xml:space="preserve"> also</w:t>
      </w:r>
      <w:r w:rsidR="00164902" w:rsidRPr="00796FB8">
        <w:rPr>
          <w:rFonts w:asciiTheme="minorHAnsi" w:hAnsiTheme="minorHAnsi"/>
          <w:bCs/>
          <w:snapToGrid w:val="0"/>
        </w:rPr>
        <w:t xml:space="preserve"> considered that ESL </w:t>
      </w:r>
      <w:r w:rsidR="002B28B0" w:rsidRPr="00796FB8">
        <w:rPr>
          <w:rFonts w:asciiTheme="minorHAnsi" w:hAnsiTheme="minorHAnsi"/>
          <w:bCs/>
          <w:snapToGrid w:val="0"/>
        </w:rPr>
        <w:t>may</w:t>
      </w:r>
      <w:r w:rsidR="00164902" w:rsidRPr="00796FB8">
        <w:rPr>
          <w:rFonts w:asciiTheme="minorHAnsi" w:hAnsiTheme="minorHAnsi"/>
          <w:bCs/>
          <w:snapToGrid w:val="0"/>
        </w:rPr>
        <w:t xml:space="preserve"> be used earlier in the treatment pathway, and could replace</w:t>
      </w:r>
      <w:r w:rsidR="002B28B0" w:rsidRPr="00796FB8">
        <w:rPr>
          <w:rFonts w:asciiTheme="minorHAnsi" w:hAnsiTheme="minorHAnsi"/>
          <w:bCs/>
          <w:snapToGrid w:val="0"/>
        </w:rPr>
        <w:t xml:space="preserve"> the</w:t>
      </w:r>
      <w:r w:rsidR="00164902" w:rsidRPr="00796FB8">
        <w:rPr>
          <w:rFonts w:asciiTheme="minorHAnsi" w:hAnsiTheme="minorHAnsi"/>
          <w:bCs/>
          <w:snapToGrid w:val="0"/>
        </w:rPr>
        <w:t xml:space="preserve"> other dibenzazepines</w:t>
      </w:r>
      <w:r w:rsidR="002B28B0" w:rsidRPr="00796FB8">
        <w:rPr>
          <w:rFonts w:asciiTheme="minorHAnsi" w:hAnsiTheme="minorHAnsi"/>
          <w:bCs/>
          <w:snapToGrid w:val="0"/>
        </w:rPr>
        <w:t xml:space="preserve"> in this indication</w:t>
      </w:r>
      <w:r w:rsidR="00164902" w:rsidRPr="00796FB8">
        <w:rPr>
          <w:rFonts w:asciiTheme="minorHAnsi" w:hAnsiTheme="minorHAnsi"/>
          <w:bCs/>
          <w:snapToGrid w:val="0"/>
        </w:rPr>
        <w:t>.</w:t>
      </w:r>
      <w:r w:rsidR="00CD62A0">
        <w:rPr>
          <w:rFonts w:asciiTheme="minorHAnsi" w:hAnsiTheme="minorHAnsi"/>
          <w:bCs/>
          <w:snapToGrid w:val="0"/>
        </w:rPr>
        <w:t xml:space="preserve"> The PBAC considered the clinical need for an additional medicine with a similar mechanism of action to other listed medicines is moderate.</w:t>
      </w:r>
      <w:r w:rsidR="002B28B0" w:rsidRPr="00796FB8">
        <w:rPr>
          <w:rFonts w:asciiTheme="minorHAnsi" w:hAnsiTheme="minorHAnsi"/>
          <w:bCs/>
          <w:snapToGrid w:val="0"/>
        </w:rPr>
        <w:t xml:space="preserve"> </w:t>
      </w:r>
      <w:r w:rsidR="00B21110" w:rsidRPr="00796FB8">
        <w:rPr>
          <w:rFonts w:asciiTheme="minorHAnsi" w:hAnsiTheme="minorHAnsi"/>
          <w:bCs/>
          <w:snapToGrid w:val="0"/>
        </w:rPr>
        <w:t>The PBAC indicated that other comparators</w:t>
      </w:r>
      <w:r w:rsidR="002B28B0" w:rsidRPr="00796FB8">
        <w:rPr>
          <w:rFonts w:asciiTheme="minorHAnsi" w:hAnsiTheme="minorHAnsi"/>
          <w:bCs/>
          <w:snapToGrid w:val="0"/>
        </w:rPr>
        <w:t xml:space="preserve"> </w:t>
      </w:r>
      <w:r w:rsidR="00B21110" w:rsidRPr="00796FB8">
        <w:rPr>
          <w:rFonts w:asciiTheme="minorHAnsi" w:hAnsiTheme="minorHAnsi"/>
          <w:bCs/>
          <w:snapToGrid w:val="0"/>
        </w:rPr>
        <w:t>should have been included in the submission</w:t>
      </w:r>
      <w:r w:rsidR="00796FB8">
        <w:rPr>
          <w:rFonts w:asciiTheme="minorHAnsi" w:hAnsiTheme="minorHAnsi"/>
          <w:bCs/>
          <w:snapToGrid w:val="0"/>
        </w:rPr>
        <w:t xml:space="preserve">. </w:t>
      </w:r>
    </w:p>
    <w:p w:rsidR="007B27E1" w:rsidRPr="00796FB8" w:rsidRDefault="00951E30" w:rsidP="00BF3C38">
      <w:pPr>
        <w:numPr>
          <w:ilvl w:val="1"/>
          <w:numId w:val="1"/>
        </w:numPr>
        <w:spacing w:after="120"/>
        <w:rPr>
          <w:rFonts w:asciiTheme="minorHAnsi" w:hAnsiTheme="minorHAnsi"/>
          <w:bCs/>
          <w:snapToGrid w:val="0"/>
        </w:rPr>
      </w:pPr>
      <w:r w:rsidRPr="00796FB8">
        <w:t xml:space="preserve">The PBAC </w:t>
      </w:r>
      <w:r w:rsidR="00B87A16" w:rsidRPr="00796FB8">
        <w:t>noted</w:t>
      </w:r>
      <w:r w:rsidRPr="00796FB8">
        <w:t xml:space="preserve"> the substantial discontinuation observed in the 1,200 mg arm</w:t>
      </w:r>
      <w:r w:rsidR="00AC1926" w:rsidRPr="00796FB8">
        <w:t xml:space="preserve"> of</w:t>
      </w:r>
      <w:r w:rsidR="00B87A16" w:rsidRPr="00796FB8">
        <w:t xml:space="preserve"> the key ESL trial,</w:t>
      </w:r>
      <w:r w:rsidR="00AC1926" w:rsidRPr="00796FB8">
        <w:t xml:space="preserve"> Study 304</w:t>
      </w:r>
      <w:r w:rsidR="00B87A16" w:rsidRPr="00796FB8">
        <w:t>,</w:t>
      </w:r>
      <w:r w:rsidRPr="00796FB8">
        <w:t xml:space="preserve"> due to adverse events</w:t>
      </w:r>
      <w:r w:rsidR="00770A3F" w:rsidRPr="00796FB8">
        <w:t xml:space="preserve"> (AEs)</w:t>
      </w:r>
      <w:r w:rsidRPr="00796FB8">
        <w:t>, as well as</w:t>
      </w:r>
      <w:r w:rsidR="00DB064D" w:rsidRPr="00796FB8">
        <w:t xml:space="preserve"> the</w:t>
      </w:r>
      <w:r w:rsidRPr="00796FB8">
        <w:t xml:space="preserve"> missing data due to the ‘</w:t>
      </w:r>
      <w:r w:rsidR="00655B5E" w:rsidRPr="00796FB8">
        <w:t>Not E</w:t>
      </w:r>
      <w:r w:rsidRPr="00796FB8">
        <w:t xml:space="preserve">valuable’ participants. The PBAC considered that both the submission and the </w:t>
      </w:r>
      <w:r w:rsidR="00644B8E" w:rsidRPr="00796FB8">
        <w:t xml:space="preserve">Clinical Study Report </w:t>
      </w:r>
      <w:r w:rsidRPr="00796FB8">
        <w:t>were unclear about how these missing data were handled</w:t>
      </w:r>
      <w:r w:rsidR="006B14D1" w:rsidRPr="00796FB8">
        <w:t>, and that</w:t>
      </w:r>
      <w:r w:rsidR="00F91DFB" w:rsidRPr="00796FB8">
        <w:t xml:space="preserve"> it </w:t>
      </w:r>
      <w:r w:rsidR="006B14D1" w:rsidRPr="00796FB8">
        <w:t>was</w:t>
      </w:r>
      <w:r w:rsidR="00F91DFB" w:rsidRPr="00796FB8">
        <w:t xml:space="preserve"> difficult to determine the direction of</w:t>
      </w:r>
      <w:r w:rsidR="00190B4E" w:rsidRPr="00796FB8">
        <w:t xml:space="preserve"> any resulting</w:t>
      </w:r>
      <w:r w:rsidR="00F91DFB" w:rsidRPr="00796FB8">
        <w:t xml:space="preserve"> bias.</w:t>
      </w:r>
    </w:p>
    <w:p w:rsidR="00E641F8" w:rsidRPr="00796FB8" w:rsidRDefault="00951E30" w:rsidP="00BF3C38">
      <w:pPr>
        <w:numPr>
          <w:ilvl w:val="1"/>
          <w:numId w:val="1"/>
        </w:numPr>
        <w:spacing w:after="120"/>
        <w:rPr>
          <w:rFonts w:asciiTheme="minorHAnsi" w:hAnsiTheme="minorHAnsi"/>
          <w:bCs/>
          <w:snapToGrid w:val="0"/>
        </w:rPr>
      </w:pPr>
      <w:r w:rsidRPr="00796FB8">
        <w:t xml:space="preserve">The PBAC noted that the primary efficacy analysis of Study 304 </w:t>
      </w:r>
      <w:r w:rsidR="004261FE" w:rsidRPr="00796FB8">
        <w:t>(ITT population)</w:t>
      </w:r>
      <w:r w:rsidR="00B87A16" w:rsidRPr="00796FB8">
        <w:t>,</w:t>
      </w:r>
      <w:r w:rsidR="004261FE" w:rsidRPr="00796FB8">
        <w:t xml:space="preserve"> </w:t>
      </w:r>
      <w:r w:rsidRPr="00796FB8">
        <w:t>reduction in standardised seizure frequency</w:t>
      </w:r>
      <w:r w:rsidR="00781BB1" w:rsidRPr="00796FB8">
        <w:t xml:space="preserve"> (versus placebo)</w:t>
      </w:r>
      <w:r w:rsidRPr="00796FB8">
        <w:t>, reached statistical significance in the ESL 1,200 mg group but not in the ESL 800 mg</w:t>
      </w:r>
      <w:r w:rsidR="00CD1B30" w:rsidRPr="00796FB8">
        <w:t xml:space="preserve"> group</w:t>
      </w:r>
      <w:r w:rsidR="00781BB1" w:rsidRPr="00796FB8">
        <w:t xml:space="preserve">. </w:t>
      </w:r>
      <w:r w:rsidR="007B27E1" w:rsidRPr="00796FB8">
        <w:t>With respect to</w:t>
      </w:r>
      <w:r w:rsidR="00ED68CD" w:rsidRPr="00796FB8">
        <w:t xml:space="preserve"> the secondary outcome</w:t>
      </w:r>
      <w:r w:rsidR="007B27E1" w:rsidRPr="00796FB8">
        <w:t xml:space="preserve"> </w:t>
      </w:r>
      <w:r w:rsidR="00ED68CD" w:rsidRPr="00796FB8">
        <w:t>(</w:t>
      </w:r>
      <w:r w:rsidR="00247D68" w:rsidRPr="00796FB8">
        <w:t xml:space="preserve">proportion of patients with a </w:t>
      </w:r>
      <w:r w:rsidR="007B27E1" w:rsidRPr="00796FB8">
        <w:rPr>
          <w:rFonts w:cs="Calibri"/>
        </w:rPr>
        <w:t>≥</w:t>
      </w:r>
      <w:r w:rsidR="007B27E1" w:rsidRPr="00796FB8">
        <w:t>50% reduction in seizures from baseline</w:t>
      </w:r>
      <w:r w:rsidR="00ED68CD" w:rsidRPr="00796FB8">
        <w:t>),</w:t>
      </w:r>
      <w:r w:rsidR="00655B5E" w:rsidRPr="00796FB8">
        <w:t xml:space="preserve"> </w:t>
      </w:r>
      <w:r w:rsidR="00BE7785" w:rsidRPr="00796FB8">
        <w:t>again, only the 1,200 mg arm</w:t>
      </w:r>
      <w:r w:rsidR="006B14D1" w:rsidRPr="00796FB8">
        <w:t xml:space="preserve"> reached statistical significance</w:t>
      </w:r>
      <w:r w:rsidR="003B67F8" w:rsidRPr="00796FB8">
        <w:t>.</w:t>
      </w:r>
      <w:r w:rsidR="007B27E1" w:rsidRPr="00796FB8">
        <w:t xml:space="preserve"> </w:t>
      </w:r>
      <w:r w:rsidR="003B67F8" w:rsidRPr="00796FB8">
        <w:t xml:space="preserve">The PBAC noted </w:t>
      </w:r>
      <w:r w:rsidR="00BE7785" w:rsidRPr="00796FB8">
        <w:t xml:space="preserve">the </w:t>
      </w:r>
      <w:r w:rsidR="007B27E1" w:rsidRPr="00796FB8">
        <w:t>point es</w:t>
      </w:r>
      <w:r w:rsidR="00BE7785" w:rsidRPr="00796FB8">
        <w:t>timate</w:t>
      </w:r>
      <w:r w:rsidR="006B14D1" w:rsidRPr="00796FB8">
        <w:t xml:space="preserve"> for the 1,200 mg arm</w:t>
      </w:r>
      <w:r w:rsidR="00BE7785" w:rsidRPr="00796FB8">
        <w:t xml:space="preserve"> </w:t>
      </w:r>
      <w:r w:rsidR="006B14D1" w:rsidRPr="00796FB8">
        <w:t xml:space="preserve">decreased </w:t>
      </w:r>
      <w:r w:rsidR="007B27E1" w:rsidRPr="00796FB8">
        <w:t>from 42.6% to 38.0% after accounting for the ‘</w:t>
      </w:r>
      <w:r w:rsidR="00655B5E" w:rsidRPr="00796FB8">
        <w:t>Not E</w:t>
      </w:r>
      <w:r w:rsidR="007B27E1" w:rsidRPr="00796FB8">
        <w:t xml:space="preserve">valuable’ patients. </w:t>
      </w:r>
      <w:r w:rsidR="003B67F8" w:rsidRPr="00796FB8">
        <w:t xml:space="preserve">Overall, the PBAC considered that </w:t>
      </w:r>
      <w:r w:rsidR="003B67F8" w:rsidRPr="00796FB8">
        <w:rPr>
          <w:iCs/>
        </w:rPr>
        <w:t>Study 304 failed to demonstrate a robust benefit of ESL over placebo</w:t>
      </w:r>
      <w:r w:rsidR="00811A21" w:rsidRPr="00796FB8">
        <w:rPr>
          <w:iCs/>
        </w:rPr>
        <w:t xml:space="preserve"> as adjunctive therapy in a refractory population</w:t>
      </w:r>
      <w:r w:rsidR="003B67F8" w:rsidRPr="00796FB8">
        <w:rPr>
          <w:iCs/>
        </w:rPr>
        <w:t>.</w:t>
      </w:r>
    </w:p>
    <w:p w:rsidR="00E641F8" w:rsidRPr="00796FB8" w:rsidRDefault="001B7FBF" w:rsidP="00BF3C38">
      <w:pPr>
        <w:numPr>
          <w:ilvl w:val="1"/>
          <w:numId w:val="1"/>
        </w:numPr>
        <w:spacing w:after="120"/>
      </w:pPr>
      <w:r w:rsidRPr="00796FB8">
        <w:t>T</w:t>
      </w:r>
      <w:r w:rsidR="00655B5E" w:rsidRPr="00796FB8">
        <w:t xml:space="preserve">he PBAC noted that </w:t>
      </w:r>
      <w:r w:rsidRPr="00796FB8">
        <w:t>the</w:t>
      </w:r>
      <w:r w:rsidR="00655B5E" w:rsidRPr="00796FB8">
        <w:t xml:space="preserve"> ITC performed between Study 304 (ESL) and the four LAC studies, using placebo as the common reference</w:t>
      </w:r>
      <w:r w:rsidRPr="00796FB8">
        <w:t>, suffered from</w:t>
      </w:r>
      <w:r w:rsidR="002F0C03" w:rsidRPr="00796FB8">
        <w:t xml:space="preserve"> transitivity concerns</w:t>
      </w:r>
      <w:r w:rsidR="00E641F8" w:rsidRPr="00796FB8">
        <w:t xml:space="preserve"> in terms of baseline differences across the ESL and L</w:t>
      </w:r>
      <w:r w:rsidR="002F0C03" w:rsidRPr="00796FB8">
        <w:t>AC populations, suggesting the ESL cohort may have been under-treated at base</w:t>
      </w:r>
      <w:r w:rsidR="004063DC" w:rsidRPr="00796FB8">
        <w:t>line compared to the LAC cohort and therefore more responsive to the addition of another anti-epileptic drug.</w:t>
      </w:r>
      <w:r w:rsidRPr="00796FB8">
        <w:t xml:space="preserve"> The PBAC also noted the ITC did not pre-specify a non-inferiority margin, and the lower 95% CIs for both the low dose and high dose comparisons were outside the </w:t>
      </w:r>
      <w:r w:rsidR="00EA390D">
        <w:t>margin in the</w:t>
      </w:r>
      <w:r w:rsidR="007B7B9B" w:rsidRPr="00796FB8">
        <w:t xml:space="preserve"> brivaracetam</w:t>
      </w:r>
      <w:r w:rsidR="00EA390D">
        <w:t xml:space="preserve"> submission</w:t>
      </w:r>
      <w:r w:rsidR="007B7B9B" w:rsidRPr="00796FB8">
        <w:t xml:space="preserve"> </w:t>
      </w:r>
      <w:r w:rsidR="00EA390D">
        <w:t>(</w:t>
      </w:r>
      <w:r w:rsidR="007B7B9B" w:rsidRPr="00796FB8">
        <w:t>November 2017</w:t>
      </w:r>
      <w:r w:rsidR="00EA390D">
        <w:t>)</w:t>
      </w:r>
      <w:r w:rsidR="007B7B9B" w:rsidRPr="00796FB8">
        <w:t>.</w:t>
      </w:r>
      <w:r w:rsidR="004063DC" w:rsidRPr="00796FB8">
        <w:t xml:space="preserve"> </w:t>
      </w:r>
      <w:r w:rsidR="00E641F8" w:rsidRPr="00796FB8">
        <w:t>Overall, the PBAC considered that the claim of non-inferior comparative effectiveness</w:t>
      </w:r>
      <w:r w:rsidR="0075219C" w:rsidRPr="00796FB8">
        <w:t xml:space="preserve"> for ESL (both 800 mg and 1,200 mg doses) compared with LAC in the third-line</w:t>
      </w:r>
      <w:r w:rsidR="00644B8E" w:rsidRPr="00796FB8">
        <w:t xml:space="preserve"> treatment</w:t>
      </w:r>
      <w:r w:rsidR="0075219C" w:rsidRPr="00796FB8">
        <w:t xml:space="preserve"> setting</w:t>
      </w:r>
      <w:r w:rsidR="00E641F8" w:rsidRPr="00796FB8">
        <w:t xml:space="preserve"> was not adequately s</w:t>
      </w:r>
      <w:r w:rsidR="00EA390D">
        <w:t>upported by the available data.</w:t>
      </w:r>
    </w:p>
    <w:p w:rsidR="00470FC9" w:rsidRPr="00796FB8" w:rsidRDefault="00572FAD" w:rsidP="00BF3C38">
      <w:pPr>
        <w:numPr>
          <w:ilvl w:val="1"/>
          <w:numId w:val="1"/>
        </w:numPr>
        <w:spacing w:after="120"/>
        <w:rPr>
          <w:rFonts w:asciiTheme="minorHAnsi" w:hAnsiTheme="minorHAnsi"/>
          <w:bCs/>
          <w:snapToGrid w:val="0"/>
        </w:rPr>
      </w:pPr>
      <w:r w:rsidRPr="00796FB8">
        <w:rPr>
          <w:rFonts w:asciiTheme="minorHAnsi" w:hAnsiTheme="minorHAnsi"/>
          <w:bCs/>
          <w:snapToGrid w:val="0"/>
        </w:rPr>
        <w:t xml:space="preserve">Due to </w:t>
      </w:r>
      <w:r w:rsidR="00770A3F" w:rsidRPr="00796FB8">
        <w:rPr>
          <w:rFonts w:asciiTheme="minorHAnsi" w:hAnsiTheme="minorHAnsi"/>
          <w:bCs/>
          <w:snapToGrid w:val="0"/>
        </w:rPr>
        <w:t>the high</w:t>
      </w:r>
      <w:r w:rsidRPr="00796FB8">
        <w:rPr>
          <w:rFonts w:asciiTheme="minorHAnsi" w:hAnsiTheme="minorHAnsi"/>
          <w:bCs/>
          <w:snapToGrid w:val="0"/>
        </w:rPr>
        <w:t xml:space="preserve"> </w:t>
      </w:r>
      <w:r w:rsidR="001B1B9C" w:rsidRPr="00796FB8">
        <w:rPr>
          <w:rFonts w:asciiTheme="minorHAnsi" w:hAnsiTheme="minorHAnsi"/>
          <w:bCs/>
          <w:snapToGrid w:val="0"/>
        </w:rPr>
        <w:t>rate of discontinuations</w:t>
      </w:r>
      <w:r w:rsidR="00770A3F" w:rsidRPr="00796FB8">
        <w:rPr>
          <w:rFonts w:asciiTheme="minorHAnsi" w:hAnsiTheme="minorHAnsi"/>
          <w:bCs/>
          <w:snapToGrid w:val="0"/>
        </w:rPr>
        <w:t xml:space="preserve"> observed for the</w:t>
      </w:r>
      <w:r w:rsidR="00B53DE6" w:rsidRPr="00796FB8">
        <w:rPr>
          <w:rFonts w:asciiTheme="minorHAnsi" w:hAnsiTheme="minorHAnsi"/>
          <w:bCs/>
          <w:snapToGrid w:val="0"/>
        </w:rPr>
        <w:t xml:space="preserve"> ESL 1,200 mg </w:t>
      </w:r>
      <w:r w:rsidR="00770A3F" w:rsidRPr="00796FB8">
        <w:rPr>
          <w:rFonts w:asciiTheme="minorHAnsi" w:hAnsiTheme="minorHAnsi"/>
          <w:bCs/>
          <w:snapToGrid w:val="0"/>
        </w:rPr>
        <w:t xml:space="preserve">dose in </w:t>
      </w:r>
      <w:r w:rsidR="00311F2A" w:rsidRPr="00796FB8">
        <w:rPr>
          <w:rFonts w:asciiTheme="minorHAnsi" w:hAnsiTheme="minorHAnsi"/>
          <w:bCs/>
          <w:snapToGrid w:val="0"/>
        </w:rPr>
        <w:t>Study 304</w:t>
      </w:r>
      <w:r w:rsidR="00A16565" w:rsidRPr="00796FB8">
        <w:rPr>
          <w:rFonts w:asciiTheme="minorHAnsi" w:hAnsiTheme="minorHAnsi"/>
          <w:bCs/>
          <w:snapToGrid w:val="0"/>
        </w:rPr>
        <w:t xml:space="preserve"> and</w:t>
      </w:r>
      <w:r w:rsidR="000E4E03" w:rsidRPr="00796FB8">
        <w:rPr>
          <w:rFonts w:asciiTheme="minorHAnsi" w:hAnsiTheme="minorHAnsi"/>
          <w:bCs/>
          <w:snapToGrid w:val="0"/>
        </w:rPr>
        <w:t xml:space="preserve"> the upper CIs for withdrawal due to AE and somnolence being very wide</w:t>
      </w:r>
      <w:r w:rsidR="00311F2A" w:rsidRPr="00796FB8">
        <w:rPr>
          <w:rFonts w:asciiTheme="minorHAnsi" w:hAnsiTheme="minorHAnsi"/>
          <w:bCs/>
          <w:snapToGrid w:val="0"/>
        </w:rPr>
        <w:t xml:space="preserve">, the PBAC </w:t>
      </w:r>
      <w:r w:rsidR="004261FE" w:rsidRPr="00796FB8">
        <w:rPr>
          <w:rFonts w:asciiTheme="minorHAnsi" w:hAnsiTheme="minorHAnsi"/>
          <w:bCs/>
          <w:snapToGrid w:val="0"/>
        </w:rPr>
        <w:t xml:space="preserve">also </w:t>
      </w:r>
      <w:r w:rsidR="00311F2A" w:rsidRPr="00796FB8">
        <w:rPr>
          <w:rFonts w:asciiTheme="minorHAnsi" w:hAnsiTheme="minorHAnsi"/>
          <w:bCs/>
          <w:snapToGrid w:val="0"/>
        </w:rPr>
        <w:t xml:space="preserve">considered that the claim of non-inferior comparative safety </w:t>
      </w:r>
      <w:r w:rsidR="00CA20E6" w:rsidRPr="00796FB8">
        <w:rPr>
          <w:rFonts w:asciiTheme="minorHAnsi" w:hAnsiTheme="minorHAnsi"/>
          <w:bCs/>
          <w:snapToGrid w:val="0"/>
        </w:rPr>
        <w:t xml:space="preserve">versus LAC </w:t>
      </w:r>
      <w:r w:rsidR="00311F2A" w:rsidRPr="00796FB8">
        <w:rPr>
          <w:rFonts w:asciiTheme="minorHAnsi" w:hAnsiTheme="minorHAnsi"/>
          <w:bCs/>
          <w:snapToGrid w:val="0"/>
        </w:rPr>
        <w:t xml:space="preserve">was not adequately supported by the available data. </w:t>
      </w:r>
    </w:p>
    <w:p w:rsidR="005172FD" w:rsidRPr="00796FB8" w:rsidRDefault="005172FD" w:rsidP="00BF3C38">
      <w:pPr>
        <w:numPr>
          <w:ilvl w:val="1"/>
          <w:numId w:val="1"/>
        </w:numPr>
        <w:spacing w:after="120"/>
        <w:rPr>
          <w:rFonts w:asciiTheme="minorHAnsi" w:hAnsiTheme="minorHAnsi"/>
          <w:bCs/>
          <w:snapToGrid w:val="0"/>
        </w:rPr>
      </w:pPr>
      <w:r w:rsidRPr="00796FB8">
        <w:rPr>
          <w:rFonts w:asciiTheme="minorHAnsi" w:hAnsiTheme="minorHAnsi"/>
          <w:bCs/>
          <w:snapToGrid w:val="0"/>
        </w:rPr>
        <w:t xml:space="preserve">The PBAC </w:t>
      </w:r>
      <w:r w:rsidR="009A5C34" w:rsidRPr="00796FB8">
        <w:rPr>
          <w:rFonts w:asciiTheme="minorHAnsi" w:hAnsiTheme="minorHAnsi"/>
          <w:bCs/>
          <w:snapToGrid w:val="0"/>
        </w:rPr>
        <w:t xml:space="preserve">considered the </w:t>
      </w:r>
      <w:r w:rsidRPr="00796FB8">
        <w:rPr>
          <w:rFonts w:asciiTheme="minorHAnsi" w:hAnsiTheme="minorHAnsi"/>
          <w:bCs/>
          <w:snapToGrid w:val="0"/>
        </w:rPr>
        <w:t>cost-minimisation analysis of ESL compared to LAC</w:t>
      </w:r>
      <w:r w:rsidR="009A5C34" w:rsidRPr="00796FB8">
        <w:rPr>
          <w:rFonts w:asciiTheme="minorHAnsi" w:hAnsiTheme="minorHAnsi"/>
          <w:bCs/>
          <w:snapToGrid w:val="0"/>
        </w:rPr>
        <w:t xml:space="preserve"> was not appropriate because (i) it did not accept that LAC is the appropriate comparator; and (ii) it did not accept that ESL is non-inferior to LAC, in terms of both efficacy and safety</w:t>
      </w:r>
      <w:r w:rsidRPr="00796FB8">
        <w:rPr>
          <w:rFonts w:asciiTheme="minorHAnsi" w:hAnsiTheme="minorHAnsi"/>
          <w:bCs/>
          <w:snapToGrid w:val="0"/>
        </w:rPr>
        <w:t>. The PBAC</w:t>
      </w:r>
      <w:r w:rsidR="009A5C34" w:rsidRPr="00796FB8">
        <w:rPr>
          <w:rFonts w:asciiTheme="minorHAnsi" w:hAnsiTheme="minorHAnsi"/>
          <w:bCs/>
          <w:snapToGrid w:val="0"/>
        </w:rPr>
        <w:t xml:space="preserve"> also</w:t>
      </w:r>
      <w:r w:rsidRPr="00796FB8">
        <w:rPr>
          <w:rFonts w:asciiTheme="minorHAnsi" w:hAnsiTheme="minorHAnsi"/>
          <w:bCs/>
          <w:snapToGrid w:val="0"/>
        </w:rPr>
        <w:t xml:space="preserve"> considered the a</w:t>
      </w:r>
      <w:r w:rsidR="00A71E92" w:rsidRPr="00796FB8">
        <w:rPr>
          <w:rFonts w:asciiTheme="minorHAnsi" w:hAnsiTheme="minorHAnsi"/>
          <w:bCs/>
          <w:snapToGrid w:val="0"/>
        </w:rPr>
        <w:t xml:space="preserve">nalysis was </w:t>
      </w:r>
      <w:r w:rsidRPr="00796FB8">
        <w:rPr>
          <w:rFonts w:asciiTheme="minorHAnsi" w:hAnsiTheme="minorHAnsi"/>
          <w:bCs/>
          <w:snapToGrid w:val="0"/>
        </w:rPr>
        <w:t>problematic given the method used to est</w:t>
      </w:r>
      <w:r w:rsidR="00470FC9" w:rsidRPr="00796FB8">
        <w:rPr>
          <w:rFonts w:asciiTheme="minorHAnsi" w:hAnsiTheme="minorHAnsi"/>
          <w:bCs/>
          <w:snapToGrid w:val="0"/>
        </w:rPr>
        <w:t xml:space="preserve">imate the equi-effective doses based only on the recommended doses used in the trials and the respective Australian Product Information. </w:t>
      </w:r>
    </w:p>
    <w:p w:rsidR="002B7544" w:rsidRPr="00796FB8" w:rsidRDefault="00190B4E" w:rsidP="00BF3C38">
      <w:pPr>
        <w:numPr>
          <w:ilvl w:val="1"/>
          <w:numId w:val="1"/>
        </w:numPr>
        <w:spacing w:after="120"/>
        <w:rPr>
          <w:rFonts w:asciiTheme="minorHAnsi" w:eastAsiaTheme="minorHAnsi" w:hAnsiTheme="minorHAnsi" w:cstheme="minorBidi"/>
        </w:rPr>
      </w:pPr>
      <w:r w:rsidRPr="00796FB8">
        <w:t xml:space="preserve">The PBAC did not consider the estimated usage and financial implications in the submission would be an accurate reflection of ESL use, given the proposed </w:t>
      </w:r>
      <w:r w:rsidR="00475657" w:rsidRPr="00796FB8">
        <w:t xml:space="preserve">clinical place and </w:t>
      </w:r>
      <w:r w:rsidRPr="00796FB8">
        <w:t xml:space="preserve">comparator were not appropriate. </w:t>
      </w:r>
      <w:r w:rsidR="002B7544" w:rsidRPr="00796FB8">
        <w:t xml:space="preserve">The PBAC noted that </w:t>
      </w:r>
      <w:r w:rsidR="005322E4" w:rsidRPr="00796FB8">
        <w:t>n</w:t>
      </w:r>
      <w:r w:rsidR="002B7544" w:rsidRPr="00796FB8">
        <w:t>et financial costs</w:t>
      </w:r>
      <w:r w:rsidR="005322E4" w:rsidRPr="00796FB8">
        <w:t xml:space="preserve"> for ESL</w:t>
      </w:r>
      <w:r w:rsidR="002B7544" w:rsidRPr="00796FB8">
        <w:t xml:space="preserve"> were observed due to the expected increase in the number of prescriptions (and therefore dispensing fees) for patients on</w:t>
      </w:r>
      <w:r w:rsidR="005322E4" w:rsidRPr="00796FB8">
        <w:t xml:space="preserve"> the</w:t>
      </w:r>
      <w:r w:rsidR="002B7544" w:rsidRPr="00796FB8">
        <w:t xml:space="preserve"> 1,200 mg daily</w:t>
      </w:r>
      <w:r w:rsidR="005322E4" w:rsidRPr="00796FB8">
        <w:t xml:space="preserve"> dose</w:t>
      </w:r>
      <w:r w:rsidR="002B7544" w:rsidRPr="00796FB8">
        <w:t>. Given the uncertainty with respect to price and uptake rates, the PBAC considered the</w:t>
      </w:r>
      <w:r w:rsidR="005322E4" w:rsidRPr="00796FB8">
        <w:t xml:space="preserve"> estimated</w:t>
      </w:r>
      <w:r w:rsidR="002B7544" w:rsidRPr="00796FB8">
        <w:t xml:space="preserve"> financial impact of ESL</w:t>
      </w:r>
      <w:r w:rsidR="005322E4" w:rsidRPr="00796FB8">
        <w:t xml:space="preserve"> was highly uncertain.</w:t>
      </w:r>
      <w:r w:rsidR="002B7544" w:rsidRPr="00796FB8">
        <w:t xml:space="preserve"> </w:t>
      </w:r>
    </w:p>
    <w:p w:rsidR="002F0C03" w:rsidRPr="00796FB8" w:rsidRDefault="00DE387D" w:rsidP="00BF3C38">
      <w:pPr>
        <w:numPr>
          <w:ilvl w:val="1"/>
          <w:numId w:val="1"/>
        </w:numPr>
        <w:spacing w:after="120"/>
        <w:rPr>
          <w:rFonts w:asciiTheme="minorHAnsi" w:hAnsiTheme="minorHAnsi"/>
          <w:bCs/>
          <w:snapToGrid w:val="0"/>
        </w:rPr>
      </w:pPr>
      <w:r w:rsidRPr="00796FB8">
        <w:rPr>
          <w:rFonts w:asciiTheme="minorHAnsi" w:hAnsiTheme="minorHAnsi"/>
          <w:bCs/>
          <w:snapToGrid w:val="0"/>
        </w:rPr>
        <w:t xml:space="preserve">The PBAC advised that </w:t>
      </w:r>
      <w:r w:rsidR="00F44110" w:rsidRPr="00796FB8">
        <w:rPr>
          <w:rFonts w:asciiTheme="minorHAnsi" w:hAnsiTheme="minorHAnsi"/>
          <w:bCs/>
          <w:snapToGrid w:val="0"/>
        </w:rPr>
        <w:t>a</w:t>
      </w:r>
      <w:r w:rsidR="009B68FD" w:rsidRPr="00796FB8">
        <w:rPr>
          <w:rFonts w:asciiTheme="minorHAnsi" w:hAnsiTheme="minorHAnsi"/>
          <w:bCs/>
          <w:snapToGrid w:val="0"/>
        </w:rPr>
        <w:t>ny</w:t>
      </w:r>
      <w:r w:rsidR="00F44110" w:rsidRPr="00796FB8">
        <w:rPr>
          <w:rFonts w:asciiTheme="minorHAnsi" w:hAnsiTheme="minorHAnsi"/>
          <w:bCs/>
          <w:snapToGrid w:val="0"/>
        </w:rPr>
        <w:t xml:space="preserve"> resubmission</w:t>
      </w:r>
      <w:r w:rsidR="009B68FD" w:rsidRPr="00796FB8">
        <w:rPr>
          <w:rFonts w:asciiTheme="minorHAnsi" w:hAnsiTheme="minorHAnsi"/>
          <w:bCs/>
          <w:snapToGrid w:val="0"/>
        </w:rPr>
        <w:t xml:space="preserve"> for ESL</w:t>
      </w:r>
      <w:r w:rsidR="00F44110" w:rsidRPr="00796FB8">
        <w:rPr>
          <w:rFonts w:asciiTheme="minorHAnsi" w:hAnsiTheme="minorHAnsi"/>
          <w:bCs/>
          <w:snapToGrid w:val="0"/>
        </w:rPr>
        <w:t xml:space="preserve"> </w:t>
      </w:r>
      <w:r w:rsidR="007F7127" w:rsidRPr="00796FB8">
        <w:rPr>
          <w:rFonts w:asciiTheme="minorHAnsi" w:hAnsiTheme="minorHAnsi"/>
          <w:bCs/>
          <w:snapToGrid w:val="0"/>
        </w:rPr>
        <w:t>would be required</w:t>
      </w:r>
      <w:r w:rsidRPr="00796FB8">
        <w:rPr>
          <w:rFonts w:asciiTheme="minorHAnsi" w:hAnsiTheme="minorHAnsi"/>
          <w:bCs/>
          <w:snapToGrid w:val="0"/>
        </w:rPr>
        <w:t xml:space="preserve"> t</w:t>
      </w:r>
      <w:r w:rsidR="007F7127" w:rsidRPr="00796FB8">
        <w:rPr>
          <w:rFonts w:asciiTheme="minorHAnsi" w:hAnsiTheme="minorHAnsi"/>
          <w:bCs/>
          <w:snapToGrid w:val="0"/>
        </w:rPr>
        <w:t xml:space="preserve">o address the uncertainties with respect to the clinical data and economic analysis. </w:t>
      </w:r>
      <w:r w:rsidR="009B68FD" w:rsidRPr="00796FB8">
        <w:rPr>
          <w:rFonts w:asciiTheme="minorHAnsi" w:hAnsiTheme="minorHAnsi"/>
          <w:bCs/>
          <w:snapToGrid w:val="0"/>
        </w:rPr>
        <w:t>The resubmission may be lodged at any future standard due date for PBAC submissions using the standard re-entry pathway.</w:t>
      </w:r>
    </w:p>
    <w:p w:rsidR="00DE387D" w:rsidRPr="00796FB8" w:rsidRDefault="00DE387D" w:rsidP="00BF3C38">
      <w:pPr>
        <w:numPr>
          <w:ilvl w:val="1"/>
          <w:numId w:val="1"/>
        </w:numPr>
        <w:spacing w:after="120"/>
        <w:rPr>
          <w:rFonts w:asciiTheme="minorHAnsi" w:hAnsiTheme="minorHAnsi"/>
          <w:bCs/>
          <w:snapToGrid w:val="0"/>
        </w:rPr>
      </w:pPr>
      <w:r w:rsidRPr="00796FB8">
        <w:rPr>
          <w:rFonts w:asciiTheme="minorHAnsi" w:hAnsiTheme="minorHAnsi"/>
          <w:bCs/>
          <w:snapToGrid w:val="0"/>
        </w:rPr>
        <w:t>The PBAC noted that this submission is eligible for an Independent Review</w:t>
      </w:r>
      <w:r w:rsidR="00796FB8">
        <w:rPr>
          <w:rFonts w:asciiTheme="minorHAnsi" w:hAnsiTheme="minorHAnsi"/>
          <w:bCs/>
          <w:snapToGrid w:val="0"/>
        </w:rPr>
        <w:t xml:space="preserve">. </w:t>
      </w:r>
    </w:p>
    <w:p w:rsidR="001F6943" w:rsidRPr="00796FB8" w:rsidRDefault="001F6943" w:rsidP="00BF3C38">
      <w:pPr>
        <w:spacing w:before="240"/>
        <w:rPr>
          <w:rFonts w:asciiTheme="minorHAnsi" w:hAnsiTheme="minorHAnsi"/>
          <w:b/>
          <w:bCs/>
          <w:snapToGrid w:val="0"/>
        </w:rPr>
      </w:pPr>
      <w:r w:rsidRPr="00796FB8">
        <w:rPr>
          <w:rFonts w:asciiTheme="minorHAnsi" w:hAnsiTheme="minorHAnsi"/>
          <w:b/>
          <w:bCs/>
          <w:snapToGrid w:val="0"/>
        </w:rPr>
        <w:t>Outcome:</w:t>
      </w:r>
    </w:p>
    <w:p w:rsidR="001F6943" w:rsidRPr="00796FB8" w:rsidRDefault="001F6943" w:rsidP="00BF3C38">
      <w:pPr>
        <w:rPr>
          <w:rFonts w:asciiTheme="minorHAnsi" w:hAnsiTheme="minorHAnsi"/>
          <w:bCs/>
          <w:snapToGrid w:val="0"/>
        </w:rPr>
      </w:pPr>
      <w:r w:rsidRPr="00796FB8">
        <w:rPr>
          <w:rFonts w:asciiTheme="minorHAnsi" w:hAnsiTheme="minorHAnsi"/>
          <w:bCs/>
          <w:snapToGrid w:val="0"/>
        </w:rPr>
        <w:t>Rejec</w:t>
      </w:r>
      <w:r w:rsidR="00E641F8" w:rsidRPr="00796FB8">
        <w:rPr>
          <w:rFonts w:asciiTheme="minorHAnsi" w:hAnsiTheme="minorHAnsi"/>
          <w:bCs/>
          <w:snapToGrid w:val="0"/>
        </w:rPr>
        <w:t>ted</w:t>
      </w:r>
    </w:p>
    <w:p w:rsidR="002B09A4" w:rsidRDefault="002B09A4" w:rsidP="00BF3C38">
      <w:pPr>
        <w:pStyle w:val="NoSpacing"/>
        <w:widowControl/>
      </w:pPr>
    </w:p>
    <w:p w:rsidR="00F3199A" w:rsidRPr="00F3199A" w:rsidRDefault="00F3199A" w:rsidP="00F3199A">
      <w:pPr>
        <w:pStyle w:val="2-SectionHeading"/>
        <w:numPr>
          <w:ilvl w:val="0"/>
          <w:numId w:val="1"/>
        </w:numPr>
      </w:pPr>
      <w:r w:rsidRPr="00C07617">
        <w:t>Context for Decision</w:t>
      </w:r>
    </w:p>
    <w:p w:rsidR="00F3199A" w:rsidRPr="007129F2" w:rsidRDefault="00F3199A" w:rsidP="004C4B81">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F3199A" w:rsidRPr="00F3199A" w:rsidRDefault="00F3199A" w:rsidP="00F3199A">
      <w:pPr>
        <w:pStyle w:val="2-SectionHeading"/>
        <w:numPr>
          <w:ilvl w:val="0"/>
          <w:numId w:val="1"/>
        </w:numPr>
      </w:pPr>
      <w:r>
        <w:t>Sponsor’s Comment</w:t>
      </w:r>
    </w:p>
    <w:p w:rsidR="00F3199A" w:rsidRPr="004C4B81" w:rsidRDefault="00C4771F" w:rsidP="004C4B81">
      <w:pPr>
        <w:pStyle w:val="NoSpacing"/>
        <w:widowControl/>
        <w:ind w:left="720"/>
        <w:rPr>
          <w:rFonts w:ascii="Calibri" w:hAnsi="Calibri"/>
          <w:bCs/>
          <w:snapToGrid/>
          <w:sz w:val="24"/>
          <w:szCs w:val="24"/>
          <w:lang w:val="en-GB" w:eastAsia="en-AU"/>
        </w:rPr>
      </w:pPr>
      <w:r w:rsidRPr="004C4B81">
        <w:rPr>
          <w:rFonts w:ascii="Calibri" w:hAnsi="Calibri"/>
          <w:bCs/>
          <w:snapToGrid/>
          <w:sz w:val="24"/>
          <w:szCs w:val="24"/>
          <w:lang w:val="en-GB" w:eastAsia="en-AU"/>
        </w:rPr>
        <w:t>STADA is disappointed with the outcome. STADA is committed to work collaboratively with the Department of Health to review our progress. This aligns with STADA’s mission to care for people’s health and we will still work towards the opportunity to provide patients with refractory epilepsy in Australia to access eslicarbazepine acetate through the PBAC.</w:t>
      </w:r>
    </w:p>
    <w:sectPr w:rsidR="00F3199A" w:rsidRPr="004C4B81" w:rsidSect="0025100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E62C" w16cex:dateUtc="2021-04-12T23:43:00Z"/>
  <w16cex:commentExtensible w16cex:durableId="241FE6A6" w16cex:dateUtc="2021-04-12T2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438D9F" w16cid:durableId="241FE512"/>
  <w16cid:commentId w16cid:paraId="3398BCA3" w16cid:durableId="241FE62C"/>
  <w16cid:commentId w16cid:paraId="11EA075E" w16cid:durableId="241FE513"/>
  <w16cid:commentId w16cid:paraId="277EA8B1" w16cid:durableId="241FE514"/>
  <w16cid:commentId w16cid:paraId="3C85BBA8" w16cid:durableId="241FE6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B81" w:rsidRDefault="004C4B81" w:rsidP="00124A51">
      <w:r>
        <w:separator/>
      </w:r>
    </w:p>
    <w:p w:rsidR="004C4B81" w:rsidRDefault="004C4B81"/>
  </w:endnote>
  <w:endnote w:type="continuationSeparator" w:id="0">
    <w:p w:rsidR="004C4B81" w:rsidRDefault="004C4B81" w:rsidP="00124A51">
      <w:r>
        <w:continuationSeparator/>
      </w:r>
    </w:p>
    <w:p w:rsidR="004C4B81" w:rsidRDefault="004C4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ތ"/>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MS Gothic"/>
    <w:charset w:val="80"/>
    <w:family w:val="auto"/>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rlett">
    <w:panose1 w:val="00000000000000000000"/>
    <w:charset w:val="02"/>
    <w:family w:val="auto"/>
    <w:pitch w:val="variable"/>
    <w:sig w:usb0="00000000" w:usb1="10000000" w:usb2="00000000" w:usb3="00000000" w:csb0="80000000" w:csb1="00000000"/>
  </w:font>
  <w:font w:name="AdvGSANS-I">
    <w:altName w:val="Calibri"/>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3" w:usb1="08070000" w:usb2="00000010" w:usb3="00000000" w:csb0="00020001" w:csb1="00000000"/>
  </w:font>
  <w:font w:name="AdvGSAN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81" w:rsidRDefault="004C4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1F" w:rsidRDefault="00C4771F" w:rsidP="00FF09A6">
    <w:pPr>
      <w:pStyle w:val="Footer"/>
      <w:jc w:val="center"/>
      <w:rPr>
        <w:b/>
      </w:rPr>
    </w:pPr>
  </w:p>
  <w:p w:rsidR="00C4771F" w:rsidRPr="00FF09A6" w:rsidRDefault="009D651D" w:rsidP="00FF09A6">
    <w:pPr>
      <w:pStyle w:val="Footer"/>
      <w:jc w:val="center"/>
      <w:rPr>
        <w:b/>
      </w:rPr>
    </w:pPr>
    <w:sdt>
      <w:sdtPr>
        <w:rPr>
          <w:b/>
        </w:rPr>
        <w:id w:val="-1267151742"/>
        <w:docPartObj>
          <w:docPartGallery w:val="Page Numbers (Bottom of Page)"/>
          <w:docPartUnique/>
        </w:docPartObj>
      </w:sdtPr>
      <w:sdtEndPr>
        <w:rPr>
          <w:noProof/>
        </w:rPr>
      </w:sdtEndPr>
      <w:sdtContent>
        <w:r w:rsidR="00C4771F" w:rsidRPr="00FF09A6">
          <w:rPr>
            <w:b/>
          </w:rPr>
          <w:fldChar w:fldCharType="begin"/>
        </w:r>
        <w:r w:rsidR="00C4771F" w:rsidRPr="00FF09A6">
          <w:rPr>
            <w:b/>
          </w:rPr>
          <w:instrText xml:space="preserve"> PAGE   \* MERGEFORMAT </w:instrText>
        </w:r>
        <w:r w:rsidR="00C4771F" w:rsidRPr="00FF09A6">
          <w:rPr>
            <w:b/>
          </w:rPr>
          <w:fldChar w:fldCharType="separate"/>
        </w:r>
        <w:r>
          <w:rPr>
            <w:b/>
            <w:noProof/>
          </w:rPr>
          <w:t>23</w:t>
        </w:r>
        <w:r w:rsidR="00C4771F" w:rsidRPr="00FF09A6">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81" w:rsidRDefault="004C4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B81" w:rsidRDefault="004C4B81" w:rsidP="00124A51">
      <w:r>
        <w:separator/>
      </w:r>
    </w:p>
    <w:p w:rsidR="004C4B81" w:rsidRDefault="004C4B81"/>
  </w:footnote>
  <w:footnote w:type="continuationSeparator" w:id="0">
    <w:p w:rsidR="004C4B81" w:rsidRDefault="004C4B81" w:rsidP="00124A51">
      <w:r>
        <w:continuationSeparator/>
      </w:r>
    </w:p>
    <w:p w:rsidR="004C4B81" w:rsidRDefault="004C4B81"/>
  </w:footnote>
  <w:footnote w:id="1">
    <w:p w:rsidR="00C4771F" w:rsidRPr="00F420D3" w:rsidRDefault="00C4771F" w:rsidP="008C364C">
      <w:pPr>
        <w:pStyle w:val="FootnoteText"/>
        <w:keepLines/>
        <w:rPr>
          <w:rFonts w:ascii="Arial Narrow" w:hAnsi="Arial Narrow"/>
          <w:sz w:val="18"/>
          <w:szCs w:val="18"/>
          <w:lang w:val="en-US"/>
        </w:rPr>
      </w:pPr>
      <w:r w:rsidRPr="00F420D3">
        <w:rPr>
          <w:rStyle w:val="FootnoteReference"/>
          <w:rFonts w:ascii="Arial Narrow" w:hAnsi="Arial Narrow"/>
          <w:sz w:val="18"/>
          <w:szCs w:val="18"/>
        </w:rPr>
        <w:footnoteRef/>
      </w:r>
      <w:r w:rsidRPr="00F420D3">
        <w:rPr>
          <w:rFonts w:ascii="Arial Narrow" w:hAnsi="Arial Narrow"/>
          <w:sz w:val="18"/>
          <w:szCs w:val="18"/>
        </w:rPr>
        <w:t xml:space="preserve"> Marson AG et. al. The SANAD study of effectiveness of valproate, lamotrigine, or topiramate for generalised and unclassifiable epilepsy:</w:t>
      </w:r>
      <w:r>
        <w:rPr>
          <w:rFonts w:ascii="Arial Narrow" w:hAnsi="Arial Narrow"/>
          <w:sz w:val="18"/>
          <w:szCs w:val="18"/>
        </w:rPr>
        <w:t xml:space="preserve"> </w:t>
      </w:r>
      <w:r w:rsidRPr="00F420D3">
        <w:rPr>
          <w:rFonts w:ascii="Arial Narrow" w:hAnsi="Arial Narrow"/>
          <w:sz w:val="18"/>
          <w:szCs w:val="18"/>
        </w:rPr>
        <w:t xml:space="preserve">an unblinded randomised controlled trial. </w:t>
      </w:r>
      <w:r w:rsidRPr="00F420D3">
        <w:rPr>
          <w:rFonts w:ascii="Arial Narrow" w:hAnsi="Arial Narrow"/>
          <w:i/>
          <w:sz w:val="18"/>
          <w:szCs w:val="18"/>
        </w:rPr>
        <w:t>Lancet</w:t>
      </w:r>
      <w:r w:rsidRPr="00F420D3">
        <w:rPr>
          <w:rFonts w:ascii="Arial Narrow" w:hAnsi="Arial Narrow"/>
          <w:sz w:val="18"/>
          <w:szCs w:val="18"/>
        </w:rPr>
        <w:t xml:space="preserve"> 2007 Mar 24;369(9566):1016-26.</w:t>
      </w:r>
    </w:p>
  </w:footnote>
  <w:footnote w:id="2">
    <w:p w:rsidR="00C4771F" w:rsidRPr="00F420D3" w:rsidRDefault="00C4771F" w:rsidP="00963558">
      <w:pPr>
        <w:pStyle w:val="FootnoteText"/>
        <w:rPr>
          <w:rFonts w:ascii="Arial Narrow" w:hAnsi="Arial Narrow"/>
          <w:sz w:val="18"/>
          <w:szCs w:val="18"/>
          <w:lang w:val="en-US"/>
        </w:rPr>
      </w:pPr>
      <w:r w:rsidRPr="00F420D3">
        <w:rPr>
          <w:rStyle w:val="FootnoteReference"/>
          <w:rFonts w:ascii="Arial Narrow" w:hAnsi="Arial Narrow"/>
          <w:sz w:val="18"/>
          <w:szCs w:val="18"/>
        </w:rPr>
        <w:footnoteRef/>
      </w:r>
      <w:r w:rsidRPr="00F420D3">
        <w:rPr>
          <w:rFonts w:ascii="Arial Narrow" w:hAnsi="Arial Narrow"/>
          <w:sz w:val="18"/>
          <w:szCs w:val="18"/>
        </w:rPr>
        <w:t xml:space="preserve"> Epilepsy Australia, 2019</w:t>
      </w:r>
      <w:r w:rsidRPr="00F420D3">
        <w:rPr>
          <w:rFonts w:ascii="Arial Narrow" w:hAnsi="Arial Narrow"/>
          <w:sz w:val="18"/>
          <w:szCs w:val="18"/>
          <w:lang w:val="en-US"/>
        </w:rPr>
        <w:t>. The economic burden of epilepsy in Australia, 2019-2020.</w:t>
      </w:r>
    </w:p>
  </w:footnote>
  <w:footnote w:id="3">
    <w:p w:rsidR="00C4771F" w:rsidRPr="00F420D3" w:rsidRDefault="00C4771F" w:rsidP="00963558">
      <w:pPr>
        <w:pStyle w:val="FootnoteText"/>
        <w:rPr>
          <w:rFonts w:ascii="Arial Narrow" w:hAnsi="Arial Narrow"/>
          <w:sz w:val="18"/>
          <w:szCs w:val="18"/>
          <w:lang w:val="en-US"/>
        </w:rPr>
      </w:pPr>
      <w:r w:rsidRPr="00F420D3">
        <w:rPr>
          <w:rStyle w:val="FootnoteReference"/>
          <w:rFonts w:ascii="Arial Narrow" w:hAnsi="Arial Narrow"/>
          <w:sz w:val="18"/>
          <w:szCs w:val="18"/>
        </w:rPr>
        <w:footnoteRef/>
      </w:r>
      <w:r w:rsidRPr="00F420D3">
        <w:rPr>
          <w:rFonts w:ascii="Arial Narrow" w:hAnsi="Arial Narrow"/>
          <w:sz w:val="18"/>
          <w:szCs w:val="18"/>
        </w:rPr>
        <w:t xml:space="preserve"> National Institute of Neurological Disorders and Stroke, 2020. The Epilepsies and Seizures: Hope Through Research. </w:t>
      </w:r>
    </w:p>
  </w:footnote>
  <w:footnote w:id="4">
    <w:p w:rsidR="00C4771F" w:rsidRPr="003E3AEA" w:rsidRDefault="00C4771F" w:rsidP="00963558">
      <w:pPr>
        <w:pStyle w:val="FootnoteText"/>
        <w:rPr>
          <w:rFonts w:ascii="Arial Narrow" w:hAnsi="Arial Narrow"/>
          <w:sz w:val="18"/>
          <w:szCs w:val="18"/>
          <w:lang w:val="en-US"/>
        </w:rPr>
      </w:pPr>
      <w:r w:rsidRPr="00F420D3">
        <w:rPr>
          <w:rStyle w:val="FootnoteReference"/>
          <w:rFonts w:ascii="Arial Narrow" w:hAnsi="Arial Narrow"/>
          <w:sz w:val="18"/>
          <w:szCs w:val="18"/>
        </w:rPr>
        <w:footnoteRef/>
      </w:r>
      <w:r w:rsidRPr="00F420D3">
        <w:rPr>
          <w:rFonts w:ascii="Arial Narrow" w:hAnsi="Arial Narrow"/>
          <w:sz w:val="18"/>
          <w:szCs w:val="18"/>
        </w:rPr>
        <w:t xml:space="preserve"> Kwan P, et. al. Definition of drug resistant epilepsy: consensus proposal by the ad hoc Task Force of the ILAE Commission on Therapeutic </w:t>
      </w:r>
      <w:r w:rsidRPr="003E3AEA">
        <w:rPr>
          <w:rFonts w:ascii="Arial Narrow" w:hAnsi="Arial Narrow"/>
          <w:sz w:val="18"/>
          <w:szCs w:val="18"/>
        </w:rPr>
        <w:t xml:space="preserve">Strategies. </w:t>
      </w:r>
      <w:r w:rsidRPr="003E3AEA">
        <w:rPr>
          <w:rFonts w:ascii="Arial Narrow" w:hAnsi="Arial Narrow"/>
          <w:i/>
          <w:sz w:val="18"/>
          <w:szCs w:val="18"/>
        </w:rPr>
        <w:t>Epilepsia</w:t>
      </w:r>
      <w:r w:rsidRPr="003E3AEA">
        <w:rPr>
          <w:rFonts w:ascii="Arial Narrow" w:hAnsi="Arial Narrow"/>
          <w:sz w:val="18"/>
          <w:szCs w:val="18"/>
        </w:rPr>
        <w:t xml:space="preserve"> 2010 Jun;51(6):1069-77.</w:t>
      </w:r>
    </w:p>
  </w:footnote>
  <w:footnote w:id="5">
    <w:p w:rsidR="00C4771F" w:rsidRPr="003E3AEA" w:rsidRDefault="00C4771F">
      <w:pPr>
        <w:pStyle w:val="FootnoteText"/>
        <w:rPr>
          <w:rFonts w:ascii="Arial Narrow" w:hAnsi="Arial Narrow"/>
          <w:sz w:val="18"/>
          <w:szCs w:val="18"/>
          <w:lang w:val="en-US"/>
        </w:rPr>
      </w:pPr>
      <w:r w:rsidRPr="003E3AEA">
        <w:rPr>
          <w:rStyle w:val="FootnoteReference"/>
          <w:rFonts w:ascii="Arial Narrow" w:hAnsi="Arial Narrow"/>
          <w:sz w:val="18"/>
          <w:szCs w:val="18"/>
        </w:rPr>
        <w:footnoteRef/>
      </w:r>
      <w:r w:rsidRPr="003E3AEA">
        <w:rPr>
          <w:rFonts w:ascii="Arial Narrow" w:hAnsi="Arial Narrow"/>
          <w:sz w:val="18"/>
          <w:szCs w:val="18"/>
        </w:rPr>
        <w:t xml:space="preserve"> </w:t>
      </w:r>
      <w:r w:rsidRPr="003E3AEA">
        <w:rPr>
          <w:rFonts w:ascii="Arial Narrow" w:hAnsi="Arial Narrow"/>
          <w:sz w:val="18"/>
          <w:szCs w:val="18"/>
          <w:lang w:val="en-US"/>
        </w:rPr>
        <w:t>eTG Complete, by Therapeutic Guidelines. Management of focal (partial) epilepsies. Published November 2017.</w:t>
      </w:r>
    </w:p>
  </w:footnote>
  <w:footnote w:id="6">
    <w:p w:rsidR="00C4771F" w:rsidRPr="00B85FF7" w:rsidRDefault="00C4771F" w:rsidP="003166C4">
      <w:pPr>
        <w:pStyle w:val="TableFigureFooter"/>
        <w:spacing w:after="0"/>
        <w:rPr>
          <w:lang w:val="en-US"/>
        </w:rPr>
      </w:pPr>
      <w:r>
        <w:rPr>
          <w:rStyle w:val="FootnoteReference"/>
        </w:rPr>
        <w:footnoteRef/>
      </w:r>
      <w:r>
        <w:t xml:space="preserve"> </w:t>
      </w:r>
      <w:r w:rsidRPr="00211A2E">
        <w:t>Sirven,</w:t>
      </w:r>
      <w:r w:rsidRPr="00211A2E">
        <w:rPr>
          <w:rStyle w:val="Hyperlink"/>
          <w:color w:val="auto"/>
          <w:u w:val="none"/>
        </w:rPr>
        <w:t xml:space="preserve"> J I. Evaluation and management of drug-resistant epilepsy</w:t>
      </w:r>
      <w:r w:rsidRPr="00211A2E">
        <w:t xml:space="preserve">. UpToDate, Wolters Kluwer, Dec 20 </w:t>
      </w:r>
      <w:r>
        <w:t>2018.</w:t>
      </w:r>
    </w:p>
  </w:footnote>
  <w:footnote w:id="7">
    <w:p w:rsidR="00C4771F" w:rsidRPr="002A3BC5" w:rsidRDefault="00C4771F" w:rsidP="003166C4">
      <w:pPr>
        <w:pStyle w:val="TableFigureFooter"/>
        <w:spacing w:after="0"/>
        <w:rPr>
          <w:lang w:val="en-US"/>
        </w:rPr>
      </w:pPr>
      <w:r>
        <w:rPr>
          <w:rStyle w:val="FootnoteReference"/>
        </w:rPr>
        <w:footnoteRef/>
      </w:r>
      <w:r>
        <w:t xml:space="preserve"> Costa J et. al</w:t>
      </w:r>
      <w:r w:rsidRPr="0086393D">
        <w:t xml:space="preserve">. Clinical comparability of the new antiepileptic drugs in refractory partial epilepsy: a systematic review and meta-analysis. </w:t>
      </w:r>
      <w:r w:rsidRPr="0086393D">
        <w:rPr>
          <w:i/>
        </w:rPr>
        <w:t>Epilepsia</w:t>
      </w:r>
      <w:r w:rsidRPr="0086393D">
        <w:t xml:space="preserve"> 2011 Jul;52(</w:t>
      </w:r>
      <w:r>
        <w:t>7):1280-91.</w:t>
      </w:r>
    </w:p>
  </w:footnote>
  <w:footnote w:id="8">
    <w:p w:rsidR="00C4771F" w:rsidRPr="005E495E" w:rsidRDefault="00C4771F" w:rsidP="003166C4">
      <w:pPr>
        <w:pStyle w:val="TableFigureFooter"/>
        <w:spacing w:after="0"/>
        <w:rPr>
          <w:lang w:val="en-US"/>
        </w:rPr>
      </w:pPr>
      <w:r>
        <w:rPr>
          <w:rStyle w:val="FootnoteReference"/>
        </w:rPr>
        <w:footnoteRef/>
      </w:r>
      <w:r>
        <w:t xml:space="preserve"> eTG Complete, by Therapeutic Guidelines, November 2017. Management of focal (partial) epilepsies. </w:t>
      </w:r>
    </w:p>
  </w:footnote>
  <w:footnote w:id="9">
    <w:p w:rsidR="00C4771F" w:rsidRPr="005122FF" w:rsidRDefault="00C4771F" w:rsidP="003166C4">
      <w:pPr>
        <w:pStyle w:val="TableFigureFooter"/>
        <w:spacing w:after="0"/>
        <w:rPr>
          <w:lang w:val="en-US"/>
        </w:rPr>
      </w:pPr>
      <w:r>
        <w:rPr>
          <w:rStyle w:val="FootnoteReference"/>
        </w:rPr>
        <w:footnoteRef/>
      </w:r>
      <w:r>
        <w:t xml:space="preserve"> </w:t>
      </w:r>
      <w:r w:rsidRPr="0086393D">
        <w:rPr>
          <w:lang w:val="en-US"/>
        </w:rPr>
        <w:t xml:space="preserve">Gericke CA, O'Brien TJ. Pharmaceutical Benefits Scheme restrictions on anti-epileptic drug prescribing promote unsafe and outdated practice. </w:t>
      </w:r>
      <w:r w:rsidRPr="0086393D">
        <w:rPr>
          <w:i/>
          <w:lang w:val="en-US"/>
        </w:rPr>
        <w:t>Med J Aust</w:t>
      </w:r>
      <w:r>
        <w:rPr>
          <w:lang w:val="en-US"/>
        </w:rPr>
        <w:t>. 2019 Jul; 211(2):55-57.e1.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81" w:rsidRDefault="004C4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1F" w:rsidRDefault="00C4771F" w:rsidP="00FF09A6">
    <w:pPr>
      <w:jc w:val="center"/>
      <w:rPr>
        <w:i/>
      </w:rPr>
    </w:pPr>
    <w:r>
      <w:rPr>
        <w:i/>
      </w:rPr>
      <w:t xml:space="preserve">Public Summary Document – March 2021 PBAC Meeting </w:t>
    </w:r>
  </w:p>
  <w:p w:rsidR="00C4771F" w:rsidRDefault="00C4771F" w:rsidP="0016678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81" w:rsidRDefault="004C4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1CDD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9B1C8E"/>
    <w:multiLevelType w:val="hybridMultilevel"/>
    <w:tmpl w:val="30AEF3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610780"/>
    <w:multiLevelType w:val="multilevel"/>
    <w:tmpl w:val="E10AE90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E6F44"/>
    <w:multiLevelType w:val="hybridMultilevel"/>
    <w:tmpl w:val="B3F096D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2950563"/>
    <w:multiLevelType w:val="hybridMultilevel"/>
    <w:tmpl w:val="FA02E1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B4564C"/>
    <w:multiLevelType w:val="hybridMultilevel"/>
    <w:tmpl w:val="E0B64C44"/>
    <w:lvl w:ilvl="0" w:tplc="3DE4E4C8">
      <w:start w:val="1"/>
      <w:numFmt w:val="bullet"/>
      <w:lvlText w:val=""/>
      <w:lvlJc w:val="left"/>
      <w:pPr>
        <w:tabs>
          <w:tab w:val="num" w:pos="360"/>
        </w:tabs>
        <w:ind w:left="360" w:hanging="360"/>
      </w:pPr>
      <w:rPr>
        <w:rFonts w:ascii="Wingdings" w:hAnsi="Wingdings" w:hint="default"/>
      </w:rPr>
    </w:lvl>
    <w:lvl w:ilvl="1" w:tplc="91F04706" w:tentative="1">
      <w:start w:val="1"/>
      <w:numFmt w:val="bullet"/>
      <w:lvlText w:val=""/>
      <w:lvlJc w:val="left"/>
      <w:pPr>
        <w:tabs>
          <w:tab w:val="num" w:pos="1080"/>
        </w:tabs>
        <w:ind w:left="1080" w:hanging="360"/>
      </w:pPr>
      <w:rPr>
        <w:rFonts w:ascii="Wingdings" w:hAnsi="Wingdings" w:hint="default"/>
      </w:rPr>
    </w:lvl>
    <w:lvl w:ilvl="2" w:tplc="1562A726" w:tentative="1">
      <w:start w:val="1"/>
      <w:numFmt w:val="bullet"/>
      <w:lvlText w:val=""/>
      <w:lvlJc w:val="left"/>
      <w:pPr>
        <w:tabs>
          <w:tab w:val="num" w:pos="1800"/>
        </w:tabs>
        <w:ind w:left="1800" w:hanging="360"/>
      </w:pPr>
      <w:rPr>
        <w:rFonts w:ascii="Wingdings" w:hAnsi="Wingdings" w:hint="default"/>
      </w:rPr>
    </w:lvl>
    <w:lvl w:ilvl="3" w:tplc="C580623C" w:tentative="1">
      <w:start w:val="1"/>
      <w:numFmt w:val="bullet"/>
      <w:lvlText w:val=""/>
      <w:lvlJc w:val="left"/>
      <w:pPr>
        <w:tabs>
          <w:tab w:val="num" w:pos="2520"/>
        </w:tabs>
        <w:ind w:left="2520" w:hanging="360"/>
      </w:pPr>
      <w:rPr>
        <w:rFonts w:ascii="Wingdings" w:hAnsi="Wingdings" w:hint="default"/>
      </w:rPr>
    </w:lvl>
    <w:lvl w:ilvl="4" w:tplc="2DAC6844" w:tentative="1">
      <w:start w:val="1"/>
      <w:numFmt w:val="bullet"/>
      <w:lvlText w:val=""/>
      <w:lvlJc w:val="left"/>
      <w:pPr>
        <w:tabs>
          <w:tab w:val="num" w:pos="3240"/>
        </w:tabs>
        <w:ind w:left="3240" w:hanging="360"/>
      </w:pPr>
      <w:rPr>
        <w:rFonts w:ascii="Wingdings" w:hAnsi="Wingdings" w:hint="default"/>
      </w:rPr>
    </w:lvl>
    <w:lvl w:ilvl="5" w:tplc="5C24662A" w:tentative="1">
      <w:start w:val="1"/>
      <w:numFmt w:val="bullet"/>
      <w:lvlText w:val=""/>
      <w:lvlJc w:val="left"/>
      <w:pPr>
        <w:tabs>
          <w:tab w:val="num" w:pos="3960"/>
        </w:tabs>
        <w:ind w:left="3960" w:hanging="360"/>
      </w:pPr>
      <w:rPr>
        <w:rFonts w:ascii="Wingdings" w:hAnsi="Wingdings" w:hint="default"/>
      </w:rPr>
    </w:lvl>
    <w:lvl w:ilvl="6" w:tplc="C13EF136" w:tentative="1">
      <w:start w:val="1"/>
      <w:numFmt w:val="bullet"/>
      <w:lvlText w:val=""/>
      <w:lvlJc w:val="left"/>
      <w:pPr>
        <w:tabs>
          <w:tab w:val="num" w:pos="4680"/>
        </w:tabs>
        <w:ind w:left="4680" w:hanging="360"/>
      </w:pPr>
      <w:rPr>
        <w:rFonts w:ascii="Wingdings" w:hAnsi="Wingdings" w:hint="default"/>
      </w:rPr>
    </w:lvl>
    <w:lvl w:ilvl="7" w:tplc="31362D62" w:tentative="1">
      <w:start w:val="1"/>
      <w:numFmt w:val="bullet"/>
      <w:lvlText w:val=""/>
      <w:lvlJc w:val="left"/>
      <w:pPr>
        <w:tabs>
          <w:tab w:val="num" w:pos="5400"/>
        </w:tabs>
        <w:ind w:left="5400" w:hanging="360"/>
      </w:pPr>
      <w:rPr>
        <w:rFonts w:ascii="Wingdings" w:hAnsi="Wingdings" w:hint="default"/>
      </w:rPr>
    </w:lvl>
    <w:lvl w:ilvl="8" w:tplc="5796A3D4"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1E0102"/>
    <w:multiLevelType w:val="hybridMultilevel"/>
    <w:tmpl w:val="C35C30DC"/>
    <w:lvl w:ilvl="0" w:tplc="ACB2D344">
      <w:start w:val="1"/>
      <w:numFmt w:val="bullet"/>
      <w:lvlText w:val="•"/>
      <w:lvlJc w:val="left"/>
      <w:pPr>
        <w:tabs>
          <w:tab w:val="num" w:pos="720"/>
        </w:tabs>
        <w:ind w:left="720" w:hanging="360"/>
      </w:pPr>
      <w:rPr>
        <w:rFonts w:ascii="Arial" w:hAnsi="Arial" w:hint="default"/>
      </w:rPr>
    </w:lvl>
    <w:lvl w:ilvl="1" w:tplc="7CE025B8" w:tentative="1">
      <w:start w:val="1"/>
      <w:numFmt w:val="bullet"/>
      <w:lvlText w:val="•"/>
      <w:lvlJc w:val="left"/>
      <w:pPr>
        <w:tabs>
          <w:tab w:val="num" w:pos="1440"/>
        </w:tabs>
        <w:ind w:left="1440" w:hanging="360"/>
      </w:pPr>
      <w:rPr>
        <w:rFonts w:ascii="Arial" w:hAnsi="Arial" w:hint="default"/>
      </w:rPr>
    </w:lvl>
    <w:lvl w:ilvl="2" w:tplc="7FEE625E">
      <w:start w:val="1"/>
      <w:numFmt w:val="bullet"/>
      <w:lvlText w:val="•"/>
      <w:lvlJc w:val="left"/>
      <w:pPr>
        <w:tabs>
          <w:tab w:val="num" w:pos="2160"/>
        </w:tabs>
        <w:ind w:left="2160" w:hanging="360"/>
      </w:pPr>
      <w:rPr>
        <w:rFonts w:ascii="Arial" w:hAnsi="Arial" w:hint="default"/>
      </w:rPr>
    </w:lvl>
    <w:lvl w:ilvl="3" w:tplc="041AB4FE" w:tentative="1">
      <w:start w:val="1"/>
      <w:numFmt w:val="bullet"/>
      <w:lvlText w:val="•"/>
      <w:lvlJc w:val="left"/>
      <w:pPr>
        <w:tabs>
          <w:tab w:val="num" w:pos="2880"/>
        </w:tabs>
        <w:ind w:left="2880" w:hanging="360"/>
      </w:pPr>
      <w:rPr>
        <w:rFonts w:ascii="Arial" w:hAnsi="Arial" w:hint="default"/>
      </w:rPr>
    </w:lvl>
    <w:lvl w:ilvl="4" w:tplc="ECE8368A" w:tentative="1">
      <w:start w:val="1"/>
      <w:numFmt w:val="bullet"/>
      <w:lvlText w:val="•"/>
      <w:lvlJc w:val="left"/>
      <w:pPr>
        <w:tabs>
          <w:tab w:val="num" w:pos="3600"/>
        </w:tabs>
        <w:ind w:left="3600" w:hanging="360"/>
      </w:pPr>
      <w:rPr>
        <w:rFonts w:ascii="Arial" w:hAnsi="Arial" w:hint="default"/>
      </w:rPr>
    </w:lvl>
    <w:lvl w:ilvl="5" w:tplc="D80CCD60" w:tentative="1">
      <w:start w:val="1"/>
      <w:numFmt w:val="bullet"/>
      <w:lvlText w:val="•"/>
      <w:lvlJc w:val="left"/>
      <w:pPr>
        <w:tabs>
          <w:tab w:val="num" w:pos="4320"/>
        </w:tabs>
        <w:ind w:left="4320" w:hanging="360"/>
      </w:pPr>
      <w:rPr>
        <w:rFonts w:ascii="Arial" w:hAnsi="Arial" w:hint="default"/>
      </w:rPr>
    </w:lvl>
    <w:lvl w:ilvl="6" w:tplc="582C1FEC" w:tentative="1">
      <w:start w:val="1"/>
      <w:numFmt w:val="bullet"/>
      <w:lvlText w:val="•"/>
      <w:lvlJc w:val="left"/>
      <w:pPr>
        <w:tabs>
          <w:tab w:val="num" w:pos="5040"/>
        </w:tabs>
        <w:ind w:left="5040" w:hanging="360"/>
      </w:pPr>
      <w:rPr>
        <w:rFonts w:ascii="Arial" w:hAnsi="Arial" w:hint="default"/>
      </w:rPr>
    </w:lvl>
    <w:lvl w:ilvl="7" w:tplc="FF08616C" w:tentative="1">
      <w:start w:val="1"/>
      <w:numFmt w:val="bullet"/>
      <w:lvlText w:val="•"/>
      <w:lvlJc w:val="left"/>
      <w:pPr>
        <w:tabs>
          <w:tab w:val="num" w:pos="5760"/>
        </w:tabs>
        <w:ind w:left="5760" w:hanging="360"/>
      </w:pPr>
      <w:rPr>
        <w:rFonts w:ascii="Arial" w:hAnsi="Arial" w:hint="default"/>
      </w:rPr>
    </w:lvl>
    <w:lvl w:ilvl="8" w:tplc="FE0A77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650263"/>
    <w:multiLevelType w:val="hybridMultilevel"/>
    <w:tmpl w:val="303A65EA"/>
    <w:lvl w:ilvl="0" w:tplc="2570BDA6">
      <w:numFmt w:val="bullet"/>
      <w:pStyle w:val="bulletpoint"/>
      <w:lvlText w:val="-"/>
      <w:lvlJc w:val="left"/>
      <w:pPr>
        <w:tabs>
          <w:tab w:val="num" w:pos="720"/>
        </w:tabs>
        <w:ind w:left="720" w:hanging="360"/>
      </w:pPr>
      <w:rPr>
        <w:rFonts w:ascii="Times New Roman" w:eastAsia="Times New Roman" w:hAnsi="Times New Roman" w:cs="Times New Roman" w:hint="default"/>
      </w:rPr>
    </w:lvl>
    <w:lvl w:ilvl="1" w:tplc="4446BC16">
      <w:start w:val="1"/>
      <w:numFmt w:val="bullet"/>
      <w:lvlText w:val="o"/>
      <w:lvlJc w:val="left"/>
      <w:pPr>
        <w:tabs>
          <w:tab w:val="num" w:pos="1440"/>
        </w:tabs>
        <w:ind w:left="1440" w:hanging="360"/>
      </w:pPr>
      <w:rPr>
        <w:rFonts w:ascii="Courier New" w:hAnsi="Courier New" w:cs="Courier New" w:hint="default"/>
      </w:rPr>
    </w:lvl>
    <w:lvl w:ilvl="2" w:tplc="1A048B04" w:tentative="1">
      <w:start w:val="1"/>
      <w:numFmt w:val="bullet"/>
      <w:lvlText w:val=""/>
      <w:lvlJc w:val="left"/>
      <w:pPr>
        <w:tabs>
          <w:tab w:val="num" w:pos="2160"/>
        </w:tabs>
        <w:ind w:left="2160" w:hanging="360"/>
      </w:pPr>
      <w:rPr>
        <w:rFonts w:ascii="Wingdings" w:hAnsi="Wingdings" w:hint="default"/>
      </w:rPr>
    </w:lvl>
    <w:lvl w:ilvl="3" w:tplc="90BE3F90" w:tentative="1">
      <w:start w:val="1"/>
      <w:numFmt w:val="bullet"/>
      <w:lvlText w:val=""/>
      <w:lvlJc w:val="left"/>
      <w:pPr>
        <w:tabs>
          <w:tab w:val="num" w:pos="2880"/>
        </w:tabs>
        <w:ind w:left="2880" w:hanging="360"/>
      </w:pPr>
      <w:rPr>
        <w:rFonts w:ascii="Symbol" w:hAnsi="Symbol" w:hint="default"/>
      </w:rPr>
    </w:lvl>
    <w:lvl w:ilvl="4" w:tplc="CC8EDEF2" w:tentative="1">
      <w:start w:val="1"/>
      <w:numFmt w:val="bullet"/>
      <w:lvlText w:val="o"/>
      <w:lvlJc w:val="left"/>
      <w:pPr>
        <w:tabs>
          <w:tab w:val="num" w:pos="3600"/>
        </w:tabs>
        <w:ind w:left="3600" w:hanging="360"/>
      </w:pPr>
      <w:rPr>
        <w:rFonts w:ascii="Courier New" w:hAnsi="Courier New" w:cs="Courier New" w:hint="default"/>
      </w:rPr>
    </w:lvl>
    <w:lvl w:ilvl="5" w:tplc="AEE4F300" w:tentative="1">
      <w:start w:val="1"/>
      <w:numFmt w:val="bullet"/>
      <w:lvlText w:val=""/>
      <w:lvlJc w:val="left"/>
      <w:pPr>
        <w:tabs>
          <w:tab w:val="num" w:pos="4320"/>
        </w:tabs>
        <w:ind w:left="4320" w:hanging="360"/>
      </w:pPr>
      <w:rPr>
        <w:rFonts w:ascii="Wingdings" w:hAnsi="Wingdings" w:hint="default"/>
      </w:rPr>
    </w:lvl>
    <w:lvl w:ilvl="6" w:tplc="0FF482F8" w:tentative="1">
      <w:start w:val="1"/>
      <w:numFmt w:val="bullet"/>
      <w:lvlText w:val=""/>
      <w:lvlJc w:val="left"/>
      <w:pPr>
        <w:tabs>
          <w:tab w:val="num" w:pos="5040"/>
        </w:tabs>
        <w:ind w:left="5040" w:hanging="360"/>
      </w:pPr>
      <w:rPr>
        <w:rFonts w:ascii="Symbol" w:hAnsi="Symbol" w:hint="default"/>
      </w:rPr>
    </w:lvl>
    <w:lvl w:ilvl="7" w:tplc="C4F0A61E" w:tentative="1">
      <w:start w:val="1"/>
      <w:numFmt w:val="bullet"/>
      <w:lvlText w:val="o"/>
      <w:lvlJc w:val="left"/>
      <w:pPr>
        <w:tabs>
          <w:tab w:val="num" w:pos="5760"/>
        </w:tabs>
        <w:ind w:left="5760" w:hanging="360"/>
      </w:pPr>
      <w:rPr>
        <w:rFonts w:ascii="Courier New" w:hAnsi="Courier New" w:cs="Courier New" w:hint="default"/>
      </w:rPr>
    </w:lvl>
    <w:lvl w:ilvl="8" w:tplc="3E000A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F0BE3"/>
    <w:multiLevelType w:val="hybridMultilevel"/>
    <w:tmpl w:val="8EA622B4"/>
    <w:lvl w:ilvl="0" w:tplc="A49EC2CC">
      <w:start w:val="1"/>
      <w:numFmt w:val="bullet"/>
      <w:lvlText w:val=""/>
      <w:lvlJc w:val="left"/>
      <w:pPr>
        <w:tabs>
          <w:tab w:val="num" w:pos="720"/>
        </w:tabs>
        <w:ind w:left="720" w:hanging="360"/>
      </w:pPr>
      <w:rPr>
        <w:rFonts w:ascii="Wingdings" w:hAnsi="Wingdings" w:hint="default"/>
      </w:rPr>
    </w:lvl>
    <w:lvl w:ilvl="1" w:tplc="865A9582" w:tentative="1">
      <w:start w:val="1"/>
      <w:numFmt w:val="bullet"/>
      <w:lvlText w:val=""/>
      <w:lvlJc w:val="left"/>
      <w:pPr>
        <w:tabs>
          <w:tab w:val="num" w:pos="1440"/>
        </w:tabs>
        <w:ind w:left="1440" w:hanging="360"/>
      </w:pPr>
      <w:rPr>
        <w:rFonts w:ascii="Wingdings" w:hAnsi="Wingdings" w:hint="default"/>
      </w:rPr>
    </w:lvl>
    <w:lvl w:ilvl="2" w:tplc="05CCCC30" w:tentative="1">
      <w:start w:val="1"/>
      <w:numFmt w:val="bullet"/>
      <w:lvlText w:val=""/>
      <w:lvlJc w:val="left"/>
      <w:pPr>
        <w:tabs>
          <w:tab w:val="num" w:pos="2160"/>
        </w:tabs>
        <w:ind w:left="2160" w:hanging="360"/>
      </w:pPr>
      <w:rPr>
        <w:rFonts w:ascii="Wingdings" w:hAnsi="Wingdings" w:hint="default"/>
      </w:rPr>
    </w:lvl>
    <w:lvl w:ilvl="3" w:tplc="088E9F4E" w:tentative="1">
      <w:start w:val="1"/>
      <w:numFmt w:val="bullet"/>
      <w:lvlText w:val=""/>
      <w:lvlJc w:val="left"/>
      <w:pPr>
        <w:tabs>
          <w:tab w:val="num" w:pos="2880"/>
        </w:tabs>
        <w:ind w:left="2880" w:hanging="360"/>
      </w:pPr>
      <w:rPr>
        <w:rFonts w:ascii="Wingdings" w:hAnsi="Wingdings" w:hint="default"/>
      </w:rPr>
    </w:lvl>
    <w:lvl w:ilvl="4" w:tplc="1B62D7EC" w:tentative="1">
      <w:start w:val="1"/>
      <w:numFmt w:val="bullet"/>
      <w:lvlText w:val=""/>
      <w:lvlJc w:val="left"/>
      <w:pPr>
        <w:tabs>
          <w:tab w:val="num" w:pos="3600"/>
        </w:tabs>
        <w:ind w:left="3600" w:hanging="360"/>
      </w:pPr>
      <w:rPr>
        <w:rFonts w:ascii="Wingdings" w:hAnsi="Wingdings" w:hint="default"/>
      </w:rPr>
    </w:lvl>
    <w:lvl w:ilvl="5" w:tplc="F6165AB0" w:tentative="1">
      <w:start w:val="1"/>
      <w:numFmt w:val="bullet"/>
      <w:lvlText w:val=""/>
      <w:lvlJc w:val="left"/>
      <w:pPr>
        <w:tabs>
          <w:tab w:val="num" w:pos="4320"/>
        </w:tabs>
        <w:ind w:left="4320" w:hanging="360"/>
      </w:pPr>
      <w:rPr>
        <w:rFonts w:ascii="Wingdings" w:hAnsi="Wingdings" w:hint="default"/>
      </w:rPr>
    </w:lvl>
    <w:lvl w:ilvl="6" w:tplc="AA144AEC" w:tentative="1">
      <w:start w:val="1"/>
      <w:numFmt w:val="bullet"/>
      <w:lvlText w:val=""/>
      <w:lvlJc w:val="left"/>
      <w:pPr>
        <w:tabs>
          <w:tab w:val="num" w:pos="5040"/>
        </w:tabs>
        <w:ind w:left="5040" w:hanging="360"/>
      </w:pPr>
      <w:rPr>
        <w:rFonts w:ascii="Wingdings" w:hAnsi="Wingdings" w:hint="default"/>
      </w:rPr>
    </w:lvl>
    <w:lvl w:ilvl="7" w:tplc="ACEA0E34" w:tentative="1">
      <w:start w:val="1"/>
      <w:numFmt w:val="bullet"/>
      <w:lvlText w:val=""/>
      <w:lvlJc w:val="left"/>
      <w:pPr>
        <w:tabs>
          <w:tab w:val="num" w:pos="5760"/>
        </w:tabs>
        <w:ind w:left="5760" w:hanging="360"/>
      </w:pPr>
      <w:rPr>
        <w:rFonts w:ascii="Wingdings" w:hAnsi="Wingdings" w:hint="default"/>
      </w:rPr>
    </w:lvl>
    <w:lvl w:ilvl="8" w:tplc="5C8A829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3011F0"/>
    <w:multiLevelType w:val="hybridMultilevel"/>
    <w:tmpl w:val="C484AE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4B634A"/>
    <w:multiLevelType w:val="hybridMultilevel"/>
    <w:tmpl w:val="AAA6148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59E14547"/>
    <w:multiLevelType w:val="hybridMultilevel"/>
    <w:tmpl w:val="01E65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D26DBC"/>
    <w:multiLevelType w:val="hybridMultilevel"/>
    <w:tmpl w:val="028AA91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4" w15:restartNumberingAfterBreak="0">
    <w:nsid w:val="72D057F9"/>
    <w:multiLevelType w:val="hybridMultilevel"/>
    <w:tmpl w:val="8D2402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D033C"/>
    <w:multiLevelType w:val="multilevel"/>
    <w:tmpl w:val="F2D8FEB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65153F"/>
    <w:multiLevelType w:val="hybridMultilevel"/>
    <w:tmpl w:val="9F2287B8"/>
    <w:lvl w:ilvl="0" w:tplc="0DC81376">
      <w:start w:val="1"/>
      <w:numFmt w:val="bullet"/>
      <w:lvlText w:val=""/>
      <w:lvlJc w:val="left"/>
      <w:pPr>
        <w:tabs>
          <w:tab w:val="num" w:pos="720"/>
        </w:tabs>
        <w:ind w:left="720" w:hanging="360"/>
      </w:pPr>
      <w:rPr>
        <w:rFonts w:ascii="Wingdings" w:hAnsi="Wingdings" w:hint="default"/>
      </w:rPr>
    </w:lvl>
    <w:lvl w:ilvl="1" w:tplc="F8F205B8" w:tentative="1">
      <w:start w:val="1"/>
      <w:numFmt w:val="bullet"/>
      <w:lvlText w:val=""/>
      <w:lvlJc w:val="left"/>
      <w:pPr>
        <w:tabs>
          <w:tab w:val="num" w:pos="1440"/>
        </w:tabs>
        <w:ind w:left="1440" w:hanging="360"/>
      </w:pPr>
      <w:rPr>
        <w:rFonts w:ascii="Wingdings" w:hAnsi="Wingdings" w:hint="default"/>
      </w:rPr>
    </w:lvl>
    <w:lvl w:ilvl="2" w:tplc="D0060E88" w:tentative="1">
      <w:start w:val="1"/>
      <w:numFmt w:val="bullet"/>
      <w:lvlText w:val=""/>
      <w:lvlJc w:val="left"/>
      <w:pPr>
        <w:tabs>
          <w:tab w:val="num" w:pos="2160"/>
        </w:tabs>
        <w:ind w:left="2160" w:hanging="360"/>
      </w:pPr>
      <w:rPr>
        <w:rFonts w:ascii="Wingdings" w:hAnsi="Wingdings" w:hint="default"/>
      </w:rPr>
    </w:lvl>
    <w:lvl w:ilvl="3" w:tplc="B2586498" w:tentative="1">
      <w:start w:val="1"/>
      <w:numFmt w:val="bullet"/>
      <w:lvlText w:val=""/>
      <w:lvlJc w:val="left"/>
      <w:pPr>
        <w:tabs>
          <w:tab w:val="num" w:pos="2880"/>
        </w:tabs>
        <w:ind w:left="2880" w:hanging="360"/>
      </w:pPr>
      <w:rPr>
        <w:rFonts w:ascii="Wingdings" w:hAnsi="Wingdings" w:hint="default"/>
      </w:rPr>
    </w:lvl>
    <w:lvl w:ilvl="4" w:tplc="86A87A34" w:tentative="1">
      <w:start w:val="1"/>
      <w:numFmt w:val="bullet"/>
      <w:lvlText w:val=""/>
      <w:lvlJc w:val="left"/>
      <w:pPr>
        <w:tabs>
          <w:tab w:val="num" w:pos="3600"/>
        </w:tabs>
        <w:ind w:left="3600" w:hanging="360"/>
      </w:pPr>
      <w:rPr>
        <w:rFonts w:ascii="Wingdings" w:hAnsi="Wingdings" w:hint="default"/>
      </w:rPr>
    </w:lvl>
    <w:lvl w:ilvl="5" w:tplc="A00699CA" w:tentative="1">
      <w:start w:val="1"/>
      <w:numFmt w:val="bullet"/>
      <w:lvlText w:val=""/>
      <w:lvlJc w:val="left"/>
      <w:pPr>
        <w:tabs>
          <w:tab w:val="num" w:pos="4320"/>
        </w:tabs>
        <w:ind w:left="4320" w:hanging="360"/>
      </w:pPr>
      <w:rPr>
        <w:rFonts w:ascii="Wingdings" w:hAnsi="Wingdings" w:hint="default"/>
      </w:rPr>
    </w:lvl>
    <w:lvl w:ilvl="6" w:tplc="629A49E4" w:tentative="1">
      <w:start w:val="1"/>
      <w:numFmt w:val="bullet"/>
      <w:lvlText w:val=""/>
      <w:lvlJc w:val="left"/>
      <w:pPr>
        <w:tabs>
          <w:tab w:val="num" w:pos="5040"/>
        </w:tabs>
        <w:ind w:left="5040" w:hanging="360"/>
      </w:pPr>
      <w:rPr>
        <w:rFonts w:ascii="Wingdings" w:hAnsi="Wingdings" w:hint="default"/>
      </w:rPr>
    </w:lvl>
    <w:lvl w:ilvl="7" w:tplc="336AC966" w:tentative="1">
      <w:start w:val="1"/>
      <w:numFmt w:val="bullet"/>
      <w:lvlText w:val=""/>
      <w:lvlJc w:val="left"/>
      <w:pPr>
        <w:tabs>
          <w:tab w:val="num" w:pos="5760"/>
        </w:tabs>
        <w:ind w:left="5760" w:hanging="360"/>
      </w:pPr>
      <w:rPr>
        <w:rFonts w:ascii="Wingdings" w:hAnsi="Wingdings" w:hint="default"/>
      </w:rPr>
    </w:lvl>
    <w:lvl w:ilvl="8" w:tplc="00E843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C60315"/>
    <w:multiLevelType w:val="hybridMultilevel"/>
    <w:tmpl w:val="EE34D752"/>
    <w:lvl w:ilvl="0" w:tplc="21B460EC">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9" w15:restartNumberingAfterBreak="0">
    <w:nsid w:val="7CEC2DD2"/>
    <w:multiLevelType w:val="hybridMultilevel"/>
    <w:tmpl w:val="37CE2E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5"/>
  </w:num>
  <w:num w:numId="2">
    <w:abstractNumId w:val="15"/>
  </w:num>
  <w:num w:numId="3">
    <w:abstractNumId w:val="16"/>
  </w:num>
  <w:num w:numId="4">
    <w:abstractNumId w:val="0"/>
  </w:num>
  <w:num w:numId="5">
    <w:abstractNumId w:val="25"/>
  </w:num>
  <w:num w:numId="6">
    <w:abstractNumId w:val="7"/>
  </w:num>
  <w:num w:numId="7">
    <w:abstractNumId w:val="26"/>
  </w:num>
  <w:num w:numId="8">
    <w:abstractNumId w:val="14"/>
  </w:num>
  <w:num w:numId="9">
    <w:abstractNumId w:val="12"/>
  </w:num>
  <w:num w:numId="10">
    <w:abstractNumId w:val="22"/>
  </w:num>
  <w:num w:numId="11">
    <w:abstractNumId w:val="2"/>
  </w:num>
  <w:num w:numId="12">
    <w:abstractNumId w:val="24"/>
  </w:num>
  <w:num w:numId="13">
    <w:abstractNumId w:val="4"/>
  </w:num>
  <w:num w:numId="14">
    <w:abstractNumId w:val="5"/>
  </w:num>
  <w:num w:numId="15">
    <w:abstractNumId w:val="2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1"/>
  </w:num>
  <w:num w:numId="19">
    <w:abstractNumId w:val="21"/>
  </w:num>
  <w:num w:numId="20">
    <w:abstractNumId w:val="18"/>
  </w:num>
  <w:num w:numId="21">
    <w:abstractNumId w:val="6"/>
  </w:num>
  <w:num w:numId="22">
    <w:abstractNumId w:val="29"/>
  </w:num>
  <w:num w:numId="23">
    <w:abstractNumId w:val="16"/>
  </w:num>
  <w:num w:numId="24">
    <w:abstractNumId w:val="19"/>
  </w:num>
  <w:num w:numId="25">
    <w:abstractNumId w:val="20"/>
  </w:num>
  <w:num w:numId="26">
    <w:abstractNumId w:val="3"/>
  </w:num>
  <w:num w:numId="27">
    <w:abstractNumId w:val="1"/>
  </w:num>
  <w:num w:numId="28">
    <w:abstractNumId w:val="10"/>
  </w:num>
  <w:num w:numId="29">
    <w:abstractNumId w:val="13"/>
  </w:num>
  <w:num w:numId="30">
    <w:abstractNumId w:val="9"/>
  </w:num>
  <w:num w:numId="31">
    <w:abstractNumId w:val="25"/>
  </w:num>
  <w:num w:numId="32">
    <w:abstractNumId w:val="25"/>
  </w:num>
  <w:num w:numId="33">
    <w:abstractNumId w:val="8"/>
  </w:num>
  <w:num w:numId="34">
    <w:abstractNumId w:val="27"/>
  </w:num>
  <w:num w:numId="35">
    <w:abstractNumId w:val="17"/>
  </w:num>
  <w:num w:numId="36">
    <w:abstractNumId w:val="25"/>
  </w:num>
  <w:num w:numId="3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NZ"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NZ" w:vendorID="64" w:dllVersion="4096" w:nlCheck="1" w:checkStyle="0"/>
  <w:activeWritingStyle w:appName="MSWord" w:lang="en-AU"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wze25axud2xaoer0vkpfpvav9rs9ees20vz&quot;&gt;Eslicarbazepine_EndNote&lt;record-ids&gt;&lt;item&gt;1&lt;/item&gt;&lt;item&gt;3&lt;/item&gt;&lt;item&gt;5&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3&lt;/item&gt;&lt;item&gt;34&lt;/item&gt;&lt;item&gt;35&lt;/item&gt;&lt;item&gt;37&lt;/item&gt;&lt;/record-ids&gt;&lt;/item&gt;&lt;/Libraries&gt;"/>
  </w:docVars>
  <w:rsids>
    <w:rsidRoot w:val="00E65E79"/>
    <w:rsid w:val="00000790"/>
    <w:rsid w:val="0000110B"/>
    <w:rsid w:val="00001D0B"/>
    <w:rsid w:val="0000260C"/>
    <w:rsid w:val="00003499"/>
    <w:rsid w:val="000037A2"/>
    <w:rsid w:val="000039B7"/>
    <w:rsid w:val="0000639A"/>
    <w:rsid w:val="000120CC"/>
    <w:rsid w:val="00013247"/>
    <w:rsid w:val="00015886"/>
    <w:rsid w:val="00015B1A"/>
    <w:rsid w:val="000162EF"/>
    <w:rsid w:val="0001677B"/>
    <w:rsid w:val="0001764E"/>
    <w:rsid w:val="000207C9"/>
    <w:rsid w:val="00021357"/>
    <w:rsid w:val="00021D18"/>
    <w:rsid w:val="0002225F"/>
    <w:rsid w:val="00022464"/>
    <w:rsid w:val="00022B74"/>
    <w:rsid w:val="00023763"/>
    <w:rsid w:val="00024056"/>
    <w:rsid w:val="000274B8"/>
    <w:rsid w:val="0003157E"/>
    <w:rsid w:val="0003225B"/>
    <w:rsid w:val="00032286"/>
    <w:rsid w:val="000325C8"/>
    <w:rsid w:val="00033863"/>
    <w:rsid w:val="00035DC0"/>
    <w:rsid w:val="00036829"/>
    <w:rsid w:val="00036EFB"/>
    <w:rsid w:val="000378F8"/>
    <w:rsid w:val="00037B57"/>
    <w:rsid w:val="00040895"/>
    <w:rsid w:val="0004170F"/>
    <w:rsid w:val="000435EE"/>
    <w:rsid w:val="00043C37"/>
    <w:rsid w:val="00043C74"/>
    <w:rsid w:val="000446B1"/>
    <w:rsid w:val="00044E95"/>
    <w:rsid w:val="00045017"/>
    <w:rsid w:val="000455DB"/>
    <w:rsid w:val="00045A2B"/>
    <w:rsid w:val="0004698F"/>
    <w:rsid w:val="00050196"/>
    <w:rsid w:val="00051457"/>
    <w:rsid w:val="000539D0"/>
    <w:rsid w:val="00054621"/>
    <w:rsid w:val="000546D7"/>
    <w:rsid w:val="0005585E"/>
    <w:rsid w:val="000567E1"/>
    <w:rsid w:val="00056ECF"/>
    <w:rsid w:val="000604DF"/>
    <w:rsid w:val="000614A3"/>
    <w:rsid w:val="00061791"/>
    <w:rsid w:val="00061E35"/>
    <w:rsid w:val="00063AFB"/>
    <w:rsid w:val="000653B5"/>
    <w:rsid w:val="000654E7"/>
    <w:rsid w:val="00066360"/>
    <w:rsid w:val="00066AF8"/>
    <w:rsid w:val="00067F59"/>
    <w:rsid w:val="00067FB9"/>
    <w:rsid w:val="00070A5C"/>
    <w:rsid w:val="00071248"/>
    <w:rsid w:val="000720B9"/>
    <w:rsid w:val="000737F7"/>
    <w:rsid w:val="00074693"/>
    <w:rsid w:val="00075164"/>
    <w:rsid w:val="0007542C"/>
    <w:rsid w:val="0007672F"/>
    <w:rsid w:val="00076B54"/>
    <w:rsid w:val="000774F0"/>
    <w:rsid w:val="00077E8B"/>
    <w:rsid w:val="00080909"/>
    <w:rsid w:val="000812CA"/>
    <w:rsid w:val="00081E63"/>
    <w:rsid w:val="0008258D"/>
    <w:rsid w:val="00082EA5"/>
    <w:rsid w:val="00083047"/>
    <w:rsid w:val="000838B7"/>
    <w:rsid w:val="00083E1F"/>
    <w:rsid w:val="00083E99"/>
    <w:rsid w:val="000845C7"/>
    <w:rsid w:val="00084740"/>
    <w:rsid w:val="00084FA8"/>
    <w:rsid w:val="000856C5"/>
    <w:rsid w:val="00085C31"/>
    <w:rsid w:val="0008697D"/>
    <w:rsid w:val="000902D9"/>
    <w:rsid w:val="00090C7E"/>
    <w:rsid w:val="00091F98"/>
    <w:rsid w:val="000920C2"/>
    <w:rsid w:val="00092600"/>
    <w:rsid w:val="0009262B"/>
    <w:rsid w:val="00093310"/>
    <w:rsid w:val="0009333E"/>
    <w:rsid w:val="0009445C"/>
    <w:rsid w:val="00095200"/>
    <w:rsid w:val="00095DD3"/>
    <w:rsid w:val="00095FE5"/>
    <w:rsid w:val="00096284"/>
    <w:rsid w:val="000A0BA3"/>
    <w:rsid w:val="000A1BC0"/>
    <w:rsid w:val="000A2C2F"/>
    <w:rsid w:val="000A3782"/>
    <w:rsid w:val="000A4D0B"/>
    <w:rsid w:val="000A54DA"/>
    <w:rsid w:val="000A6039"/>
    <w:rsid w:val="000A68D7"/>
    <w:rsid w:val="000A692E"/>
    <w:rsid w:val="000A7453"/>
    <w:rsid w:val="000A7D08"/>
    <w:rsid w:val="000B0121"/>
    <w:rsid w:val="000B0670"/>
    <w:rsid w:val="000B0E75"/>
    <w:rsid w:val="000B16AB"/>
    <w:rsid w:val="000B1CAF"/>
    <w:rsid w:val="000B282D"/>
    <w:rsid w:val="000B2DCB"/>
    <w:rsid w:val="000B355A"/>
    <w:rsid w:val="000B54E6"/>
    <w:rsid w:val="000B57B1"/>
    <w:rsid w:val="000B5CE0"/>
    <w:rsid w:val="000B69BC"/>
    <w:rsid w:val="000B6CAC"/>
    <w:rsid w:val="000B7612"/>
    <w:rsid w:val="000B78AE"/>
    <w:rsid w:val="000C01BB"/>
    <w:rsid w:val="000C0377"/>
    <w:rsid w:val="000C3DF9"/>
    <w:rsid w:val="000C5499"/>
    <w:rsid w:val="000C6713"/>
    <w:rsid w:val="000D03D9"/>
    <w:rsid w:val="000D04B5"/>
    <w:rsid w:val="000D1BFC"/>
    <w:rsid w:val="000D1D5D"/>
    <w:rsid w:val="000D1F31"/>
    <w:rsid w:val="000D281A"/>
    <w:rsid w:val="000D2848"/>
    <w:rsid w:val="000D2F40"/>
    <w:rsid w:val="000D3095"/>
    <w:rsid w:val="000D326A"/>
    <w:rsid w:val="000D48A7"/>
    <w:rsid w:val="000D51FB"/>
    <w:rsid w:val="000E0640"/>
    <w:rsid w:val="000E09E2"/>
    <w:rsid w:val="000E135D"/>
    <w:rsid w:val="000E35B2"/>
    <w:rsid w:val="000E4E03"/>
    <w:rsid w:val="000E4E86"/>
    <w:rsid w:val="000F00BA"/>
    <w:rsid w:val="000F22AD"/>
    <w:rsid w:val="000F316A"/>
    <w:rsid w:val="000F3947"/>
    <w:rsid w:val="000F3C74"/>
    <w:rsid w:val="000F4185"/>
    <w:rsid w:val="000F4BB8"/>
    <w:rsid w:val="000F4D28"/>
    <w:rsid w:val="000F4FA9"/>
    <w:rsid w:val="000F502C"/>
    <w:rsid w:val="000F53FB"/>
    <w:rsid w:val="000F7127"/>
    <w:rsid w:val="000F7B54"/>
    <w:rsid w:val="0010009F"/>
    <w:rsid w:val="00100F8A"/>
    <w:rsid w:val="00101155"/>
    <w:rsid w:val="00101541"/>
    <w:rsid w:val="00102052"/>
    <w:rsid w:val="001027F8"/>
    <w:rsid w:val="0010452E"/>
    <w:rsid w:val="00105AE2"/>
    <w:rsid w:val="001060C6"/>
    <w:rsid w:val="001063EC"/>
    <w:rsid w:val="00106B80"/>
    <w:rsid w:val="0011032E"/>
    <w:rsid w:val="001116E5"/>
    <w:rsid w:val="00111C03"/>
    <w:rsid w:val="0011348B"/>
    <w:rsid w:val="00113573"/>
    <w:rsid w:val="001137DC"/>
    <w:rsid w:val="00113CAD"/>
    <w:rsid w:val="00114B57"/>
    <w:rsid w:val="00115982"/>
    <w:rsid w:val="001160C6"/>
    <w:rsid w:val="00116C53"/>
    <w:rsid w:val="001179EF"/>
    <w:rsid w:val="00121799"/>
    <w:rsid w:val="00121B90"/>
    <w:rsid w:val="001222FC"/>
    <w:rsid w:val="00123902"/>
    <w:rsid w:val="0012483F"/>
    <w:rsid w:val="001249B2"/>
    <w:rsid w:val="00124A51"/>
    <w:rsid w:val="00126621"/>
    <w:rsid w:val="00126B1D"/>
    <w:rsid w:val="001301E9"/>
    <w:rsid w:val="00130D16"/>
    <w:rsid w:val="00131AC8"/>
    <w:rsid w:val="00131D82"/>
    <w:rsid w:val="001321D0"/>
    <w:rsid w:val="00132B22"/>
    <w:rsid w:val="00133D36"/>
    <w:rsid w:val="00137461"/>
    <w:rsid w:val="00137645"/>
    <w:rsid w:val="0014015A"/>
    <w:rsid w:val="00140AC7"/>
    <w:rsid w:val="00140E99"/>
    <w:rsid w:val="00141721"/>
    <w:rsid w:val="00142487"/>
    <w:rsid w:val="00142879"/>
    <w:rsid w:val="00143F67"/>
    <w:rsid w:val="0014439C"/>
    <w:rsid w:val="00144E95"/>
    <w:rsid w:val="00145540"/>
    <w:rsid w:val="001456B0"/>
    <w:rsid w:val="00145E60"/>
    <w:rsid w:val="001478A2"/>
    <w:rsid w:val="0014792F"/>
    <w:rsid w:val="00153D6A"/>
    <w:rsid w:val="00156D59"/>
    <w:rsid w:val="00156F8F"/>
    <w:rsid w:val="00157130"/>
    <w:rsid w:val="001576B1"/>
    <w:rsid w:val="0016047B"/>
    <w:rsid w:val="00160A4C"/>
    <w:rsid w:val="00162913"/>
    <w:rsid w:val="00163EFF"/>
    <w:rsid w:val="00163F66"/>
    <w:rsid w:val="00164902"/>
    <w:rsid w:val="001661FB"/>
    <w:rsid w:val="00166780"/>
    <w:rsid w:val="001667CC"/>
    <w:rsid w:val="001671A0"/>
    <w:rsid w:val="0016767F"/>
    <w:rsid w:val="00167AEC"/>
    <w:rsid w:val="00173565"/>
    <w:rsid w:val="00173A2A"/>
    <w:rsid w:val="00173B07"/>
    <w:rsid w:val="001751FA"/>
    <w:rsid w:val="0017554E"/>
    <w:rsid w:val="001777F0"/>
    <w:rsid w:val="00177E80"/>
    <w:rsid w:val="00181D9C"/>
    <w:rsid w:val="001824BB"/>
    <w:rsid w:val="00183C3A"/>
    <w:rsid w:val="00184B0E"/>
    <w:rsid w:val="001854D3"/>
    <w:rsid w:val="00186209"/>
    <w:rsid w:val="0018752F"/>
    <w:rsid w:val="0018765F"/>
    <w:rsid w:val="00190B4E"/>
    <w:rsid w:val="00191089"/>
    <w:rsid w:val="00191364"/>
    <w:rsid w:val="00193838"/>
    <w:rsid w:val="00194AD8"/>
    <w:rsid w:val="00194D21"/>
    <w:rsid w:val="00194D45"/>
    <w:rsid w:val="00195222"/>
    <w:rsid w:val="00195278"/>
    <w:rsid w:val="00195BA3"/>
    <w:rsid w:val="001975D8"/>
    <w:rsid w:val="001A067A"/>
    <w:rsid w:val="001A119C"/>
    <w:rsid w:val="001A178E"/>
    <w:rsid w:val="001A329B"/>
    <w:rsid w:val="001A3C43"/>
    <w:rsid w:val="001A43FA"/>
    <w:rsid w:val="001A46AB"/>
    <w:rsid w:val="001A47C5"/>
    <w:rsid w:val="001A5252"/>
    <w:rsid w:val="001A59FB"/>
    <w:rsid w:val="001A5E9E"/>
    <w:rsid w:val="001A6354"/>
    <w:rsid w:val="001A6366"/>
    <w:rsid w:val="001A7AE8"/>
    <w:rsid w:val="001B0F81"/>
    <w:rsid w:val="001B1B9C"/>
    <w:rsid w:val="001B204E"/>
    <w:rsid w:val="001B2372"/>
    <w:rsid w:val="001B32B9"/>
    <w:rsid w:val="001B3443"/>
    <w:rsid w:val="001B3CD6"/>
    <w:rsid w:val="001B4D20"/>
    <w:rsid w:val="001B750B"/>
    <w:rsid w:val="001B7FBF"/>
    <w:rsid w:val="001C07F9"/>
    <w:rsid w:val="001C2A9B"/>
    <w:rsid w:val="001C368D"/>
    <w:rsid w:val="001C4299"/>
    <w:rsid w:val="001C4874"/>
    <w:rsid w:val="001C5F94"/>
    <w:rsid w:val="001C677D"/>
    <w:rsid w:val="001C6E66"/>
    <w:rsid w:val="001C7409"/>
    <w:rsid w:val="001C74EF"/>
    <w:rsid w:val="001D1100"/>
    <w:rsid w:val="001D1391"/>
    <w:rsid w:val="001D1E1E"/>
    <w:rsid w:val="001D25D7"/>
    <w:rsid w:val="001D3715"/>
    <w:rsid w:val="001D50B2"/>
    <w:rsid w:val="001D65C0"/>
    <w:rsid w:val="001D6C30"/>
    <w:rsid w:val="001D7645"/>
    <w:rsid w:val="001E1E86"/>
    <w:rsid w:val="001E238E"/>
    <w:rsid w:val="001E2483"/>
    <w:rsid w:val="001E2B1E"/>
    <w:rsid w:val="001E2CFF"/>
    <w:rsid w:val="001E2F24"/>
    <w:rsid w:val="001E30D4"/>
    <w:rsid w:val="001E34DF"/>
    <w:rsid w:val="001E52EB"/>
    <w:rsid w:val="001E61D2"/>
    <w:rsid w:val="001E740C"/>
    <w:rsid w:val="001F1235"/>
    <w:rsid w:val="001F1CB3"/>
    <w:rsid w:val="001F2398"/>
    <w:rsid w:val="001F38B5"/>
    <w:rsid w:val="001F4081"/>
    <w:rsid w:val="001F4613"/>
    <w:rsid w:val="001F5E7E"/>
    <w:rsid w:val="001F6943"/>
    <w:rsid w:val="001F7361"/>
    <w:rsid w:val="002011B0"/>
    <w:rsid w:val="00203181"/>
    <w:rsid w:val="00203783"/>
    <w:rsid w:val="0020385F"/>
    <w:rsid w:val="00203F10"/>
    <w:rsid w:val="002056B3"/>
    <w:rsid w:val="00205BB0"/>
    <w:rsid w:val="002068A0"/>
    <w:rsid w:val="00207021"/>
    <w:rsid w:val="00207103"/>
    <w:rsid w:val="0020732F"/>
    <w:rsid w:val="002079CA"/>
    <w:rsid w:val="00207A6A"/>
    <w:rsid w:val="00207D00"/>
    <w:rsid w:val="002105C1"/>
    <w:rsid w:val="00210F73"/>
    <w:rsid w:val="00211669"/>
    <w:rsid w:val="00211A2E"/>
    <w:rsid w:val="00212A11"/>
    <w:rsid w:val="00213EF5"/>
    <w:rsid w:val="0021409D"/>
    <w:rsid w:val="00215397"/>
    <w:rsid w:val="00216BF5"/>
    <w:rsid w:val="00217835"/>
    <w:rsid w:val="0022072C"/>
    <w:rsid w:val="002210A8"/>
    <w:rsid w:val="00222D36"/>
    <w:rsid w:val="00223B49"/>
    <w:rsid w:val="00223D5A"/>
    <w:rsid w:val="00224DD4"/>
    <w:rsid w:val="00224E15"/>
    <w:rsid w:val="00226B29"/>
    <w:rsid w:val="002278A0"/>
    <w:rsid w:val="00227B3A"/>
    <w:rsid w:val="002309CC"/>
    <w:rsid w:val="00231F3F"/>
    <w:rsid w:val="0023209F"/>
    <w:rsid w:val="002320D4"/>
    <w:rsid w:val="00233914"/>
    <w:rsid w:val="00233C01"/>
    <w:rsid w:val="0023413C"/>
    <w:rsid w:val="002346F0"/>
    <w:rsid w:val="0023629D"/>
    <w:rsid w:val="002369BC"/>
    <w:rsid w:val="00237255"/>
    <w:rsid w:val="00237E9B"/>
    <w:rsid w:val="00237FAF"/>
    <w:rsid w:val="002403E6"/>
    <w:rsid w:val="0024085F"/>
    <w:rsid w:val="002409B7"/>
    <w:rsid w:val="002424AF"/>
    <w:rsid w:val="002439DC"/>
    <w:rsid w:val="002441D2"/>
    <w:rsid w:val="00244DC8"/>
    <w:rsid w:val="00245697"/>
    <w:rsid w:val="002458BA"/>
    <w:rsid w:val="00245C74"/>
    <w:rsid w:val="00245CE9"/>
    <w:rsid w:val="0024636C"/>
    <w:rsid w:val="00247925"/>
    <w:rsid w:val="00247D68"/>
    <w:rsid w:val="00251006"/>
    <w:rsid w:val="002524D5"/>
    <w:rsid w:val="0025302C"/>
    <w:rsid w:val="00253B1D"/>
    <w:rsid w:val="00253EC4"/>
    <w:rsid w:val="00254087"/>
    <w:rsid w:val="00254DCF"/>
    <w:rsid w:val="0025534B"/>
    <w:rsid w:val="00255BB7"/>
    <w:rsid w:val="00256088"/>
    <w:rsid w:val="00257541"/>
    <w:rsid w:val="00257A39"/>
    <w:rsid w:val="00257AC4"/>
    <w:rsid w:val="0026068A"/>
    <w:rsid w:val="00261EEF"/>
    <w:rsid w:val="00262A1A"/>
    <w:rsid w:val="00262A87"/>
    <w:rsid w:val="00262AC6"/>
    <w:rsid w:val="00262B97"/>
    <w:rsid w:val="00263636"/>
    <w:rsid w:val="002645DF"/>
    <w:rsid w:val="00264D26"/>
    <w:rsid w:val="00264E17"/>
    <w:rsid w:val="00267642"/>
    <w:rsid w:val="00267AEA"/>
    <w:rsid w:val="002700E6"/>
    <w:rsid w:val="002702D8"/>
    <w:rsid w:val="0027193D"/>
    <w:rsid w:val="0027294B"/>
    <w:rsid w:val="00273BFA"/>
    <w:rsid w:val="00273EB4"/>
    <w:rsid w:val="00273F69"/>
    <w:rsid w:val="00273FDE"/>
    <w:rsid w:val="00274682"/>
    <w:rsid w:val="00275370"/>
    <w:rsid w:val="00275C5A"/>
    <w:rsid w:val="00275CF9"/>
    <w:rsid w:val="00277475"/>
    <w:rsid w:val="00281014"/>
    <w:rsid w:val="00283329"/>
    <w:rsid w:val="00283E16"/>
    <w:rsid w:val="0028665D"/>
    <w:rsid w:val="0028775F"/>
    <w:rsid w:val="00287F87"/>
    <w:rsid w:val="00290B3E"/>
    <w:rsid w:val="00291ED5"/>
    <w:rsid w:val="00292992"/>
    <w:rsid w:val="00297D18"/>
    <w:rsid w:val="002A0043"/>
    <w:rsid w:val="002A14AB"/>
    <w:rsid w:val="002A2ADE"/>
    <w:rsid w:val="002A2F50"/>
    <w:rsid w:val="002A3F40"/>
    <w:rsid w:val="002A4F7D"/>
    <w:rsid w:val="002A6ADD"/>
    <w:rsid w:val="002A7F6E"/>
    <w:rsid w:val="002B05A1"/>
    <w:rsid w:val="002B09A4"/>
    <w:rsid w:val="002B1346"/>
    <w:rsid w:val="002B1C1F"/>
    <w:rsid w:val="002B28B0"/>
    <w:rsid w:val="002B39B7"/>
    <w:rsid w:val="002B419E"/>
    <w:rsid w:val="002B432F"/>
    <w:rsid w:val="002B5ACD"/>
    <w:rsid w:val="002B62B3"/>
    <w:rsid w:val="002B64EC"/>
    <w:rsid w:val="002B66E8"/>
    <w:rsid w:val="002B6754"/>
    <w:rsid w:val="002B681B"/>
    <w:rsid w:val="002B6CCE"/>
    <w:rsid w:val="002B7544"/>
    <w:rsid w:val="002C2510"/>
    <w:rsid w:val="002C2775"/>
    <w:rsid w:val="002C27C1"/>
    <w:rsid w:val="002C2D8C"/>
    <w:rsid w:val="002C5099"/>
    <w:rsid w:val="002C5889"/>
    <w:rsid w:val="002C71CE"/>
    <w:rsid w:val="002C71DF"/>
    <w:rsid w:val="002D08F8"/>
    <w:rsid w:val="002D185F"/>
    <w:rsid w:val="002D2D9E"/>
    <w:rsid w:val="002D577C"/>
    <w:rsid w:val="002D66A8"/>
    <w:rsid w:val="002E0ED3"/>
    <w:rsid w:val="002E1071"/>
    <w:rsid w:val="002E15B9"/>
    <w:rsid w:val="002E2158"/>
    <w:rsid w:val="002E4F02"/>
    <w:rsid w:val="002E720F"/>
    <w:rsid w:val="002E7722"/>
    <w:rsid w:val="002F07BA"/>
    <w:rsid w:val="002F0C03"/>
    <w:rsid w:val="002F0DA9"/>
    <w:rsid w:val="002F1014"/>
    <w:rsid w:val="002F155D"/>
    <w:rsid w:val="002F185F"/>
    <w:rsid w:val="002F3A30"/>
    <w:rsid w:val="002F3C8B"/>
    <w:rsid w:val="002F47FE"/>
    <w:rsid w:val="002F56A7"/>
    <w:rsid w:val="002F643C"/>
    <w:rsid w:val="002F716F"/>
    <w:rsid w:val="002F71C0"/>
    <w:rsid w:val="002F74F1"/>
    <w:rsid w:val="002F7624"/>
    <w:rsid w:val="00301017"/>
    <w:rsid w:val="003013FF"/>
    <w:rsid w:val="0030155A"/>
    <w:rsid w:val="0030155F"/>
    <w:rsid w:val="003016CC"/>
    <w:rsid w:val="00304728"/>
    <w:rsid w:val="0030487F"/>
    <w:rsid w:val="0030587B"/>
    <w:rsid w:val="0030657B"/>
    <w:rsid w:val="00306D98"/>
    <w:rsid w:val="0030728F"/>
    <w:rsid w:val="003072B1"/>
    <w:rsid w:val="0030786C"/>
    <w:rsid w:val="0031031A"/>
    <w:rsid w:val="00310981"/>
    <w:rsid w:val="00311F2A"/>
    <w:rsid w:val="003124D9"/>
    <w:rsid w:val="00312594"/>
    <w:rsid w:val="0031260B"/>
    <w:rsid w:val="00313FC6"/>
    <w:rsid w:val="00314890"/>
    <w:rsid w:val="00315498"/>
    <w:rsid w:val="00316474"/>
    <w:rsid w:val="003166C4"/>
    <w:rsid w:val="00316BEA"/>
    <w:rsid w:val="003174D3"/>
    <w:rsid w:val="0032039D"/>
    <w:rsid w:val="00322107"/>
    <w:rsid w:val="00322355"/>
    <w:rsid w:val="00322522"/>
    <w:rsid w:val="00322846"/>
    <w:rsid w:val="00324955"/>
    <w:rsid w:val="003258B7"/>
    <w:rsid w:val="00326DA7"/>
    <w:rsid w:val="00326FDE"/>
    <w:rsid w:val="003270E4"/>
    <w:rsid w:val="00327772"/>
    <w:rsid w:val="00330C1B"/>
    <w:rsid w:val="00330C1C"/>
    <w:rsid w:val="00330DAA"/>
    <w:rsid w:val="00330F5C"/>
    <w:rsid w:val="0033123A"/>
    <w:rsid w:val="003355BE"/>
    <w:rsid w:val="003366C9"/>
    <w:rsid w:val="003371B0"/>
    <w:rsid w:val="00340DF1"/>
    <w:rsid w:val="0035110A"/>
    <w:rsid w:val="003517F9"/>
    <w:rsid w:val="00351BA9"/>
    <w:rsid w:val="00352EE6"/>
    <w:rsid w:val="00354138"/>
    <w:rsid w:val="00354C46"/>
    <w:rsid w:val="00354F64"/>
    <w:rsid w:val="0035585E"/>
    <w:rsid w:val="0035620E"/>
    <w:rsid w:val="0035790A"/>
    <w:rsid w:val="00360345"/>
    <w:rsid w:val="0036118B"/>
    <w:rsid w:val="00361413"/>
    <w:rsid w:val="00361A05"/>
    <w:rsid w:val="003624C4"/>
    <w:rsid w:val="00363B00"/>
    <w:rsid w:val="00363ED1"/>
    <w:rsid w:val="003654AC"/>
    <w:rsid w:val="00365EC7"/>
    <w:rsid w:val="00366412"/>
    <w:rsid w:val="00366483"/>
    <w:rsid w:val="0036688D"/>
    <w:rsid w:val="0037046D"/>
    <w:rsid w:val="003710CF"/>
    <w:rsid w:val="003712B9"/>
    <w:rsid w:val="0037171B"/>
    <w:rsid w:val="0037358A"/>
    <w:rsid w:val="003750F6"/>
    <w:rsid w:val="003760FC"/>
    <w:rsid w:val="0037741A"/>
    <w:rsid w:val="00377C51"/>
    <w:rsid w:val="003823CA"/>
    <w:rsid w:val="00382478"/>
    <w:rsid w:val="00382726"/>
    <w:rsid w:val="0038365C"/>
    <w:rsid w:val="0038369B"/>
    <w:rsid w:val="00383B78"/>
    <w:rsid w:val="00385A9D"/>
    <w:rsid w:val="00385AD1"/>
    <w:rsid w:val="003877E1"/>
    <w:rsid w:val="00387EA9"/>
    <w:rsid w:val="003902B1"/>
    <w:rsid w:val="00390964"/>
    <w:rsid w:val="00390E97"/>
    <w:rsid w:val="003915D7"/>
    <w:rsid w:val="0039179C"/>
    <w:rsid w:val="00392482"/>
    <w:rsid w:val="00392958"/>
    <w:rsid w:val="0039350B"/>
    <w:rsid w:val="00394851"/>
    <w:rsid w:val="00396374"/>
    <w:rsid w:val="003965B9"/>
    <w:rsid w:val="00396896"/>
    <w:rsid w:val="00396FD0"/>
    <w:rsid w:val="003A0BC2"/>
    <w:rsid w:val="003A143C"/>
    <w:rsid w:val="003A175F"/>
    <w:rsid w:val="003A1A7A"/>
    <w:rsid w:val="003A1A89"/>
    <w:rsid w:val="003A1EE6"/>
    <w:rsid w:val="003A2134"/>
    <w:rsid w:val="003A2392"/>
    <w:rsid w:val="003A2831"/>
    <w:rsid w:val="003A3CB6"/>
    <w:rsid w:val="003A3ED1"/>
    <w:rsid w:val="003A404C"/>
    <w:rsid w:val="003A44DB"/>
    <w:rsid w:val="003A5998"/>
    <w:rsid w:val="003A6A1C"/>
    <w:rsid w:val="003B0C51"/>
    <w:rsid w:val="003B0FAC"/>
    <w:rsid w:val="003B1C13"/>
    <w:rsid w:val="003B1D17"/>
    <w:rsid w:val="003B1D9B"/>
    <w:rsid w:val="003B2288"/>
    <w:rsid w:val="003B3971"/>
    <w:rsid w:val="003B3A1D"/>
    <w:rsid w:val="003B55D1"/>
    <w:rsid w:val="003B59CA"/>
    <w:rsid w:val="003B5B61"/>
    <w:rsid w:val="003B67F8"/>
    <w:rsid w:val="003B6D3A"/>
    <w:rsid w:val="003B7DAF"/>
    <w:rsid w:val="003C1654"/>
    <w:rsid w:val="003C4517"/>
    <w:rsid w:val="003C4F66"/>
    <w:rsid w:val="003C5542"/>
    <w:rsid w:val="003C798D"/>
    <w:rsid w:val="003C7D19"/>
    <w:rsid w:val="003C7D2F"/>
    <w:rsid w:val="003D02F9"/>
    <w:rsid w:val="003D0747"/>
    <w:rsid w:val="003D1828"/>
    <w:rsid w:val="003D1DE4"/>
    <w:rsid w:val="003D1E9A"/>
    <w:rsid w:val="003D2422"/>
    <w:rsid w:val="003D39A1"/>
    <w:rsid w:val="003D3B51"/>
    <w:rsid w:val="003D3FBF"/>
    <w:rsid w:val="003D4A30"/>
    <w:rsid w:val="003D66F0"/>
    <w:rsid w:val="003D7452"/>
    <w:rsid w:val="003D79BB"/>
    <w:rsid w:val="003D7C98"/>
    <w:rsid w:val="003D7D9D"/>
    <w:rsid w:val="003D7EA0"/>
    <w:rsid w:val="003E0421"/>
    <w:rsid w:val="003E0543"/>
    <w:rsid w:val="003E1C8E"/>
    <w:rsid w:val="003E3965"/>
    <w:rsid w:val="003E3AEA"/>
    <w:rsid w:val="003E52D9"/>
    <w:rsid w:val="003E749E"/>
    <w:rsid w:val="003F27C7"/>
    <w:rsid w:val="003F3A41"/>
    <w:rsid w:val="003F3BBC"/>
    <w:rsid w:val="003F4156"/>
    <w:rsid w:val="003F4AC9"/>
    <w:rsid w:val="003F547E"/>
    <w:rsid w:val="003F5ADF"/>
    <w:rsid w:val="003F5E11"/>
    <w:rsid w:val="00400B29"/>
    <w:rsid w:val="00400B57"/>
    <w:rsid w:val="00401BCF"/>
    <w:rsid w:val="004049D6"/>
    <w:rsid w:val="0040504B"/>
    <w:rsid w:val="004059F4"/>
    <w:rsid w:val="004063DC"/>
    <w:rsid w:val="00406EF0"/>
    <w:rsid w:val="00407F8F"/>
    <w:rsid w:val="00407FE5"/>
    <w:rsid w:val="004101B0"/>
    <w:rsid w:val="004102AA"/>
    <w:rsid w:val="00410326"/>
    <w:rsid w:val="00410491"/>
    <w:rsid w:val="00410708"/>
    <w:rsid w:val="00410EC7"/>
    <w:rsid w:val="00411B39"/>
    <w:rsid w:val="00411F14"/>
    <w:rsid w:val="004127A7"/>
    <w:rsid w:val="00412F8F"/>
    <w:rsid w:val="00413A1E"/>
    <w:rsid w:val="0041415D"/>
    <w:rsid w:val="00414476"/>
    <w:rsid w:val="00414C2E"/>
    <w:rsid w:val="00415025"/>
    <w:rsid w:val="004151CF"/>
    <w:rsid w:val="004161AF"/>
    <w:rsid w:val="00416364"/>
    <w:rsid w:val="00417029"/>
    <w:rsid w:val="0042047F"/>
    <w:rsid w:val="0042087C"/>
    <w:rsid w:val="00420AA6"/>
    <w:rsid w:val="00420B9F"/>
    <w:rsid w:val="0042192C"/>
    <w:rsid w:val="00422260"/>
    <w:rsid w:val="0042350D"/>
    <w:rsid w:val="0042413F"/>
    <w:rsid w:val="00425DBE"/>
    <w:rsid w:val="004261FE"/>
    <w:rsid w:val="00427E73"/>
    <w:rsid w:val="00430A86"/>
    <w:rsid w:val="00431219"/>
    <w:rsid w:val="004319F8"/>
    <w:rsid w:val="00431E55"/>
    <w:rsid w:val="004321F6"/>
    <w:rsid w:val="0043291F"/>
    <w:rsid w:val="00433044"/>
    <w:rsid w:val="00434088"/>
    <w:rsid w:val="00435D56"/>
    <w:rsid w:val="00437158"/>
    <w:rsid w:val="004375B9"/>
    <w:rsid w:val="00440BC8"/>
    <w:rsid w:val="004428D0"/>
    <w:rsid w:val="00444185"/>
    <w:rsid w:val="004443A7"/>
    <w:rsid w:val="0044442C"/>
    <w:rsid w:val="0044509A"/>
    <w:rsid w:val="00445941"/>
    <w:rsid w:val="004464EB"/>
    <w:rsid w:val="00447D26"/>
    <w:rsid w:val="00447DFC"/>
    <w:rsid w:val="004506D1"/>
    <w:rsid w:val="00450DF4"/>
    <w:rsid w:val="00452903"/>
    <w:rsid w:val="00455B15"/>
    <w:rsid w:val="00455D45"/>
    <w:rsid w:val="0046026A"/>
    <w:rsid w:val="0046046C"/>
    <w:rsid w:val="00460F61"/>
    <w:rsid w:val="00462977"/>
    <w:rsid w:val="00463321"/>
    <w:rsid w:val="00463AF3"/>
    <w:rsid w:val="00464595"/>
    <w:rsid w:val="00464A5B"/>
    <w:rsid w:val="00464B18"/>
    <w:rsid w:val="004658B5"/>
    <w:rsid w:val="00470E57"/>
    <w:rsid w:val="00470FC9"/>
    <w:rsid w:val="00471EA5"/>
    <w:rsid w:val="004722C6"/>
    <w:rsid w:val="00472990"/>
    <w:rsid w:val="00472A79"/>
    <w:rsid w:val="004732A6"/>
    <w:rsid w:val="00473F19"/>
    <w:rsid w:val="0047539D"/>
    <w:rsid w:val="00475657"/>
    <w:rsid w:val="00475E22"/>
    <w:rsid w:val="00476456"/>
    <w:rsid w:val="004766A1"/>
    <w:rsid w:val="0048061E"/>
    <w:rsid w:val="00480637"/>
    <w:rsid w:val="0048088E"/>
    <w:rsid w:val="00480F2B"/>
    <w:rsid w:val="00482720"/>
    <w:rsid w:val="004835E7"/>
    <w:rsid w:val="0048672A"/>
    <w:rsid w:val="004867E2"/>
    <w:rsid w:val="00487753"/>
    <w:rsid w:val="00490011"/>
    <w:rsid w:val="004908D5"/>
    <w:rsid w:val="00490B17"/>
    <w:rsid w:val="00491B3A"/>
    <w:rsid w:val="00491EA0"/>
    <w:rsid w:val="00492CFD"/>
    <w:rsid w:val="004939A5"/>
    <w:rsid w:val="00493A64"/>
    <w:rsid w:val="00493F44"/>
    <w:rsid w:val="00494207"/>
    <w:rsid w:val="00494DD5"/>
    <w:rsid w:val="00495024"/>
    <w:rsid w:val="004956E0"/>
    <w:rsid w:val="00495CE2"/>
    <w:rsid w:val="004962D2"/>
    <w:rsid w:val="004970C1"/>
    <w:rsid w:val="004A021C"/>
    <w:rsid w:val="004A0DA1"/>
    <w:rsid w:val="004A13D6"/>
    <w:rsid w:val="004A1717"/>
    <w:rsid w:val="004A3E2C"/>
    <w:rsid w:val="004A4705"/>
    <w:rsid w:val="004A4A97"/>
    <w:rsid w:val="004A52E9"/>
    <w:rsid w:val="004A53B1"/>
    <w:rsid w:val="004A6040"/>
    <w:rsid w:val="004A6597"/>
    <w:rsid w:val="004A7848"/>
    <w:rsid w:val="004B1CB4"/>
    <w:rsid w:val="004B2104"/>
    <w:rsid w:val="004B2E31"/>
    <w:rsid w:val="004B2F18"/>
    <w:rsid w:val="004B3579"/>
    <w:rsid w:val="004B3DDB"/>
    <w:rsid w:val="004B44FD"/>
    <w:rsid w:val="004B5CFC"/>
    <w:rsid w:val="004B62D6"/>
    <w:rsid w:val="004B6F79"/>
    <w:rsid w:val="004B774D"/>
    <w:rsid w:val="004C1759"/>
    <w:rsid w:val="004C2125"/>
    <w:rsid w:val="004C4AED"/>
    <w:rsid w:val="004C4B81"/>
    <w:rsid w:val="004C55FD"/>
    <w:rsid w:val="004C5EA3"/>
    <w:rsid w:val="004D054A"/>
    <w:rsid w:val="004D05C3"/>
    <w:rsid w:val="004D2729"/>
    <w:rsid w:val="004D2C2D"/>
    <w:rsid w:val="004D5B92"/>
    <w:rsid w:val="004D69B5"/>
    <w:rsid w:val="004D7227"/>
    <w:rsid w:val="004E0E2E"/>
    <w:rsid w:val="004E0E7F"/>
    <w:rsid w:val="004E0EB8"/>
    <w:rsid w:val="004E18E9"/>
    <w:rsid w:val="004E2ADC"/>
    <w:rsid w:val="004E2CEA"/>
    <w:rsid w:val="004E411A"/>
    <w:rsid w:val="004E43B2"/>
    <w:rsid w:val="004E43F2"/>
    <w:rsid w:val="004E5DF9"/>
    <w:rsid w:val="004E5EF2"/>
    <w:rsid w:val="004E6AB5"/>
    <w:rsid w:val="004F03EF"/>
    <w:rsid w:val="004F10F1"/>
    <w:rsid w:val="004F1D02"/>
    <w:rsid w:val="004F2679"/>
    <w:rsid w:val="004F2F21"/>
    <w:rsid w:val="004F3DE5"/>
    <w:rsid w:val="004F5079"/>
    <w:rsid w:val="004F5CA3"/>
    <w:rsid w:val="004F6913"/>
    <w:rsid w:val="004F7865"/>
    <w:rsid w:val="0050174E"/>
    <w:rsid w:val="00501854"/>
    <w:rsid w:val="0050219B"/>
    <w:rsid w:val="00503F17"/>
    <w:rsid w:val="00504068"/>
    <w:rsid w:val="005048A0"/>
    <w:rsid w:val="00504CCD"/>
    <w:rsid w:val="00504EC4"/>
    <w:rsid w:val="005058E9"/>
    <w:rsid w:val="00506711"/>
    <w:rsid w:val="00506928"/>
    <w:rsid w:val="005077EF"/>
    <w:rsid w:val="00511AD5"/>
    <w:rsid w:val="00511DC7"/>
    <w:rsid w:val="00513F3D"/>
    <w:rsid w:val="005142C5"/>
    <w:rsid w:val="0051467A"/>
    <w:rsid w:val="00514E74"/>
    <w:rsid w:val="0051501B"/>
    <w:rsid w:val="005152B5"/>
    <w:rsid w:val="005172FD"/>
    <w:rsid w:val="00520AD3"/>
    <w:rsid w:val="0052123C"/>
    <w:rsid w:val="00521319"/>
    <w:rsid w:val="00522BC8"/>
    <w:rsid w:val="00523123"/>
    <w:rsid w:val="00523795"/>
    <w:rsid w:val="00523C28"/>
    <w:rsid w:val="00523DE4"/>
    <w:rsid w:val="00525342"/>
    <w:rsid w:val="005269BA"/>
    <w:rsid w:val="0053176B"/>
    <w:rsid w:val="005322E4"/>
    <w:rsid w:val="005338A9"/>
    <w:rsid w:val="00534BCF"/>
    <w:rsid w:val="005360A0"/>
    <w:rsid w:val="00536D51"/>
    <w:rsid w:val="00536F42"/>
    <w:rsid w:val="00537182"/>
    <w:rsid w:val="00537587"/>
    <w:rsid w:val="00541EDD"/>
    <w:rsid w:val="00542743"/>
    <w:rsid w:val="00542C2D"/>
    <w:rsid w:val="005436F7"/>
    <w:rsid w:val="00543E15"/>
    <w:rsid w:val="00544DD3"/>
    <w:rsid w:val="00545173"/>
    <w:rsid w:val="00546399"/>
    <w:rsid w:val="005478BD"/>
    <w:rsid w:val="005479E3"/>
    <w:rsid w:val="00551985"/>
    <w:rsid w:val="00551BD8"/>
    <w:rsid w:val="00552BD3"/>
    <w:rsid w:val="0055321C"/>
    <w:rsid w:val="005532A0"/>
    <w:rsid w:val="0055381B"/>
    <w:rsid w:val="00555109"/>
    <w:rsid w:val="00556B35"/>
    <w:rsid w:val="0055741A"/>
    <w:rsid w:val="005574B0"/>
    <w:rsid w:val="005611B7"/>
    <w:rsid w:val="005618D4"/>
    <w:rsid w:val="00561E6C"/>
    <w:rsid w:val="00565DF0"/>
    <w:rsid w:val="0056696F"/>
    <w:rsid w:val="00572269"/>
    <w:rsid w:val="0057244A"/>
    <w:rsid w:val="00572F26"/>
    <w:rsid w:val="00572FAD"/>
    <w:rsid w:val="005734BC"/>
    <w:rsid w:val="0057366E"/>
    <w:rsid w:val="005748C2"/>
    <w:rsid w:val="00574E72"/>
    <w:rsid w:val="00574F92"/>
    <w:rsid w:val="005750C5"/>
    <w:rsid w:val="005752DE"/>
    <w:rsid w:val="00575D8D"/>
    <w:rsid w:val="00575DF3"/>
    <w:rsid w:val="00576972"/>
    <w:rsid w:val="0058168D"/>
    <w:rsid w:val="00581AC1"/>
    <w:rsid w:val="00583172"/>
    <w:rsid w:val="00583699"/>
    <w:rsid w:val="005842D7"/>
    <w:rsid w:val="0058547F"/>
    <w:rsid w:val="00585856"/>
    <w:rsid w:val="00585CDD"/>
    <w:rsid w:val="00585F7C"/>
    <w:rsid w:val="00586271"/>
    <w:rsid w:val="00587058"/>
    <w:rsid w:val="00591957"/>
    <w:rsid w:val="0059666D"/>
    <w:rsid w:val="00597BF9"/>
    <w:rsid w:val="005A2204"/>
    <w:rsid w:val="005A309A"/>
    <w:rsid w:val="005A373D"/>
    <w:rsid w:val="005A4065"/>
    <w:rsid w:val="005A4A0E"/>
    <w:rsid w:val="005A5708"/>
    <w:rsid w:val="005B046F"/>
    <w:rsid w:val="005B097B"/>
    <w:rsid w:val="005B0B58"/>
    <w:rsid w:val="005B0FFD"/>
    <w:rsid w:val="005B2CD2"/>
    <w:rsid w:val="005B301C"/>
    <w:rsid w:val="005B3EEF"/>
    <w:rsid w:val="005B41C1"/>
    <w:rsid w:val="005B4E53"/>
    <w:rsid w:val="005B507F"/>
    <w:rsid w:val="005B5857"/>
    <w:rsid w:val="005B6CDB"/>
    <w:rsid w:val="005C015C"/>
    <w:rsid w:val="005C0FEA"/>
    <w:rsid w:val="005C1B83"/>
    <w:rsid w:val="005C1E9C"/>
    <w:rsid w:val="005C2023"/>
    <w:rsid w:val="005C25FF"/>
    <w:rsid w:val="005C2D55"/>
    <w:rsid w:val="005C346B"/>
    <w:rsid w:val="005D044D"/>
    <w:rsid w:val="005D0ABD"/>
    <w:rsid w:val="005D120E"/>
    <w:rsid w:val="005D13BE"/>
    <w:rsid w:val="005D17EE"/>
    <w:rsid w:val="005D1875"/>
    <w:rsid w:val="005D18AD"/>
    <w:rsid w:val="005D2415"/>
    <w:rsid w:val="005D26B4"/>
    <w:rsid w:val="005D2CD8"/>
    <w:rsid w:val="005D38FE"/>
    <w:rsid w:val="005D7591"/>
    <w:rsid w:val="005E2F58"/>
    <w:rsid w:val="005E47D8"/>
    <w:rsid w:val="005E62C1"/>
    <w:rsid w:val="005E6607"/>
    <w:rsid w:val="005E6CBC"/>
    <w:rsid w:val="005E6DE4"/>
    <w:rsid w:val="005E72FF"/>
    <w:rsid w:val="005E73C0"/>
    <w:rsid w:val="005E7A46"/>
    <w:rsid w:val="005F2706"/>
    <w:rsid w:val="005F416F"/>
    <w:rsid w:val="005F4643"/>
    <w:rsid w:val="005F48FB"/>
    <w:rsid w:val="005F4E4A"/>
    <w:rsid w:val="005F671F"/>
    <w:rsid w:val="005F6A8F"/>
    <w:rsid w:val="005F6BB7"/>
    <w:rsid w:val="005F7588"/>
    <w:rsid w:val="0060193E"/>
    <w:rsid w:val="00602612"/>
    <w:rsid w:val="00603DB9"/>
    <w:rsid w:val="006042D5"/>
    <w:rsid w:val="00604975"/>
    <w:rsid w:val="00606FBA"/>
    <w:rsid w:val="006070BE"/>
    <w:rsid w:val="006070DB"/>
    <w:rsid w:val="00607669"/>
    <w:rsid w:val="006076F4"/>
    <w:rsid w:val="00607AFD"/>
    <w:rsid w:val="00612F97"/>
    <w:rsid w:val="0061345D"/>
    <w:rsid w:val="00614513"/>
    <w:rsid w:val="00615154"/>
    <w:rsid w:val="0061521A"/>
    <w:rsid w:val="006153DD"/>
    <w:rsid w:val="0061549B"/>
    <w:rsid w:val="00615B03"/>
    <w:rsid w:val="00616802"/>
    <w:rsid w:val="00616D78"/>
    <w:rsid w:val="00617B44"/>
    <w:rsid w:val="00617E12"/>
    <w:rsid w:val="00620C25"/>
    <w:rsid w:val="00621477"/>
    <w:rsid w:val="00621ADA"/>
    <w:rsid w:val="00623F7B"/>
    <w:rsid w:val="0062405E"/>
    <w:rsid w:val="00624217"/>
    <w:rsid w:val="00624D41"/>
    <w:rsid w:val="00624D76"/>
    <w:rsid w:val="00630FA6"/>
    <w:rsid w:val="006311D4"/>
    <w:rsid w:val="0063158F"/>
    <w:rsid w:val="00631D6B"/>
    <w:rsid w:val="00632183"/>
    <w:rsid w:val="006330A1"/>
    <w:rsid w:val="00633823"/>
    <w:rsid w:val="0063479F"/>
    <w:rsid w:val="00634E04"/>
    <w:rsid w:val="006353F0"/>
    <w:rsid w:val="006357B5"/>
    <w:rsid w:val="00635CA5"/>
    <w:rsid w:val="006364A1"/>
    <w:rsid w:val="0063678E"/>
    <w:rsid w:val="00636A75"/>
    <w:rsid w:val="00636C5D"/>
    <w:rsid w:val="00637950"/>
    <w:rsid w:val="00637BFD"/>
    <w:rsid w:val="00640299"/>
    <w:rsid w:val="00640B68"/>
    <w:rsid w:val="00641C4E"/>
    <w:rsid w:val="00641FB3"/>
    <w:rsid w:val="006433A8"/>
    <w:rsid w:val="0064434C"/>
    <w:rsid w:val="00644B8E"/>
    <w:rsid w:val="00645579"/>
    <w:rsid w:val="00646C4F"/>
    <w:rsid w:val="00647089"/>
    <w:rsid w:val="006471CC"/>
    <w:rsid w:val="00647A29"/>
    <w:rsid w:val="0065079F"/>
    <w:rsid w:val="0065202E"/>
    <w:rsid w:val="0065212D"/>
    <w:rsid w:val="006522CF"/>
    <w:rsid w:val="00652A28"/>
    <w:rsid w:val="0065379F"/>
    <w:rsid w:val="00655B5E"/>
    <w:rsid w:val="00656188"/>
    <w:rsid w:val="0065666C"/>
    <w:rsid w:val="0065715A"/>
    <w:rsid w:val="00657678"/>
    <w:rsid w:val="006609FE"/>
    <w:rsid w:val="006610F1"/>
    <w:rsid w:val="006614C0"/>
    <w:rsid w:val="0066181D"/>
    <w:rsid w:val="00661C6B"/>
    <w:rsid w:val="00661E1F"/>
    <w:rsid w:val="00662B5C"/>
    <w:rsid w:val="00664275"/>
    <w:rsid w:val="00664D56"/>
    <w:rsid w:val="006676B8"/>
    <w:rsid w:val="00670301"/>
    <w:rsid w:val="00671004"/>
    <w:rsid w:val="00672646"/>
    <w:rsid w:val="006728E6"/>
    <w:rsid w:val="00674610"/>
    <w:rsid w:val="00674E42"/>
    <w:rsid w:val="0067674E"/>
    <w:rsid w:val="00676B93"/>
    <w:rsid w:val="0068114A"/>
    <w:rsid w:val="006813F8"/>
    <w:rsid w:val="00681B37"/>
    <w:rsid w:val="00682112"/>
    <w:rsid w:val="00682BA6"/>
    <w:rsid w:val="00685780"/>
    <w:rsid w:val="00686957"/>
    <w:rsid w:val="00687009"/>
    <w:rsid w:val="006872BA"/>
    <w:rsid w:val="006875D0"/>
    <w:rsid w:val="00690795"/>
    <w:rsid w:val="00691648"/>
    <w:rsid w:val="006917D7"/>
    <w:rsid w:val="0069318E"/>
    <w:rsid w:val="006936F2"/>
    <w:rsid w:val="006937D3"/>
    <w:rsid w:val="00693C1A"/>
    <w:rsid w:val="0069434C"/>
    <w:rsid w:val="00694373"/>
    <w:rsid w:val="006943EA"/>
    <w:rsid w:val="00694E4F"/>
    <w:rsid w:val="00694F44"/>
    <w:rsid w:val="00696131"/>
    <w:rsid w:val="006964A4"/>
    <w:rsid w:val="006967A9"/>
    <w:rsid w:val="00696F51"/>
    <w:rsid w:val="006979A5"/>
    <w:rsid w:val="006A0C0A"/>
    <w:rsid w:val="006A43DF"/>
    <w:rsid w:val="006A459A"/>
    <w:rsid w:val="006A6B99"/>
    <w:rsid w:val="006A76E0"/>
    <w:rsid w:val="006A7B16"/>
    <w:rsid w:val="006A7E5F"/>
    <w:rsid w:val="006B0E9D"/>
    <w:rsid w:val="006B14D1"/>
    <w:rsid w:val="006B2225"/>
    <w:rsid w:val="006B261B"/>
    <w:rsid w:val="006B2C90"/>
    <w:rsid w:val="006B35E6"/>
    <w:rsid w:val="006B3731"/>
    <w:rsid w:val="006B465A"/>
    <w:rsid w:val="006B6DD0"/>
    <w:rsid w:val="006C0399"/>
    <w:rsid w:val="006C14A7"/>
    <w:rsid w:val="006C15DB"/>
    <w:rsid w:val="006C2A8E"/>
    <w:rsid w:val="006C3255"/>
    <w:rsid w:val="006C3F26"/>
    <w:rsid w:val="006C66BC"/>
    <w:rsid w:val="006C7882"/>
    <w:rsid w:val="006D026A"/>
    <w:rsid w:val="006D0D17"/>
    <w:rsid w:val="006D0F85"/>
    <w:rsid w:val="006D1310"/>
    <w:rsid w:val="006D1452"/>
    <w:rsid w:val="006D2DE5"/>
    <w:rsid w:val="006D3B6B"/>
    <w:rsid w:val="006D3C7D"/>
    <w:rsid w:val="006D4659"/>
    <w:rsid w:val="006D5D5F"/>
    <w:rsid w:val="006D68FB"/>
    <w:rsid w:val="006D6B20"/>
    <w:rsid w:val="006E2868"/>
    <w:rsid w:val="006E2F67"/>
    <w:rsid w:val="006E363F"/>
    <w:rsid w:val="006E524A"/>
    <w:rsid w:val="006E6334"/>
    <w:rsid w:val="006E6788"/>
    <w:rsid w:val="006F306C"/>
    <w:rsid w:val="006F377C"/>
    <w:rsid w:val="006F491B"/>
    <w:rsid w:val="006F49D9"/>
    <w:rsid w:val="006F63A5"/>
    <w:rsid w:val="007007AE"/>
    <w:rsid w:val="00700E97"/>
    <w:rsid w:val="0070109F"/>
    <w:rsid w:val="0070142B"/>
    <w:rsid w:val="00701B8A"/>
    <w:rsid w:val="0070276E"/>
    <w:rsid w:val="0070278E"/>
    <w:rsid w:val="00702F8F"/>
    <w:rsid w:val="0070312B"/>
    <w:rsid w:val="0070450A"/>
    <w:rsid w:val="00705676"/>
    <w:rsid w:val="007079FC"/>
    <w:rsid w:val="00707FDA"/>
    <w:rsid w:val="0071063D"/>
    <w:rsid w:val="00710664"/>
    <w:rsid w:val="0071119E"/>
    <w:rsid w:val="00711A01"/>
    <w:rsid w:val="00711A36"/>
    <w:rsid w:val="00714849"/>
    <w:rsid w:val="00714C26"/>
    <w:rsid w:val="0071529C"/>
    <w:rsid w:val="00715A77"/>
    <w:rsid w:val="00716549"/>
    <w:rsid w:val="007170DA"/>
    <w:rsid w:val="007172AD"/>
    <w:rsid w:val="00720801"/>
    <w:rsid w:val="0072130C"/>
    <w:rsid w:val="00722B1B"/>
    <w:rsid w:val="00723414"/>
    <w:rsid w:val="0072383F"/>
    <w:rsid w:val="0072416F"/>
    <w:rsid w:val="00725286"/>
    <w:rsid w:val="00725A98"/>
    <w:rsid w:val="00725BC8"/>
    <w:rsid w:val="007260B8"/>
    <w:rsid w:val="00727213"/>
    <w:rsid w:val="00727C94"/>
    <w:rsid w:val="00731B0A"/>
    <w:rsid w:val="00731EAE"/>
    <w:rsid w:val="00733073"/>
    <w:rsid w:val="00735033"/>
    <w:rsid w:val="00735328"/>
    <w:rsid w:val="0073685B"/>
    <w:rsid w:val="00736C88"/>
    <w:rsid w:val="00737D90"/>
    <w:rsid w:val="00737F4B"/>
    <w:rsid w:val="00744695"/>
    <w:rsid w:val="007449BF"/>
    <w:rsid w:val="0074576F"/>
    <w:rsid w:val="00746BC0"/>
    <w:rsid w:val="00747E63"/>
    <w:rsid w:val="007510B4"/>
    <w:rsid w:val="00752142"/>
    <w:rsid w:val="0075219C"/>
    <w:rsid w:val="00752239"/>
    <w:rsid w:val="007523F9"/>
    <w:rsid w:val="00752F70"/>
    <w:rsid w:val="0075357E"/>
    <w:rsid w:val="00753B7D"/>
    <w:rsid w:val="00753BF7"/>
    <w:rsid w:val="0075516C"/>
    <w:rsid w:val="007552FE"/>
    <w:rsid w:val="0075610C"/>
    <w:rsid w:val="007573E8"/>
    <w:rsid w:val="00760B53"/>
    <w:rsid w:val="00760C4E"/>
    <w:rsid w:val="00760F9E"/>
    <w:rsid w:val="007611F2"/>
    <w:rsid w:val="007615D6"/>
    <w:rsid w:val="007619CA"/>
    <w:rsid w:val="007627BE"/>
    <w:rsid w:val="007629CB"/>
    <w:rsid w:val="00764F03"/>
    <w:rsid w:val="00765B1A"/>
    <w:rsid w:val="007700BE"/>
    <w:rsid w:val="00770A3F"/>
    <w:rsid w:val="00772946"/>
    <w:rsid w:val="0077667D"/>
    <w:rsid w:val="00777335"/>
    <w:rsid w:val="00777F65"/>
    <w:rsid w:val="007803C6"/>
    <w:rsid w:val="00780CDF"/>
    <w:rsid w:val="00781BB1"/>
    <w:rsid w:val="00781D24"/>
    <w:rsid w:val="00782203"/>
    <w:rsid w:val="00783B6D"/>
    <w:rsid w:val="007843F2"/>
    <w:rsid w:val="00784B30"/>
    <w:rsid w:val="00784EC2"/>
    <w:rsid w:val="00785A9F"/>
    <w:rsid w:val="00785FF2"/>
    <w:rsid w:val="00790CE4"/>
    <w:rsid w:val="0079141A"/>
    <w:rsid w:val="0079166A"/>
    <w:rsid w:val="007925DF"/>
    <w:rsid w:val="00794065"/>
    <w:rsid w:val="00795D60"/>
    <w:rsid w:val="00796630"/>
    <w:rsid w:val="0079694E"/>
    <w:rsid w:val="00796FB8"/>
    <w:rsid w:val="00797A0D"/>
    <w:rsid w:val="007A08AA"/>
    <w:rsid w:val="007A0A12"/>
    <w:rsid w:val="007A132D"/>
    <w:rsid w:val="007A1345"/>
    <w:rsid w:val="007A216E"/>
    <w:rsid w:val="007A25B6"/>
    <w:rsid w:val="007A2DDB"/>
    <w:rsid w:val="007A31E7"/>
    <w:rsid w:val="007A5279"/>
    <w:rsid w:val="007A70BA"/>
    <w:rsid w:val="007A79D0"/>
    <w:rsid w:val="007B0B40"/>
    <w:rsid w:val="007B0D68"/>
    <w:rsid w:val="007B0E83"/>
    <w:rsid w:val="007B251D"/>
    <w:rsid w:val="007B27E1"/>
    <w:rsid w:val="007B342F"/>
    <w:rsid w:val="007B4F58"/>
    <w:rsid w:val="007B528D"/>
    <w:rsid w:val="007B63CA"/>
    <w:rsid w:val="007B77D1"/>
    <w:rsid w:val="007B7B87"/>
    <w:rsid w:val="007B7B9B"/>
    <w:rsid w:val="007B7D57"/>
    <w:rsid w:val="007C07C7"/>
    <w:rsid w:val="007C1CD9"/>
    <w:rsid w:val="007C1D0A"/>
    <w:rsid w:val="007C32EF"/>
    <w:rsid w:val="007C361D"/>
    <w:rsid w:val="007C4297"/>
    <w:rsid w:val="007C4B84"/>
    <w:rsid w:val="007C69F0"/>
    <w:rsid w:val="007C70FF"/>
    <w:rsid w:val="007C7C25"/>
    <w:rsid w:val="007D004F"/>
    <w:rsid w:val="007D0566"/>
    <w:rsid w:val="007D0655"/>
    <w:rsid w:val="007D0B38"/>
    <w:rsid w:val="007D239B"/>
    <w:rsid w:val="007D3D82"/>
    <w:rsid w:val="007D5440"/>
    <w:rsid w:val="007D5925"/>
    <w:rsid w:val="007D5B99"/>
    <w:rsid w:val="007D69EB"/>
    <w:rsid w:val="007D7481"/>
    <w:rsid w:val="007D7F36"/>
    <w:rsid w:val="007E128F"/>
    <w:rsid w:val="007E2BFC"/>
    <w:rsid w:val="007E2F57"/>
    <w:rsid w:val="007E3E9B"/>
    <w:rsid w:val="007E5C38"/>
    <w:rsid w:val="007E731F"/>
    <w:rsid w:val="007E74B3"/>
    <w:rsid w:val="007F0964"/>
    <w:rsid w:val="007F1017"/>
    <w:rsid w:val="007F2089"/>
    <w:rsid w:val="007F378D"/>
    <w:rsid w:val="007F4A3F"/>
    <w:rsid w:val="007F4A61"/>
    <w:rsid w:val="007F5255"/>
    <w:rsid w:val="007F56CC"/>
    <w:rsid w:val="007F61C2"/>
    <w:rsid w:val="007F690F"/>
    <w:rsid w:val="007F7127"/>
    <w:rsid w:val="008005BB"/>
    <w:rsid w:val="008033C0"/>
    <w:rsid w:val="00805142"/>
    <w:rsid w:val="008052CB"/>
    <w:rsid w:val="00805C0F"/>
    <w:rsid w:val="00805FCE"/>
    <w:rsid w:val="008061A9"/>
    <w:rsid w:val="008064BD"/>
    <w:rsid w:val="00807288"/>
    <w:rsid w:val="00807A8B"/>
    <w:rsid w:val="00811383"/>
    <w:rsid w:val="00811A21"/>
    <w:rsid w:val="00812149"/>
    <w:rsid w:val="0081224E"/>
    <w:rsid w:val="00812CAC"/>
    <w:rsid w:val="00813E05"/>
    <w:rsid w:val="00814449"/>
    <w:rsid w:val="00814E24"/>
    <w:rsid w:val="00816361"/>
    <w:rsid w:val="008166EF"/>
    <w:rsid w:val="00816EA9"/>
    <w:rsid w:val="00816FEF"/>
    <w:rsid w:val="008175AD"/>
    <w:rsid w:val="008201E8"/>
    <w:rsid w:val="00820A8C"/>
    <w:rsid w:val="008215FB"/>
    <w:rsid w:val="00823174"/>
    <w:rsid w:val="00823F2D"/>
    <w:rsid w:val="0082469E"/>
    <w:rsid w:val="008249AE"/>
    <w:rsid w:val="00825751"/>
    <w:rsid w:val="008264EB"/>
    <w:rsid w:val="0082787B"/>
    <w:rsid w:val="00833623"/>
    <w:rsid w:val="00833B05"/>
    <w:rsid w:val="0083428B"/>
    <w:rsid w:val="008362B4"/>
    <w:rsid w:val="00837363"/>
    <w:rsid w:val="00840498"/>
    <w:rsid w:val="00840B30"/>
    <w:rsid w:val="00840CA2"/>
    <w:rsid w:val="0084101A"/>
    <w:rsid w:val="00842834"/>
    <w:rsid w:val="00842BDB"/>
    <w:rsid w:val="00842C50"/>
    <w:rsid w:val="0084374F"/>
    <w:rsid w:val="00844A22"/>
    <w:rsid w:val="00845125"/>
    <w:rsid w:val="0084704A"/>
    <w:rsid w:val="0084757B"/>
    <w:rsid w:val="00847703"/>
    <w:rsid w:val="00847DF5"/>
    <w:rsid w:val="0085309D"/>
    <w:rsid w:val="008531A0"/>
    <w:rsid w:val="00855F8C"/>
    <w:rsid w:val="00856897"/>
    <w:rsid w:val="00856E9A"/>
    <w:rsid w:val="00857F70"/>
    <w:rsid w:val="0086075D"/>
    <w:rsid w:val="00862502"/>
    <w:rsid w:val="00862CC1"/>
    <w:rsid w:val="00862DD3"/>
    <w:rsid w:val="0086393D"/>
    <w:rsid w:val="008652D8"/>
    <w:rsid w:val="00865379"/>
    <w:rsid w:val="008660D4"/>
    <w:rsid w:val="0086708E"/>
    <w:rsid w:val="0087142C"/>
    <w:rsid w:val="00871FA9"/>
    <w:rsid w:val="00872413"/>
    <w:rsid w:val="008728E9"/>
    <w:rsid w:val="00872987"/>
    <w:rsid w:val="00872B97"/>
    <w:rsid w:val="008764E5"/>
    <w:rsid w:val="0087754F"/>
    <w:rsid w:val="0087771B"/>
    <w:rsid w:val="008807C7"/>
    <w:rsid w:val="008809CA"/>
    <w:rsid w:val="00882874"/>
    <w:rsid w:val="00882E3C"/>
    <w:rsid w:val="00882FBB"/>
    <w:rsid w:val="0088355D"/>
    <w:rsid w:val="00883787"/>
    <w:rsid w:val="00884D59"/>
    <w:rsid w:val="00884FBA"/>
    <w:rsid w:val="008855E4"/>
    <w:rsid w:val="00886CD2"/>
    <w:rsid w:val="00890EA7"/>
    <w:rsid w:val="00891BC8"/>
    <w:rsid w:val="00891E6F"/>
    <w:rsid w:val="0089275D"/>
    <w:rsid w:val="00892992"/>
    <w:rsid w:val="00892A36"/>
    <w:rsid w:val="008930B4"/>
    <w:rsid w:val="00893239"/>
    <w:rsid w:val="00894489"/>
    <w:rsid w:val="00894CEB"/>
    <w:rsid w:val="008963A5"/>
    <w:rsid w:val="00896D5D"/>
    <w:rsid w:val="008A050F"/>
    <w:rsid w:val="008A1CB3"/>
    <w:rsid w:val="008A22DC"/>
    <w:rsid w:val="008A3363"/>
    <w:rsid w:val="008A3371"/>
    <w:rsid w:val="008A3C3E"/>
    <w:rsid w:val="008A3C85"/>
    <w:rsid w:val="008A4901"/>
    <w:rsid w:val="008A586F"/>
    <w:rsid w:val="008A6024"/>
    <w:rsid w:val="008A721C"/>
    <w:rsid w:val="008A79DE"/>
    <w:rsid w:val="008A7F89"/>
    <w:rsid w:val="008B1757"/>
    <w:rsid w:val="008B1D18"/>
    <w:rsid w:val="008B48DE"/>
    <w:rsid w:val="008B5AF2"/>
    <w:rsid w:val="008B7992"/>
    <w:rsid w:val="008B7D7E"/>
    <w:rsid w:val="008C2AF8"/>
    <w:rsid w:val="008C364C"/>
    <w:rsid w:val="008C4078"/>
    <w:rsid w:val="008C4B38"/>
    <w:rsid w:val="008C4D7D"/>
    <w:rsid w:val="008C5610"/>
    <w:rsid w:val="008C5739"/>
    <w:rsid w:val="008C5F2F"/>
    <w:rsid w:val="008C6A73"/>
    <w:rsid w:val="008C6DD4"/>
    <w:rsid w:val="008C7ECB"/>
    <w:rsid w:val="008D2B34"/>
    <w:rsid w:val="008D30E5"/>
    <w:rsid w:val="008D3B86"/>
    <w:rsid w:val="008D4755"/>
    <w:rsid w:val="008D4C3D"/>
    <w:rsid w:val="008D65E1"/>
    <w:rsid w:val="008D6CB4"/>
    <w:rsid w:val="008D743C"/>
    <w:rsid w:val="008D760E"/>
    <w:rsid w:val="008E00D4"/>
    <w:rsid w:val="008E0B9E"/>
    <w:rsid w:val="008E0D3C"/>
    <w:rsid w:val="008E1B9E"/>
    <w:rsid w:val="008E3F52"/>
    <w:rsid w:val="008E55AB"/>
    <w:rsid w:val="008E607B"/>
    <w:rsid w:val="008F01A8"/>
    <w:rsid w:val="008F02D8"/>
    <w:rsid w:val="008F120A"/>
    <w:rsid w:val="008F27E0"/>
    <w:rsid w:val="008F2A8F"/>
    <w:rsid w:val="008F48EB"/>
    <w:rsid w:val="008F4A80"/>
    <w:rsid w:val="008F4EC3"/>
    <w:rsid w:val="008F4F0B"/>
    <w:rsid w:val="008F675E"/>
    <w:rsid w:val="008F77CE"/>
    <w:rsid w:val="008F7E8F"/>
    <w:rsid w:val="0090151E"/>
    <w:rsid w:val="00903E89"/>
    <w:rsid w:val="00903F32"/>
    <w:rsid w:val="009046C4"/>
    <w:rsid w:val="00904714"/>
    <w:rsid w:val="0090471C"/>
    <w:rsid w:val="00904E3E"/>
    <w:rsid w:val="009062A5"/>
    <w:rsid w:val="00906CDB"/>
    <w:rsid w:val="00907E0A"/>
    <w:rsid w:val="00910FA7"/>
    <w:rsid w:val="00911272"/>
    <w:rsid w:val="00911B92"/>
    <w:rsid w:val="009126D5"/>
    <w:rsid w:val="009135D6"/>
    <w:rsid w:val="009145A2"/>
    <w:rsid w:val="00914A3C"/>
    <w:rsid w:val="00914C77"/>
    <w:rsid w:val="00915291"/>
    <w:rsid w:val="009218E4"/>
    <w:rsid w:val="00921ACB"/>
    <w:rsid w:val="00921EB1"/>
    <w:rsid w:val="0092237A"/>
    <w:rsid w:val="00922DE8"/>
    <w:rsid w:val="009235FA"/>
    <w:rsid w:val="0092369B"/>
    <w:rsid w:val="00925805"/>
    <w:rsid w:val="00931E2F"/>
    <w:rsid w:val="00932850"/>
    <w:rsid w:val="00933368"/>
    <w:rsid w:val="00934988"/>
    <w:rsid w:val="00934A4A"/>
    <w:rsid w:val="00934C21"/>
    <w:rsid w:val="009357CA"/>
    <w:rsid w:val="00936FA4"/>
    <w:rsid w:val="00937089"/>
    <w:rsid w:val="0093727D"/>
    <w:rsid w:val="009414CD"/>
    <w:rsid w:val="00944024"/>
    <w:rsid w:val="00944F8A"/>
    <w:rsid w:val="00945F18"/>
    <w:rsid w:val="00947961"/>
    <w:rsid w:val="009510A2"/>
    <w:rsid w:val="00951E30"/>
    <w:rsid w:val="0095225E"/>
    <w:rsid w:val="00953257"/>
    <w:rsid w:val="0095474C"/>
    <w:rsid w:val="00954F9C"/>
    <w:rsid w:val="00957806"/>
    <w:rsid w:val="00962CB9"/>
    <w:rsid w:val="00963558"/>
    <w:rsid w:val="00964312"/>
    <w:rsid w:val="0096519A"/>
    <w:rsid w:val="009655FD"/>
    <w:rsid w:val="00965B8A"/>
    <w:rsid w:val="0097071F"/>
    <w:rsid w:val="009717AC"/>
    <w:rsid w:val="00971E6E"/>
    <w:rsid w:val="009726C5"/>
    <w:rsid w:val="009751C1"/>
    <w:rsid w:val="0097552F"/>
    <w:rsid w:val="00975E04"/>
    <w:rsid w:val="009811F1"/>
    <w:rsid w:val="009817B7"/>
    <w:rsid w:val="00981DAD"/>
    <w:rsid w:val="00982AE0"/>
    <w:rsid w:val="00982FA9"/>
    <w:rsid w:val="00983AA3"/>
    <w:rsid w:val="00983E57"/>
    <w:rsid w:val="00984135"/>
    <w:rsid w:val="00984348"/>
    <w:rsid w:val="00984690"/>
    <w:rsid w:val="00985DE2"/>
    <w:rsid w:val="0098675D"/>
    <w:rsid w:val="00986856"/>
    <w:rsid w:val="00990CFA"/>
    <w:rsid w:val="009926E0"/>
    <w:rsid w:val="0099451E"/>
    <w:rsid w:val="00995425"/>
    <w:rsid w:val="00996B1A"/>
    <w:rsid w:val="009A013C"/>
    <w:rsid w:val="009A215B"/>
    <w:rsid w:val="009A2DCC"/>
    <w:rsid w:val="009A2EF3"/>
    <w:rsid w:val="009A5ABC"/>
    <w:rsid w:val="009A5C34"/>
    <w:rsid w:val="009A7F10"/>
    <w:rsid w:val="009B3E26"/>
    <w:rsid w:val="009B3F8A"/>
    <w:rsid w:val="009B68FD"/>
    <w:rsid w:val="009B7C69"/>
    <w:rsid w:val="009C3706"/>
    <w:rsid w:val="009C3A3A"/>
    <w:rsid w:val="009C3A8C"/>
    <w:rsid w:val="009C4498"/>
    <w:rsid w:val="009C6CEA"/>
    <w:rsid w:val="009C7B45"/>
    <w:rsid w:val="009C7B85"/>
    <w:rsid w:val="009D0254"/>
    <w:rsid w:val="009D1A64"/>
    <w:rsid w:val="009D245E"/>
    <w:rsid w:val="009D263B"/>
    <w:rsid w:val="009D3EDC"/>
    <w:rsid w:val="009D5B91"/>
    <w:rsid w:val="009D651D"/>
    <w:rsid w:val="009D6C08"/>
    <w:rsid w:val="009D792E"/>
    <w:rsid w:val="009E0D34"/>
    <w:rsid w:val="009E0DD1"/>
    <w:rsid w:val="009E0DFE"/>
    <w:rsid w:val="009E0EE4"/>
    <w:rsid w:val="009E31F6"/>
    <w:rsid w:val="009E41D7"/>
    <w:rsid w:val="009E4C07"/>
    <w:rsid w:val="009F2BC7"/>
    <w:rsid w:val="009F66A4"/>
    <w:rsid w:val="00A01184"/>
    <w:rsid w:val="00A02C22"/>
    <w:rsid w:val="00A037C2"/>
    <w:rsid w:val="00A03D43"/>
    <w:rsid w:val="00A04380"/>
    <w:rsid w:val="00A05472"/>
    <w:rsid w:val="00A05C32"/>
    <w:rsid w:val="00A0653F"/>
    <w:rsid w:val="00A10639"/>
    <w:rsid w:val="00A106FB"/>
    <w:rsid w:val="00A116FD"/>
    <w:rsid w:val="00A11CD0"/>
    <w:rsid w:val="00A13948"/>
    <w:rsid w:val="00A145FB"/>
    <w:rsid w:val="00A14F73"/>
    <w:rsid w:val="00A1555B"/>
    <w:rsid w:val="00A155C5"/>
    <w:rsid w:val="00A1562B"/>
    <w:rsid w:val="00A162C4"/>
    <w:rsid w:val="00A16565"/>
    <w:rsid w:val="00A16AD8"/>
    <w:rsid w:val="00A208A8"/>
    <w:rsid w:val="00A21C95"/>
    <w:rsid w:val="00A21CF3"/>
    <w:rsid w:val="00A23D70"/>
    <w:rsid w:val="00A24813"/>
    <w:rsid w:val="00A250BC"/>
    <w:rsid w:val="00A2522B"/>
    <w:rsid w:val="00A25894"/>
    <w:rsid w:val="00A266E9"/>
    <w:rsid w:val="00A276F0"/>
    <w:rsid w:val="00A27709"/>
    <w:rsid w:val="00A27AEC"/>
    <w:rsid w:val="00A320DB"/>
    <w:rsid w:val="00A35D16"/>
    <w:rsid w:val="00A37599"/>
    <w:rsid w:val="00A37BCD"/>
    <w:rsid w:val="00A41689"/>
    <w:rsid w:val="00A42592"/>
    <w:rsid w:val="00A43C59"/>
    <w:rsid w:val="00A4492E"/>
    <w:rsid w:val="00A44DA8"/>
    <w:rsid w:val="00A5090E"/>
    <w:rsid w:val="00A50ECD"/>
    <w:rsid w:val="00A518F3"/>
    <w:rsid w:val="00A52729"/>
    <w:rsid w:val="00A52A58"/>
    <w:rsid w:val="00A52DC2"/>
    <w:rsid w:val="00A53675"/>
    <w:rsid w:val="00A564D7"/>
    <w:rsid w:val="00A56B6A"/>
    <w:rsid w:val="00A578DC"/>
    <w:rsid w:val="00A6132D"/>
    <w:rsid w:val="00A6331E"/>
    <w:rsid w:val="00A636B5"/>
    <w:rsid w:val="00A640E2"/>
    <w:rsid w:val="00A64D65"/>
    <w:rsid w:val="00A65834"/>
    <w:rsid w:val="00A6725B"/>
    <w:rsid w:val="00A70605"/>
    <w:rsid w:val="00A71C9B"/>
    <w:rsid w:val="00A71E92"/>
    <w:rsid w:val="00A73134"/>
    <w:rsid w:val="00A73D27"/>
    <w:rsid w:val="00A74D08"/>
    <w:rsid w:val="00A75371"/>
    <w:rsid w:val="00A76001"/>
    <w:rsid w:val="00A777B2"/>
    <w:rsid w:val="00A825D4"/>
    <w:rsid w:val="00A828F6"/>
    <w:rsid w:val="00A82B73"/>
    <w:rsid w:val="00A84B2A"/>
    <w:rsid w:val="00A8563A"/>
    <w:rsid w:val="00A856F5"/>
    <w:rsid w:val="00A86E8B"/>
    <w:rsid w:val="00A87164"/>
    <w:rsid w:val="00A878E2"/>
    <w:rsid w:val="00A902F2"/>
    <w:rsid w:val="00A913A2"/>
    <w:rsid w:val="00A91F2B"/>
    <w:rsid w:val="00A92EA8"/>
    <w:rsid w:val="00A93072"/>
    <w:rsid w:val="00A938BD"/>
    <w:rsid w:val="00A93953"/>
    <w:rsid w:val="00A94007"/>
    <w:rsid w:val="00A959D8"/>
    <w:rsid w:val="00A96E6F"/>
    <w:rsid w:val="00AA016B"/>
    <w:rsid w:val="00AA113D"/>
    <w:rsid w:val="00AA4935"/>
    <w:rsid w:val="00AA4F2D"/>
    <w:rsid w:val="00AA6BD5"/>
    <w:rsid w:val="00AA6BD8"/>
    <w:rsid w:val="00AA6C7D"/>
    <w:rsid w:val="00AA7FD6"/>
    <w:rsid w:val="00AB042A"/>
    <w:rsid w:val="00AB08C4"/>
    <w:rsid w:val="00AB19EF"/>
    <w:rsid w:val="00AB2229"/>
    <w:rsid w:val="00AB275B"/>
    <w:rsid w:val="00AB2D34"/>
    <w:rsid w:val="00AB2F16"/>
    <w:rsid w:val="00AB30F5"/>
    <w:rsid w:val="00AB3430"/>
    <w:rsid w:val="00AB35B4"/>
    <w:rsid w:val="00AB37B9"/>
    <w:rsid w:val="00AB444C"/>
    <w:rsid w:val="00AB4AD1"/>
    <w:rsid w:val="00AB5E07"/>
    <w:rsid w:val="00AB66BB"/>
    <w:rsid w:val="00AB7CFA"/>
    <w:rsid w:val="00AC0105"/>
    <w:rsid w:val="00AC0822"/>
    <w:rsid w:val="00AC09CE"/>
    <w:rsid w:val="00AC188D"/>
    <w:rsid w:val="00AC1926"/>
    <w:rsid w:val="00AC235D"/>
    <w:rsid w:val="00AC37F6"/>
    <w:rsid w:val="00AC4218"/>
    <w:rsid w:val="00AC4D14"/>
    <w:rsid w:val="00AC5B48"/>
    <w:rsid w:val="00AC61A4"/>
    <w:rsid w:val="00AD03A1"/>
    <w:rsid w:val="00AD1450"/>
    <w:rsid w:val="00AD1472"/>
    <w:rsid w:val="00AD1CB4"/>
    <w:rsid w:val="00AD3415"/>
    <w:rsid w:val="00AD3818"/>
    <w:rsid w:val="00AD47C9"/>
    <w:rsid w:val="00AD5828"/>
    <w:rsid w:val="00AD6502"/>
    <w:rsid w:val="00AD7469"/>
    <w:rsid w:val="00AD7D1C"/>
    <w:rsid w:val="00AE0695"/>
    <w:rsid w:val="00AE3E7E"/>
    <w:rsid w:val="00AE5BB7"/>
    <w:rsid w:val="00AE6995"/>
    <w:rsid w:val="00AE6D0F"/>
    <w:rsid w:val="00AE6F5C"/>
    <w:rsid w:val="00AF0447"/>
    <w:rsid w:val="00AF1315"/>
    <w:rsid w:val="00AF19BF"/>
    <w:rsid w:val="00AF1C06"/>
    <w:rsid w:val="00AF201B"/>
    <w:rsid w:val="00AF2035"/>
    <w:rsid w:val="00AF2DC3"/>
    <w:rsid w:val="00AF3334"/>
    <w:rsid w:val="00AF37F3"/>
    <w:rsid w:val="00AF3B1B"/>
    <w:rsid w:val="00AF713C"/>
    <w:rsid w:val="00B00A70"/>
    <w:rsid w:val="00B01CD9"/>
    <w:rsid w:val="00B02978"/>
    <w:rsid w:val="00B033E5"/>
    <w:rsid w:val="00B03A63"/>
    <w:rsid w:val="00B05D69"/>
    <w:rsid w:val="00B1008C"/>
    <w:rsid w:val="00B13145"/>
    <w:rsid w:val="00B14F4E"/>
    <w:rsid w:val="00B16F49"/>
    <w:rsid w:val="00B201A4"/>
    <w:rsid w:val="00B201D1"/>
    <w:rsid w:val="00B210EA"/>
    <w:rsid w:val="00B21110"/>
    <w:rsid w:val="00B213A6"/>
    <w:rsid w:val="00B21A24"/>
    <w:rsid w:val="00B22843"/>
    <w:rsid w:val="00B2289E"/>
    <w:rsid w:val="00B22CA8"/>
    <w:rsid w:val="00B235B0"/>
    <w:rsid w:val="00B24510"/>
    <w:rsid w:val="00B24DF6"/>
    <w:rsid w:val="00B25752"/>
    <w:rsid w:val="00B2659C"/>
    <w:rsid w:val="00B34258"/>
    <w:rsid w:val="00B346EE"/>
    <w:rsid w:val="00B34934"/>
    <w:rsid w:val="00B34FE2"/>
    <w:rsid w:val="00B35166"/>
    <w:rsid w:val="00B357D8"/>
    <w:rsid w:val="00B3603E"/>
    <w:rsid w:val="00B360F4"/>
    <w:rsid w:val="00B36A00"/>
    <w:rsid w:val="00B37853"/>
    <w:rsid w:val="00B37BFC"/>
    <w:rsid w:val="00B40358"/>
    <w:rsid w:val="00B41614"/>
    <w:rsid w:val="00B42851"/>
    <w:rsid w:val="00B42F80"/>
    <w:rsid w:val="00B435CB"/>
    <w:rsid w:val="00B43AD1"/>
    <w:rsid w:val="00B44E73"/>
    <w:rsid w:val="00B4714A"/>
    <w:rsid w:val="00B47FC7"/>
    <w:rsid w:val="00B501CC"/>
    <w:rsid w:val="00B50592"/>
    <w:rsid w:val="00B505C8"/>
    <w:rsid w:val="00B50DB8"/>
    <w:rsid w:val="00B525A8"/>
    <w:rsid w:val="00B53654"/>
    <w:rsid w:val="00B53905"/>
    <w:rsid w:val="00B53DE6"/>
    <w:rsid w:val="00B54B5B"/>
    <w:rsid w:val="00B54C68"/>
    <w:rsid w:val="00B5520E"/>
    <w:rsid w:val="00B5562E"/>
    <w:rsid w:val="00B55D65"/>
    <w:rsid w:val="00B57000"/>
    <w:rsid w:val="00B60939"/>
    <w:rsid w:val="00B60AFD"/>
    <w:rsid w:val="00B62715"/>
    <w:rsid w:val="00B63952"/>
    <w:rsid w:val="00B65611"/>
    <w:rsid w:val="00B659B3"/>
    <w:rsid w:val="00B66006"/>
    <w:rsid w:val="00B70E8E"/>
    <w:rsid w:val="00B721A6"/>
    <w:rsid w:val="00B73662"/>
    <w:rsid w:val="00B7411F"/>
    <w:rsid w:val="00B748D7"/>
    <w:rsid w:val="00B76894"/>
    <w:rsid w:val="00B76C92"/>
    <w:rsid w:val="00B77B9A"/>
    <w:rsid w:val="00B818A4"/>
    <w:rsid w:val="00B84117"/>
    <w:rsid w:val="00B858F0"/>
    <w:rsid w:val="00B85AA2"/>
    <w:rsid w:val="00B8649C"/>
    <w:rsid w:val="00B8695D"/>
    <w:rsid w:val="00B87A16"/>
    <w:rsid w:val="00B87EB8"/>
    <w:rsid w:val="00B87F0A"/>
    <w:rsid w:val="00B915EB"/>
    <w:rsid w:val="00B91BA8"/>
    <w:rsid w:val="00B92D0B"/>
    <w:rsid w:val="00B94945"/>
    <w:rsid w:val="00B94DD6"/>
    <w:rsid w:val="00B9582C"/>
    <w:rsid w:val="00B95A88"/>
    <w:rsid w:val="00BA0A9B"/>
    <w:rsid w:val="00BA1827"/>
    <w:rsid w:val="00BA25D6"/>
    <w:rsid w:val="00BA322D"/>
    <w:rsid w:val="00BA4D02"/>
    <w:rsid w:val="00BA63FA"/>
    <w:rsid w:val="00BB00B3"/>
    <w:rsid w:val="00BB0BDD"/>
    <w:rsid w:val="00BB176C"/>
    <w:rsid w:val="00BB2A73"/>
    <w:rsid w:val="00BB3A45"/>
    <w:rsid w:val="00BB46AA"/>
    <w:rsid w:val="00BB4ACC"/>
    <w:rsid w:val="00BB703E"/>
    <w:rsid w:val="00BB71FC"/>
    <w:rsid w:val="00BB732D"/>
    <w:rsid w:val="00BB7405"/>
    <w:rsid w:val="00BB7EC1"/>
    <w:rsid w:val="00BC1FBE"/>
    <w:rsid w:val="00BC3631"/>
    <w:rsid w:val="00BC591F"/>
    <w:rsid w:val="00BC6CF9"/>
    <w:rsid w:val="00BC7D6D"/>
    <w:rsid w:val="00BD2108"/>
    <w:rsid w:val="00BD4048"/>
    <w:rsid w:val="00BD5DF4"/>
    <w:rsid w:val="00BD68A3"/>
    <w:rsid w:val="00BD6938"/>
    <w:rsid w:val="00BD6CF3"/>
    <w:rsid w:val="00BD76A6"/>
    <w:rsid w:val="00BE0ECA"/>
    <w:rsid w:val="00BE1801"/>
    <w:rsid w:val="00BE2180"/>
    <w:rsid w:val="00BE21F2"/>
    <w:rsid w:val="00BE359F"/>
    <w:rsid w:val="00BE3BC4"/>
    <w:rsid w:val="00BE4275"/>
    <w:rsid w:val="00BE63CB"/>
    <w:rsid w:val="00BE755A"/>
    <w:rsid w:val="00BE7785"/>
    <w:rsid w:val="00BF061A"/>
    <w:rsid w:val="00BF06AE"/>
    <w:rsid w:val="00BF0F95"/>
    <w:rsid w:val="00BF2433"/>
    <w:rsid w:val="00BF3C38"/>
    <w:rsid w:val="00BF5425"/>
    <w:rsid w:val="00BF5599"/>
    <w:rsid w:val="00BF61C9"/>
    <w:rsid w:val="00BF6C94"/>
    <w:rsid w:val="00BF7447"/>
    <w:rsid w:val="00C00424"/>
    <w:rsid w:val="00C00DB2"/>
    <w:rsid w:val="00C07984"/>
    <w:rsid w:val="00C1179F"/>
    <w:rsid w:val="00C12339"/>
    <w:rsid w:val="00C12C14"/>
    <w:rsid w:val="00C12CD8"/>
    <w:rsid w:val="00C1569F"/>
    <w:rsid w:val="00C15F04"/>
    <w:rsid w:val="00C166C3"/>
    <w:rsid w:val="00C17895"/>
    <w:rsid w:val="00C178B4"/>
    <w:rsid w:val="00C179B3"/>
    <w:rsid w:val="00C17E3F"/>
    <w:rsid w:val="00C200AA"/>
    <w:rsid w:val="00C2062A"/>
    <w:rsid w:val="00C20AEC"/>
    <w:rsid w:val="00C212EA"/>
    <w:rsid w:val="00C216B5"/>
    <w:rsid w:val="00C2234C"/>
    <w:rsid w:val="00C2374E"/>
    <w:rsid w:val="00C237ED"/>
    <w:rsid w:val="00C23BED"/>
    <w:rsid w:val="00C23E0A"/>
    <w:rsid w:val="00C24632"/>
    <w:rsid w:val="00C25418"/>
    <w:rsid w:val="00C25D9C"/>
    <w:rsid w:val="00C26C85"/>
    <w:rsid w:val="00C2778B"/>
    <w:rsid w:val="00C277B4"/>
    <w:rsid w:val="00C31649"/>
    <w:rsid w:val="00C31E51"/>
    <w:rsid w:val="00C3354E"/>
    <w:rsid w:val="00C3434C"/>
    <w:rsid w:val="00C35FF5"/>
    <w:rsid w:val="00C36A44"/>
    <w:rsid w:val="00C40385"/>
    <w:rsid w:val="00C41385"/>
    <w:rsid w:val="00C41768"/>
    <w:rsid w:val="00C4193E"/>
    <w:rsid w:val="00C41E7E"/>
    <w:rsid w:val="00C43825"/>
    <w:rsid w:val="00C44D5A"/>
    <w:rsid w:val="00C46795"/>
    <w:rsid w:val="00C46F5F"/>
    <w:rsid w:val="00C475AA"/>
    <w:rsid w:val="00C4771F"/>
    <w:rsid w:val="00C5085E"/>
    <w:rsid w:val="00C51109"/>
    <w:rsid w:val="00C52CE9"/>
    <w:rsid w:val="00C53C98"/>
    <w:rsid w:val="00C56CDC"/>
    <w:rsid w:val="00C56FCF"/>
    <w:rsid w:val="00C57B6C"/>
    <w:rsid w:val="00C60CDD"/>
    <w:rsid w:val="00C61C33"/>
    <w:rsid w:val="00C6222C"/>
    <w:rsid w:val="00C6257F"/>
    <w:rsid w:val="00C628A6"/>
    <w:rsid w:val="00C634FE"/>
    <w:rsid w:val="00C64344"/>
    <w:rsid w:val="00C65108"/>
    <w:rsid w:val="00C65576"/>
    <w:rsid w:val="00C66165"/>
    <w:rsid w:val="00C6761C"/>
    <w:rsid w:val="00C7060A"/>
    <w:rsid w:val="00C7151A"/>
    <w:rsid w:val="00C716B6"/>
    <w:rsid w:val="00C717E3"/>
    <w:rsid w:val="00C71F60"/>
    <w:rsid w:val="00C720E6"/>
    <w:rsid w:val="00C72241"/>
    <w:rsid w:val="00C72999"/>
    <w:rsid w:val="00C732AA"/>
    <w:rsid w:val="00C750C8"/>
    <w:rsid w:val="00C7560F"/>
    <w:rsid w:val="00C77EDE"/>
    <w:rsid w:val="00C77FAA"/>
    <w:rsid w:val="00C80A0E"/>
    <w:rsid w:val="00C8186A"/>
    <w:rsid w:val="00C81A71"/>
    <w:rsid w:val="00C8213F"/>
    <w:rsid w:val="00C8314D"/>
    <w:rsid w:val="00C83B48"/>
    <w:rsid w:val="00C85154"/>
    <w:rsid w:val="00C855B3"/>
    <w:rsid w:val="00C856BB"/>
    <w:rsid w:val="00C85AFB"/>
    <w:rsid w:val="00C8797A"/>
    <w:rsid w:val="00C900B8"/>
    <w:rsid w:val="00C90C71"/>
    <w:rsid w:val="00C9199D"/>
    <w:rsid w:val="00C91FD1"/>
    <w:rsid w:val="00C92B50"/>
    <w:rsid w:val="00C92BC4"/>
    <w:rsid w:val="00C931CF"/>
    <w:rsid w:val="00C938CF"/>
    <w:rsid w:val="00C93E3F"/>
    <w:rsid w:val="00C94053"/>
    <w:rsid w:val="00C953B9"/>
    <w:rsid w:val="00C9624D"/>
    <w:rsid w:val="00C969DA"/>
    <w:rsid w:val="00C96FC9"/>
    <w:rsid w:val="00C97820"/>
    <w:rsid w:val="00CA0417"/>
    <w:rsid w:val="00CA20E6"/>
    <w:rsid w:val="00CA2C77"/>
    <w:rsid w:val="00CA444F"/>
    <w:rsid w:val="00CA4508"/>
    <w:rsid w:val="00CA510C"/>
    <w:rsid w:val="00CA5245"/>
    <w:rsid w:val="00CA71F4"/>
    <w:rsid w:val="00CA7B09"/>
    <w:rsid w:val="00CB12A5"/>
    <w:rsid w:val="00CB1625"/>
    <w:rsid w:val="00CB1CAC"/>
    <w:rsid w:val="00CB296B"/>
    <w:rsid w:val="00CB2BF2"/>
    <w:rsid w:val="00CB2F2A"/>
    <w:rsid w:val="00CB474C"/>
    <w:rsid w:val="00CB4CD9"/>
    <w:rsid w:val="00CB53DE"/>
    <w:rsid w:val="00CB5B1A"/>
    <w:rsid w:val="00CB6B22"/>
    <w:rsid w:val="00CB7F5F"/>
    <w:rsid w:val="00CC1050"/>
    <w:rsid w:val="00CC1B39"/>
    <w:rsid w:val="00CC20C7"/>
    <w:rsid w:val="00CC35EA"/>
    <w:rsid w:val="00CC3848"/>
    <w:rsid w:val="00CC4AD2"/>
    <w:rsid w:val="00CC7BDB"/>
    <w:rsid w:val="00CD0F9A"/>
    <w:rsid w:val="00CD169B"/>
    <w:rsid w:val="00CD1B30"/>
    <w:rsid w:val="00CD2C3A"/>
    <w:rsid w:val="00CD3F77"/>
    <w:rsid w:val="00CD62A0"/>
    <w:rsid w:val="00CD6ADC"/>
    <w:rsid w:val="00CD7193"/>
    <w:rsid w:val="00CE38C8"/>
    <w:rsid w:val="00CE4931"/>
    <w:rsid w:val="00CE4B10"/>
    <w:rsid w:val="00CE6274"/>
    <w:rsid w:val="00CE77B6"/>
    <w:rsid w:val="00CF2B8D"/>
    <w:rsid w:val="00CF456B"/>
    <w:rsid w:val="00CF52BC"/>
    <w:rsid w:val="00CF5A22"/>
    <w:rsid w:val="00CF5DA3"/>
    <w:rsid w:val="00CF63F6"/>
    <w:rsid w:val="00CF70C2"/>
    <w:rsid w:val="00CF7313"/>
    <w:rsid w:val="00CF7AEA"/>
    <w:rsid w:val="00D001A0"/>
    <w:rsid w:val="00D01878"/>
    <w:rsid w:val="00D0262E"/>
    <w:rsid w:val="00D038B6"/>
    <w:rsid w:val="00D04AB0"/>
    <w:rsid w:val="00D04C54"/>
    <w:rsid w:val="00D056A4"/>
    <w:rsid w:val="00D05E3D"/>
    <w:rsid w:val="00D06139"/>
    <w:rsid w:val="00D07310"/>
    <w:rsid w:val="00D07855"/>
    <w:rsid w:val="00D10D2A"/>
    <w:rsid w:val="00D110BD"/>
    <w:rsid w:val="00D12BF9"/>
    <w:rsid w:val="00D134C7"/>
    <w:rsid w:val="00D13675"/>
    <w:rsid w:val="00D13CFE"/>
    <w:rsid w:val="00D13D84"/>
    <w:rsid w:val="00D141E1"/>
    <w:rsid w:val="00D14B3C"/>
    <w:rsid w:val="00D15314"/>
    <w:rsid w:val="00D154D8"/>
    <w:rsid w:val="00D16857"/>
    <w:rsid w:val="00D17B5B"/>
    <w:rsid w:val="00D17D6C"/>
    <w:rsid w:val="00D17F14"/>
    <w:rsid w:val="00D2155B"/>
    <w:rsid w:val="00D2250E"/>
    <w:rsid w:val="00D23D11"/>
    <w:rsid w:val="00D23E04"/>
    <w:rsid w:val="00D244B6"/>
    <w:rsid w:val="00D24596"/>
    <w:rsid w:val="00D24E70"/>
    <w:rsid w:val="00D24EB1"/>
    <w:rsid w:val="00D258B7"/>
    <w:rsid w:val="00D25923"/>
    <w:rsid w:val="00D25C64"/>
    <w:rsid w:val="00D2754D"/>
    <w:rsid w:val="00D278B0"/>
    <w:rsid w:val="00D27B27"/>
    <w:rsid w:val="00D27BB7"/>
    <w:rsid w:val="00D31D35"/>
    <w:rsid w:val="00D31E20"/>
    <w:rsid w:val="00D31F40"/>
    <w:rsid w:val="00D33BE9"/>
    <w:rsid w:val="00D33F93"/>
    <w:rsid w:val="00D357FF"/>
    <w:rsid w:val="00D37F8D"/>
    <w:rsid w:val="00D402F5"/>
    <w:rsid w:val="00D42182"/>
    <w:rsid w:val="00D424C7"/>
    <w:rsid w:val="00D438C8"/>
    <w:rsid w:val="00D43B2A"/>
    <w:rsid w:val="00D43D83"/>
    <w:rsid w:val="00D448A1"/>
    <w:rsid w:val="00D47575"/>
    <w:rsid w:val="00D5243B"/>
    <w:rsid w:val="00D533EC"/>
    <w:rsid w:val="00D53AEF"/>
    <w:rsid w:val="00D54995"/>
    <w:rsid w:val="00D56A95"/>
    <w:rsid w:val="00D6114F"/>
    <w:rsid w:val="00D62698"/>
    <w:rsid w:val="00D63B27"/>
    <w:rsid w:val="00D64625"/>
    <w:rsid w:val="00D64887"/>
    <w:rsid w:val="00D64A1E"/>
    <w:rsid w:val="00D6556B"/>
    <w:rsid w:val="00D661FA"/>
    <w:rsid w:val="00D66AAA"/>
    <w:rsid w:val="00D70433"/>
    <w:rsid w:val="00D70F16"/>
    <w:rsid w:val="00D72F57"/>
    <w:rsid w:val="00D74404"/>
    <w:rsid w:val="00D75616"/>
    <w:rsid w:val="00D76A44"/>
    <w:rsid w:val="00D76ACF"/>
    <w:rsid w:val="00D815EF"/>
    <w:rsid w:val="00D81F26"/>
    <w:rsid w:val="00D84370"/>
    <w:rsid w:val="00D84502"/>
    <w:rsid w:val="00D85B67"/>
    <w:rsid w:val="00D8600F"/>
    <w:rsid w:val="00D86231"/>
    <w:rsid w:val="00D90373"/>
    <w:rsid w:val="00D90AAE"/>
    <w:rsid w:val="00D90E68"/>
    <w:rsid w:val="00D91687"/>
    <w:rsid w:val="00D91923"/>
    <w:rsid w:val="00D91D01"/>
    <w:rsid w:val="00D923E2"/>
    <w:rsid w:val="00D9251E"/>
    <w:rsid w:val="00D93753"/>
    <w:rsid w:val="00D93F4F"/>
    <w:rsid w:val="00DA09FF"/>
    <w:rsid w:val="00DA0BFE"/>
    <w:rsid w:val="00DA26F3"/>
    <w:rsid w:val="00DA3167"/>
    <w:rsid w:val="00DA4DC3"/>
    <w:rsid w:val="00DA6908"/>
    <w:rsid w:val="00DA77A5"/>
    <w:rsid w:val="00DB064D"/>
    <w:rsid w:val="00DB1DF8"/>
    <w:rsid w:val="00DB28A2"/>
    <w:rsid w:val="00DB2F7D"/>
    <w:rsid w:val="00DB3C21"/>
    <w:rsid w:val="00DB3DBF"/>
    <w:rsid w:val="00DB484F"/>
    <w:rsid w:val="00DB534E"/>
    <w:rsid w:val="00DB552A"/>
    <w:rsid w:val="00DC04F6"/>
    <w:rsid w:val="00DC0690"/>
    <w:rsid w:val="00DC0B3A"/>
    <w:rsid w:val="00DC1D65"/>
    <w:rsid w:val="00DC3C57"/>
    <w:rsid w:val="00DC466D"/>
    <w:rsid w:val="00DC5501"/>
    <w:rsid w:val="00DC7154"/>
    <w:rsid w:val="00DC7AD2"/>
    <w:rsid w:val="00DC7E16"/>
    <w:rsid w:val="00DC7E8A"/>
    <w:rsid w:val="00DC7F6A"/>
    <w:rsid w:val="00DD0F78"/>
    <w:rsid w:val="00DD1863"/>
    <w:rsid w:val="00DD1BD1"/>
    <w:rsid w:val="00DD20D6"/>
    <w:rsid w:val="00DD273C"/>
    <w:rsid w:val="00DD3F28"/>
    <w:rsid w:val="00DD4537"/>
    <w:rsid w:val="00DD4E15"/>
    <w:rsid w:val="00DD7D0F"/>
    <w:rsid w:val="00DE1C24"/>
    <w:rsid w:val="00DE1D32"/>
    <w:rsid w:val="00DE1F71"/>
    <w:rsid w:val="00DE2304"/>
    <w:rsid w:val="00DE3138"/>
    <w:rsid w:val="00DE37F8"/>
    <w:rsid w:val="00DE387D"/>
    <w:rsid w:val="00DE4E8C"/>
    <w:rsid w:val="00DE4FCB"/>
    <w:rsid w:val="00DE563B"/>
    <w:rsid w:val="00DE5D07"/>
    <w:rsid w:val="00DE72A7"/>
    <w:rsid w:val="00DE7832"/>
    <w:rsid w:val="00DF189B"/>
    <w:rsid w:val="00DF18FC"/>
    <w:rsid w:val="00DF2948"/>
    <w:rsid w:val="00DF2F06"/>
    <w:rsid w:val="00DF37A2"/>
    <w:rsid w:val="00DF3984"/>
    <w:rsid w:val="00DF3DAC"/>
    <w:rsid w:val="00DF451A"/>
    <w:rsid w:val="00DF5D2B"/>
    <w:rsid w:val="00DF5EA8"/>
    <w:rsid w:val="00DF6D00"/>
    <w:rsid w:val="00E002FE"/>
    <w:rsid w:val="00E007BC"/>
    <w:rsid w:val="00E00E8E"/>
    <w:rsid w:val="00E0135D"/>
    <w:rsid w:val="00E021F1"/>
    <w:rsid w:val="00E02C44"/>
    <w:rsid w:val="00E034F8"/>
    <w:rsid w:val="00E0369F"/>
    <w:rsid w:val="00E051B9"/>
    <w:rsid w:val="00E05630"/>
    <w:rsid w:val="00E05B07"/>
    <w:rsid w:val="00E06DBB"/>
    <w:rsid w:val="00E10149"/>
    <w:rsid w:val="00E11340"/>
    <w:rsid w:val="00E11DE0"/>
    <w:rsid w:val="00E122A1"/>
    <w:rsid w:val="00E12D70"/>
    <w:rsid w:val="00E13132"/>
    <w:rsid w:val="00E15453"/>
    <w:rsid w:val="00E15998"/>
    <w:rsid w:val="00E15BED"/>
    <w:rsid w:val="00E162E4"/>
    <w:rsid w:val="00E16372"/>
    <w:rsid w:val="00E20E4D"/>
    <w:rsid w:val="00E20ED6"/>
    <w:rsid w:val="00E21358"/>
    <w:rsid w:val="00E21A6D"/>
    <w:rsid w:val="00E2249B"/>
    <w:rsid w:val="00E22635"/>
    <w:rsid w:val="00E22A0D"/>
    <w:rsid w:val="00E244F6"/>
    <w:rsid w:val="00E24CDB"/>
    <w:rsid w:val="00E26A68"/>
    <w:rsid w:val="00E2771E"/>
    <w:rsid w:val="00E311EF"/>
    <w:rsid w:val="00E316E2"/>
    <w:rsid w:val="00E32180"/>
    <w:rsid w:val="00E33228"/>
    <w:rsid w:val="00E33CC2"/>
    <w:rsid w:val="00E3445E"/>
    <w:rsid w:val="00E34948"/>
    <w:rsid w:val="00E34BC9"/>
    <w:rsid w:val="00E358E6"/>
    <w:rsid w:val="00E37569"/>
    <w:rsid w:val="00E377D5"/>
    <w:rsid w:val="00E401B2"/>
    <w:rsid w:val="00E40ACA"/>
    <w:rsid w:val="00E41E30"/>
    <w:rsid w:val="00E42F73"/>
    <w:rsid w:val="00E43D70"/>
    <w:rsid w:val="00E466F3"/>
    <w:rsid w:val="00E473ED"/>
    <w:rsid w:val="00E47B2C"/>
    <w:rsid w:val="00E5129B"/>
    <w:rsid w:val="00E51560"/>
    <w:rsid w:val="00E53DFB"/>
    <w:rsid w:val="00E53FC8"/>
    <w:rsid w:val="00E54347"/>
    <w:rsid w:val="00E545CD"/>
    <w:rsid w:val="00E55424"/>
    <w:rsid w:val="00E55915"/>
    <w:rsid w:val="00E55A93"/>
    <w:rsid w:val="00E55BB5"/>
    <w:rsid w:val="00E56308"/>
    <w:rsid w:val="00E5791D"/>
    <w:rsid w:val="00E60BF4"/>
    <w:rsid w:val="00E6307A"/>
    <w:rsid w:val="00E641F8"/>
    <w:rsid w:val="00E64795"/>
    <w:rsid w:val="00E65E79"/>
    <w:rsid w:val="00E66056"/>
    <w:rsid w:val="00E66BA2"/>
    <w:rsid w:val="00E67416"/>
    <w:rsid w:val="00E718B6"/>
    <w:rsid w:val="00E723BA"/>
    <w:rsid w:val="00E725F6"/>
    <w:rsid w:val="00E73581"/>
    <w:rsid w:val="00E7394A"/>
    <w:rsid w:val="00E76AFB"/>
    <w:rsid w:val="00E776F6"/>
    <w:rsid w:val="00E8030D"/>
    <w:rsid w:val="00E8067A"/>
    <w:rsid w:val="00E80F6B"/>
    <w:rsid w:val="00E8151F"/>
    <w:rsid w:val="00E82C8E"/>
    <w:rsid w:val="00E833F7"/>
    <w:rsid w:val="00E83BDF"/>
    <w:rsid w:val="00E86407"/>
    <w:rsid w:val="00E87264"/>
    <w:rsid w:val="00E87A1D"/>
    <w:rsid w:val="00E87B3E"/>
    <w:rsid w:val="00E87B8E"/>
    <w:rsid w:val="00E90800"/>
    <w:rsid w:val="00E9094A"/>
    <w:rsid w:val="00E90963"/>
    <w:rsid w:val="00E9114A"/>
    <w:rsid w:val="00E91A2A"/>
    <w:rsid w:val="00E91B09"/>
    <w:rsid w:val="00E91D35"/>
    <w:rsid w:val="00E926A5"/>
    <w:rsid w:val="00E92FC3"/>
    <w:rsid w:val="00E949FA"/>
    <w:rsid w:val="00E965F9"/>
    <w:rsid w:val="00EA1200"/>
    <w:rsid w:val="00EA17C3"/>
    <w:rsid w:val="00EA248B"/>
    <w:rsid w:val="00EA2CAA"/>
    <w:rsid w:val="00EA3864"/>
    <w:rsid w:val="00EA389E"/>
    <w:rsid w:val="00EA390D"/>
    <w:rsid w:val="00EA3C26"/>
    <w:rsid w:val="00EA4488"/>
    <w:rsid w:val="00EA55B9"/>
    <w:rsid w:val="00EA7F1C"/>
    <w:rsid w:val="00EA7F37"/>
    <w:rsid w:val="00EB15B6"/>
    <w:rsid w:val="00EB1905"/>
    <w:rsid w:val="00EB2AFD"/>
    <w:rsid w:val="00EB32E2"/>
    <w:rsid w:val="00EB396F"/>
    <w:rsid w:val="00EB3D06"/>
    <w:rsid w:val="00EB4916"/>
    <w:rsid w:val="00EB6363"/>
    <w:rsid w:val="00EB6BAE"/>
    <w:rsid w:val="00EC00C9"/>
    <w:rsid w:val="00EC0AE2"/>
    <w:rsid w:val="00EC0DD9"/>
    <w:rsid w:val="00EC2649"/>
    <w:rsid w:val="00EC31ED"/>
    <w:rsid w:val="00EC4712"/>
    <w:rsid w:val="00EC5836"/>
    <w:rsid w:val="00EC61D9"/>
    <w:rsid w:val="00EC663E"/>
    <w:rsid w:val="00EC688C"/>
    <w:rsid w:val="00ED0194"/>
    <w:rsid w:val="00ED0A24"/>
    <w:rsid w:val="00ED26B9"/>
    <w:rsid w:val="00ED26FD"/>
    <w:rsid w:val="00ED29D4"/>
    <w:rsid w:val="00ED54EA"/>
    <w:rsid w:val="00ED57EA"/>
    <w:rsid w:val="00ED5BD4"/>
    <w:rsid w:val="00ED5D90"/>
    <w:rsid w:val="00ED68CD"/>
    <w:rsid w:val="00ED70C6"/>
    <w:rsid w:val="00EE07D3"/>
    <w:rsid w:val="00EE1996"/>
    <w:rsid w:val="00EE1C01"/>
    <w:rsid w:val="00EE22AF"/>
    <w:rsid w:val="00EE2417"/>
    <w:rsid w:val="00EE5218"/>
    <w:rsid w:val="00EE7354"/>
    <w:rsid w:val="00EF0171"/>
    <w:rsid w:val="00EF1A95"/>
    <w:rsid w:val="00EF1B25"/>
    <w:rsid w:val="00EF1DA0"/>
    <w:rsid w:val="00EF4747"/>
    <w:rsid w:val="00EF4BF8"/>
    <w:rsid w:val="00EF6E63"/>
    <w:rsid w:val="00F006D9"/>
    <w:rsid w:val="00F00E5B"/>
    <w:rsid w:val="00F01484"/>
    <w:rsid w:val="00F02134"/>
    <w:rsid w:val="00F02253"/>
    <w:rsid w:val="00F03C2E"/>
    <w:rsid w:val="00F0457A"/>
    <w:rsid w:val="00F046AA"/>
    <w:rsid w:val="00F04A66"/>
    <w:rsid w:val="00F04B4B"/>
    <w:rsid w:val="00F0516C"/>
    <w:rsid w:val="00F067A2"/>
    <w:rsid w:val="00F0751A"/>
    <w:rsid w:val="00F07B9E"/>
    <w:rsid w:val="00F10648"/>
    <w:rsid w:val="00F1116F"/>
    <w:rsid w:val="00F12477"/>
    <w:rsid w:val="00F1263A"/>
    <w:rsid w:val="00F12E2D"/>
    <w:rsid w:val="00F132E7"/>
    <w:rsid w:val="00F13F90"/>
    <w:rsid w:val="00F14D3E"/>
    <w:rsid w:val="00F152AA"/>
    <w:rsid w:val="00F15B77"/>
    <w:rsid w:val="00F163A3"/>
    <w:rsid w:val="00F16D29"/>
    <w:rsid w:val="00F24837"/>
    <w:rsid w:val="00F24CC5"/>
    <w:rsid w:val="00F2575F"/>
    <w:rsid w:val="00F27565"/>
    <w:rsid w:val="00F303F0"/>
    <w:rsid w:val="00F310D4"/>
    <w:rsid w:val="00F3199A"/>
    <w:rsid w:val="00F31D5A"/>
    <w:rsid w:val="00F3228C"/>
    <w:rsid w:val="00F32A4A"/>
    <w:rsid w:val="00F33975"/>
    <w:rsid w:val="00F33DE9"/>
    <w:rsid w:val="00F342C0"/>
    <w:rsid w:val="00F34416"/>
    <w:rsid w:val="00F35E6D"/>
    <w:rsid w:val="00F3619A"/>
    <w:rsid w:val="00F40AAA"/>
    <w:rsid w:val="00F40BA7"/>
    <w:rsid w:val="00F40F9D"/>
    <w:rsid w:val="00F41ACD"/>
    <w:rsid w:val="00F420D3"/>
    <w:rsid w:val="00F42F61"/>
    <w:rsid w:val="00F44110"/>
    <w:rsid w:val="00F44A99"/>
    <w:rsid w:val="00F46CB6"/>
    <w:rsid w:val="00F4756D"/>
    <w:rsid w:val="00F47B57"/>
    <w:rsid w:val="00F47DE8"/>
    <w:rsid w:val="00F542C1"/>
    <w:rsid w:val="00F54F29"/>
    <w:rsid w:val="00F556A2"/>
    <w:rsid w:val="00F55E73"/>
    <w:rsid w:val="00F55EDA"/>
    <w:rsid w:val="00F56C80"/>
    <w:rsid w:val="00F56D37"/>
    <w:rsid w:val="00F60092"/>
    <w:rsid w:val="00F61C18"/>
    <w:rsid w:val="00F61D57"/>
    <w:rsid w:val="00F6212F"/>
    <w:rsid w:val="00F63002"/>
    <w:rsid w:val="00F63F24"/>
    <w:rsid w:val="00F64012"/>
    <w:rsid w:val="00F64194"/>
    <w:rsid w:val="00F65178"/>
    <w:rsid w:val="00F65AEF"/>
    <w:rsid w:val="00F65F4B"/>
    <w:rsid w:val="00F663FC"/>
    <w:rsid w:val="00F67A69"/>
    <w:rsid w:val="00F70AE8"/>
    <w:rsid w:val="00F70BFF"/>
    <w:rsid w:val="00F70C9D"/>
    <w:rsid w:val="00F74933"/>
    <w:rsid w:val="00F74CD9"/>
    <w:rsid w:val="00F7555F"/>
    <w:rsid w:val="00F777F6"/>
    <w:rsid w:val="00F80A7B"/>
    <w:rsid w:val="00F80E5D"/>
    <w:rsid w:val="00F80F31"/>
    <w:rsid w:val="00F8190A"/>
    <w:rsid w:val="00F81E78"/>
    <w:rsid w:val="00F82242"/>
    <w:rsid w:val="00F851CE"/>
    <w:rsid w:val="00F86666"/>
    <w:rsid w:val="00F86B8C"/>
    <w:rsid w:val="00F906BE"/>
    <w:rsid w:val="00F91219"/>
    <w:rsid w:val="00F91DFB"/>
    <w:rsid w:val="00F92444"/>
    <w:rsid w:val="00F92BF4"/>
    <w:rsid w:val="00F9393E"/>
    <w:rsid w:val="00F93D0F"/>
    <w:rsid w:val="00F93D7E"/>
    <w:rsid w:val="00F95224"/>
    <w:rsid w:val="00F96927"/>
    <w:rsid w:val="00F96FD0"/>
    <w:rsid w:val="00F97A78"/>
    <w:rsid w:val="00FA0B20"/>
    <w:rsid w:val="00FA102E"/>
    <w:rsid w:val="00FA1267"/>
    <w:rsid w:val="00FA1FA2"/>
    <w:rsid w:val="00FA24E7"/>
    <w:rsid w:val="00FA2B47"/>
    <w:rsid w:val="00FA312D"/>
    <w:rsid w:val="00FA429B"/>
    <w:rsid w:val="00FA48DC"/>
    <w:rsid w:val="00FA4B11"/>
    <w:rsid w:val="00FA54D4"/>
    <w:rsid w:val="00FA560E"/>
    <w:rsid w:val="00FA5EE6"/>
    <w:rsid w:val="00FA5FA9"/>
    <w:rsid w:val="00FA7956"/>
    <w:rsid w:val="00FB0E42"/>
    <w:rsid w:val="00FB2FCB"/>
    <w:rsid w:val="00FB3BC2"/>
    <w:rsid w:val="00FB4ADE"/>
    <w:rsid w:val="00FB61DB"/>
    <w:rsid w:val="00FB6EA9"/>
    <w:rsid w:val="00FB7C55"/>
    <w:rsid w:val="00FC0F05"/>
    <w:rsid w:val="00FC1074"/>
    <w:rsid w:val="00FC1884"/>
    <w:rsid w:val="00FC371D"/>
    <w:rsid w:val="00FC39BC"/>
    <w:rsid w:val="00FC5F0B"/>
    <w:rsid w:val="00FC7F40"/>
    <w:rsid w:val="00FD06AF"/>
    <w:rsid w:val="00FD13D9"/>
    <w:rsid w:val="00FD2100"/>
    <w:rsid w:val="00FD436C"/>
    <w:rsid w:val="00FD446D"/>
    <w:rsid w:val="00FD44FF"/>
    <w:rsid w:val="00FD4A2A"/>
    <w:rsid w:val="00FD4D82"/>
    <w:rsid w:val="00FD4F2C"/>
    <w:rsid w:val="00FD5051"/>
    <w:rsid w:val="00FD6394"/>
    <w:rsid w:val="00FD6986"/>
    <w:rsid w:val="00FD749B"/>
    <w:rsid w:val="00FE0C51"/>
    <w:rsid w:val="00FE0E6C"/>
    <w:rsid w:val="00FE13B1"/>
    <w:rsid w:val="00FE1CDC"/>
    <w:rsid w:val="00FE31E4"/>
    <w:rsid w:val="00FE70C3"/>
    <w:rsid w:val="00FF09A6"/>
    <w:rsid w:val="00FF1EC9"/>
    <w:rsid w:val="00FF2AD9"/>
    <w:rsid w:val="00FF359F"/>
    <w:rsid w:val="00FF3DCF"/>
    <w:rsid w:val="00FF492C"/>
    <w:rsid w:val="00FF4A21"/>
    <w:rsid w:val="00FF54F8"/>
    <w:rsid w:val="00FF5853"/>
    <w:rsid w:val="00FF5AA3"/>
    <w:rsid w:val="00FF5AD8"/>
    <w:rsid w:val="00FF6C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aliases w:val="Section Heading,H1,Header 1,Heading 12,Titre 1 Car Car,Titre 1 Car,Outline1,p1"/>
    <w:basedOn w:val="Normal"/>
    <w:next w:val="Normal"/>
    <w:qFormat/>
    <w:rsid w:val="001B204E"/>
    <w:pPr>
      <w:ind w:left="720" w:hanging="720"/>
      <w:outlineLvl w:val="0"/>
    </w:pPr>
    <w:rPr>
      <w:b/>
      <w:caps/>
      <w:sz w:val="32"/>
    </w:rPr>
  </w:style>
  <w:style w:type="paragraph" w:styleId="Heading2">
    <w:name w:val="heading 2"/>
    <w:aliases w:val="H2,Heading h2,h2,Heading 2x,p2 Char"/>
    <w:basedOn w:val="Normal"/>
    <w:next w:val="Normal"/>
    <w:link w:val="Heading2Char"/>
    <w:qFormat/>
    <w:rsid w:val="001B204E"/>
    <w:pPr>
      <w:outlineLvl w:val="1"/>
    </w:pPr>
    <w:rPr>
      <w:b/>
      <w:i/>
      <w:sz w:val="28"/>
    </w:rPr>
  </w:style>
  <w:style w:type="paragraph" w:styleId="Heading3">
    <w:name w:val="heading 3"/>
    <w:aliases w:val="H3,Heading h3,h3,Don 3,Heading 3x,p3 Char"/>
    <w:basedOn w:val="Normal"/>
    <w:next w:val="Normal"/>
    <w:qFormat/>
    <w:rsid w:val="001F7361"/>
    <w:pPr>
      <w:outlineLvl w:val="2"/>
    </w:pPr>
    <w:rPr>
      <w:u w:val="single"/>
    </w:rPr>
  </w:style>
  <w:style w:type="paragraph" w:styleId="Heading4">
    <w:name w:val="heading 4"/>
    <w:aliases w:val=" Char,p4"/>
    <w:basedOn w:val="Normal"/>
    <w:next w:val="Normal"/>
    <w:qFormat/>
    <w:rsid w:val="00124A51"/>
    <w:pPr>
      <w:keepNext/>
      <w:spacing w:before="240" w:after="60"/>
      <w:outlineLvl w:val="3"/>
    </w:pPr>
    <w:rPr>
      <w:b/>
      <w:bCs/>
      <w:i/>
      <w:sz w:val="26"/>
      <w:szCs w:val="28"/>
    </w:rPr>
  </w:style>
  <w:style w:type="paragraph" w:styleId="Heading5">
    <w:name w:val="heading 5"/>
    <w:aliases w:val="p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eading h2 Char,h2 Char,Heading 2x Char,p2 Char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Table caption,12"/>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Section 5,Bullet 1,Bullet List,Table Legend,Styl moj,Akapit z listą11,L,Bullet Poin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Section 5 Char,Bullet 1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Source table_"/>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link w:val="BulletpointsChar"/>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unhideWhenUsed/>
    <w:rsid w:val="001A46AB"/>
    <w:pPr>
      <w:widowControl w:val="0"/>
    </w:pPr>
    <w:rPr>
      <w:snapToGrid w:val="0"/>
      <w:sz w:val="20"/>
      <w:szCs w:val="20"/>
      <w:lang w:eastAsia="en-US"/>
    </w:rPr>
  </w:style>
  <w:style w:type="character" w:customStyle="1" w:styleId="FootnoteTextChar">
    <w:name w:val="Footnote Text Char"/>
    <w:basedOn w:val="DefaultParagraphFont"/>
    <w:link w:val="FootnoteText"/>
    <w:rsid w:val="001A46AB"/>
    <w:rPr>
      <w:rFonts w:ascii="Calibri" w:hAnsi="Calibri" w:cs="Arial"/>
      <w:snapToGrid w:val="0"/>
      <w:lang w:eastAsia="en-US"/>
    </w:rPr>
  </w:style>
  <w:style w:type="character" w:customStyle="1" w:styleId="BulletpointsChar">
    <w:name w:val="Bullet points Char"/>
    <w:basedOn w:val="DefaultParagraphFont"/>
    <w:link w:val="Bulletpoints"/>
    <w:rsid w:val="00CB2BF2"/>
    <w:rPr>
      <w:rFonts w:asciiTheme="minorHAnsi" w:hAnsiTheme="minorHAnsi" w:cs="Arial"/>
      <w:snapToGrid w:val="0"/>
      <w:sz w:val="24"/>
      <w:szCs w:val="24"/>
    </w:rPr>
  </w:style>
  <w:style w:type="paragraph" w:customStyle="1" w:styleId="bulletpoint">
    <w:name w:val="bullet point"/>
    <w:basedOn w:val="Normal"/>
    <w:qFormat/>
    <w:rsid w:val="00CB2BF2"/>
    <w:pPr>
      <w:numPr>
        <w:numId w:val="9"/>
      </w:numPr>
    </w:pPr>
    <w:rPr>
      <w:rFonts w:ascii="Times New Roman" w:hAnsi="Times New Roman" w:cs="Times New Roman"/>
      <w:lang w:eastAsia="en-US"/>
    </w:rPr>
  </w:style>
  <w:style w:type="paragraph" w:customStyle="1" w:styleId="TableTextleftalign">
    <w:name w:val="Table Text left align"/>
    <w:basedOn w:val="Normal"/>
    <w:link w:val="TableTextleftalignChar"/>
    <w:qFormat/>
    <w:rsid w:val="006937D3"/>
    <w:pPr>
      <w:jc w:val="left"/>
    </w:pPr>
    <w:rPr>
      <w:rFonts w:cs="Times New Roman"/>
      <w:sz w:val="18"/>
      <w:szCs w:val="18"/>
      <w:lang w:eastAsia="en-US"/>
    </w:rPr>
  </w:style>
  <w:style w:type="character" w:customStyle="1" w:styleId="TableTextleftalignChar">
    <w:name w:val="Table Text left align Char"/>
    <w:basedOn w:val="DefaultParagraphFont"/>
    <w:link w:val="TableTextleftalign"/>
    <w:rsid w:val="006937D3"/>
    <w:rPr>
      <w:rFonts w:ascii="Calibri" w:hAnsi="Calibri"/>
      <w:sz w:val="18"/>
      <w:szCs w:val="18"/>
      <w:lang w:eastAsia="en-US"/>
    </w:rPr>
  </w:style>
  <w:style w:type="table" w:customStyle="1" w:styleId="Submissionstandard2">
    <w:name w:val="Submission standard2"/>
    <w:basedOn w:val="TableNormal"/>
    <w:uiPriority w:val="99"/>
    <w:qFormat/>
    <w:rsid w:val="006937D3"/>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character" w:customStyle="1" w:styleId="CaptionFootnoteChar">
    <w:name w:val="Caption Footnote Char"/>
    <w:basedOn w:val="DefaultParagraphFont"/>
    <w:link w:val="CaptionFootnote"/>
    <w:rsid w:val="00C26C85"/>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C26C85"/>
    <w:pPr>
      <w:jc w:val="left"/>
    </w:pPr>
    <w:rPr>
      <w:rFonts w:asciiTheme="minorHAnsi" w:hAnsiTheme="minorHAnsi" w:cs="Times New Roman"/>
      <w:kern w:val="28"/>
      <w:sz w:val="16"/>
      <w:lang w:eastAsia="en-GB"/>
    </w:rPr>
  </w:style>
  <w:style w:type="character" w:customStyle="1" w:styleId="SmallItalics">
    <w:name w:val="Small Italics"/>
    <w:basedOn w:val="DefaultParagraphFont"/>
    <w:uiPriority w:val="4"/>
    <w:qFormat/>
    <w:rsid w:val="00963558"/>
    <w:rPr>
      <w:rFonts w:ascii="Calibri" w:hAnsi="Calibri"/>
      <w:i/>
      <w:sz w:val="20"/>
    </w:rPr>
  </w:style>
  <w:style w:type="paragraph" w:customStyle="1" w:styleId="Default">
    <w:name w:val="Default"/>
    <w:rsid w:val="00963558"/>
    <w:pPr>
      <w:autoSpaceDE w:val="0"/>
      <w:autoSpaceDN w:val="0"/>
      <w:adjustRightInd w:val="0"/>
    </w:pPr>
    <w:rPr>
      <w:rFonts w:ascii="Calibri" w:hAnsi="Calibri" w:cs="Calibri"/>
      <w:color w:val="000000"/>
      <w:sz w:val="24"/>
      <w:szCs w:val="24"/>
    </w:rPr>
  </w:style>
  <w:style w:type="paragraph" w:customStyle="1" w:styleId="TableLeft">
    <w:name w:val="Table Left"/>
    <w:basedOn w:val="Normal"/>
    <w:link w:val="TableLeftChar"/>
    <w:uiPriority w:val="99"/>
    <w:qFormat/>
    <w:rsid w:val="00963558"/>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963558"/>
    <w:rPr>
      <w:rFonts w:ascii="Calibri" w:eastAsiaTheme="majorEastAsia" w:hAnsi="Calibri" w:cstheme="majorBidi"/>
      <w:sz w:val="18"/>
      <w:szCs w:val="22"/>
      <w:lang w:eastAsia="en-US" w:bidi="en-US"/>
    </w:rPr>
  </w:style>
  <w:style w:type="character" w:styleId="FootnoteReference">
    <w:name w:val="footnote reference"/>
    <w:basedOn w:val="DefaultParagraphFont"/>
    <w:semiHidden/>
    <w:unhideWhenUsed/>
    <w:rsid w:val="00963558"/>
    <w:rPr>
      <w:vertAlign w:val="superscript"/>
    </w:rPr>
  </w:style>
  <w:style w:type="character" w:customStyle="1" w:styleId="Small">
    <w:name w:val="Small"/>
    <w:basedOn w:val="DefaultParagraphFont"/>
    <w:uiPriority w:val="4"/>
    <w:qFormat/>
    <w:rsid w:val="00963558"/>
    <w:rPr>
      <w:rFonts w:ascii="Calibri" w:hAnsi="Calibri"/>
      <w:sz w:val="20"/>
    </w:rPr>
  </w:style>
  <w:style w:type="table" w:customStyle="1" w:styleId="Sourcetable1">
    <w:name w:val="Source table_1"/>
    <w:basedOn w:val="TableNormal"/>
    <w:next w:val="TableGrid"/>
    <w:rsid w:val="007F0964"/>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urcetable7">
    <w:name w:val="Source table_7"/>
    <w:basedOn w:val="TableNormal"/>
    <w:next w:val="TableGrid"/>
    <w:uiPriority w:val="39"/>
    <w:rsid w:val="007F0964"/>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urcetable8">
    <w:name w:val="Source table_8"/>
    <w:basedOn w:val="TableNormal"/>
    <w:next w:val="TableGrid"/>
    <w:uiPriority w:val="39"/>
    <w:rsid w:val="0010115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3B0C51"/>
    <w:rPr>
      <w:color w:val="605E5C"/>
      <w:shd w:val="clear" w:color="auto" w:fill="E1DFDD"/>
    </w:rPr>
  </w:style>
  <w:style w:type="character" w:styleId="Emphasis">
    <w:name w:val="Emphasis"/>
    <w:basedOn w:val="DefaultParagraphFont"/>
    <w:uiPriority w:val="20"/>
    <w:qFormat/>
    <w:rsid w:val="003B0C51"/>
    <w:rPr>
      <w:i/>
      <w:iCs/>
    </w:rPr>
  </w:style>
  <w:style w:type="character" w:customStyle="1" w:styleId="SmallBold">
    <w:name w:val="Small Bold"/>
    <w:basedOn w:val="Small"/>
    <w:uiPriority w:val="4"/>
    <w:qFormat/>
    <w:rsid w:val="003B0C51"/>
    <w:rPr>
      <w:rFonts w:ascii="Calibri" w:hAnsi="Calibri"/>
      <w:b/>
      <w:sz w:val="20"/>
      <w:lang w:val="en-AU"/>
    </w:rPr>
  </w:style>
  <w:style w:type="table" w:customStyle="1" w:styleId="TableGrid1">
    <w:name w:val="Table Grid1"/>
    <w:basedOn w:val="TableNormal"/>
    <w:next w:val="TableGrid"/>
    <w:uiPriority w:val="59"/>
    <w:rsid w:val="003B0C51"/>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Bullets">
    <w:name w:val="Table Bullets"/>
    <w:basedOn w:val="Normal"/>
    <w:uiPriority w:val="5"/>
    <w:qFormat/>
    <w:rsid w:val="003B0C51"/>
    <w:pPr>
      <w:numPr>
        <w:numId w:val="14"/>
      </w:numPr>
      <w:jc w:val="left"/>
    </w:pPr>
    <w:rPr>
      <w:rFonts w:eastAsiaTheme="majorEastAsia" w:cstheme="majorBidi"/>
      <w:sz w:val="18"/>
      <w:szCs w:val="22"/>
      <w:lang w:eastAsia="en-US" w:bidi="en-US"/>
    </w:rPr>
  </w:style>
  <w:style w:type="table" w:customStyle="1" w:styleId="Sourcetable2">
    <w:name w:val="Source table_2"/>
    <w:basedOn w:val="TableNormal"/>
    <w:next w:val="TableGrid"/>
    <w:uiPriority w:val="39"/>
    <w:rsid w:val="003B0C51"/>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urcetable3">
    <w:name w:val="Source table_3"/>
    <w:basedOn w:val="TableNormal"/>
    <w:next w:val="TableGrid"/>
    <w:uiPriority w:val="39"/>
    <w:rsid w:val="003B0C51"/>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
    <w:name w:val="TableTitle"/>
    <w:basedOn w:val="BodyText"/>
    <w:next w:val="BodyText"/>
    <w:link w:val="TableTitleChar"/>
    <w:rsid w:val="003B0C51"/>
    <w:pPr>
      <w:keepNext/>
      <w:tabs>
        <w:tab w:val="left" w:pos="1559"/>
      </w:tabs>
      <w:spacing w:after="60"/>
      <w:ind w:left="1559" w:hanging="1559"/>
    </w:pPr>
    <w:rPr>
      <w:rFonts w:eastAsiaTheme="minorHAnsi" w:cstheme="minorBidi"/>
      <w:b/>
      <w:lang w:eastAsia="en-US"/>
    </w:rPr>
  </w:style>
  <w:style w:type="character" w:customStyle="1" w:styleId="TableTitleChar">
    <w:name w:val="TableTitle Char"/>
    <w:basedOn w:val="BodyTextChar"/>
    <w:link w:val="TableTitle"/>
    <w:rsid w:val="003B0C51"/>
    <w:rPr>
      <w:rFonts w:ascii="Calibri" w:eastAsiaTheme="minorHAnsi" w:hAnsi="Calibri" w:cstheme="minorBidi"/>
      <w:b/>
      <w:snapToGrid/>
      <w:sz w:val="24"/>
      <w:szCs w:val="24"/>
      <w:lang w:eastAsia="en-US"/>
    </w:rPr>
  </w:style>
  <w:style w:type="paragraph" w:customStyle="1" w:styleId="Content">
    <w:name w:val="Content"/>
    <w:basedOn w:val="Normal"/>
    <w:link w:val="ContentChar"/>
    <w:qFormat/>
    <w:rsid w:val="003B0C51"/>
    <w:rPr>
      <w:rFonts w:eastAsia="ヒラギノ角ゴ Pro W3"/>
      <w:sz w:val="22"/>
      <w:szCs w:val="22"/>
      <w:lang w:eastAsia="en-US"/>
    </w:rPr>
  </w:style>
  <w:style w:type="character" w:customStyle="1" w:styleId="ContentChar">
    <w:name w:val="Content Char"/>
    <w:basedOn w:val="DefaultParagraphFont"/>
    <w:link w:val="Content"/>
    <w:rsid w:val="003B0C51"/>
    <w:rPr>
      <w:rFonts w:ascii="Calibri" w:eastAsia="ヒラギノ角ゴ Pro W3" w:hAnsi="Calibri" w:cs="Arial"/>
      <w:sz w:val="22"/>
      <w:szCs w:val="22"/>
      <w:lang w:eastAsia="en-US"/>
    </w:rPr>
  </w:style>
  <w:style w:type="paragraph" w:customStyle="1" w:styleId="TableNotes">
    <w:name w:val="TableNotes"/>
    <w:basedOn w:val="Normal"/>
    <w:link w:val="TableNotesChar"/>
    <w:rsid w:val="003B0C51"/>
    <w:pPr>
      <w:keepNext/>
      <w:tabs>
        <w:tab w:val="left" w:pos="1559"/>
      </w:tabs>
      <w:ind w:left="1559" w:hanging="1559"/>
      <w:jc w:val="left"/>
    </w:pPr>
    <w:rPr>
      <w:rFonts w:eastAsia="SimSun" w:cs="Times New Roman"/>
      <w:sz w:val="16"/>
      <w:szCs w:val="20"/>
      <w:lang w:eastAsia="zh-CN"/>
    </w:rPr>
  </w:style>
  <w:style w:type="character" w:customStyle="1" w:styleId="TableNotesChar">
    <w:name w:val="TableNotes Char"/>
    <w:basedOn w:val="DefaultParagraphFont"/>
    <w:link w:val="TableNotes"/>
    <w:rsid w:val="003B0C51"/>
    <w:rPr>
      <w:rFonts w:ascii="Calibri" w:eastAsia="SimSun" w:hAnsi="Calibri"/>
      <w:sz w:val="16"/>
      <w:lang w:eastAsia="zh-CN"/>
    </w:rPr>
  </w:style>
  <w:style w:type="table" w:customStyle="1" w:styleId="Submissionstandard1">
    <w:name w:val="Submission standard1"/>
    <w:basedOn w:val="TableNormal"/>
    <w:uiPriority w:val="99"/>
    <w:qFormat/>
    <w:rsid w:val="003B0C51"/>
    <w:rPr>
      <w:rFonts w:ascii="Arial Narrow" w:eastAsia="MS Gothic"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Marlett" w:hAnsi="Marlett"/>
        <w:b/>
        <w:sz w:val="20"/>
      </w:rPr>
      <w:tblPr/>
      <w:tcPr>
        <w:shd w:val="clear" w:color="auto" w:fill="BFBFBF"/>
      </w:tcPr>
    </w:tblStylePr>
  </w:style>
  <w:style w:type="paragraph" w:customStyle="1" w:styleId="TableHeadingRow">
    <w:name w:val="TableHeadingRow"/>
    <w:basedOn w:val="Normal"/>
    <w:next w:val="Normal"/>
    <w:rsid w:val="003B0C51"/>
    <w:pPr>
      <w:keepNext/>
      <w:spacing w:before="40" w:after="40"/>
      <w:jc w:val="left"/>
    </w:pPr>
    <w:rPr>
      <w:rFonts w:cs="Times New Roman"/>
      <w:b/>
      <w:bCs/>
      <w:iCs/>
      <w:sz w:val="20"/>
      <w:szCs w:val="18"/>
      <w:lang w:eastAsia="en-US"/>
    </w:rPr>
  </w:style>
  <w:style w:type="paragraph" w:customStyle="1" w:styleId="StyleTable9Calibri">
    <w:name w:val="Style Table9 + Calibri"/>
    <w:basedOn w:val="Normal"/>
    <w:autoRedefine/>
    <w:rsid w:val="003B0C51"/>
    <w:pPr>
      <w:spacing w:before="40" w:after="40"/>
      <w:jc w:val="left"/>
    </w:pPr>
    <w:rPr>
      <w:rFonts w:asciiTheme="minorHAnsi" w:eastAsia="SimSun" w:hAnsiTheme="minorHAnsi" w:cstheme="minorHAnsi"/>
      <w:b/>
      <w:bCs/>
      <w:sz w:val="20"/>
      <w:szCs w:val="20"/>
      <w:lang w:eastAsia="zh-CN"/>
    </w:rPr>
  </w:style>
  <w:style w:type="paragraph" w:customStyle="1" w:styleId="TableText1">
    <w:name w:val="TableText"/>
    <w:basedOn w:val="Normal"/>
    <w:qFormat/>
    <w:rsid w:val="003B0C51"/>
    <w:pPr>
      <w:keepNext/>
      <w:spacing w:before="40" w:after="40"/>
      <w:jc w:val="center"/>
    </w:pPr>
    <w:rPr>
      <w:rFonts w:cs="Times New Roman"/>
      <w:iCs/>
      <w:sz w:val="20"/>
      <w:szCs w:val="18"/>
      <w:lang w:eastAsia="en-US"/>
    </w:rPr>
  </w:style>
  <w:style w:type="paragraph" w:customStyle="1" w:styleId="TableHeadingCentred">
    <w:name w:val="TableHeadingCentred"/>
    <w:basedOn w:val="TableHeadingRow"/>
    <w:next w:val="TableText1"/>
    <w:rsid w:val="003B0C51"/>
    <w:pPr>
      <w:jc w:val="center"/>
    </w:pPr>
  </w:style>
  <w:style w:type="table" w:customStyle="1" w:styleId="Sourcetable4">
    <w:name w:val="Source table_4"/>
    <w:basedOn w:val="TableNormal"/>
    <w:next w:val="TableGrid"/>
    <w:uiPriority w:val="39"/>
    <w:rsid w:val="003B0C51"/>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9">
    <w:name w:val="Table9"/>
    <w:basedOn w:val="Normal"/>
    <w:next w:val="TableText1"/>
    <w:rsid w:val="003B0C51"/>
    <w:pPr>
      <w:spacing w:before="40" w:after="40"/>
      <w:jc w:val="left"/>
    </w:pPr>
    <w:rPr>
      <w:rFonts w:eastAsia="SimSun" w:cs="Times New Roman"/>
      <w:szCs w:val="18"/>
      <w:lang w:eastAsia="zh-CN"/>
    </w:rPr>
  </w:style>
  <w:style w:type="table" w:customStyle="1" w:styleId="Sourcetable5">
    <w:name w:val="Source table_5"/>
    <w:basedOn w:val="TableNormal"/>
    <w:next w:val="TableGrid"/>
    <w:uiPriority w:val="39"/>
    <w:rsid w:val="003B0C51"/>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urcetable6">
    <w:name w:val="Source table_6"/>
    <w:basedOn w:val="TableNormal"/>
    <w:next w:val="TableGrid"/>
    <w:uiPriority w:val="39"/>
    <w:rsid w:val="003B0C51"/>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bmissionstandard">
    <w:name w:val="Submission standard"/>
    <w:basedOn w:val="TableNormal"/>
    <w:uiPriority w:val="99"/>
    <w:qFormat/>
    <w:rsid w:val="003B0C51"/>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dvGSANS-I" w:hAnsi="AdvGSANS-I"/>
        <w:b/>
        <w:sz w:val="20"/>
      </w:rPr>
      <w:tblPr/>
      <w:tcPr>
        <w:shd w:val="clear" w:color="auto" w:fill="BFBFBF" w:themeFill="background1" w:themeFillShade="BF"/>
      </w:tcPr>
    </w:tblStylePr>
  </w:style>
  <w:style w:type="paragraph" w:customStyle="1" w:styleId="EndNoteBibliographyTitle">
    <w:name w:val="EndNote Bibliography Title"/>
    <w:basedOn w:val="Normal"/>
    <w:link w:val="EndNoteBibliographyTitleChar"/>
    <w:rsid w:val="00D17B5B"/>
    <w:pPr>
      <w:jc w:val="center"/>
    </w:pPr>
    <w:rPr>
      <w:rFonts w:cs="Calibri"/>
      <w:noProof/>
    </w:rPr>
  </w:style>
  <w:style w:type="character" w:customStyle="1" w:styleId="EndNoteBibliographyTitleChar">
    <w:name w:val="EndNote Bibliography Title Char"/>
    <w:basedOn w:val="TableFigureFooterChar"/>
    <w:link w:val="EndNoteBibliographyTitle"/>
    <w:rsid w:val="00D17B5B"/>
    <w:rPr>
      <w:rFonts w:ascii="Calibri" w:hAnsi="Calibri" w:cs="Calibri"/>
      <w:noProof/>
      <w:snapToGrid/>
      <w:sz w:val="24"/>
      <w:szCs w:val="24"/>
    </w:rPr>
  </w:style>
  <w:style w:type="paragraph" w:customStyle="1" w:styleId="EndNoteBibliography">
    <w:name w:val="EndNote Bibliography"/>
    <w:basedOn w:val="Normal"/>
    <w:link w:val="EndNoteBibliographyChar"/>
    <w:rsid w:val="00D17B5B"/>
    <w:rPr>
      <w:rFonts w:cs="Calibri"/>
      <w:noProof/>
    </w:rPr>
  </w:style>
  <w:style w:type="character" w:customStyle="1" w:styleId="EndNoteBibliographyChar">
    <w:name w:val="EndNote Bibliography Char"/>
    <w:basedOn w:val="TableFigureFooterChar"/>
    <w:link w:val="EndNoteBibliography"/>
    <w:rsid w:val="00D17B5B"/>
    <w:rPr>
      <w:rFonts w:ascii="Calibri" w:hAnsi="Calibri" w:cs="Calibri"/>
      <w:noProof/>
      <w:snapToGrid/>
      <w:sz w:val="24"/>
      <w:szCs w:val="24"/>
    </w:rPr>
  </w:style>
  <w:style w:type="character" w:customStyle="1" w:styleId="ff2">
    <w:name w:val="ff2"/>
    <w:basedOn w:val="DefaultParagraphFont"/>
    <w:rsid w:val="00753BF7"/>
  </w:style>
  <w:style w:type="character" w:customStyle="1" w:styleId="fc3">
    <w:name w:val="fc3"/>
    <w:basedOn w:val="DefaultParagraphFont"/>
    <w:rsid w:val="00753BF7"/>
  </w:style>
  <w:style w:type="character" w:customStyle="1" w:styleId="ls37">
    <w:name w:val="ls37"/>
    <w:basedOn w:val="DefaultParagraphFont"/>
    <w:rsid w:val="00753BF7"/>
  </w:style>
  <w:style w:type="character" w:customStyle="1" w:styleId="fc0">
    <w:name w:val="fc0"/>
    <w:basedOn w:val="DefaultParagraphFont"/>
    <w:rsid w:val="00753BF7"/>
  </w:style>
  <w:style w:type="character" w:customStyle="1" w:styleId="ff6">
    <w:name w:val="ff6"/>
    <w:basedOn w:val="DefaultParagraphFont"/>
    <w:rsid w:val="00546399"/>
  </w:style>
  <w:style w:type="character" w:customStyle="1" w:styleId="a">
    <w:name w:val="_"/>
    <w:basedOn w:val="DefaultParagraphFont"/>
    <w:rsid w:val="00546399"/>
  </w:style>
  <w:style w:type="character" w:customStyle="1" w:styleId="ff3">
    <w:name w:val="ff3"/>
    <w:basedOn w:val="DefaultParagraphFont"/>
    <w:rsid w:val="00546399"/>
  </w:style>
  <w:style w:type="paragraph" w:customStyle="1" w:styleId="ExecSumBodyText">
    <w:name w:val="Exec Sum Body Text"/>
    <w:basedOn w:val="Normal"/>
    <w:link w:val="ExecSumBodyTextChar"/>
    <w:qFormat/>
    <w:rsid w:val="00E641F8"/>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E641F8"/>
    <w:rPr>
      <w:rFonts w:asciiTheme="minorHAnsi" w:hAnsiTheme="minorHAnsi" w:cs="Arial"/>
      <w:snapToGrid w:val="0"/>
      <w:sz w:val="24"/>
      <w:szCs w:val="24"/>
    </w:rPr>
  </w:style>
  <w:style w:type="paragraph" w:customStyle="1" w:styleId="3Bodytext">
    <w:name w:val="3. Body text"/>
    <w:basedOn w:val="ListParagraph"/>
    <w:link w:val="3BodytextChar"/>
    <w:qFormat/>
    <w:rsid w:val="002F0C03"/>
    <w:pPr>
      <w:numPr>
        <w:numId w:val="0"/>
      </w:numPr>
      <w:ind w:left="720" w:hanging="720"/>
    </w:pPr>
    <w:rPr>
      <w:rFonts w:eastAsiaTheme="minorHAnsi" w:cstheme="minorBidi"/>
      <w:snapToGrid/>
      <w:szCs w:val="22"/>
      <w:lang w:eastAsia="en-US"/>
    </w:rPr>
  </w:style>
  <w:style w:type="character" w:customStyle="1" w:styleId="3BodytextChar">
    <w:name w:val="3. Body text Char"/>
    <w:basedOn w:val="DefaultParagraphFont"/>
    <w:link w:val="3Bodytext"/>
    <w:rsid w:val="002F0C03"/>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5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6266256">
      <w:bodyDiv w:val="1"/>
      <w:marLeft w:val="0"/>
      <w:marRight w:val="0"/>
      <w:marTop w:val="0"/>
      <w:marBottom w:val="0"/>
      <w:divBdr>
        <w:top w:val="none" w:sz="0" w:space="0" w:color="auto"/>
        <w:left w:val="none" w:sz="0" w:space="0" w:color="auto"/>
        <w:bottom w:val="none" w:sz="0" w:space="0" w:color="auto"/>
        <w:right w:val="none" w:sz="0" w:space="0" w:color="auto"/>
      </w:divBdr>
      <w:divsChild>
        <w:div w:id="1394959996">
          <w:marLeft w:val="547"/>
          <w:marRight w:val="0"/>
          <w:marTop w:val="0"/>
          <w:marBottom w:val="0"/>
          <w:divBdr>
            <w:top w:val="none" w:sz="0" w:space="0" w:color="auto"/>
            <w:left w:val="none" w:sz="0" w:space="0" w:color="auto"/>
            <w:bottom w:val="none" w:sz="0" w:space="0" w:color="auto"/>
            <w:right w:val="none" w:sz="0" w:space="0" w:color="auto"/>
          </w:divBdr>
        </w:div>
        <w:div w:id="1915503004">
          <w:marLeft w:val="547"/>
          <w:marRight w:val="0"/>
          <w:marTop w:val="0"/>
          <w:marBottom w:val="0"/>
          <w:divBdr>
            <w:top w:val="none" w:sz="0" w:space="0" w:color="auto"/>
            <w:left w:val="none" w:sz="0" w:space="0" w:color="auto"/>
            <w:bottom w:val="none" w:sz="0" w:space="0" w:color="auto"/>
            <w:right w:val="none" w:sz="0" w:space="0" w:color="auto"/>
          </w:divBdr>
        </w:div>
        <w:div w:id="633413253">
          <w:marLeft w:val="547"/>
          <w:marRight w:val="0"/>
          <w:marTop w:val="0"/>
          <w:marBottom w:val="0"/>
          <w:divBdr>
            <w:top w:val="none" w:sz="0" w:space="0" w:color="auto"/>
            <w:left w:val="none" w:sz="0" w:space="0" w:color="auto"/>
            <w:bottom w:val="none" w:sz="0" w:space="0" w:color="auto"/>
            <w:right w:val="none" w:sz="0" w:space="0" w:color="auto"/>
          </w:divBdr>
        </w:div>
        <w:div w:id="1455562104">
          <w:marLeft w:val="547"/>
          <w:marRight w:val="0"/>
          <w:marTop w:val="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6287458">
      <w:bodyDiv w:val="1"/>
      <w:marLeft w:val="0"/>
      <w:marRight w:val="0"/>
      <w:marTop w:val="0"/>
      <w:marBottom w:val="0"/>
      <w:divBdr>
        <w:top w:val="none" w:sz="0" w:space="0" w:color="auto"/>
        <w:left w:val="none" w:sz="0" w:space="0" w:color="auto"/>
        <w:bottom w:val="none" w:sz="0" w:space="0" w:color="auto"/>
        <w:right w:val="none" w:sz="0" w:space="0" w:color="auto"/>
      </w:divBdr>
    </w:div>
    <w:div w:id="196695756">
      <w:bodyDiv w:val="1"/>
      <w:marLeft w:val="0"/>
      <w:marRight w:val="0"/>
      <w:marTop w:val="0"/>
      <w:marBottom w:val="0"/>
      <w:divBdr>
        <w:top w:val="none" w:sz="0" w:space="0" w:color="auto"/>
        <w:left w:val="none" w:sz="0" w:space="0" w:color="auto"/>
        <w:bottom w:val="none" w:sz="0" w:space="0" w:color="auto"/>
        <w:right w:val="none" w:sz="0" w:space="0" w:color="auto"/>
      </w:divBdr>
    </w:div>
    <w:div w:id="248320391">
      <w:bodyDiv w:val="1"/>
      <w:marLeft w:val="0"/>
      <w:marRight w:val="0"/>
      <w:marTop w:val="0"/>
      <w:marBottom w:val="0"/>
      <w:divBdr>
        <w:top w:val="none" w:sz="0" w:space="0" w:color="auto"/>
        <w:left w:val="none" w:sz="0" w:space="0" w:color="auto"/>
        <w:bottom w:val="none" w:sz="0" w:space="0" w:color="auto"/>
        <w:right w:val="none" w:sz="0" w:space="0" w:color="auto"/>
      </w:divBdr>
    </w:div>
    <w:div w:id="252856896">
      <w:bodyDiv w:val="1"/>
      <w:marLeft w:val="0"/>
      <w:marRight w:val="0"/>
      <w:marTop w:val="0"/>
      <w:marBottom w:val="0"/>
      <w:divBdr>
        <w:top w:val="none" w:sz="0" w:space="0" w:color="auto"/>
        <w:left w:val="none" w:sz="0" w:space="0" w:color="auto"/>
        <w:bottom w:val="none" w:sz="0" w:space="0" w:color="auto"/>
        <w:right w:val="none" w:sz="0" w:space="0" w:color="auto"/>
      </w:divBdr>
      <w:divsChild>
        <w:div w:id="1176118972">
          <w:marLeft w:val="0"/>
          <w:marRight w:val="0"/>
          <w:marTop w:val="0"/>
          <w:marBottom w:val="0"/>
          <w:divBdr>
            <w:top w:val="none" w:sz="0" w:space="0" w:color="auto"/>
            <w:left w:val="none" w:sz="0" w:space="0" w:color="auto"/>
            <w:bottom w:val="none" w:sz="0" w:space="0" w:color="auto"/>
            <w:right w:val="none" w:sz="0" w:space="0" w:color="auto"/>
          </w:divBdr>
        </w:div>
        <w:div w:id="2129815243">
          <w:marLeft w:val="0"/>
          <w:marRight w:val="0"/>
          <w:marTop w:val="0"/>
          <w:marBottom w:val="0"/>
          <w:divBdr>
            <w:top w:val="none" w:sz="0" w:space="0" w:color="auto"/>
            <w:left w:val="none" w:sz="0" w:space="0" w:color="auto"/>
            <w:bottom w:val="none" w:sz="0" w:space="0" w:color="auto"/>
            <w:right w:val="none" w:sz="0" w:space="0" w:color="auto"/>
          </w:divBdr>
        </w:div>
        <w:div w:id="419258741">
          <w:marLeft w:val="0"/>
          <w:marRight w:val="0"/>
          <w:marTop w:val="0"/>
          <w:marBottom w:val="0"/>
          <w:divBdr>
            <w:top w:val="none" w:sz="0" w:space="0" w:color="auto"/>
            <w:left w:val="none" w:sz="0" w:space="0" w:color="auto"/>
            <w:bottom w:val="none" w:sz="0" w:space="0" w:color="auto"/>
            <w:right w:val="none" w:sz="0" w:space="0" w:color="auto"/>
          </w:divBdr>
        </w:div>
        <w:div w:id="1927415596">
          <w:marLeft w:val="0"/>
          <w:marRight w:val="0"/>
          <w:marTop w:val="0"/>
          <w:marBottom w:val="0"/>
          <w:divBdr>
            <w:top w:val="none" w:sz="0" w:space="0" w:color="auto"/>
            <w:left w:val="none" w:sz="0" w:space="0" w:color="auto"/>
            <w:bottom w:val="none" w:sz="0" w:space="0" w:color="auto"/>
            <w:right w:val="none" w:sz="0" w:space="0" w:color="auto"/>
          </w:divBdr>
        </w:div>
        <w:div w:id="958536316">
          <w:marLeft w:val="0"/>
          <w:marRight w:val="0"/>
          <w:marTop w:val="0"/>
          <w:marBottom w:val="0"/>
          <w:divBdr>
            <w:top w:val="none" w:sz="0" w:space="0" w:color="auto"/>
            <w:left w:val="none" w:sz="0" w:space="0" w:color="auto"/>
            <w:bottom w:val="none" w:sz="0" w:space="0" w:color="auto"/>
            <w:right w:val="none" w:sz="0" w:space="0" w:color="auto"/>
          </w:divBdr>
        </w:div>
        <w:div w:id="239868451">
          <w:marLeft w:val="0"/>
          <w:marRight w:val="0"/>
          <w:marTop w:val="0"/>
          <w:marBottom w:val="0"/>
          <w:divBdr>
            <w:top w:val="none" w:sz="0" w:space="0" w:color="auto"/>
            <w:left w:val="none" w:sz="0" w:space="0" w:color="auto"/>
            <w:bottom w:val="none" w:sz="0" w:space="0" w:color="auto"/>
            <w:right w:val="none" w:sz="0" w:space="0" w:color="auto"/>
          </w:divBdr>
        </w:div>
        <w:div w:id="1391265949">
          <w:marLeft w:val="0"/>
          <w:marRight w:val="0"/>
          <w:marTop w:val="0"/>
          <w:marBottom w:val="0"/>
          <w:divBdr>
            <w:top w:val="none" w:sz="0" w:space="0" w:color="auto"/>
            <w:left w:val="none" w:sz="0" w:space="0" w:color="auto"/>
            <w:bottom w:val="none" w:sz="0" w:space="0" w:color="auto"/>
            <w:right w:val="none" w:sz="0" w:space="0" w:color="auto"/>
          </w:divBdr>
        </w:div>
        <w:div w:id="135613587">
          <w:marLeft w:val="0"/>
          <w:marRight w:val="0"/>
          <w:marTop w:val="0"/>
          <w:marBottom w:val="0"/>
          <w:divBdr>
            <w:top w:val="none" w:sz="0" w:space="0" w:color="auto"/>
            <w:left w:val="none" w:sz="0" w:space="0" w:color="auto"/>
            <w:bottom w:val="none" w:sz="0" w:space="0" w:color="auto"/>
            <w:right w:val="none" w:sz="0" w:space="0" w:color="auto"/>
          </w:divBdr>
        </w:div>
        <w:div w:id="844129080">
          <w:marLeft w:val="0"/>
          <w:marRight w:val="0"/>
          <w:marTop w:val="0"/>
          <w:marBottom w:val="0"/>
          <w:divBdr>
            <w:top w:val="none" w:sz="0" w:space="0" w:color="auto"/>
            <w:left w:val="none" w:sz="0" w:space="0" w:color="auto"/>
            <w:bottom w:val="none" w:sz="0" w:space="0" w:color="auto"/>
            <w:right w:val="none" w:sz="0" w:space="0" w:color="auto"/>
          </w:divBdr>
        </w:div>
        <w:div w:id="171455985">
          <w:marLeft w:val="0"/>
          <w:marRight w:val="0"/>
          <w:marTop w:val="0"/>
          <w:marBottom w:val="0"/>
          <w:divBdr>
            <w:top w:val="none" w:sz="0" w:space="0" w:color="auto"/>
            <w:left w:val="none" w:sz="0" w:space="0" w:color="auto"/>
            <w:bottom w:val="none" w:sz="0" w:space="0" w:color="auto"/>
            <w:right w:val="none" w:sz="0" w:space="0" w:color="auto"/>
          </w:divBdr>
        </w:div>
        <w:div w:id="2047944824">
          <w:marLeft w:val="0"/>
          <w:marRight w:val="0"/>
          <w:marTop w:val="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6444669">
      <w:bodyDiv w:val="1"/>
      <w:marLeft w:val="0"/>
      <w:marRight w:val="0"/>
      <w:marTop w:val="0"/>
      <w:marBottom w:val="0"/>
      <w:divBdr>
        <w:top w:val="none" w:sz="0" w:space="0" w:color="auto"/>
        <w:left w:val="none" w:sz="0" w:space="0" w:color="auto"/>
        <w:bottom w:val="none" w:sz="0" w:space="0" w:color="auto"/>
        <w:right w:val="none" w:sz="0" w:space="0" w:color="auto"/>
      </w:divBdr>
      <w:divsChild>
        <w:div w:id="828448260">
          <w:marLeft w:val="1800"/>
          <w:marRight w:val="0"/>
          <w:marTop w:val="100"/>
          <w:marBottom w:val="0"/>
          <w:divBdr>
            <w:top w:val="none" w:sz="0" w:space="0" w:color="auto"/>
            <w:left w:val="none" w:sz="0" w:space="0" w:color="auto"/>
            <w:bottom w:val="none" w:sz="0" w:space="0" w:color="auto"/>
            <w:right w:val="none" w:sz="0" w:space="0" w:color="auto"/>
          </w:divBdr>
        </w:div>
      </w:divsChild>
    </w:div>
    <w:div w:id="508448252">
      <w:bodyDiv w:val="1"/>
      <w:marLeft w:val="0"/>
      <w:marRight w:val="0"/>
      <w:marTop w:val="0"/>
      <w:marBottom w:val="0"/>
      <w:divBdr>
        <w:top w:val="none" w:sz="0" w:space="0" w:color="auto"/>
        <w:left w:val="none" w:sz="0" w:space="0" w:color="auto"/>
        <w:bottom w:val="none" w:sz="0" w:space="0" w:color="auto"/>
        <w:right w:val="none" w:sz="0" w:space="0" w:color="auto"/>
      </w:divBdr>
      <w:divsChild>
        <w:div w:id="1165433578">
          <w:marLeft w:val="0"/>
          <w:marRight w:val="0"/>
          <w:marTop w:val="0"/>
          <w:marBottom w:val="0"/>
          <w:divBdr>
            <w:top w:val="none" w:sz="0" w:space="0" w:color="auto"/>
            <w:left w:val="none" w:sz="0" w:space="0" w:color="auto"/>
            <w:bottom w:val="none" w:sz="0" w:space="0" w:color="auto"/>
            <w:right w:val="none" w:sz="0" w:space="0" w:color="auto"/>
          </w:divBdr>
        </w:div>
      </w:divsChild>
    </w:div>
    <w:div w:id="548496145">
      <w:bodyDiv w:val="1"/>
      <w:marLeft w:val="0"/>
      <w:marRight w:val="0"/>
      <w:marTop w:val="0"/>
      <w:marBottom w:val="0"/>
      <w:divBdr>
        <w:top w:val="none" w:sz="0" w:space="0" w:color="auto"/>
        <w:left w:val="none" w:sz="0" w:space="0" w:color="auto"/>
        <w:bottom w:val="none" w:sz="0" w:space="0" w:color="auto"/>
        <w:right w:val="none" w:sz="0" w:space="0" w:color="auto"/>
      </w:divBdr>
    </w:div>
    <w:div w:id="617184653">
      <w:bodyDiv w:val="1"/>
      <w:marLeft w:val="0"/>
      <w:marRight w:val="0"/>
      <w:marTop w:val="0"/>
      <w:marBottom w:val="0"/>
      <w:divBdr>
        <w:top w:val="none" w:sz="0" w:space="0" w:color="auto"/>
        <w:left w:val="none" w:sz="0" w:space="0" w:color="auto"/>
        <w:bottom w:val="none" w:sz="0" w:space="0" w:color="auto"/>
        <w:right w:val="none" w:sz="0" w:space="0" w:color="auto"/>
      </w:divBdr>
    </w:div>
    <w:div w:id="700205614">
      <w:bodyDiv w:val="1"/>
      <w:marLeft w:val="0"/>
      <w:marRight w:val="0"/>
      <w:marTop w:val="0"/>
      <w:marBottom w:val="0"/>
      <w:divBdr>
        <w:top w:val="none" w:sz="0" w:space="0" w:color="auto"/>
        <w:left w:val="none" w:sz="0" w:space="0" w:color="auto"/>
        <w:bottom w:val="none" w:sz="0" w:space="0" w:color="auto"/>
        <w:right w:val="none" w:sz="0" w:space="0" w:color="auto"/>
      </w:divBdr>
    </w:div>
    <w:div w:id="853571592">
      <w:bodyDiv w:val="1"/>
      <w:marLeft w:val="0"/>
      <w:marRight w:val="0"/>
      <w:marTop w:val="0"/>
      <w:marBottom w:val="0"/>
      <w:divBdr>
        <w:top w:val="none" w:sz="0" w:space="0" w:color="auto"/>
        <w:left w:val="none" w:sz="0" w:space="0" w:color="auto"/>
        <w:bottom w:val="none" w:sz="0" w:space="0" w:color="auto"/>
        <w:right w:val="none" w:sz="0" w:space="0" w:color="auto"/>
      </w:divBdr>
    </w:div>
    <w:div w:id="879394679">
      <w:bodyDiv w:val="1"/>
      <w:marLeft w:val="0"/>
      <w:marRight w:val="0"/>
      <w:marTop w:val="0"/>
      <w:marBottom w:val="0"/>
      <w:divBdr>
        <w:top w:val="none" w:sz="0" w:space="0" w:color="auto"/>
        <w:left w:val="none" w:sz="0" w:space="0" w:color="auto"/>
        <w:bottom w:val="none" w:sz="0" w:space="0" w:color="auto"/>
        <w:right w:val="none" w:sz="0" w:space="0" w:color="auto"/>
      </w:divBdr>
    </w:div>
    <w:div w:id="906840955">
      <w:bodyDiv w:val="1"/>
      <w:marLeft w:val="0"/>
      <w:marRight w:val="0"/>
      <w:marTop w:val="0"/>
      <w:marBottom w:val="0"/>
      <w:divBdr>
        <w:top w:val="none" w:sz="0" w:space="0" w:color="auto"/>
        <w:left w:val="none" w:sz="0" w:space="0" w:color="auto"/>
        <w:bottom w:val="none" w:sz="0" w:space="0" w:color="auto"/>
        <w:right w:val="none" w:sz="0" w:space="0" w:color="auto"/>
      </w:divBdr>
    </w:div>
    <w:div w:id="969899289">
      <w:bodyDiv w:val="1"/>
      <w:marLeft w:val="0"/>
      <w:marRight w:val="0"/>
      <w:marTop w:val="0"/>
      <w:marBottom w:val="0"/>
      <w:divBdr>
        <w:top w:val="none" w:sz="0" w:space="0" w:color="auto"/>
        <w:left w:val="none" w:sz="0" w:space="0" w:color="auto"/>
        <w:bottom w:val="none" w:sz="0" w:space="0" w:color="auto"/>
        <w:right w:val="none" w:sz="0" w:space="0" w:color="auto"/>
      </w:divBdr>
    </w:div>
    <w:div w:id="1022587842">
      <w:bodyDiv w:val="1"/>
      <w:marLeft w:val="0"/>
      <w:marRight w:val="0"/>
      <w:marTop w:val="0"/>
      <w:marBottom w:val="0"/>
      <w:divBdr>
        <w:top w:val="none" w:sz="0" w:space="0" w:color="auto"/>
        <w:left w:val="none" w:sz="0" w:space="0" w:color="auto"/>
        <w:bottom w:val="none" w:sz="0" w:space="0" w:color="auto"/>
        <w:right w:val="none" w:sz="0" w:space="0" w:color="auto"/>
      </w:divBdr>
    </w:div>
    <w:div w:id="1023287721">
      <w:bodyDiv w:val="1"/>
      <w:marLeft w:val="0"/>
      <w:marRight w:val="0"/>
      <w:marTop w:val="0"/>
      <w:marBottom w:val="0"/>
      <w:divBdr>
        <w:top w:val="none" w:sz="0" w:space="0" w:color="auto"/>
        <w:left w:val="none" w:sz="0" w:space="0" w:color="auto"/>
        <w:bottom w:val="none" w:sz="0" w:space="0" w:color="auto"/>
        <w:right w:val="none" w:sz="0" w:space="0" w:color="auto"/>
      </w:divBdr>
    </w:div>
    <w:div w:id="1053431373">
      <w:bodyDiv w:val="1"/>
      <w:marLeft w:val="0"/>
      <w:marRight w:val="0"/>
      <w:marTop w:val="0"/>
      <w:marBottom w:val="0"/>
      <w:divBdr>
        <w:top w:val="none" w:sz="0" w:space="0" w:color="auto"/>
        <w:left w:val="none" w:sz="0" w:space="0" w:color="auto"/>
        <w:bottom w:val="none" w:sz="0" w:space="0" w:color="auto"/>
        <w:right w:val="none" w:sz="0" w:space="0" w:color="auto"/>
      </w:divBdr>
      <w:divsChild>
        <w:div w:id="1533037141">
          <w:marLeft w:val="0"/>
          <w:marRight w:val="0"/>
          <w:marTop w:val="0"/>
          <w:marBottom w:val="0"/>
          <w:divBdr>
            <w:top w:val="none" w:sz="0" w:space="0" w:color="auto"/>
            <w:left w:val="none" w:sz="0" w:space="0" w:color="auto"/>
            <w:bottom w:val="none" w:sz="0" w:space="0" w:color="auto"/>
            <w:right w:val="none" w:sz="0" w:space="0" w:color="auto"/>
          </w:divBdr>
        </w:div>
      </w:divsChild>
    </w:div>
    <w:div w:id="1095516971">
      <w:bodyDiv w:val="1"/>
      <w:marLeft w:val="0"/>
      <w:marRight w:val="0"/>
      <w:marTop w:val="0"/>
      <w:marBottom w:val="0"/>
      <w:divBdr>
        <w:top w:val="none" w:sz="0" w:space="0" w:color="auto"/>
        <w:left w:val="none" w:sz="0" w:space="0" w:color="auto"/>
        <w:bottom w:val="none" w:sz="0" w:space="0" w:color="auto"/>
        <w:right w:val="none" w:sz="0" w:space="0" w:color="auto"/>
      </w:divBdr>
    </w:div>
    <w:div w:id="1166820178">
      <w:bodyDiv w:val="1"/>
      <w:marLeft w:val="0"/>
      <w:marRight w:val="0"/>
      <w:marTop w:val="0"/>
      <w:marBottom w:val="0"/>
      <w:divBdr>
        <w:top w:val="none" w:sz="0" w:space="0" w:color="auto"/>
        <w:left w:val="none" w:sz="0" w:space="0" w:color="auto"/>
        <w:bottom w:val="none" w:sz="0" w:space="0" w:color="auto"/>
        <w:right w:val="none" w:sz="0" w:space="0" w:color="auto"/>
      </w:divBdr>
      <w:divsChild>
        <w:div w:id="1016737016">
          <w:marLeft w:val="0"/>
          <w:marRight w:val="0"/>
          <w:marTop w:val="0"/>
          <w:marBottom w:val="0"/>
          <w:divBdr>
            <w:top w:val="none" w:sz="0" w:space="0" w:color="auto"/>
            <w:left w:val="none" w:sz="0" w:space="0" w:color="auto"/>
            <w:bottom w:val="none" w:sz="0" w:space="0" w:color="auto"/>
            <w:right w:val="none" w:sz="0" w:space="0" w:color="auto"/>
          </w:divBdr>
        </w:div>
        <w:div w:id="919291931">
          <w:marLeft w:val="0"/>
          <w:marRight w:val="0"/>
          <w:marTop w:val="0"/>
          <w:marBottom w:val="0"/>
          <w:divBdr>
            <w:top w:val="none" w:sz="0" w:space="0" w:color="auto"/>
            <w:left w:val="none" w:sz="0" w:space="0" w:color="auto"/>
            <w:bottom w:val="none" w:sz="0" w:space="0" w:color="auto"/>
            <w:right w:val="none" w:sz="0" w:space="0" w:color="auto"/>
          </w:divBdr>
        </w:div>
        <w:div w:id="1346714808">
          <w:marLeft w:val="0"/>
          <w:marRight w:val="0"/>
          <w:marTop w:val="0"/>
          <w:marBottom w:val="0"/>
          <w:divBdr>
            <w:top w:val="none" w:sz="0" w:space="0" w:color="auto"/>
            <w:left w:val="none" w:sz="0" w:space="0" w:color="auto"/>
            <w:bottom w:val="none" w:sz="0" w:space="0" w:color="auto"/>
            <w:right w:val="none" w:sz="0" w:space="0" w:color="auto"/>
          </w:divBdr>
        </w:div>
        <w:div w:id="1895045721">
          <w:marLeft w:val="0"/>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77633">
      <w:bodyDiv w:val="1"/>
      <w:marLeft w:val="0"/>
      <w:marRight w:val="0"/>
      <w:marTop w:val="0"/>
      <w:marBottom w:val="0"/>
      <w:divBdr>
        <w:top w:val="none" w:sz="0" w:space="0" w:color="auto"/>
        <w:left w:val="none" w:sz="0" w:space="0" w:color="auto"/>
        <w:bottom w:val="none" w:sz="0" w:space="0" w:color="auto"/>
        <w:right w:val="none" w:sz="0" w:space="0" w:color="auto"/>
      </w:divBdr>
      <w:divsChild>
        <w:div w:id="83113346">
          <w:marLeft w:val="446"/>
          <w:marRight w:val="0"/>
          <w:marTop w:val="0"/>
          <w:marBottom w:val="0"/>
          <w:divBdr>
            <w:top w:val="none" w:sz="0" w:space="0" w:color="auto"/>
            <w:left w:val="none" w:sz="0" w:space="0" w:color="auto"/>
            <w:bottom w:val="none" w:sz="0" w:space="0" w:color="auto"/>
            <w:right w:val="none" w:sz="0" w:space="0" w:color="auto"/>
          </w:divBdr>
        </w:div>
      </w:divsChild>
    </w:div>
    <w:div w:id="1221478421">
      <w:bodyDiv w:val="1"/>
      <w:marLeft w:val="0"/>
      <w:marRight w:val="0"/>
      <w:marTop w:val="0"/>
      <w:marBottom w:val="0"/>
      <w:divBdr>
        <w:top w:val="none" w:sz="0" w:space="0" w:color="auto"/>
        <w:left w:val="none" w:sz="0" w:space="0" w:color="auto"/>
        <w:bottom w:val="none" w:sz="0" w:space="0" w:color="auto"/>
        <w:right w:val="none" w:sz="0" w:space="0" w:color="auto"/>
      </w:divBdr>
      <w:divsChild>
        <w:div w:id="1346127903">
          <w:marLeft w:val="0"/>
          <w:marRight w:val="0"/>
          <w:marTop w:val="0"/>
          <w:marBottom w:val="0"/>
          <w:divBdr>
            <w:top w:val="none" w:sz="0" w:space="0" w:color="auto"/>
            <w:left w:val="none" w:sz="0" w:space="0" w:color="auto"/>
            <w:bottom w:val="none" w:sz="0" w:space="0" w:color="auto"/>
            <w:right w:val="none" w:sz="0" w:space="0" w:color="auto"/>
          </w:divBdr>
        </w:div>
        <w:div w:id="1815218625">
          <w:marLeft w:val="0"/>
          <w:marRight w:val="0"/>
          <w:marTop w:val="0"/>
          <w:marBottom w:val="0"/>
          <w:divBdr>
            <w:top w:val="none" w:sz="0" w:space="0" w:color="auto"/>
            <w:left w:val="none" w:sz="0" w:space="0" w:color="auto"/>
            <w:bottom w:val="none" w:sz="0" w:space="0" w:color="auto"/>
            <w:right w:val="none" w:sz="0" w:space="0" w:color="auto"/>
          </w:divBdr>
        </w:div>
        <w:div w:id="946232653">
          <w:marLeft w:val="0"/>
          <w:marRight w:val="0"/>
          <w:marTop w:val="0"/>
          <w:marBottom w:val="0"/>
          <w:divBdr>
            <w:top w:val="none" w:sz="0" w:space="0" w:color="auto"/>
            <w:left w:val="none" w:sz="0" w:space="0" w:color="auto"/>
            <w:bottom w:val="none" w:sz="0" w:space="0" w:color="auto"/>
            <w:right w:val="none" w:sz="0" w:space="0" w:color="auto"/>
          </w:divBdr>
        </w:div>
        <w:div w:id="1946031921">
          <w:marLeft w:val="0"/>
          <w:marRight w:val="0"/>
          <w:marTop w:val="0"/>
          <w:marBottom w:val="0"/>
          <w:divBdr>
            <w:top w:val="none" w:sz="0" w:space="0" w:color="auto"/>
            <w:left w:val="none" w:sz="0" w:space="0" w:color="auto"/>
            <w:bottom w:val="none" w:sz="0" w:space="0" w:color="auto"/>
            <w:right w:val="none" w:sz="0" w:space="0" w:color="auto"/>
          </w:divBdr>
        </w:div>
        <w:div w:id="1231036294">
          <w:marLeft w:val="0"/>
          <w:marRight w:val="0"/>
          <w:marTop w:val="0"/>
          <w:marBottom w:val="0"/>
          <w:divBdr>
            <w:top w:val="none" w:sz="0" w:space="0" w:color="auto"/>
            <w:left w:val="none" w:sz="0" w:space="0" w:color="auto"/>
            <w:bottom w:val="none" w:sz="0" w:space="0" w:color="auto"/>
            <w:right w:val="none" w:sz="0" w:space="0" w:color="auto"/>
          </w:divBdr>
        </w:div>
        <w:div w:id="1485200801">
          <w:marLeft w:val="0"/>
          <w:marRight w:val="0"/>
          <w:marTop w:val="0"/>
          <w:marBottom w:val="0"/>
          <w:divBdr>
            <w:top w:val="none" w:sz="0" w:space="0" w:color="auto"/>
            <w:left w:val="none" w:sz="0" w:space="0" w:color="auto"/>
            <w:bottom w:val="none" w:sz="0" w:space="0" w:color="auto"/>
            <w:right w:val="none" w:sz="0" w:space="0" w:color="auto"/>
          </w:divBdr>
        </w:div>
        <w:div w:id="488326872">
          <w:marLeft w:val="0"/>
          <w:marRight w:val="0"/>
          <w:marTop w:val="0"/>
          <w:marBottom w:val="0"/>
          <w:divBdr>
            <w:top w:val="none" w:sz="0" w:space="0" w:color="auto"/>
            <w:left w:val="none" w:sz="0" w:space="0" w:color="auto"/>
            <w:bottom w:val="none" w:sz="0" w:space="0" w:color="auto"/>
            <w:right w:val="none" w:sz="0" w:space="0" w:color="auto"/>
          </w:divBdr>
        </w:div>
        <w:div w:id="1926067726">
          <w:marLeft w:val="0"/>
          <w:marRight w:val="0"/>
          <w:marTop w:val="0"/>
          <w:marBottom w:val="0"/>
          <w:divBdr>
            <w:top w:val="none" w:sz="0" w:space="0" w:color="auto"/>
            <w:left w:val="none" w:sz="0" w:space="0" w:color="auto"/>
            <w:bottom w:val="none" w:sz="0" w:space="0" w:color="auto"/>
            <w:right w:val="none" w:sz="0" w:space="0" w:color="auto"/>
          </w:divBdr>
        </w:div>
        <w:div w:id="719326205">
          <w:marLeft w:val="0"/>
          <w:marRight w:val="0"/>
          <w:marTop w:val="0"/>
          <w:marBottom w:val="0"/>
          <w:divBdr>
            <w:top w:val="none" w:sz="0" w:space="0" w:color="auto"/>
            <w:left w:val="none" w:sz="0" w:space="0" w:color="auto"/>
            <w:bottom w:val="none" w:sz="0" w:space="0" w:color="auto"/>
            <w:right w:val="none" w:sz="0" w:space="0" w:color="auto"/>
          </w:divBdr>
        </w:div>
        <w:div w:id="1927378994">
          <w:marLeft w:val="0"/>
          <w:marRight w:val="0"/>
          <w:marTop w:val="0"/>
          <w:marBottom w:val="0"/>
          <w:divBdr>
            <w:top w:val="none" w:sz="0" w:space="0" w:color="auto"/>
            <w:left w:val="none" w:sz="0" w:space="0" w:color="auto"/>
            <w:bottom w:val="none" w:sz="0" w:space="0" w:color="auto"/>
            <w:right w:val="none" w:sz="0" w:space="0" w:color="auto"/>
          </w:divBdr>
        </w:div>
        <w:div w:id="1367876080">
          <w:marLeft w:val="0"/>
          <w:marRight w:val="0"/>
          <w:marTop w:val="0"/>
          <w:marBottom w:val="0"/>
          <w:divBdr>
            <w:top w:val="none" w:sz="0" w:space="0" w:color="auto"/>
            <w:left w:val="none" w:sz="0" w:space="0" w:color="auto"/>
            <w:bottom w:val="none" w:sz="0" w:space="0" w:color="auto"/>
            <w:right w:val="none" w:sz="0" w:space="0" w:color="auto"/>
          </w:divBdr>
        </w:div>
        <w:div w:id="38670354">
          <w:marLeft w:val="0"/>
          <w:marRight w:val="0"/>
          <w:marTop w:val="0"/>
          <w:marBottom w:val="0"/>
          <w:divBdr>
            <w:top w:val="none" w:sz="0" w:space="0" w:color="auto"/>
            <w:left w:val="none" w:sz="0" w:space="0" w:color="auto"/>
            <w:bottom w:val="none" w:sz="0" w:space="0" w:color="auto"/>
            <w:right w:val="none" w:sz="0" w:space="0" w:color="auto"/>
          </w:divBdr>
        </w:div>
        <w:div w:id="353382703">
          <w:marLeft w:val="0"/>
          <w:marRight w:val="0"/>
          <w:marTop w:val="0"/>
          <w:marBottom w:val="0"/>
          <w:divBdr>
            <w:top w:val="none" w:sz="0" w:space="0" w:color="auto"/>
            <w:left w:val="none" w:sz="0" w:space="0" w:color="auto"/>
            <w:bottom w:val="none" w:sz="0" w:space="0" w:color="auto"/>
            <w:right w:val="none" w:sz="0" w:space="0" w:color="auto"/>
          </w:divBdr>
        </w:div>
        <w:div w:id="1600797415">
          <w:marLeft w:val="0"/>
          <w:marRight w:val="0"/>
          <w:marTop w:val="0"/>
          <w:marBottom w:val="0"/>
          <w:divBdr>
            <w:top w:val="none" w:sz="0" w:space="0" w:color="auto"/>
            <w:left w:val="none" w:sz="0" w:space="0" w:color="auto"/>
            <w:bottom w:val="none" w:sz="0" w:space="0" w:color="auto"/>
            <w:right w:val="none" w:sz="0" w:space="0" w:color="auto"/>
          </w:divBdr>
        </w:div>
        <w:div w:id="1167794278">
          <w:marLeft w:val="0"/>
          <w:marRight w:val="0"/>
          <w:marTop w:val="0"/>
          <w:marBottom w:val="0"/>
          <w:divBdr>
            <w:top w:val="none" w:sz="0" w:space="0" w:color="auto"/>
            <w:left w:val="none" w:sz="0" w:space="0" w:color="auto"/>
            <w:bottom w:val="none" w:sz="0" w:space="0" w:color="auto"/>
            <w:right w:val="none" w:sz="0" w:space="0" w:color="auto"/>
          </w:divBdr>
        </w:div>
        <w:div w:id="96680690">
          <w:marLeft w:val="0"/>
          <w:marRight w:val="0"/>
          <w:marTop w:val="0"/>
          <w:marBottom w:val="0"/>
          <w:divBdr>
            <w:top w:val="none" w:sz="0" w:space="0" w:color="auto"/>
            <w:left w:val="none" w:sz="0" w:space="0" w:color="auto"/>
            <w:bottom w:val="none" w:sz="0" w:space="0" w:color="auto"/>
            <w:right w:val="none" w:sz="0" w:space="0" w:color="auto"/>
          </w:divBdr>
        </w:div>
        <w:div w:id="1765571542">
          <w:marLeft w:val="0"/>
          <w:marRight w:val="0"/>
          <w:marTop w:val="0"/>
          <w:marBottom w:val="0"/>
          <w:divBdr>
            <w:top w:val="none" w:sz="0" w:space="0" w:color="auto"/>
            <w:left w:val="none" w:sz="0" w:space="0" w:color="auto"/>
            <w:bottom w:val="none" w:sz="0" w:space="0" w:color="auto"/>
            <w:right w:val="none" w:sz="0" w:space="0" w:color="auto"/>
          </w:divBdr>
        </w:div>
        <w:div w:id="1745032249">
          <w:marLeft w:val="0"/>
          <w:marRight w:val="0"/>
          <w:marTop w:val="0"/>
          <w:marBottom w:val="0"/>
          <w:divBdr>
            <w:top w:val="none" w:sz="0" w:space="0" w:color="auto"/>
            <w:left w:val="none" w:sz="0" w:space="0" w:color="auto"/>
            <w:bottom w:val="none" w:sz="0" w:space="0" w:color="auto"/>
            <w:right w:val="none" w:sz="0" w:space="0" w:color="auto"/>
          </w:divBdr>
        </w:div>
        <w:div w:id="1392464162">
          <w:marLeft w:val="0"/>
          <w:marRight w:val="0"/>
          <w:marTop w:val="0"/>
          <w:marBottom w:val="0"/>
          <w:divBdr>
            <w:top w:val="none" w:sz="0" w:space="0" w:color="auto"/>
            <w:left w:val="none" w:sz="0" w:space="0" w:color="auto"/>
            <w:bottom w:val="none" w:sz="0" w:space="0" w:color="auto"/>
            <w:right w:val="none" w:sz="0" w:space="0" w:color="auto"/>
          </w:divBdr>
        </w:div>
        <w:div w:id="677466162">
          <w:marLeft w:val="0"/>
          <w:marRight w:val="0"/>
          <w:marTop w:val="0"/>
          <w:marBottom w:val="0"/>
          <w:divBdr>
            <w:top w:val="none" w:sz="0" w:space="0" w:color="auto"/>
            <w:left w:val="none" w:sz="0" w:space="0" w:color="auto"/>
            <w:bottom w:val="none" w:sz="0" w:space="0" w:color="auto"/>
            <w:right w:val="none" w:sz="0" w:space="0" w:color="auto"/>
          </w:divBdr>
        </w:div>
        <w:div w:id="620651498">
          <w:marLeft w:val="0"/>
          <w:marRight w:val="0"/>
          <w:marTop w:val="0"/>
          <w:marBottom w:val="0"/>
          <w:divBdr>
            <w:top w:val="none" w:sz="0" w:space="0" w:color="auto"/>
            <w:left w:val="none" w:sz="0" w:space="0" w:color="auto"/>
            <w:bottom w:val="none" w:sz="0" w:space="0" w:color="auto"/>
            <w:right w:val="none" w:sz="0" w:space="0" w:color="auto"/>
          </w:divBdr>
        </w:div>
        <w:div w:id="519049518">
          <w:marLeft w:val="0"/>
          <w:marRight w:val="0"/>
          <w:marTop w:val="0"/>
          <w:marBottom w:val="0"/>
          <w:divBdr>
            <w:top w:val="none" w:sz="0" w:space="0" w:color="auto"/>
            <w:left w:val="none" w:sz="0" w:space="0" w:color="auto"/>
            <w:bottom w:val="none" w:sz="0" w:space="0" w:color="auto"/>
            <w:right w:val="none" w:sz="0" w:space="0" w:color="auto"/>
          </w:divBdr>
        </w:div>
        <w:div w:id="294601646">
          <w:marLeft w:val="0"/>
          <w:marRight w:val="0"/>
          <w:marTop w:val="0"/>
          <w:marBottom w:val="0"/>
          <w:divBdr>
            <w:top w:val="none" w:sz="0" w:space="0" w:color="auto"/>
            <w:left w:val="none" w:sz="0" w:space="0" w:color="auto"/>
            <w:bottom w:val="none" w:sz="0" w:space="0" w:color="auto"/>
            <w:right w:val="none" w:sz="0" w:space="0" w:color="auto"/>
          </w:divBdr>
        </w:div>
        <w:div w:id="380255924">
          <w:marLeft w:val="0"/>
          <w:marRight w:val="0"/>
          <w:marTop w:val="0"/>
          <w:marBottom w:val="0"/>
          <w:divBdr>
            <w:top w:val="none" w:sz="0" w:space="0" w:color="auto"/>
            <w:left w:val="none" w:sz="0" w:space="0" w:color="auto"/>
            <w:bottom w:val="none" w:sz="0" w:space="0" w:color="auto"/>
            <w:right w:val="none" w:sz="0" w:space="0" w:color="auto"/>
          </w:divBdr>
        </w:div>
        <w:div w:id="253053761">
          <w:marLeft w:val="0"/>
          <w:marRight w:val="0"/>
          <w:marTop w:val="0"/>
          <w:marBottom w:val="0"/>
          <w:divBdr>
            <w:top w:val="none" w:sz="0" w:space="0" w:color="auto"/>
            <w:left w:val="none" w:sz="0" w:space="0" w:color="auto"/>
            <w:bottom w:val="none" w:sz="0" w:space="0" w:color="auto"/>
            <w:right w:val="none" w:sz="0" w:space="0" w:color="auto"/>
          </w:divBdr>
        </w:div>
        <w:div w:id="314380971">
          <w:marLeft w:val="0"/>
          <w:marRight w:val="0"/>
          <w:marTop w:val="0"/>
          <w:marBottom w:val="0"/>
          <w:divBdr>
            <w:top w:val="none" w:sz="0" w:space="0" w:color="auto"/>
            <w:left w:val="none" w:sz="0" w:space="0" w:color="auto"/>
            <w:bottom w:val="none" w:sz="0" w:space="0" w:color="auto"/>
            <w:right w:val="none" w:sz="0" w:space="0" w:color="auto"/>
          </w:divBdr>
        </w:div>
        <w:div w:id="1002897529">
          <w:marLeft w:val="0"/>
          <w:marRight w:val="0"/>
          <w:marTop w:val="0"/>
          <w:marBottom w:val="0"/>
          <w:divBdr>
            <w:top w:val="none" w:sz="0" w:space="0" w:color="auto"/>
            <w:left w:val="none" w:sz="0" w:space="0" w:color="auto"/>
            <w:bottom w:val="none" w:sz="0" w:space="0" w:color="auto"/>
            <w:right w:val="none" w:sz="0" w:space="0" w:color="auto"/>
          </w:divBdr>
        </w:div>
        <w:div w:id="786125640">
          <w:marLeft w:val="0"/>
          <w:marRight w:val="0"/>
          <w:marTop w:val="0"/>
          <w:marBottom w:val="0"/>
          <w:divBdr>
            <w:top w:val="none" w:sz="0" w:space="0" w:color="auto"/>
            <w:left w:val="none" w:sz="0" w:space="0" w:color="auto"/>
            <w:bottom w:val="none" w:sz="0" w:space="0" w:color="auto"/>
            <w:right w:val="none" w:sz="0" w:space="0" w:color="auto"/>
          </w:divBdr>
        </w:div>
        <w:div w:id="255745322">
          <w:marLeft w:val="0"/>
          <w:marRight w:val="0"/>
          <w:marTop w:val="0"/>
          <w:marBottom w:val="0"/>
          <w:divBdr>
            <w:top w:val="none" w:sz="0" w:space="0" w:color="auto"/>
            <w:left w:val="none" w:sz="0" w:space="0" w:color="auto"/>
            <w:bottom w:val="none" w:sz="0" w:space="0" w:color="auto"/>
            <w:right w:val="none" w:sz="0" w:space="0" w:color="auto"/>
          </w:divBdr>
        </w:div>
        <w:div w:id="629824525">
          <w:marLeft w:val="0"/>
          <w:marRight w:val="0"/>
          <w:marTop w:val="0"/>
          <w:marBottom w:val="0"/>
          <w:divBdr>
            <w:top w:val="none" w:sz="0" w:space="0" w:color="auto"/>
            <w:left w:val="none" w:sz="0" w:space="0" w:color="auto"/>
            <w:bottom w:val="none" w:sz="0" w:space="0" w:color="auto"/>
            <w:right w:val="none" w:sz="0" w:space="0" w:color="auto"/>
          </w:divBdr>
        </w:div>
        <w:div w:id="1916471919">
          <w:marLeft w:val="0"/>
          <w:marRight w:val="0"/>
          <w:marTop w:val="0"/>
          <w:marBottom w:val="0"/>
          <w:divBdr>
            <w:top w:val="none" w:sz="0" w:space="0" w:color="auto"/>
            <w:left w:val="none" w:sz="0" w:space="0" w:color="auto"/>
            <w:bottom w:val="none" w:sz="0" w:space="0" w:color="auto"/>
            <w:right w:val="none" w:sz="0" w:space="0" w:color="auto"/>
          </w:divBdr>
        </w:div>
        <w:div w:id="1080450454">
          <w:marLeft w:val="0"/>
          <w:marRight w:val="0"/>
          <w:marTop w:val="0"/>
          <w:marBottom w:val="0"/>
          <w:divBdr>
            <w:top w:val="none" w:sz="0" w:space="0" w:color="auto"/>
            <w:left w:val="none" w:sz="0" w:space="0" w:color="auto"/>
            <w:bottom w:val="none" w:sz="0" w:space="0" w:color="auto"/>
            <w:right w:val="none" w:sz="0" w:space="0" w:color="auto"/>
          </w:divBdr>
        </w:div>
      </w:divsChild>
    </w:div>
    <w:div w:id="1272317549">
      <w:bodyDiv w:val="1"/>
      <w:marLeft w:val="0"/>
      <w:marRight w:val="0"/>
      <w:marTop w:val="0"/>
      <w:marBottom w:val="0"/>
      <w:divBdr>
        <w:top w:val="none" w:sz="0" w:space="0" w:color="auto"/>
        <w:left w:val="none" w:sz="0" w:space="0" w:color="auto"/>
        <w:bottom w:val="none" w:sz="0" w:space="0" w:color="auto"/>
        <w:right w:val="none" w:sz="0" w:space="0" w:color="auto"/>
      </w:divBdr>
    </w:div>
    <w:div w:id="1329863121">
      <w:bodyDiv w:val="1"/>
      <w:marLeft w:val="0"/>
      <w:marRight w:val="0"/>
      <w:marTop w:val="0"/>
      <w:marBottom w:val="0"/>
      <w:divBdr>
        <w:top w:val="none" w:sz="0" w:space="0" w:color="auto"/>
        <w:left w:val="none" w:sz="0" w:space="0" w:color="auto"/>
        <w:bottom w:val="none" w:sz="0" w:space="0" w:color="auto"/>
        <w:right w:val="none" w:sz="0" w:space="0" w:color="auto"/>
      </w:divBdr>
      <w:divsChild>
        <w:div w:id="1721594133">
          <w:marLeft w:val="0"/>
          <w:marRight w:val="0"/>
          <w:marTop w:val="0"/>
          <w:marBottom w:val="0"/>
          <w:divBdr>
            <w:top w:val="none" w:sz="0" w:space="0" w:color="auto"/>
            <w:left w:val="none" w:sz="0" w:space="0" w:color="auto"/>
            <w:bottom w:val="none" w:sz="0" w:space="0" w:color="auto"/>
            <w:right w:val="none" w:sz="0" w:space="0" w:color="auto"/>
          </w:divBdr>
        </w:div>
      </w:divsChild>
    </w:div>
    <w:div w:id="1390610989">
      <w:bodyDiv w:val="1"/>
      <w:marLeft w:val="0"/>
      <w:marRight w:val="0"/>
      <w:marTop w:val="0"/>
      <w:marBottom w:val="0"/>
      <w:divBdr>
        <w:top w:val="none" w:sz="0" w:space="0" w:color="auto"/>
        <w:left w:val="none" w:sz="0" w:space="0" w:color="auto"/>
        <w:bottom w:val="none" w:sz="0" w:space="0" w:color="auto"/>
        <w:right w:val="none" w:sz="0" w:space="0" w:color="auto"/>
      </w:divBdr>
      <w:divsChild>
        <w:div w:id="2010323720">
          <w:marLeft w:val="0"/>
          <w:marRight w:val="0"/>
          <w:marTop w:val="0"/>
          <w:marBottom w:val="0"/>
          <w:divBdr>
            <w:top w:val="none" w:sz="0" w:space="0" w:color="auto"/>
            <w:left w:val="none" w:sz="0" w:space="0" w:color="auto"/>
            <w:bottom w:val="none" w:sz="0" w:space="0" w:color="auto"/>
            <w:right w:val="none" w:sz="0" w:space="0" w:color="auto"/>
          </w:divBdr>
        </w:div>
        <w:div w:id="525559743">
          <w:marLeft w:val="0"/>
          <w:marRight w:val="0"/>
          <w:marTop w:val="0"/>
          <w:marBottom w:val="0"/>
          <w:divBdr>
            <w:top w:val="none" w:sz="0" w:space="0" w:color="auto"/>
            <w:left w:val="none" w:sz="0" w:space="0" w:color="auto"/>
            <w:bottom w:val="none" w:sz="0" w:space="0" w:color="auto"/>
            <w:right w:val="none" w:sz="0" w:space="0" w:color="auto"/>
          </w:divBdr>
        </w:div>
        <w:div w:id="634868965">
          <w:marLeft w:val="0"/>
          <w:marRight w:val="0"/>
          <w:marTop w:val="0"/>
          <w:marBottom w:val="0"/>
          <w:divBdr>
            <w:top w:val="none" w:sz="0" w:space="0" w:color="auto"/>
            <w:left w:val="none" w:sz="0" w:space="0" w:color="auto"/>
            <w:bottom w:val="none" w:sz="0" w:space="0" w:color="auto"/>
            <w:right w:val="none" w:sz="0" w:space="0" w:color="auto"/>
          </w:divBdr>
        </w:div>
        <w:div w:id="2096894439">
          <w:marLeft w:val="0"/>
          <w:marRight w:val="0"/>
          <w:marTop w:val="0"/>
          <w:marBottom w:val="0"/>
          <w:divBdr>
            <w:top w:val="none" w:sz="0" w:space="0" w:color="auto"/>
            <w:left w:val="none" w:sz="0" w:space="0" w:color="auto"/>
            <w:bottom w:val="none" w:sz="0" w:space="0" w:color="auto"/>
            <w:right w:val="none" w:sz="0" w:space="0" w:color="auto"/>
          </w:divBdr>
        </w:div>
        <w:div w:id="1484078430">
          <w:marLeft w:val="0"/>
          <w:marRight w:val="0"/>
          <w:marTop w:val="0"/>
          <w:marBottom w:val="0"/>
          <w:divBdr>
            <w:top w:val="none" w:sz="0" w:space="0" w:color="auto"/>
            <w:left w:val="none" w:sz="0" w:space="0" w:color="auto"/>
            <w:bottom w:val="none" w:sz="0" w:space="0" w:color="auto"/>
            <w:right w:val="none" w:sz="0" w:space="0" w:color="auto"/>
          </w:divBdr>
        </w:div>
      </w:divsChild>
    </w:div>
    <w:div w:id="1414082245">
      <w:bodyDiv w:val="1"/>
      <w:marLeft w:val="0"/>
      <w:marRight w:val="0"/>
      <w:marTop w:val="0"/>
      <w:marBottom w:val="0"/>
      <w:divBdr>
        <w:top w:val="none" w:sz="0" w:space="0" w:color="auto"/>
        <w:left w:val="none" w:sz="0" w:space="0" w:color="auto"/>
        <w:bottom w:val="none" w:sz="0" w:space="0" w:color="auto"/>
        <w:right w:val="none" w:sz="0" w:space="0" w:color="auto"/>
      </w:divBdr>
    </w:div>
    <w:div w:id="1467232966">
      <w:bodyDiv w:val="1"/>
      <w:marLeft w:val="0"/>
      <w:marRight w:val="0"/>
      <w:marTop w:val="0"/>
      <w:marBottom w:val="0"/>
      <w:divBdr>
        <w:top w:val="none" w:sz="0" w:space="0" w:color="auto"/>
        <w:left w:val="none" w:sz="0" w:space="0" w:color="auto"/>
        <w:bottom w:val="none" w:sz="0" w:space="0" w:color="auto"/>
        <w:right w:val="none" w:sz="0" w:space="0" w:color="auto"/>
      </w:divBdr>
      <w:divsChild>
        <w:div w:id="174878620">
          <w:marLeft w:val="446"/>
          <w:marRight w:val="0"/>
          <w:marTop w:val="0"/>
          <w:marBottom w:val="0"/>
          <w:divBdr>
            <w:top w:val="none" w:sz="0" w:space="0" w:color="auto"/>
            <w:left w:val="none" w:sz="0" w:space="0" w:color="auto"/>
            <w:bottom w:val="none" w:sz="0" w:space="0" w:color="auto"/>
            <w:right w:val="none" w:sz="0" w:space="0" w:color="auto"/>
          </w:divBdr>
        </w:div>
      </w:divsChild>
    </w:div>
    <w:div w:id="1499155195">
      <w:bodyDiv w:val="1"/>
      <w:marLeft w:val="0"/>
      <w:marRight w:val="0"/>
      <w:marTop w:val="0"/>
      <w:marBottom w:val="0"/>
      <w:divBdr>
        <w:top w:val="none" w:sz="0" w:space="0" w:color="auto"/>
        <w:left w:val="none" w:sz="0" w:space="0" w:color="auto"/>
        <w:bottom w:val="none" w:sz="0" w:space="0" w:color="auto"/>
        <w:right w:val="none" w:sz="0" w:space="0" w:color="auto"/>
      </w:divBdr>
    </w:div>
    <w:div w:id="1533222612">
      <w:bodyDiv w:val="1"/>
      <w:marLeft w:val="0"/>
      <w:marRight w:val="0"/>
      <w:marTop w:val="0"/>
      <w:marBottom w:val="0"/>
      <w:divBdr>
        <w:top w:val="none" w:sz="0" w:space="0" w:color="auto"/>
        <w:left w:val="none" w:sz="0" w:space="0" w:color="auto"/>
        <w:bottom w:val="none" w:sz="0" w:space="0" w:color="auto"/>
        <w:right w:val="none" w:sz="0" w:space="0" w:color="auto"/>
      </w:divBdr>
      <w:divsChild>
        <w:div w:id="101074265">
          <w:marLeft w:val="0"/>
          <w:marRight w:val="0"/>
          <w:marTop w:val="0"/>
          <w:marBottom w:val="0"/>
          <w:divBdr>
            <w:top w:val="none" w:sz="0" w:space="0" w:color="auto"/>
            <w:left w:val="none" w:sz="0" w:space="0" w:color="auto"/>
            <w:bottom w:val="none" w:sz="0" w:space="0" w:color="auto"/>
            <w:right w:val="none" w:sz="0" w:space="0" w:color="auto"/>
          </w:divBdr>
        </w:div>
        <w:div w:id="2000035524">
          <w:marLeft w:val="0"/>
          <w:marRight w:val="0"/>
          <w:marTop w:val="0"/>
          <w:marBottom w:val="0"/>
          <w:divBdr>
            <w:top w:val="none" w:sz="0" w:space="0" w:color="auto"/>
            <w:left w:val="none" w:sz="0" w:space="0" w:color="auto"/>
            <w:bottom w:val="none" w:sz="0" w:space="0" w:color="auto"/>
            <w:right w:val="none" w:sz="0" w:space="0" w:color="auto"/>
          </w:divBdr>
        </w:div>
        <w:div w:id="1695643973">
          <w:marLeft w:val="0"/>
          <w:marRight w:val="0"/>
          <w:marTop w:val="0"/>
          <w:marBottom w:val="0"/>
          <w:divBdr>
            <w:top w:val="none" w:sz="0" w:space="0" w:color="auto"/>
            <w:left w:val="none" w:sz="0" w:space="0" w:color="auto"/>
            <w:bottom w:val="none" w:sz="0" w:space="0" w:color="auto"/>
            <w:right w:val="none" w:sz="0" w:space="0" w:color="auto"/>
          </w:divBdr>
        </w:div>
        <w:div w:id="32971733">
          <w:marLeft w:val="0"/>
          <w:marRight w:val="0"/>
          <w:marTop w:val="0"/>
          <w:marBottom w:val="0"/>
          <w:divBdr>
            <w:top w:val="none" w:sz="0" w:space="0" w:color="auto"/>
            <w:left w:val="none" w:sz="0" w:space="0" w:color="auto"/>
            <w:bottom w:val="none" w:sz="0" w:space="0" w:color="auto"/>
            <w:right w:val="none" w:sz="0" w:space="0" w:color="auto"/>
          </w:divBdr>
        </w:div>
      </w:divsChild>
    </w:div>
    <w:div w:id="1553153797">
      <w:bodyDiv w:val="1"/>
      <w:marLeft w:val="0"/>
      <w:marRight w:val="0"/>
      <w:marTop w:val="0"/>
      <w:marBottom w:val="0"/>
      <w:divBdr>
        <w:top w:val="none" w:sz="0" w:space="0" w:color="auto"/>
        <w:left w:val="none" w:sz="0" w:space="0" w:color="auto"/>
        <w:bottom w:val="none" w:sz="0" w:space="0" w:color="auto"/>
        <w:right w:val="none" w:sz="0" w:space="0" w:color="auto"/>
      </w:divBdr>
      <w:divsChild>
        <w:div w:id="1367870052">
          <w:marLeft w:val="0"/>
          <w:marRight w:val="0"/>
          <w:marTop w:val="0"/>
          <w:marBottom w:val="0"/>
          <w:divBdr>
            <w:top w:val="none" w:sz="0" w:space="0" w:color="auto"/>
            <w:left w:val="none" w:sz="0" w:space="0" w:color="auto"/>
            <w:bottom w:val="none" w:sz="0" w:space="0" w:color="auto"/>
            <w:right w:val="none" w:sz="0" w:space="0" w:color="auto"/>
          </w:divBdr>
        </w:div>
        <w:div w:id="493188492">
          <w:marLeft w:val="0"/>
          <w:marRight w:val="0"/>
          <w:marTop w:val="0"/>
          <w:marBottom w:val="0"/>
          <w:divBdr>
            <w:top w:val="none" w:sz="0" w:space="0" w:color="auto"/>
            <w:left w:val="none" w:sz="0" w:space="0" w:color="auto"/>
            <w:bottom w:val="none" w:sz="0" w:space="0" w:color="auto"/>
            <w:right w:val="none" w:sz="0" w:space="0" w:color="auto"/>
          </w:divBdr>
        </w:div>
        <w:div w:id="649795152">
          <w:marLeft w:val="0"/>
          <w:marRight w:val="0"/>
          <w:marTop w:val="0"/>
          <w:marBottom w:val="0"/>
          <w:divBdr>
            <w:top w:val="none" w:sz="0" w:space="0" w:color="auto"/>
            <w:left w:val="none" w:sz="0" w:space="0" w:color="auto"/>
            <w:bottom w:val="none" w:sz="0" w:space="0" w:color="auto"/>
            <w:right w:val="none" w:sz="0" w:space="0" w:color="auto"/>
          </w:divBdr>
        </w:div>
        <w:div w:id="1995909775">
          <w:marLeft w:val="0"/>
          <w:marRight w:val="0"/>
          <w:marTop w:val="0"/>
          <w:marBottom w:val="0"/>
          <w:divBdr>
            <w:top w:val="none" w:sz="0" w:space="0" w:color="auto"/>
            <w:left w:val="none" w:sz="0" w:space="0" w:color="auto"/>
            <w:bottom w:val="none" w:sz="0" w:space="0" w:color="auto"/>
            <w:right w:val="none" w:sz="0" w:space="0" w:color="auto"/>
          </w:divBdr>
        </w:div>
        <w:div w:id="1106970687">
          <w:marLeft w:val="0"/>
          <w:marRight w:val="0"/>
          <w:marTop w:val="0"/>
          <w:marBottom w:val="0"/>
          <w:divBdr>
            <w:top w:val="none" w:sz="0" w:space="0" w:color="auto"/>
            <w:left w:val="none" w:sz="0" w:space="0" w:color="auto"/>
            <w:bottom w:val="none" w:sz="0" w:space="0" w:color="auto"/>
            <w:right w:val="none" w:sz="0" w:space="0" w:color="auto"/>
          </w:divBdr>
        </w:div>
      </w:divsChild>
    </w:div>
    <w:div w:id="1553811276">
      <w:bodyDiv w:val="1"/>
      <w:marLeft w:val="0"/>
      <w:marRight w:val="0"/>
      <w:marTop w:val="0"/>
      <w:marBottom w:val="0"/>
      <w:divBdr>
        <w:top w:val="none" w:sz="0" w:space="0" w:color="auto"/>
        <w:left w:val="none" w:sz="0" w:space="0" w:color="auto"/>
        <w:bottom w:val="none" w:sz="0" w:space="0" w:color="auto"/>
        <w:right w:val="none" w:sz="0" w:space="0" w:color="auto"/>
      </w:divBdr>
      <w:divsChild>
        <w:div w:id="1297416781">
          <w:marLeft w:val="0"/>
          <w:marRight w:val="0"/>
          <w:marTop w:val="0"/>
          <w:marBottom w:val="0"/>
          <w:divBdr>
            <w:top w:val="none" w:sz="0" w:space="0" w:color="auto"/>
            <w:left w:val="none" w:sz="0" w:space="0" w:color="auto"/>
            <w:bottom w:val="none" w:sz="0" w:space="0" w:color="auto"/>
            <w:right w:val="none" w:sz="0" w:space="0" w:color="auto"/>
          </w:divBdr>
          <w:divsChild>
            <w:div w:id="12297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0824">
      <w:bodyDiv w:val="1"/>
      <w:marLeft w:val="0"/>
      <w:marRight w:val="0"/>
      <w:marTop w:val="0"/>
      <w:marBottom w:val="0"/>
      <w:divBdr>
        <w:top w:val="none" w:sz="0" w:space="0" w:color="auto"/>
        <w:left w:val="none" w:sz="0" w:space="0" w:color="auto"/>
        <w:bottom w:val="none" w:sz="0" w:space="0" w:color="auto"/>
        <w:right w:val="none" w:sz="0" w:space="0" w:color="auto"/>
      </w:divBdr>
    </w:div>
    <w:div w:id="1679501377">
      <w:bodyDiv w:val="1"/>
      <w:marLeft w:val="0"/>
      <w:marRight w:val="0"/>
      <w:marTop w:val="0"/>
      <w:marBottom w:val="0"/>
      <w:divBdr>
        <w:top w:val="none" w:sz="0" w:space="0" w:color="auto"/>
        <w:left w:val="none" w:sz="0" w:space="0" w:color="auto"/>
        <w:bottom w:val="none" w:sz="0" w:space="0" w:color="auto"/>
        <w:right w:val="none" w:sz="0" w:space="0" w:color="auto"/>
      </w:divBdr>
    </w:div>
    <w:div w:id="1771462333">
      <w:bodyDiv w:val="1"/>
      <w:marLeft w:val="0"/>
      <w:marRight w:val="0"/>
      <w:marTop w:val="0"/>
      <w:marBottom w:val="0"/>
      <w:divBdr>
        <w:top w:val="none" w:sz="0" w:space="0" w:color="auto"/>
        <w:left w:val="none" w:sz="0" w:space="0" w:color="auto"/>
        <w:bottom w:val="none" w:sz="0" w:space="0" w:color="auto"/>
        <w:right w:val="none" w:sz="0" w:space="0" w:color="auto"/>
      </w:divBdr>
      <w:divsChild>
        <w:div w:id="1199665112">
          <w:marLeft w:val="0"/>
          <w:marRight w:val="0"/>
          <w:marTop w:val="0"/>
          <w:marBottom w:val="0"/>
          <w:divBdr>
            <w:top w:val="none" w:sz="0" w:space="0" w:color="auto"/>
            <w:left w:val="none" w:sz="0" w:space="0" w:color="auto"/>
            <w:bottom w:val="none" w:sz="0" w:space="0" w:color="auto"/>
            <w:right w:val="none" w:sz="0" w:space="0" w:color="auto"/>
          </w:divBdr>
        </w:div>
      </w:divsChild>
    </w:div>
    <w:div w:id="1797600881">
      <w:bodyDiv w:val="1"/>
      <w:marLeft w:val="0"/>
      <w:marRight w:val="0"/>
      <w:marTop w:val="0"/>
      <w:marBottom w:val="0"/>
      <w:divBdr>
        <w:top w:val="none" w:sz="0" w:space="0" w:color="auto"/>
        <w:left w:val="none" w:sz="0" w:space="0" w:color="auto"/>
        <w:bottom w:val="none" w:sz="0" w:space="0" w:color="auto"/>
        <w:right w:val="none" w:sz="0" w:space="0" w:color="auto"/>
      </w:divBdr>
      <w:divsChild>
        <w:div w:id="1912739181">
          <w:marLeft w:val="0"/>
          <w:marRight w:val="0"/>
          <w:marTop w:val="0"/>
          <w:marBottom w:val="0"/>
          <w:divBdr>
            <w:top w:val="none" w:sz="0" w:space="0" w:color="auto"/>
            <w:left w:val="none" w:sz="0" w:space="0" w:color="auto"/>
            <w:bottom w:val="none" w:sz="0" w:space="0" w:color="auto"/>
            <w:right w:val="none" w:sz="0" w:space="0" w:color="auto"/>
          </w:divBdr>
        </w:div>
        <w:div w:id="398360434">
          <w:marLeft w:val="0"/>
          <w:marRight w:val="0"/>
          <w:marTop w:val="0"/>
          <w:marBottom w:val="0"/>
          <w:divBdr>
            <w:top w:val="none" w:sz="0" w:space="0" w:color="auto"/>
            <w:left w:val="none" w:sz="0" w:space="0" w:color="auto"/>
            <w:bottom w:val="none" w:sz="0" w:space="0" w:color="auto"/>
            <w:right w:val="none" w:sz="0" w:space="0" w:color="auto"/>
          </w:divBdr>
        </w:div>
        <w:div w:id="1608537870">
          <w:marLeft w:val="0"/>
          <w:marRight w:val="0"/>
          <w:marTop w:val="0"/>
          <w:marBottom w:val="0"/>
          <w:divBdr>
            <w:top w:val="none" w:sz="0" w:space="0" w:color="auto"/>
            <w:left w:val="none" w:sz="0" w:space="0" w:color="auto"/>
            <w:bottom w:val="none" w:sz="0" w:space="0" w:color="auto"/>
            <w:right w:val="none" w:sz="0" w:space="0" w:color="auto"/>
          </w:divBdr>
        </w:div>
        <w:div w:id="1387534133">
          <w:marLeft w:val="0"/>
          <w:marRight w:val="0"/>
          <w:marTop w:val="0"/>
          <w:marBottom w:val="0"/>
          <w:divBdr>
            <w:top w:val="none" w:sz="0" w:space="0" w:color="auto"/>
            <w:left w:val="none" w:sz="0" w:space="0" w:color="auto"/>
            <w:bottom w:val="none" w:sz="0" w:space="0" w:color="auto"/>
            <w:right w:val="none" w:sz="0" w:space="0" w:color="auto"/>
          </w:divBdr>
        </w:div>
      </w:divsChild>
    </w:div>
    <w:div w:id="187442023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0281876">
      <w:bodyDiv w:val="1"/>
      <w:marLeft w:val="0"/>
      <w:marRight w:val="0"/>
      <w:marTop w:val="0"/>
      <w:marBottom w:val="0"/>
      <w:divBdr>
        <w:top w:val="none" w:sz="0" w:space="0" w:color="auto"/>
        <w:left w:val="none" w:sz="0" w:space="0" w:color="auto"/>
        <w:bottom w:val="none" w:sz="0" w:space="0" w:color="auto"/>
        <w:right w:val="none" w:sz="0" w:space="0" w:color="auto"/>
      </w:divBdr>
    </w:div>
    <w:div w:id="1971469820">
      <w:bodyDiv w:val="1"/>
      <w:marLeft w:val="0"/>
      <w:marRight w:val="0"/>
      <w:marTop w:val="0"/>
      <w:marBottom w:val="0"/>
      <w:divBdr>
        <w:top w:val="none" w:sz="0" w:space="0" w:color="auto"/>
        <w:left w:val="none" w:sz="0" w:space="0" w:color="auto"/>
        <w:bottom w:val="none" w:sz="0" w:space="0" w:color="auto"/>
        <w:right w:val="none" w:sz="0" w:space="0" w:color="auto"/>
      </w:divBdr>
    </w:div>
    <w:div w:id="1990669711">
      <w:bodyDiv w:val="1"/>
      <w:marLeft w:val="0"/>
      <w:marRight w:val="0"/>
      <w:marTop w:val="0"/>
      <w:marBottom w:val="0"/>
      <w:divBdr>
        <w:top w:val="none" w:sz="0" w:space="0" w:color="auto"/>
        <w:left w:val="none" w:sz="0" w:space="0" w:color="auto"/>
        <w:bottom w:val="none" w:sz="0" w:space="0" w:color="auto"/>
        <w:right w:val="none" w:sz="0" w:space="0" w:color="auto"/>
      </w:divBdr>
      <w:divsChild>
        <w:div w:id="2110805371">
          <w:marLeft w:val="0"/>
          <w:marRight w:val="0"/>
          <w:marTop w:val="0"/>
          <w:marBottom w:val="0"/>
          <w:divBdr>
            <w:top w:val="none" w:sz="0" w:space="0" w:color="auto"/>
            <w:left w:val="none" w:sz="0" w:space="0" w:color="auto"/>
            <w:bottom w:val="none" w:sz="0" w:space="0" w:color="auto"/>
            <w:right w:val="none" w:sz="0" w:space="0" w:color="auto"/>
          </w:divBdr>
          <w:divsChild>
            <w:div w:id="5358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8551B-D13F-4A06-9B1B-437E49D9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8936</Words>
  <Characters>48232</Characters>
  <Application>Microsoft Office Word</Application>
  <DocSecurity>0</DocSecurity>
  <Lines>401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2021-07-08T04:00:00Z</dcterms:created>
  <dcterms:modified xsi:type="dcterms:W3CDTF">2021-07-08T04:00:00Z</dcterms:modified>
</cp:coreProperties>
</file>