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5728DD" w:rsidRDefault="001A55BA" w:rsidP="003853A4">
      <w:pPr>
        <w:pStyle w:val="1-MainHeading"/>
      </w:pPr>
      <w:bookmarkStart w:id="0" w:name="_Toc62035720"/>
      <w:r w:rsidRPr="005728DD">
        <w:t>5.</w:t>
      </w:r>
      <w:r w:rsidR="00DD752E" w:rsidRPr="005728DD">
        <w:t>07</w:t>
      </w:r>
      <w:r w:rsidR="00163F66" w:rsidRPr="005728DD">
        <w:tab/>
      </w:r>
      <w:r w:rsidR="00CE5A2F" w:rsidRPr="005728DD">
        <w:t>ELEXACAFTOR/TEZACAFTOR/</w:t>
      </w:r>
      <w:r w:rsidR="00F103DE" w:rsidRPr="005728DD">
        <w:t>IVACAFTOR</w:t>
      </w:r>
      <w:r w:rsidR="00CE5A2F" w:rsidRPr="005728DD">
        <w:br/>
      </w:r>
      <w:r w:rsidR="001B7E8D" w:rsidRPr="005728DD">
        <w:t>Elexacaftor 100</w:t>
      </w:r>
      <w:r w:rsidRPr="005728DD">
        <w:t xml:space="preserve"> </w:t>
      </w:r>
      <w:r w:rsidR="001B7E8D" w:rsidRPr="005728DD">
        <w:t>mg/tezacaftor 50</w:t>
      </w:r>
      <w:r w:rsidRPr="005728DD">
        <w:t xml:space="preserve"> </w:t>
      </w:r>
      <w:r w:rsidR="001B7E8D" w:rsidRPr="005728DD">
        <w:t>mg/ivacaftor 75</w:t>
      </w:r>
      <w:r w:rsidRPr="005728DD">
        <w:t xml:space="preserve"> </w:t>
      </w:r>
      <w:r w:rsidR="003853A4" w:rsidRPr="005728DD">
        <w:t xml:space="preserve">mg film-coated tablets co-packaged with </w:t>
      </w:r>
      <w:r w:rsidR="001B7E8D" w:rsidRPr="005728DD">
        <w:t>ivacaftor 150</w:t>
      </w:r>
      <w:r w:rsidRPr="005728DD">
        <w:t xml:space="preserve"> </w:t>
      </w:r>
      <w:r w:rsidR="003853A4" w:rsidRPr="005728DD">
        <w:t xml:space="preserve">mg film-coated tablets, </w:t>
      </w:r>
      <w:r w:rsidR="00120ACE" w:rsidRPr="005728DD">
        <w:br/>
      </w:r>
      <w:r w:rsidR="00DD752E" w:rsidRPr="005728DD">
        <w:t>TRIKAFTA</w:t>
      </w:r>
      <w:r w:rsidR="003853A4" w:rsidRPr="005728DD">
        <w:rPr>
          <w:vertAlign w:val="superscript"/>
        </w:rPr>
        <w:t>TM</w:t>
      </w:r>
      <w:r w:rsidR="003853A4" w:rsidRPr="005728DD">
        <w:t>,</w:t>
      </w:r>
      <w:r w:rsidR="001B7E8D" w:rsidRPr="005728DD">
        <w:t xml:space="preserve"> </w:t>
      </w:r>
      <w:r w:rsidR="00120ACE" w:rsidRPr="005728DD">
        <w:br/>
      </w:r>
      <w:r w:rsidR="003853A4" w:rsidRPr="005728DD">
        <w:t>Vertex Pharmaceuticals (Australia) Pty Ltd</w:t>
      </w:r>
      <w:bookmarkEnd w:id="0"/>
      <w:r w:rsidR="00120ACE" w:rsidRPr="005728DD">
        <w:t>.</w:t>
      </w:r>
      <w:r w:rsidR="003853A4" w:rsidRPr="005728DD">
        <w:t xml:space="preserve"> </w:t>
      </w:r>
    </w:p>
    <w:p w:rsidR="001F49A3" w:rsidRPr="005728DD" w:rsidRDefault="001F49A3" w:rsidP="001F49A3">
      <w:pPr>
        <w:pStyle w:val="2-SectionHeading"/>
      </w:pPr>
      <w:bookmarkStart w:id="1" w:name="_Toc62035722"/>
      <w:bookmarkStart w:id="2" w:name="_Toc22897642"/>
      <w:r w:rsidRPr="005728DD">
        <w:t>Purpose of submission</w:t>
      </w:r>
      <w:bookmarkEnd w:id="1"/>
    </w:p>
    <w:p w:rsidR="001F49A3" w:rsidRPr="005728DD" w:rsidRDefault="001F49A3" w:rsidP="001F49A3">
      <w:pPr>
        <w:pStyle w:val="3-BodyText"/>
      </w:pPr>
      <w:r w:rsidRPr="005728DD">
        <w:t>The submission requested a Section 100, Authority Required listing for elexacaftor/tezacaftor/ivacaftor (ELX/TEZ/IVA) for the treatment of cystic fibrosis (CF) patients age</w:t>
      </w:r>
      <w:r w:rsidR="0029413B" w:rsidRPr="005728DD">
        <w:t>d</w:t>
      </w:r>
      <w:r w:rsidRPr="005728DD">
        <w:t xml:space="preserve"> 12 years and older who have at least one F508del mutation in the cystic fibrosis </w:t>
      </w:r>
      <w:r w:rsidR="008C4573" w:rsidRPr="005728DD">
        <w:t>transmembrane</w:t>
      </w:r>
      <w:r w:rsidRPr="005728DD">
        <w:t xml:space="preserve"> conductance regulator (CFTR) gene</w:t>
      </w:r>
      <w:r w:rsidR="0029413B" w:rsidRPr="005728DD">
        <w:t xml:space="preserve"> (F/any)</w:t>
      </w:r>
      <w:r w:rsidRPr="005728DD">
        <w:t xml:space="preserve">. </w:t>
      </w:r>
    </w:p>
    <w:p w:rsidR="00FE6724" w:rsidRPr="005728DD" w:rsidRDefault="001F0E1E" w:rsidP="00712358">
      <w:pPr>
        <w:pStyle w:val="3-BodyText"/>
      </w:pPr>
      <w:r w:rsidRPr="005728DD">
        <w:t xml:space="preserve">The submission identified five populations </w:t>
      </w:r>
      <w:r w:rsidR="00C40670" w:rsidRPr="005728DD">
        <w:t>who would be eligible for treatment with ELX/TEZ/IVA: (1) patients who are homozygous for the F508del-CFTR mutation (F/F); (2) patients who are heterozygous for F508del in the CFTR gene with a residual function mutation (F/RF); (3) patients who are heterozygous for F508del in the CFTR gene with a gating mutation (F/G); (4) patients who are heterozygous for F508del in the CFTR gene with a minimal function mutation (F/MF) and (5) patients who are heterozygous for F508del in the CFTR gene with</w:t>
      </w:r>
      <w:r w:rsidR="008B5EF9" w:rsidRPr="005728DD">
        <w:t xml:space="preserve">  </w:t>
      </w:r>
      <w:r w:rsidR="00C40670" w:rsidRPr="005728DD">
        <w:t xml:space="preserve">a </w:t>
      </w:r>
      <w:r w:rsidR="008E78C0" w:rsidRPr="005728DD">
        <w:t xml:space="preserve">second </w:t>
      </w:r>
      <w:r w:rsidR="00C40670" w:rsidRPr="005728DD">
        <w:t xml:space="preserve">mutation </w:t>
      </w:r>
      <w:r w:rsidR="005C2414" w:rsidRPr="005728DD">
        <w:t xml:space="preserve">that is unknown or </w:t>
      </w:r>
      <w:r w:rsidR="00C40670" w:rsidRPr="005728DD">
        <w:t>not yet characterised as gating, residual function or minimal function (F/not yet</w:t>
      </w:r>
      <w:r w:rsidR="005B414C" w:rsidRPr="005728DD">
        <w:t xml:space="preserve"> characterised</w:t>
      </w:r>
      <w:r w:rsidR="00C40670" w:rsidRPr="005728DD">
        <w:t>). Clinical evidence and economic analyses were presented for each of the</w:t>
      </w:r>
      <w:r w:rsidR="008951A8" w:rsidRPr="005728DD">
        <w:t>se</w:t>
      </w:r>
      <w:r w:rsidR="00C40670" w:rsidRPr="005728DD">
        <w:t xml:space="preserve"> populations (with the exception of the F/ not yet</w:t>
      </w:r>
      <w:r w:rsidR="008951A8" w:rsidRPr="005728DD">
        <w:t xml:space="preserve"> characterised</w:t>
      </w:r>
      <w:r w:rsidR="00C40670" w:rsidRPr="005728DD">
        <w:t xml:space="preserve"> population)</w:t>
      </w:r>
      <w:r w:rsidR="005728DD">
        <w:t xml:space="preserve">. </w:t>
      </w:r>
      <w:r w:rsidR="008E365A" w:rsidRPr="005728DD">
        <w:t>The submission stated the efficacy, safety and cost-effectiveness of ELX/TEZ/IVA in the F/MF population is considered to be representative of the F/not yet characterised population.</w:t>
      </w:r>
    </w:p>
    <w:p w:rsidR="00B85BD8" w:rsidRPr="005728DD" w:rsidRDefault="001F49A3" w:rsidP="00FD20B4">
      <w:pPr>
        <w:pStyle w:val="3-BodyText"/>
      </w:pPr>
      <w:r w:rsidRPr="005728DD">
        <w:t>Listing was requested on the basis of</w:t>
      </w:r>
      <w:r w:rsidR="0029413B" w:rsidRPr="005728DD">
        <w:t>:</w:t>
      </w:r>
      <w:r w:rsidRPr="005728DD">
        <w:t xml:space="preserve"> </w:t>
      </w:r>
      <w:r w:rsidR="0029413B" w:rsidRPr="005728DD">
        <w:t xml:space="preserve">(1) </w:t>
      </w:r>
      <w:r w:rsidRPr="005728DD">
        <w:t>a cost-effectiveness analysis versus tezacaftor/ivacaftor (TEZ/IVA)</w:t>
      </w:r>
      <w:r w:rsidR="00F363FA" w:rsidRPr="005728DD">
        <w:t xml:space="preserve"> </w:t>
      </w:r>
      <w:r w:rsidR="008D62FB" w:rsidRPr="005728DD">
        <w:t xml:space="preserve">in the </w:t>
      </w:r>
      <w:r w:rsidR="00C40670" w:rsidRPr="005728DD">
        <w:t>F/F</w:t>
      </w:r>
      <w:r w:rsidR="008D62FB" w:rsidRPr="005728DD">
        <w:t xml:space="preserve"> population</w:t>
      </w:r>
      <w:r w:rsidR="0079667C" w:rsidRPr="005728DD">
        <w:t xml:space="preserve">; (2) a cost-effectiveness analysis versus TEZ/IVA </w:t>
      </w:r>
      <w:r w:rsidR="008D62FB" w:rsidRPr="005728DD">
        <w:t xml:space="preserve">in the </w:t>
      </w:r>
      <w:r w:rsidR="00C40670" w:rsidRPr="005728DD">
        <w:t>F/RF</w:t>
      </w:r>
      <w:r w:rsidR="008D62FB" w:rsidRPr="005728DD">
        <w:t xml:space="preserve"> population</w:t>
      </w:r>
      <w:r w:rsidR="0079667C" w:rsidRPr="005728DD">
        <w:t>; (3) a cost-analysis versus ivacaftor</w:t>
      </w:r>
      <w:r w:rsidR="001F0E1E" w:rsidRPr="005728DD">
        <w:t xml:space="preserve"> (IVA)</w:t>
      </w:r>
      <w:r w:rsidR="0079667C" w:rsidRPr="005728DD">
        <w:t xml:space="preserve"> </w:t>
      </w:r>
      <w:r w:rsidR="008D62FB" w:rsidRPr="005728DD">
        <w:t xml:space="preserve">in the </w:t>
      </w:r>
      <w:r w:rsidR="00C40670" w:rsidRPr="005728DD">
        <w:t>F/G</w:t>
      </w:r>
      <w:r w:rsidR="008D62FB" w:rsidRPr="005728DD">
        <w:t xml:space="preserve"> population</w:t>
      </w:r>
      <w:r w:rsidR="0079667C" w:rsidRPr="005728DD">
        <w:t xml:space="preserve">; </w:t>
      </w:r>
      <w:r w:rsidRPr="005728DD">
        <w:t xml:space="preserve">and </w:t>
      </w:r>
      <w:r w:rsidR="0079667C" w:rsidRPr="005728DD">
        <w:t xml:space="preserve">(4) a cost-effectiveness analysis </w:t>
      </w:r>
      <w:r w:rsidR="00247894" w:rsidRPr="005728DD">
        <w:t xml:space="preserve">versus </w:t>
      </w:r>
      <w:r w:rsidRPr="005728DD">
        <w:t>best supportive care (BSC)</w:t>
      </w:r>
      <w:r w:rsidR="00393092" w:rsidRPr="005728DD">
        <w:t xml:space="preserve"> </w:t>
      </w:r>
      <w:r w:rsidR="008D62FB" w:rsidRPr="005728DD">
        <w:t>in the</w:t>
      </w:r>
      <w:r w:rsidR="005B414C" w:rsidRPr="005728DD">
        <w:t xml:space="preserve"> F/MF</w:t>
      </w:r>
      <w:r w:rsidR="008D62FB" w:rsidRPr="005728DD">
        <w:t xml:space="preserve"> population</w:t>
      </w:r>
      <w:r w:rsidR="001F0E1E" w:rsidRPr="005728DD">
        <w:t xml:space="preserve">. </w:t>
      </w:r>
    </w:p>
    <w:p w:rsidR="001F49A3" w:rsidRPr="005728DD" w:rsidRDefault="001F49A3" w:rsidP="001F49A3">
      <w:pPr>
        <w:pStyle w:val="3-BodyText"/>
      </w:pPr>
      <w:r w:rsidRPr="005728DD">
        <w:t xml:space="preserve">The key components of the submission are presented in </w:t>
      </w:r>
      <w:r w:rsidR="005C56C0" w:rsidRPr="005C56C0">
        <w:rPr>
          <w:rFonts w:ascii="Calibri" w:hAnsi="Calibri" w:cs="Calibri"/>
        </w:rPr>
        <w:t>Table 1</w:t>
      </w:r>
      <w:r w:rsidRPr="005728DD">
        <w:t>.</w:t>
      </w:r>
    </w:p>
    <w:p w:rsidR="00B14C0B" w:rsidRDefault="00B14C0B">
      <w:pPr>
        <w:jc w:val="left"/>
        <w:rPr>
          <w:rFonts w:ascii="Arial Narrow" w:hAnsi="Arial Narrow"/>
          <w:b/>
          <w:bCs/>
          <w:sz w:val="20"/>
          <w:szCs w:val="20"/>
        </w:rPr>
      </w:pPr>
      <w:bookmarkStart w:id="3" w:name="_Ref64206440"/>
      <w:r>
        <w:br w:type="page"/>
      </w:r>
    </w:p>
    <w:p w:rsidR="001F49A3" w:rsidRPr="005728DD" w:rsidRDefault="00FE4A1C" w:rsidP="00CE5A2F">
      <w:pPr>
        <w:pStyle w:val="Caption"/>
        <w:spacing w:after="0"/>
        <w:rPr>
          <w:rStyle w:val="CommentReference"/>
          <w:rFonts w:ascii="Calibri" w:hAnsi="Calibri"/>
          <w:b/>
          <w:sz w:val="18"/>
          <w:szCs w:val="18"/>
        </w:rPr>
      </w:pPr>
      <w:r w:rsidRPr="005728DD">
        <w:lastRenderedPageBreak/>
        <w:t xml:space="preserve">Table </w:t>
      </w:r>
      <w:r w:rsidR="005C56C0">
        <w:rPr>
          <w:noProof/>
        </w:rPr>
        <w:t>1</w:t>
      </w:r>
      <w:bookmarkEnd w:id="3"/>
      <w:r w:rsidRPr="005728DD">
        <w:t>:</w:t>
      </w:r>
      <w:r w:rsidR="00F6626A" w:rsidRPr="005728DD">
        <w:rPr>
          <w:rStyle w:val="CommentReference"/>
          <w:b/>
          <w:szCs w:val="24"/>
        </w:rPr>
        <w:t xml:space="preserve"> </w:t>
      </w:r>
      <w:r w:rsidR="001F49A3" w:rsidRPr="005728DD">
        <w:rPr>
          <w:rStyle w:val="CommentReference"/>
          <w:b/>
          <w:szCs w:val="24"/>
        </w:rPr>
        <w:t xml:space="preserve">Key components of the clinical issue addressed by the submission </w:t>
      </w:r>
    </w:p>
    <w:tbl>
      <w:tblPr>
        <w:tblStyle w:val="HTATableshaded"/>
        <w:tblW w:w="5000" w:type="pct"/>
        <w:tblLook w:val="04A0" w:firstRow="1" w:lastRow="0" w:firstColumn="1" w:lastColumn="0" w:noHBand="0" w:noVBand="1"/>
        <w:tblCaption w:val="Table 1: Key components of the clinical issue addressed by the submission "/>
      </w:tblPr>
      <w:tblGrid>
        <w:gridCol w:w="1413"/>
        <w:gridCol w:w="7485"/>
      </w:tblGrid>
      <w:tr w:rsidR="001F49A3" w:rsidRPr="005728DD" w:rsidTr="007846A7">
        <w:trPr>
          <w:cnfStyle w:val="100000000000" w:firstRow="1" w:lastRow="0" w:firstColumn="0" w:lastColumn="0" w:oddVBand="0" w:evenVBand="0" w:oddHBand="0" w:evenHBand="0" w:firstRowFirstColumn="0" w:firstRowLastColumn="0" w:lastRowFirstColumn="0" w:lastRowLastColumn="0"/>
          <w:tblHeader/>
        </w:trPr>
        <w:tc>
          <w:tcPr>
            <w:tcW w:w="0" w:type="dxa"/>
            <w:tcBorders>
              <w:top w:val="none" w:sz="0" w:space="0" w:color="auto"/>
              <w:left w:val="none" w:sz="0" w:space="0" w:color="auto"/>
              <w:bottom w:val="none" w:sz="0" w:space="0" w:color="auto"/>
              <w:right w:val="none" w:sz="0" w:space="0" w:color="auto"/>
            </w:tcBorders>
          </w:tcPr>
          <w:p w:rsidR="001F49A3" w:rsidRPr="005728DD" w:rsidRDefault="001F49A3" w:rsidP="007846A7">
            <w:pPr>
              <w:pStyle w:val="TableH1"/>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0" w:type="dxa"/>
            <w:tcBorders>
              <w:top w:val="none" w:sz="0" w:space="0" w:color="auto"/>
              <w:left w:val="none" w:sz="0" w:space="0" w:color="auto"/>
              <w:bottom w:val="none" w:sz="0" w:space="0" w:color="auto"/>
              <w:right w:val="none" w:sz="0" w:space="0" w:color="auto"/>
            </w:tcBorders>
          </w:tcPr>
          <w:p w:rsidR="001F49A3" w:rsidRPr="005728DD" w:rsidRDefault="001F49A3" w:rsidP="007846A7">
            <w:pPr>
              <w:pStyle w:val="TableH1"/>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1F49A3" w:rsidRPr="005728DD" w:rsidTr="007846A7">
        <w:tc>
          <w:tcPr>
            <w:tcW w:w="1418" w:type="dxa"/>
          </w:tcPr>
          <w:p w:rsidR="001F49A3" w:rsidRPr="005728DD" w:rsidRDefault="001F49A3" w:rsidP="007846A7">
            <w:pPr>
              <w:pStyle w:val="TableHeadingleft"/>
              <w:spacing w:before="0" w:after="0"/>
              <w:rPr>
                <w:rFonts w:ascii="Arial Narrow" w:hAnsi="Arial Narrow"/>
                <w:sz w:val="20"/>
                <w:szCs w:val="20"/>
                <w:lang w:val="en-AU"/>
              </w:rPr>
            </w:pPr>
            <w:r w:rsidRPr="005728DD">
              <w:rPr>
                <w:rFonts w:ascii="Arial Narrow" w:hAnsi="Arial Narrow"/>
                <w:sz w:val="20"/>
                <w:szCs w:val="20"/>
                <w:lang w:val="en-AU"/>
              </w:rPr>
              <w:t>Population</w:t>
            </w:r>
          </w:p>
        </w:tc>
        <w:tc>
          <w:tcPr>
            <w:tcW w:w="7608" w:type="dxa"/>
          </w:tcPr>
          <w:p w:rsidR="001F49A3" w:rsidRPr="005728DD" w:rsidRDefault="001F49A3" w:rsidP="007846A7">
            <w:pPr>
              <w:spacing w:before="0" w:after="0"/>
              <w:rPr>
                <w:rFonts w:ascii="Arial Narrow" w:hAnsi="Arial Narrow"/>
                <w:sz w:val="20"/>
                <w:szCs w:val="20"/>
              </w:rPr>
            </w:pPr>
            <w:r w:rsidRPr="005728DD">
              <w:rPr>
                <w:rFonts w:ascii="Arial Narrow" w:hAnsi="Arial Narrow"/>
                <w:sz w:val="20"/>
                <w:szCs w:val="20"/>
              </w:rPr>
              <w:t>CF patients aged 12 years and older who have at least one F508del mutation in the cystic fibrosis transmembrane conductance regulator (CFTR) gene (F/any)</w:t>
            </w:r>
          </w:p>
        </w:tc>
      </w:tr>
      <w:tr w:rsidR="001F49A3" w:rsidRPr="005728DD" w:rsidTr="007846A7">
        <w:tc>
          <w:tcPr>
            <w:tcW w:w="1418" w:type="dxa"/>
          </w:tcPr>
          <w:p w:rsidR="001F49A3" w:rsidRPr="005728DD" w:rsidRDefault="001F49A3" w:rsidP="007846A7">
            <w:pPr>
              <w:pStyle w:val="TableHeadingleft"/>
              <w:spacing w:before="0" w:after="0"/>
              <w:rPr>
                <w:rFonts w:ascii="Arial Narrow" w:hAnsi="Arial Narrow"/>
                <w:sz w:val="20"/>
                <w:szCs w:val="20"/>
                <w:lang w:val="en-AU"/>
              </w:rPr>
            </w:pPr>
            <w:r w:rsidRPr="005728DD">
              <w:rPr>
                <w:rFonts w:ascii="Arial Narrow" w:hAnsi="Arial Narrow"/>
                <w:sz w:val="20"/>
                <w:szCs w:val="20"/>
                <w:lang w:val="en-AU"/>
              </w:rPr>
              <w:t>Intervention</w:t>
            </w:r>
          </w:p>
        </w:tc>
        <w:tc>
          <w:tcPr>
            <w:tcW w:w="7608" w:type="dxa"/>
          </w:tcPr>
          <w:p w:rsidR="001F49A3" w:rsidRPr="005728DD" w:rsidRDefault="001F49A3" w:rsidP="007846A7">
            <w:pPr>
              <w:spacing w:before="0" w:after="0"/>
              <w:rPr>
                <w:rFonts w:ascii="Arial Narrow" w:hAnsi="Arial Narrow"/>
                <w:sz w:val="20"/>
                <w:szCs w:val="20"/>
              </w:rPr>
            </w:pPr>
            <w:r w:rsidRPr="005728DD">
              <w:rPr>
                <w:rFonts w:ascii="Arial Narrow" w:hAnsi="Arial Narrow"/>
                <w:sz w:val="20"/>
                <w:szCs w:val="20"/>
              </w:rPr>
              <w:t>Two fixed-dose combination tablets containing 100 mg of elexacaftor, 50 mg of tezacaftor and 75 mg of ivacaftor in the morning. One tablet containing 150 mg ivacaftor in the evening, approximately 12 hours apart.</w:t>
            </w:r>
          </w:p>
        </w:tc>
      </w:tr>
      <w:tr w:rsidR="001F49A3" w:rsidRPr="005728DD" w:rsidTr="007846A7">
        <w:tc>
          <w:tcPr>
            <w:tcW w:w="1418" w:type="dxa"/>
          </w:tcPr>
          <w:p w:rsidR="001F49A3" w:rsidRPr="005728DD" w:rsidRDefault="001F49A3" w:rsidP="007846A7">
            <w:pPr>
              <w:pStyle w:val="TableHeadingleft"/>
              <w:spacing w:before="0" w:after="0"/>
              <w:rPr>
                <w:rFonts w:ascii="Arial Narrow" w:hAnsi="Arial Narrow"/>
                <w:sz w:val="20"/>
                <w:szCs w:val="20"/>
                <w:lang w:val="en-AU"/>
              </w:rPr>
            </w:pPr>
            <w:r w:rsidRPr="005728DD">
              <w:rPr>
                <w:rFonts w:ascii="Arial Narrow" w:hAnsi="Arial Narrow"/>
                <w:sz w:val="20"/>
                <w:szCs w:val="20"/>
                <w:lang w:val="en-AU"/>
              </w:rPr>
              <w:t>Comparator</w:t>
            </w:r>
          </w:p>
        </w:tc>
        <w:tc>
          <w:tcPr>
            <w:tcW w:w="7608" w:type="dxa"/>
          </w:tcPr>
          <w:p w:rsidR="001F49A3" w:rsidRPr="005728DD" w:rsidRDefault="00EB200B" w:rsidP="00A0357E">
            <w:pPr>
              <w:pStyle w:val="ListParagraph"/>
              <w:keepNext/>
              <w:numPr>
                <w:ilvl w:val="0"/>
                <w:numId w:val="19"/>
              </w:numPr>
              <w:spacing w:before="0" w:after="0"/>
              <w:contextualSpacing/>
              <w:jc w:val="left"/>
              <w:rPr>
                <w:rFonts w:ascii="Arial Narrow" w:hAnsi="Arial Narrow"/>
                <w:sz w:val="20"/>
                <w:szCs w:val="20"/>
              </w:rPr>
            </w:pPr>
            <w:r w:rsidRPr="005728DD">
              <w:rPr>
                <w:rFonts w:ascii="Arial Narrow" w:hAnsi="Arial Narrow"/>
                <w:sz w:val="20"/>
                <w:szCs w:val="20"/>
              </w:rPr>
              <w:t>TEZ/IVA</w:t>
            </w:r>
            <w:r w:rsidR="001F49A3" w:rsidRPr="005728DD">
              <w:rPr>
                <w:rFonts w:ascii="Arial Narrow" w:hAnsi="Arial Narrow"/>
                <w:sz w:val="20"/>
                <w:szCs w:val="20"/>
              </w:rPr>
              <w:t xml:space="preserve"> (Symdeko®) for CF patients aged 12 years and older who are homozygous for the F508del-CFTR mutation (F/F)</w:t>
            </w:r>
            <w:r w:rsidR="0029413B" w:rsidRPr="005728DD">
              <w:rPr>
                <w:rFonts w:ascii="Arial Narrow" w:hAnsi="Arial Narrow"/>
                <w:sz w:val="20"/>
                <w:szCs w:val="20"/>
              </w:rPr>
              <w:t>.</w:t>
            </w:r>
          </w:p>
          <w:p w:rsidR="001F49A3" w:rsidRPr="005728DD" w:rsidRDefault="00EB200B" w:rsidP="00A0357E">
            <w:pPr>
              <w:pStyle w:val="ListParagraph"/>
              <w:keepNext/>
              <w:numPr>
                <w:ilvl w:val="0"/>
                <w:numId w:val="19"/>
              </w:numPr>
              <w:spacing w:before="0" w:after="0"/>
              <w:contextualSpacing/>
              <w:jc w:val="left"/>
              <w:rPr>
                <w:rFonts w:ascii="Arial Narrow" w:hAnsi="Arial Narrow"/>
                <w:sz w:val="20"/>
                <w:szCs w:val="20"/>
              </w:rPr>
            </w:pPr>
            <w:r w:rsidRPr="005728DD">
              <w:rPr>
                <w:rFonts w:ascii="Arial Narrow" w:hAnsi="Arial Narrow"/>
                <w:sz w:val="20"/>
                <w:szCs w:val="20"/>
              </w:rPr>
              <w:t>TEZ/IVA</w:t>
            </w:r>
            <w:r w:rsidR="001F49A3" w:rsidRPr="005728DD">
              <w:rPr>
                <w:rFonts w:ascii="Arial Narrow" w:hAnsi="Arial Narrow"/>
                <w:sz w:val="20"/>
                <w:szCs w:val="20"/>
              </w:rPr>
              <w:t xml:space="preserve"> (Symdeko®) for CF patients aged 12 years and older who are heterozygous for F508del in the CFTR gene with a residual function mutation (F/RF)</w:t>
            </w:r>
            <w:r w:rsidR="0029413B" w:rsidRPr="005728DD">
              <w:rPr>
                <w:rFonts w:ascii="Arial Narrow" w:hAnsi="Arial Narrow"/>
                <w:sz w:val="20"/>
                <w:szCs w:val="20"/>
              </w:rPr>
              <w:t>.</w:t>
            </w:r>
          </w:p>
          <w:p w:rsidR="001F49A3" w:rsidRPr="005728DD" w:rsidRDefault="00EB200B" w:rsidP="00A0357E">
            <w:pPr>
              <w:pStyle w:val="ListParagraph"/>
              <w:keepNext/>
              <w:numPr>
                <w:ilvl w:val="0"/>
                <w:numId w:val="19"/>
              </w:numPr>
              <w:spacing w:before="0" w:after="0"/>
              <w:contextualSpacing/>
              <w:jc w:val="left"/>
              <w:rPr>
                <w:rFonts w:ascii="Arial Narrow" w:hAnsi="Arial Narrow"/>
                <w:sz w:val="20"/>
                <w:szCs w:val="20"/>
              </w:rPr>
            </w:pPr>
            <w:r w:rsidRPr="005728DD">
              <w:rPr>
                <w:rFonts w:ascii="Arial Narrow" w:hAnsi="Arial Narrow"/>
                <w:sz w:val="20"/>
                <w:szCs w:val="20"/>
              </w:rPr>
              <w:t xml:space="preserve">IVA </w:t>
            </w:r>
            <w:r w:rsidR="001F49A3" w:rsidRPr="005728DD">
              <w:rPr>
                <w:rFonts w:ascii="Arial Narrow" w:hAnsi="Arial Narrow"/>
                <w:sz w:val="20"/>
                <w:szCs w:val="20"/>
              </w:rPr>
              <w:t>(Kalydeco</w:t>
            </w:r>
            <w:r w:rsidR="001F49A3" w:rsidRPr="005728DD">
              <w:rPr>
                <w:rFonts w:ascii="Arial Narrow" w:hAnsi="Arial Narrow" w:cs="Calibri"/>
                <w:sz w:val="20"/>
                <w:szCs w:val="20"/>
              </w:rPr>
              <w:t>®</w:t>
            </w:r>
            <w:r w:rsidR="001F49A3" w:rsidRPr="005728DD">
              <w:rPr>
                <w:rFonts w:ascii="Arial Narrow" w:hAnsi="Arial Narrow"/>
                <w:sz w:val="20"/>
                <w:szCs w:val="20"/>
              </w:rPr>
              <w:t>) for CF patients aged 12 years and older who are heterozygous for F508del in the CFTR gene with a gating mutation (F/G)</w:t>
            </w:r>
            <w:r w:rsidR="0029413B" w:rsidRPr="005728DD">
              <w:rPr>
                <w:rFonts w:ascii="Arial Narrow" w:hAnsi="Arial Narrow"/>
                <w:sz w:val="20"/>
                <w:szCs w:val="20"/>
              </w:rPr>
              <w:t>.</w:t>
            </w:r>
          </w:p>
          <w:p w:rsidR="001F49A3" w:rsidRPr="005728DD" w:rsidRDefault="001F49A3" w:rsidP="00A0357E">
            <w:pPr>
              <w:pStyle w:val="ListParagraph"/>
              <w:keepNext/>
              <w:numPr>
                <w:ilvl w:val="0"/>
                <w:numId w:val="19"/>
              </w:numPr>
              <w:spacing w:before="0" w:after="0"/>
              <w:contextualSpacing/>
              <w:jc w:val="left"/>
              <w:rPr>
                <w:rFonts w:ascii="Arial Narrow" w:hAnsi="Arial Narrow"/>
                <w:sz w:val="20"/>
                <w:szCs w:val="20"/>
              </w:rPr>
            </w:pPr>
            <w:r w:rsidRPr="005728DD">
              <w:rPr>
                <w:rFonts w:ascii="Arial Narrow" w:hAnsi="Arial Narrow"/>
                <w:sz w:val="20"/>
                <w:szCs w:val="20"/>
              </w:rPr>
              <w:t xml:space="preserve">BSC for CF patients aged 12 years and older who are heterozygous for F508del in the CFTR gene with a minimal function mutation (F/MF) </w:t>
            </w:r>
            <w:r w:rsidR="00FD20B4" w:rsidRPr="005728DD">
              <w:rPr>
                <w:rFonts w:ascii="Arial Narrow" w:hAnsi="Arial Narrow"/>
                <w:sz w:val="20"/>
                <w:szCs w:val="20"/>
              </w:rPr>
              <w:t>and for CF patients aged 12 years and older who are heterozygous for F508del in the CFTR gene with a second allele that is unknown and/ or has not yet been characterised as gating, residual function or minimal function (F/not yet characterised</w:t>
            </w:r>
            <w:r w:rsidR="008E365A" w:rsidRPr="005728DD">
              <w:rPr>
                <w:rFonts w:ascii="Arial Narrow" w:hAnsi="Arial Narrow"/>
                <w:sz w:val="20"/>
                <w:szCs w:val="20"/>
              </w:rPr>
              <w:t>)</w:t>
            </w:r>
          </w:p>
        </w:tc>
      </w:tr>
      <w:tr w:rsidR="001F49A3" w:rsidRPr="005728DD" w:rsidTr="007846A7">
        <w:tc>
          <w:tcPr>
            <w:tcW w:w="1418" w:type="dxa"/>
          </w:tcPr>
          <w:p w:rsidR="001F49A3" w:rsidRPr="005728DD" w:rsidRDefault="001F49A3" w:rsidP="007846A7">
            <w:pPr>
              <w:pStyle w:val="TableHeadingleft"/>
              <w:spacing w:before="0" w:after="0"/>
              <w:rPr>
                <w:rFonts w:ascii="Arial Narrow" w:hAnsi="Arial Narrow"/>
                <w:sz w:val="20"/>
                <w:szCs w:val="20"/>
                <w:lang w:val="en-AU"/>
              </w:rPr>
            </w:pPr>
            <w:r w:rsidRPr="005728DD">
              <w:rPr>
                <w:rFonts w:ascii="Arial Narrow" w:hAnsi="Arial Narrow"/>
                <w:sz w:val="20"/>
                <w:szCs w:val="20"/>
                <w:lang w:val="en-AU"/>
              </w:rPr>
              <w:t>Outcomes</w:t>
            </w:r>
          </w:p>
        </w:tc>
        <w:tc>
          <w:tcPr>
            <w:tcW w:w="7608" w:type="dxa"/>
          </w:tcPr>
          <w:p w:rsidR="001F49A3" w:rsidRPr="005728DD" w:rsidRDefault="001F49A3" w:rsidP="003E5DBB">
            <w:pPr>
              <w:pStyle w:val="ListParagraph"/>
              <w:keepNext/>
              <w:numPr>
                <w:ilvl w:val="0"/>
                <w:numId w:val="4"/>
              </w:numPr>
              <w:spacing w:before="0" w:after="0"/>
              <w:ind w:left="455"/>
              <w:contextualSpacing/>
              <w:jc w:val="left"/>
              <w:rPr>
                <w:rFonts w:ascii="Arial Narrow" w:hAnsi="Arial Narrow"/>
                <w:sz w:val="20"/>
                <w:szCs w:val="20"/>
                <w:vertAlign w:val="subscript"/>
              </w:rPr>
            </w:pPr>
            <w:r w:rsidRPr="005728DD">
              <w:rPr>
                <w:rFonts w:ascii="Arial Narrow" w:hAnsi="Arial Narrow"/>
                <w:sz w:val="20"/>
                <w:szCs w:val="20"/>
              </w:rPr>
              <w:t>Absolute change from baseline in percent predicted forced expiratory volume in one second (ppFEV</w:t>
            </w:r>
            <w:r w:rsidRPr="005728DD">
              <w:rPr>
                <w:rFonts w:ascii="Arial Narrow" w:hAnsi="Arial Narrow"/>
                <w:sz w:val="20"/>
                <w:szCs w:val="20"/>
                <w:vertAlign w:val="subscript"/>
              </w:rPr>
              <w:t>1</w:t>
            </w:r>
            <w:r w:rsidRPr="005728DD">
              <w:rPr>
                <w:rFonts w:ascii="Arial Narrow" w:hAnsi="Arial Narrow"/>
                <w:sz w:val="20"/>
                <w:szCs w:val="20"/>
              </w:rPr>
              <w:t>)</w:t>
            </w:r>
          </w:p>
          <w:p w:rsidR="001F49A3" w:rsidRPr="005728DD" w:rsidRDefault="001F49A3" w:rsidP="003E5DBB">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Pulmonary exacerbation measures</w:t>
            </w:r>
            <w:r w:rsidR="005C2414" w:rsidRPr="005728DD">
              <w:rPr>
                <w:rFonts w:ascii="Arial Narrow" w:hAnsi="Arial Narrow"/>
                <w:sz w:val="20"/>
                <w:szCs w:val="20"/>
              </w:rPr>
              <w:t xml:space="preserve"> (F/MF</w:t>
            </w:r>
            <w:r w:rsidR="000D55F4" w:rsidRPr="005728DD">
              <w:rPr>
                <w:rFonts w:ascii="Arial Narrow" w:hAnsi="Arial Narrow"/>
                <w:sz w:val="20"/>
                <w:szCs w:val="20"/>
              </w:rPr>
              <w:t xml:space="preserve"> population</w:t>
            </w:r>
            <w:r w:rsidR="005C2414" w:rsidRPr="005728DD">
              <w:rPr>
                <w:rFonts w:ascii="Arial Narrow" w:hAnsi="Arial Narrow"/>
                <w:sz w:val="20"/>
                <w:szCs w:val="20"/>
              </w:rPr>
              <w:t xml:space="preserve">) </w:t>
            </w:r>
          </w:p>
          <w:p w:rsidR="001F49A3" w:rsidRPr="005728DD" w:rsidRDefault="001F49A3" w:rsidP="003E5DBB">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Absolute change from baseline in body mass index </w:t>
            </w:r>
            <w:r w:rsidR="005C2414" w:rsidRPr="005728DD">
              <w:rPr>
                <w:rFonts w:ascii="Arial Narrow" w:hAnsi="Arial Narrow"/>
                <w:sz w:val="20"/>
                <w:szCs w:val="20"/>
              </w:rPr>
              <w:t>(F/F, F/MF</w:t>
            </w:r>
            <w:r w:rsidR="000D55F4" w:rsidRPr="005728DD">
              <w:rPr>
                <w:rFonts w:ascii="Arial Narrow" w:hAnsi="Arial Narrow"/>
                <w:sz w:val="20"/>
                <w:szCs w:val="20"/>
              </w:rPr>
              <w:t xml:space="preserve"> population</w:t>
            </w:r>
            <w:r w:rsidR="005C2414" w:rsidRPr="005728DD">
              <w:rPr>
                <w:rFonts w:ascii="Arial Narrow" w:hAnsi="Arial Narrow"/>
                <w:i/>
                <w:sz w:val="20"/>
                <w:szCs w:val="20"/>
              </w:rPr>
              <w:t>)</w:t>
            </w:r>
          </w:p>
          <w:p w:rsidR="001F49A3" w:rsidRPr="005728DD" w:rsidRDefault="001F49A3" w:rsidP="003E5DBB">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Absolute change from baseline in CFQ-R Respiratory Domain Score</w:t>
            </w:r>
          </w:p>
          <w:p w:rsidR="001F49A3" w:rsidRPr="005728DD" w:rsidRDefault="001F49A3" w:rsidP="003E5DBB">
            <w:pPr>
              <w:pStyle w:val="ListParagraph"/>
              <w:keepNext/>
              <w:numPr>
                <w:ilvl w:val="0"/>
                <w:numId w:val="4"/>
              </w:numPr>
              <w:spacing w:before="0" w:after="0"/>
              <w:ind w:left="455"/>
              <w:contextualSpacing/>
              <w:jc w:val="left"/>
              <w:rPr>
                <w:rFonts w:ascii="Arial Narrow" w:hAnsi="Arial Narrow"/>
                <w:sz w:val="20"/>
                <w:szCs w:val="20"/>
              </w:rPr>
            </w:pPr>
            <w:r w:rsidRPr="005728DD">
              <w:rPr>
                <w:rFonts w:ascii="Arial Narrow" w:hAnsi="Arial Narrow"/>
                <w:sz w:val="20"/>
                <w:szCs w:val="20"/>
              </w:rPr>
              <w:t xml:space="preserve">Absolute change in sweat chloride </w:t>
            </w:r>
          </w:p>
        </w:tc>
      </w:tr>
      <w:tr w:rsidR="001F49A3" w:rsidRPr="005728DD" w:rsidTr="007846A7">
        <w:tc>
          <w:tcPr>
            <w:tcW w:w="1418" w:type="dxa"/>
          </w:tcPr>
          <w:p w:rsidR="001F49A3" w:rsidRPr="005728DD" w:rsidRDefault="001F49A3" w:rsidP="007846A7">
            <w:pPr>
              <w:pStyle w:val="TableHeadingleft"/>
              <w:spacing w:before="0" w:after="0"/>
              <w:rPr>
                <w:rFonts w:ascii="Arial Narrow" w:hAnsi="Arial Narrow"/>
                <w:sz w:val="20"/>
                <w:szCs w:val="20"/>
                <w:lang w:val="en-AU"/>
              </w:rPr>
            </w:pPr>
            <w:r w:rsidRPr="005728DD">
              <w:rPr>
                <w:rFonts w:ascii="Arial Narrow" w:hAnsi="Arial Narrow"/>
                <w:sz w:val="20"/>
                <w:szCs w:val="20"/>
                <w:lang w:val="en-AU"/>
              </w:rPr>
              <w:t>Clinical Claim</w:t>
            </w:r>
          </w:p>
        </w:tc>
        <w:tc>
          <w:tcPr>
            <w:tcW w:w="7608" w:type="dxa"/>
          </w:tcPr>
          <w:p w:rsidR="008E78C0" w:rsidRPr="005728DD" w:rsidRDefault="001F49A3" w:rsidP="007846A7">
            <w:pPr>
              <w:spacing w:before="0" w:after="0"/>
              <w:rPr>
                <w:rFonts w:ascii="Arial Narrow" w:hAnsi="Arial Narrow"/>
                <w:sz w:val="20"/>
                <w:szCs w:val="20"/>
              </w:rPr>
            </w:pPr>
            <w:r w:rsidRPr="005728DD">
              <w:rPr>
                <w:rFonts w:ascii="Arial Narrow" w:hAnsi="Arial Narrow"/>
                <w:sz w:val="20"/>
                <w:szCs w:val="20"/>
              </w:rPr>
              <w:t>For CF patients aged 12 years and older who have at least one F508del mutation in the CFTR gene (F/any), ELX/TEZ/IVA plus BSC is superior in terms of efficacy and comparable in terms of safety to</w:t>
            </w:r>
            <w:r w:rsidR="008E78C0" w:rsidRPr="005728DD">
              <w:rPr>
                <w:rFonts w:ascii="Arial Narrow" w:hAnsi="Arial Narrow"/>
                <w:sz w:val="20"/>
                <w:szCs w:val="20"/>
              </w:rPr>
              <w:t>:</w:t>
            </w:r>
          </w:p>
          <w:p w:rsidR="008E78C0" w:rsidRPr="005728DD" w:rsidRDefault="008E78C0" w:rsidP="00A0357E">
            <w:pPr>
              <w:pStyle w:val="ListParagraph"/>
              <w:numPr>
                <w:ilvl w:val="0"/>
                <w:numId w:val="27"/>
              </w:numPr>
              <w:spacing w:after="0"/>
              <w:rPr>
                <w:rFonts w:ascii="Arial Narrow" w:hAnsi="Arial Narrow"/>
                <w:sz w:val="20"/>
                <w:szCs w:val="20"/>
              </w:rPr>
            </w:pPr>
            <w:r w:rsidRPr="005728DD">
              <w:rPr>
                <w:rFonts w:ascii="Arial Narrow" w:hAnsi="Arial Narrow"/>
                <w:sz w:val="20"/>
                <w:szCs w:val="20"/>
              </w:rPr>
              <w:t>TEZ/IVA in the F/F population;</w:t>
            </w:r>
          </w:p>
          <w:p w:rsidR="008E78C0" w:rsidRPr="005728DD" w:rsidRDefault="008E78C0" w:rsidP="00A0357E">
            <w:pPr>
              <w:pStyle w:val="ListParagraph"/>
              <w:numPr>
                <w:ilvl w:val="0"/>
                <w:numId w:val="27"/>
              </w:numPr>
              <w:spacing w:after="0"/>
              <w:rPr>
                <w:rFonts w:ascii="Arial Narrow" w:hAnsi="Arial Narrow"/>
                <w:sz w:val="20"/>
                <w:szCs w:val="20"/>
              </w:rPr>
            </w:pPr>
            <w:r w:rsidRPr="005728DD">
              <w:rPr>
                <w:rFonts w:ascii="Arial Narrow" w:hAnsi="Arial Narrow"/>
                <w:sz w:val="20"/>
                <w:szCs w:val="20"/>
              </w:rPr>
              <w:t>TEZ/IVA in the F/RF population;</w:t>
            </w:r>
          </w:p>
          <w:p w:rsidR="008E78C0" w:rsidRPr="005728DD" w:rsidRDefault="008E78C0" w:rsidP="00A0357E">
            <w:pPr>
              <w:pStyle w:val="ListParagraph"/>
              <w:numPr>
                <w:ilvl w:val="0"/>
                <w:numId w:val="27"/>
              </w:numPr>
              <w:spacing w:after="0"/>
              <w:rPr>
                <w:rFonts w:ascii="Arial Narrow" w:hAnsi="Arial Narrow"/>
                <w:sz w:val="20"/>
                <w:szCs w:val="20"/>
              </w:rPr>
            </w:pPr>
            <w:r w:rsidRPr="005728DD">
              <w:rPr>
                <w:rFonts w:ascii="Arial Narrow" w:hAnsi="Arial Narrow"/>
                <w:sz w:val="20"/>
                <w:szCs w:val="20"/>
              </w:rPr>
              <w:t>IVA in the F/G population;</w:t>
            </w:r>
          </w:p>
          <w:p w:rsidR="008E78C0" w:rsidRPr="005728DD" w:rsidRDefault="008E78C0" w:rsidP="00A0357E">
            <w:pPr>
              <w:pStyle w:val="ListParagraph"/>
              <w:numPr>
                <w:ilvl w:val="0"/>
                <w:numId w:val="27"/>
              </w:numPr>
            </w:pPr>
            <w:r w:rsidRPr="005728DD">
              <w:rPr>
                <w:rFonts w:ascii="Arial Narrow" w:hAnsi="Arial Narrow"/>
                <w:sz w:val="20"/>
                <w:szCs w:val="20"/>
              </w:rPr>
              <w:t>BSC in the F/MF population and</w:t>
            </w:r>
            <w:r w:rsidR="00FD20B4" w:rsidRPr="005728DD">
              <w:rPr>
                <w:rFonts w:ascii="Arial Narrow" w:hAnsi="Arial Narrow"/>
                <w:sz w:val="20"/>
                <w:szCs w:val="20"/>
              </w:rPr>
              <w:t xml:space="preserve"> the F/not yet characterised population</w:t>
            </w:r>
          </w:p>
        </w:tc>
      </w:tr>
    </w:tbl>
    <w:p w:rsidR="001F49A3" w:rsidRPr="005728DD" w:rsidRDefault="001F49A3" w:rsidP="001F49A3">
      <w:pPr>
        <w:pStyle w:val="Default"/>
        <w:ind w:right="-154"/>
        <w:jc w:val="both"/>
        <w:rPr>
          <w:rFonts w:ascii="Arial Narrow" w:hAnsi="Arial Narrow"/>
          <w:bCs/>
          <w:sz w:val="18"/>
          <w:lang w:val="en-AU"/>
        </w:rPr>
      </w:pPr>
      <w:r w:rsidRPr="005728DD">
        <w:rPr>
          <w:rFonts w:ascii="Arial Narrow" w:hAnsi="Arial Narrow"/>
          <w:bCs/>
          <w:sz w:val="18"/>
          <w:lang w:val="en-AU"/>
        </w:rPr>
        <w:t xml:space="preserve">Source: </w:t>
      </w:r>
      <w:r w:rsidR="005C2414" w:rsidRPr="005728DD">
        <w:rPr>
          <w:rFonts w:ascii="Arial Narrow" w:hAnsi="Arial Narrow"/>
          <w:bCs/>
          <w:sz w:val="18"/>
          <w:lang w:val="en-AU"/>
        </w:rPr>
        <w:t xml:space="preserve">based on </w:t>
      </w:r>
      <w:r w:rsidRPr="005728DD">
        <w:rPr>
          <w:rFonts w:ascii="Arial Narrow" w:hAnsi="Arial Narrow"/>
          <w:bCs/>
          <w:sz w:val="18"/>
          <w:lang w:val="en-AU"/>
        </w:rPr>
        <w:t>Table 1.1.1</w:t>
      </w:r>
      <w:r w:rsidR="00900E4C">
        <w:rPr>
          <w:rFonts w:ascii="Arial Narrow" w:hAnsi="Arial Narrow"/>
          <w:bCs/>
          <w:sz w:val="18"/>
          <w:lang w:val="en-AU"/>
        </w:rPr>
        <w:t xml:space="preserve"> </w:t>
      </w:r>
      <w:r w:rsidRPr="005728DD">
        <w:rPr>
          <w:rFonts w:ascii="Arial Narrow" w:hAnsi="Arial Narrow"/>
          <w:bCs/>
          <w:sz w:val="18"/>
          <w:lang w:val="en-AU"/>
        </w:rPr>
        <w:t>of the submission</w:t>
      </w:r>
    </w:p>
    <w:p w:rsidR="001F49A3" w:rsidRPr="005728DD" w:rsidRDefault="001F49A3" w:rsidP="001F49A3">
      <w:pPr>
        <w:pStyle w:val="Default"/>
        <w:ind w:right="-154"/>
        <w:jc w:val="both"/>
        <w:rPr>
          <w:rFonts w:ascii="Arial Narrow" w:hAnsi="Arial Narrow"/>
          <w:bCs/>
          <w:sz w:val="18"/>
          <w:szCs w:val="20"/>
          <w:highlight w:val="yellow"/>
          <w:lang w:val="en-AU"/>
        </w:rPr>
      </w:pPr>
      <w:r w:rsidRPr="005728DD">
        <w:rPr>
          <w:rFonts w:ascii="Arial Narrow" w:hAnsi="Arial Narrow"/>
          <w:bCs/>
          <w:sz w:val="18"/>
          <w:szCs w:val="20"/>
          <w:lang w:val="en-AU"/>
        </w:rPr>
        <w:t>Abbreviations: BSC = best supportive care; CF = cystic fibrosis; CFQ-R = Cystic Fibrosis Questionnaire-Revised; CFTR = Cystic fibrosis transmembrane conductance regulator; ELX/TEZ/IVA = ele</w:t>
      </w:r>
      <w:r w:rsidR="005B38D5" w:rsidRPr="005728DD">
        <w:rPr>
          <w:rFonts w:ascii="Arial Narrow" w:hAnsi="Arial Narrow"/>
          <w:bCs/>
          <w:sz w:val="18"/>
          <w:szCs w:val="20"/>
          <w:lang w:val="en-AU"/>
        </w:rPr>
        <w:t>x</w:t>
      </w:r>
      <w:r w:rsidRPr="005728DD">
        <w:rPr>
          <w:rFonts w:ascii="Arial Narrow" w:hAnsi="Arial Narrow"/>
          <w:bCs/>
          <w:sz w:val="18"/>
          <w:szCs w:val="20"/>
          <w:lang w:val="en-AU"/>
        </w:rPr>
        <w:t>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IVA = ivacaftor; mg = milligram; ppFEV</w:t>
      </w:r>
      <w:r w:rsidRPr="005728DD">
        <w:rPr>
          <w:rFonts w:ascii="Arial Narrow" w:hAnsi="Arial Narrow"/>
          <w:bCs/>
          <w:sz w:val="18"/>
          <w:szCs w:val="20"/>
          <w:vertAlign w:val="subscript"/>
          <w:lang w:val="en-AU"/>
        </w:rPr>
        <w:t>1</w:t>
      </w:r>
      <w:r w:rsidRPr="005728DD">
        <w:rPr>
          <w:rFonts w:ascii="Arial Narrow" w:hAnsi="Arial Narrow"/>
          <w:bCs/>
          <w:sz w:val="18"/>
          <w:szCs w:val="20"/>
          <w:lang w:val="en-AU"/>
        </w:rPr>
        <w:t xml:space="preserve"> = percent predicted forced expiratory volume in one second; TEZ/IVA = tezacaftor and ivacaftor</w:t>
      </w:r>
    </w:p>
    <w:p w:rsidR="001F49A3" w:rsidRPr="005728DD" w:rsidRDefault="001F49A3" w:rsidP="001F49A3">
      <w:pPr>
        <w:pStyle w:val="2-SectionHeading"/>
      </w:pPr>
      <w:bookmarkStart w:id="4" w:name="_Toc62035723"/>
      <w:r w:rsidRPr="005728DD">
        <w:t>Background</w:t>
      </w:r>
      <w:bookmarkEnd w:id="4"/>
    </w:p>
    <w:p w:rsidR="001F49A3" w:rsidRPr="005728DD" w:rsidRDefault="001F49A3" w:rsidP="0053752D">
      <w:pPr>
        <w:pStyle w:val="4-SubsectionHeading"/>
        <w:tabs>
          <w:tab w:val="left" w:pos="2797"/>
        </w:tabs>
      </w:pPr>
      <w:bookmarkStart w:id="5" w:name="_Toc22897638"/>
      <w:bookmarkStart w:id="6" w:name="_Toc62035724"/>
      <w:r w:rsidRPr="005728DD">
        <w:t>Registration status</w:t>
      </w:r>
      <w:bookmarkEnd w:id="5"/>
      <w:bookmarkEnd w:id="6"/>
      <w:r w:rsidR="0053752D" w:rsidRPr="005728DD">
        <w:tab/>
      </w:r>
    </w:p>
    <w:p w:rsidR="00924969" w:rsidRPr="005728DD" w:rsidRDefault="00924969" w:rsidP="001F49A3">
      <w:pPr>
        <w:pStyle w:val="3-BodyText"/>
      </w:pPr>
      <w:r w:rsidRPr="005728DD">
        <w:rPr>
          <w:rFonts w:ascii="Calibri" w:eastAsia="Calibri" w:hAnsi="Calibri"/>
          <w:szCs w:val="22"/>
        </w:rPr>
        <w:t xml:space="preserve">TGA status at time of </w:t>
      </w:r>
      <w:r w:rsidR="00161AC4" w:rsidRPr="005728DD">
        <w:rPr>
          <w:rFonts w:ascii="Calibri" w:eastAsia="Calibri" w:hAnsi="Calibri"/>
          <w:szCs w:val="22"/>
        </w:rPr>
        <w:t>PBAC consideration</w:t>
      </w:r>
      <w:r w:rsidRPr="005728DD">
        <w:rPr>
          <w:rFonts w:ascii="Calibri" w:eastAsia="Calibri" w:hAnsi="Calibri"/>
          <w:szCs w:val="22"/>
        </w:rPr>
        <w:t xml:space="preserve">: </w:t>
      </w:r>
      <w:r w:rsidR="00322D23" w:rsidRPr="005728DD">
        <w:rPr>
          <w:rFonts w:ascii="Calibri" w:eastAsia="Calibri" w:hAnsi="Calibri"/>
          <w:szCs w:val="22"/>
        </w:rPr>
        <w:t>not registered.</w:t>
      </w:r>
      <w:r w:rsidR="00EB200B" w:rsidRPr="005728DD">
        <w:rPr>
          <w:rFonts w:ascii="Calibri" w:eastAsia="Calibri" w:hAnsi="Calibri"/>
          <w:szCs w:val="22"/>
        </w:rPr>
        <w:t xml:space="preserve"> </w:t>
      </w:r>
    </w:p>
    <w:p w:rsidR="001F49A3" w:rsidRPr="005728DD" w:rsidRDefault="001F49A3" w:rsidP="001F49A3">
      <w:pPr>
        <w:pStyle w:val="3-BodyText"/>
      </w:pPr>
      <w:r w:rsidRPr="005728DD">
        <w:t>The submission was made under the TGA/PBAC Parallel Process. At the time of PBAC consideration, the Clinical Evaluation Report (CER; round 2)</w:t>
      </w:r>
      <w:r w:rsidR="006E360A" w:rsidRPr="005728DD">
        <w:t>,</w:t>
      </w:r>
      <w:r w:rsidR="00B02D91" w:rsidRPr="005728DD">
        <w:t xml:space="preserve"> the Delegate’s </w:t>
      </w:r>
      <w:r w:rsidR="00161AC4" w:rsidRPr="005728DD">
        <w:t>O</w:t>
      </w:r>
      <w:r w:rsidR="00B02D91" w:rsidRPr="005728DD">
        <w:t>vervi</w:t>
      </w:r>
      <w:r w:rsidR="008E669A" w:rsidRPr="005728DD">
        <w:t xml:space="preserve">ew </w:t>
      </w:r>
      <w:r w:rsidR="006E360A" w:rsidRPr="005728DD">
        <w:t>and A</w:t>
      </w:r>
      <w:r w:rsidR="00DF1F02" w:rsidRPr="005728DD">
        <w:t xml:space="preserve">dvisory </w:t>
      </w:r>
      <w:r w:rsidR="006E360A" w:rsidRPr="005728DD">
        <w:t>C</w:t>
      </w:r>
      <w:r w:rsidR="00DF1F02" w:rsidRPr="005728DD">
        <w:t xml:space="preserve">ommittee on </w:t>
      </w:r>
      <w:r w:rsidR="006E360A" w:rsidRPr="005728DD">
        <w:t>M</w:t>
      </w:r>
      <w:r w:rsidR="00DF1F02" w:rsidRPr="005728DD">
        <w:t>edicines (ACM)</w:t>
      </w:r>
      <w:r w:rsidR="006E360A" w:rsidRPr="005728DD">
        <w:t xml:space="preserve"> minutes </w:t>
      </w:r>
      <w:r w:rsidR="008E669A" w:rsidRPr="005728DD">
        <w:t>were</w:t>
      </w:r>
      <w:r w:rsidRPr="005728DD">
        <w:t xml:space="preserve"> available. </w:t>
      </w:r>
    </w:p>
    <w:p w:rsidR="00491947" w:rsidRPr="00495F4C" w:rsidRDefault="0029413B" w:rsidP="00522F18">
      <w:pPr>
        <w:pStyle w:val="3-BodyText"/>
      </w:pPr>
      <w:r w:rsidRPr="005728DD">
        <w:rPr>
          <w:iCs/>
        </w:rPr>
        <w:t>T</w:t>
      </w:r>
      <w:r w:rsidR="009E5A54" w:rsidRPr="005728DD">
        <w:rPr>
          <w:iCs/>
        </w:rPr>
        <w:t xml:space="preserve">he </w:t>
      </w:r>
      <w:r w:rsidR="00161AC4" w:rsidRPr="005728DD">
        <w:rPr>
          <w:iCs/>
        </w:rPr>
        <w:t xml:space="preserve">ACM considered ELX/TEZ/IVA to have an overall positive benefit-risk profile for the “treatment of cystic fibrosis in patients aged 12 years and older who have at least one F508del mutation in the cystic fibrosis transmembrane conductance regulatory gene”. </w:t>
      </w:r>
    </w:p>
    <w:p w:rsidR="00495F4C" w:rsidRPr="005728DD" w:rsidRDefault="00495F4C" w:rsidP="00495F4C">
      <w:pPr>
        <w:pStyle w:val="4-SubsectionHeading"/>
        <w:tabs>
          <w:tab w:val="left" w:pos="2797"/>
        </w:tabs>
      </w:pPr>
      <w:r w:rsidRPr="00495F4C">
        <w:lastRenderedPageBreak/>
        <w:t>Previous PBAC consideration</w:t>
      </w:r>
    </w:p>
    <w:p w:rsidR="00522F18" w:rsidRPr="005728DD" w:rsidRDefault="00522F18" w:rsidP="00522F18">
      <w:pPr>
        <w:pStyle w:val="3-BodyText"/>
      </w:pPr>
      <w:r w:rsidRPr="005728DD">
        <w:t>The PBAC has previously</w:t>
      </w:r>
      <w:r w:rsidR="009038A0" w:rsidRPr="005728DD">
        <w:t xml:space="preserve"> considered </w:t>
      </w:r>
      <w:r w:rsidRPr="005728DD">
        <w:t>a number of submissions for other CFTR directed therapies for CF</w:t>
      </w:r>
      <w:r w:rsidR="004F2BAC" w:rsidRPr="005728DD">
        <w:t>; a frame of reference comparison i</w:t>
      </w:r>
      <w:r w:rsidRPr="005728DD">
        <w:t xml:space="preserve">s presented in </w:t>
      </w:r>
      <w:r w:rsidR="005C56C0" w:rsidRPr="005728DD">
        <w:t xml:space="preserve">Table </w:t>
      </w:r>
      <w:r w:rsidR="005C56C0">
        <w:rPr>
          <w:noProof/>
        </w:rPr>
        <w:t>2</w:t>
      </w:r>
      <w:r w:rsidRPr="005728DD">
        <w:rPr>
          <w:i/>
          <w:iCs/>
        </w:rPr>
        <w:t>.</w:t>
      </w:r>
    </w:p>
    <w:p w:rsidR="00522F18" w:rsidRPr="005728DD" w:rsidRDefault="00F6626A" w:rsidP="00CE5A2F">
      <w:pPr>
        <w:pStyle w:val="Caption"/>
        <w:spacing w:after="0"/>
        <w:rPr>
          <w:rStyle w:val="CommentReference"/>
          <w:b/>
          <w:szCs w:val="20"/>
        </w:rPr>
      </w:pPr>
      <w:bookmarkStart w:id="7" w:name="_Ref64206541"/>
      <w:r w:rsidRPr="005728DD">
        <w:t xml:space="preserve">Table </w:t>
      </w:r>
      <w:r w:rsidR="005C56C0">
        <w:rPr>
          <w:noProof/>
        </w:rPr>
        <w:t>2</w:t>
      </w:r>
      <w:bookmarkEnd w:id="7"/>
      <w:r w:rsidR="00522F18" w:rsidRPr="005728DD">
        <w:rPr>
          <w:rStyle w:val="CommentReference"/>
          <w:b/>
          <w:szCs w:val="20"/>
        </w:rPr>
        <w:t xml:space="preserve">: Frame of Reference Comparison </w:t>
      </w:r>
    </w:p>
    <w:tbl>
      <w:tblPr>
        <w:tblStyle w:val="TableGrid"/>
        <w:tblW w:w="5130" w:type="pct"/>
        <w:tblCellMar>
          <w:left w:w="28" w:type="dxa"/>
          <w:right w:w="28" w:type="dxa"/>
        </w:tblCellMar>
        <w:tblLook w:val="04A0" w:firstRow="1" w:lastRow="0" w:firstColumn="1" w:lastColumn="0" w:noHBand="0" w:noVBand="1"/>
        <w:tblCaption w:val="Table 2: Frame of Reference Comparison "/>
      </w:tblPr>
      <w:tblGrid>
        <w:gridCol w:w="1087"/>
        <w:gridCol w:w="1717"/>
        <w:gridCol w:w="1955"/>
        <w:gridCol w:w="2185"/>
        <w:gridCol w:w="2185"/>
      </w:tblGrid>
      <w:tr w:rsidR="00AB43F8" w:rsidRPr="005728DD" w:rsidTr="00232AD0">
        <w:trPr>
          <w:trHeight w:val="293"/>
          <w:tblHeader/>
        </w:trPr>
        <w:tc>
          <w:tcPr>
            <w:tcW w:w="595" w:type="pct"/>
            <w:hideMark/>
          </w:tcPr>
          <w:p w:rsidR="00AB43F8" w:rsidRPr="005728DD" w:rsidRDefault="00AB43F8" w:rsidP="00AB43F8">
            <w:pPr>
              <w:rPr>
                <w:rFonts w:ascii="Arial Narrow" w:hAnsi="Arial Narrow"/>
                <w:iCs/>
                <w:sz w:val="20"/>
                <w:szCs w:val="20"/>
              </w:rPr>
            </w:pPr>
            <w:r w:rsidRPr="005728DD">
              <w:rPr>
                <w:rFonts w:ascii="Arial Narrow" w:hAnsi="Arial Narrow"/>
                <w:iCs/>
                <w:sz w:val="20"/>
                <w:szCs w:val="20"/>
              </w:rPr>
              <w:t> </w:t>
            </w:r>
          </w:p>
        </w:tc>
        <w:tc>
          <w:tcPr>
            <w:tcW w:w="940" w:type="pct"/>
          </w:tcPr>
          <w:p w:rsidR="00AB43F8" w:rsidRPr="005728DD" w:rsidRDefault="00AB43F8" w:rsidP="00AB43F8">
            <w:pPr>
              <w:jc w:val="center"/>
              <w:rPr>
                <w:rFonts w:ascii="Arial Narrow" w:hAnsi="Arial Narrow"/>
                <w:b/>
                <w:bCs/>
                <w:iCs/>
                <w:sz w:val="20"/>
                <w:szCs w:val="20"/>
              </w:rPr>
            </w:pPr>
            <w:r w:rsidRPr="005728DD">
              <w:rPr>
                <w:rFonts w:ascii="Arial Narrow" w:hAnsi="Arial Narrow"/>
                <w:b/>
                <w:bCs/>
                <w:iCs/>
                <w:sz w:val="20"/>
                <w:szCs w:val="20"/>
              </w:rPr>
              <w:t xml:space="preserve">ELX/TEZ/IVA </w:t>
            </w:r>
          </w:p>
        </w:tc>
        <w:tc>
          <w:tcPr>
            <w:tcW w:w="1071" w:type="pct"/>
            <w:hideMark/>
          </w:tcPr>
          <w:p w:rsidR="00AB43F8" w:rsidRPr="005728DD" w:rsidRDefault="00AB43F8" w:rsidP="00AB43F8">
            <w:pPr>
              <w:jc w:val="center"/>
              <w:rPr>
                <w:rFonts w:ascii="Arial Narrow" w:hAnsi="Arial Narrow"/>
                <w:iCs/>
                <w:sz w:val="20"/>
                <w:szCs w:val="20"/>
              </w:rPr>
            </w:pPr>
            <w:r w:rsidRPr="005728DD">
              <w:rPr>
                <w:rFonts w:ascii="Arial Narrow" w:hAnsi="Arial Narrow"/>
                <w:b/>
                <w:bCs/>
                <w:iCs/>
                <w:sz w:val="20"/>
                <w:szCs w:val="20"/>
              </w:rPr>
              <w:t xml:space="preserve">TEZ/IVA </w:t>
            </w:r>
          </w:p>
        </w:tc>
        <w:tc>
          <w:tcPr>
            <w:tcW w:w="1197" w:type="pct"/>
          </w:tcPr>
          <w:p w:rsidR="00AB43F8" w:rsidRPr="005728DD" w:rsidRDefault="00AB43F8" w:rsidP="00AB43F8">
            <w:pPr>
              <w:jc w:val="center"/>
              <w:rPr>
                <w:rFonts w:ascii="Arial Narrow" w:hAnsi="Arial Narrow"/>
                <w:b/>
                <w:bCs/>
                <w:iCs/>
                <w:sz w:val="20"/>
                <w:szCs w:val="20"/>
              </w:rPr>
            </w:pPr>
            <w:r w:rsidRPr="005728DD">
              <w:rPr>
                <w:rFonts w:ascii="Arial Narrow" w:hAnsi="Arial Narrow"/>
                <w:b/>
                <w:bCs/>
                <w:iCs/>
                <w:sz w:val="20"/>
                <w:szCs w:val="20"/>
              </w:rPr>
              <w:t xml:space="preserve">LUM/IVA </w:t>
            </w:r>
          </w:p>
        </w:tc>
        <w:tc>
          <w:tcPr>
            <w:tcW w:w="1197" w:type="pct"/>
          </w:tcPr>
          <w:p w:rsidR="00AB43F8" w:rsidRPr="005728DD" w:rsidRDefault="00AB43F8" w:rsidP="00AB43F8">
            <w:pPr>
              <w:jc w:val="center"/>
              <w:rPr>
                <w:rFonts w:ascii="Arial Narrow" w:hAnsi="Arial Narrow"/>
                <w:b/>
                <w:bCs/>
                <w:iCs/>
                <w:sz w:val="20"/>
                <w:szCs w:val="20"/>
              </w:rPr>
            </w:pPr>
            <w:r w:rsidRPr="005728DD">
              <w:rPr>
                <w:rFonts w:ascii="Arial Narrow" w:hAnsi="Arial Narrow"/>
                <w:b/>
                <w:bCs/>
                <w:iCs/>
                <w:sz w:val="20"/>
                <w:szCs w:val="20"/>
              </w:rPr>
              <w:t xml:space="preserve">IVA </w:t>
            </w:r>
          </w:p>
        </w:tc>
      </w:tr>
      <w:tr w:rsidR="00AB43F8" w:rsidRPr="005728DD" w:rsidTr="00232AD0">
        <w:trPr>
          <w:trHeight w:val="663"/>
        </w:trPr>
        <w:tc>
          <w:tcPr>
            <w:tcW w:w="595" w:type="pct"/>
            <w:hideMark/>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 xml:space="preserve">Current PBS restriction </w:t>
            </w:r>
          </w:p>
        </w:tc>
        <w:tc>
          <w:tcPr>
            <w:tcW w:w="940"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F/any: 12 years and older (proposed)</w:t>
            </w:r>
          </w:p>
        </w:tc>
        <w:tc>
          <w:tcPr>
            <w:tcW w:w="1071" w:type="pct"/>
          </w:tcPr>
          <w:p w:rsidR="00AB43F8" w:rsidRPr="005728DD" w:rsidRDefault="00AB43F8" w:rsidP="00AB43F8">
            <w:pPr>
              <w:rPr>
                <w:rFonts w:ascii="Arial Narrow" w:hAnsi="Arial Narrow"/>
                <w:iCs/>
                <w:sz w:val="20"/>
                <w:szCs w:val="20"/>
              </w:rPr>
            </w:pPr>
            <w:r w:rsidRPr="005728DD">
              <w:rPr>
                <w:rFonts w:ascii="Arial Narrow" w:hAnsi="Arial Narrow"/>
                <w:iCs/>
                <w:sz w:val="20"/>
                <w:szCs w:val="20"/>
              </w:rPr>
              <w:t xml:space="preserve">F/F: 12 years and older </w:t>
            </w:r>
          </w:p>
          <w:p w:rsidR="00AB43F8" w:rsidRPr="005728DD" w:rsidRDefault="00AB43F8" w:rsidP="00AB43F8">
            <w:pPr>
              <w:rPr>
                <w:rFonts w:ascii="Arial Narrow" w:hAnsi="Arial Narrow"/>
                <w:iCs/>
                <w:sz w:val="20"/>
                <w:szCs w:val="20"/>
              </w:rPr>
            </w:pPr>
            <w:r w:rsidRPr="005728DD">
              <w:rPr>
                <w:rFonts w:ascii="Arial Narrow" w:hAnsi="Arial Narrow"/>
                <w:iCs/>
                <w:sz w:val="20"/>
                <w:szCs w:val="20"/>
              </w:rPr>
              <w:t xml:space="preserve">F/RF: 12 years and older </w:t>
            </w:r>
          </w:p>
          <w:p w:rsidR="00AB43F8" w:rsidRPr="005728DD" w:rsidRDefault="00AB43F8" w:rsidP="00AB43F8">
            <w:pPr>
              <w:rPr>
                <w:rFonts w:ascii="Arial Narrow" w:hAnsi="Arial Narrow"/>
                <w:i/>
                <w:sz w:val="20"/>
                <w:szCs w:val="20"/>
              </w:rPr>
            </w:pPr>
            <w:r w:rsidRPr="005728DD">
              <w:rPr>
                <w:rFonts w:ascii="Arial Narrow" w:hAnsi="Arial Narrow"/>
                <w:iCs/>
                <w:sz w:val="20"/>
                <w:szCs w:val="20"/>
              </w:rPr>
              <w:t xml:space="preserve">At least one RF: 12 years and older </w:t>
            </w:r>
          </w:p>
        </w:tc>
        <w:tc>
          <w:tcPr>
            <w:tcW w:w="1197" w:type="pct"/>
          </w:tcPr>
          <w:p w:rsidR="00AB43F8" w:rsidRPr="005728DD" w:rsidRDefault="00AB43F8" w:rsidP="00AB43F8">
            <w:pPr>
              <w:rPr>
                <w:rFonts w:ascii="Arial Narrow" w:hAnsi="Arial Narrow"/>
                <w:iCs/>
                <w:sz w:val="20"/>
                <w:szCs w:val="20"/>
                <w:u w:val="single"/>
              </w:rPr>
            </w:pPr>
            <w:r w:rsidRPr="005728DD">
              <w:rPr>
                <w:rFonts w:ascii="Arial Narrow" w:hAnsi="Arial Narrow"/>
                <w:iCs/>
                <w:sz w:val="20"/>
                <w:szCs w:val="20"/>
              </w:rPr>
              <w:t xml:space="preserve">F/F: 2 years and older </w:t>
            </w:r>
          </w:p>
        </w:tc>
        <w:tc>
          <w:tcPr>
            <w:tcW w:w="1197" w:type="pct"/>
          </w:tcPr>
          <w:p w:rsidR="00AB43F8" w:rsidRPr="005728DD" w:rsidRDefault="00AB43F8" w:rsidP="00AB43F8">
            <w:pPr>
              <w:rPr>
                <w:rFonts w:ascii="Arial Narrow" w:hAnsi="Arial Narrow"/>
                <w:bCs/>
                <w:iCs/>
                <w:sz w:val="20"/>
                <w:szCs w:val="20"/>
              </w:rPr>
            </w:pPr>
            <w:r w:rsidRPr="005728DD">
              <w:rPr>
                <w:rFonts w:ascii="Arial Narrow" w:hAnsi="Arial Narrow"/>
                <w:bCs/>
                <w:iCs/>
                <w:sz w:val="20"/>
                <w:szCs w:val="20"/>
              </w:rPr>
              <w:t xml:space="preserve">At least one G551D mutation: 12 months of age or older </w:t>
            </w:r>
          </w:p>
          <w:p w:rsidR="00AB43F8" w:rsidRPr="005728DD" w:rsidRDefault="00AB43F8" w:rsidP="00AB43F8">
            <w:pPr>
              <w:rPr>
                <w:rFonts w:ascii="Arial Narrow" w:hAnsi="Arial Narrow"/>
                <w:iCs/>
                <w:sz w:val="20"/>
                <w:szCs w:val="20"/>
                <w:u w:val="single"/>
              </w:rPr>
            </w:pPr>
            <w:r w:rsidRPr="005728DD">
              <w:rPr>
                <w:rFonts w:ascii="Arial Narrow" w:hAnsi="Arial Narrow"/>
                <w:bCs/>
                <w:iCs/>
                <w:sz w:val="20"/>
                <w:szCs w:val="20"/>
              </w:rPr>
              <w:t>At least one Class III mutation: 12 months of age or older</w:t>
            </w:r>
            <w:r w:rsidR="008B5EF9" w:rsidRPr="005728DD">
              <w:rPr>
                <w:rFonts w:ascii="Arial Narrow" w:hAnsi="Arial Narrow"/>
                <w:bCs/>
                <w:iCs/>
                <w:sz w:val="20"/>
                <w:szCs w:val="20"/>
              </w:rPr>
              <w:t xml:space="preserve"> </w:t>
            </w:r>
          </w:p>
        </w:tc>
      </w:tr>
      <w:tr w:rsidR="00AB43F8" w:rsidRPr="005728DD" w:rsidTr="00232AD0">
        <w:trPr>
          <w:trHeight w:val="222"/>
        </w:trPr>
        <w:tc>
          <w:tcPr>
            <w:tcW w:w="595" w:type="pct"/>
            <w:hideMark/>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Current TGA indication</w:t>
            </w:r>
          </w:p>
        </w:tc>
        <w:tc>
          <w:tcPr>
            <w:tcW w:w="940" w:type="pct"/>
          </w:tcPr>
          <w:p w:rsidR="00AB43F8" w:rsidRPr="005728DD" w:rsidRDefault="00AB43F8" w:rsidP="00AB43F8">
            <w:pPr>
              <w:rPr>
                <w:rFonts w:ascii="Arial Narrow" w:hAnsi="Arial Narrow"/>
                <w:iCs/>
                <w:sz w:val="20"/>
                <w:szCs w:val="20"/>
              </w:rPr>
            </w:pPr>
            <w:r w:rsidRPr="005728DD">
              <w:rPr>
                <w:rFonts w:ascii="Arial Narrow" w:hAnsi="Arial Narrow"/>
                <w:iCs/>
                <w:sz w:val="20"/>
                <w:szCs w:val="20"/>
              </w:rPr>
              <w:t>12 and older, have at least one F508del mutation in the CFTR gene (proposed).</w:t>
            </w:r>
          </w:p>
        </w:tc>
        <w:tc>
          <w:tcPr>
            <w:tcW w:w="1071"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12 and older who are homozygous for the F508del mutation or who have at least one mutation in the CFTR gene that is responsive to tezacaftor/ivacaftor based on in vitro data and/or clinical evidence</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2 and older who are homozygous for F508del in the CFTR gene.</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12 months and older who have one of the following gating (class III) mutations in the CFTR gene: G551D, G1244E, G1349D, G178R, G551S, S1251N, S1255P, S549N or S549R</w:t>
            </w:r>
          </w:p>
          <w:p w:rsidR="00AB43F8" w:rsidRPr="005728DD" w:rsidRDefault="00AB43F8" w:rsidP="00AB43F8">
            <w:pPr>
              <w:jc w:val="left"/>
              <w:rPr>
                <w:rFonts w:ascii="Arial Narrow" w:hAnsi="Arial Narrow"/>
                <w:iCs/>
                <w:sz w:val="20"/>
                <w:szCs w:val="20"/>
              </w:rPr>
            </w:pP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6 years and older who have an R117H mutation in the CFTR gene.</w:t>
            </w:r>
          </w:p>
        </w:tc>
      </w:tr>
      <w:tr w:rsidR="00AB43F8" w:rsidRPr="005728DD" w:rsidTr="00232AD0">
        <w:trPr>
          <w:trHeight w:val="586"/>
        </w:trPr>
        <w:tc>
          <w:tcPr>
            <w:tcW w:w="595" w:type="pct"/>
            <w:hideMark/>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Evidence presented to PBAC</w:t>
            </w:r>
          </w:p>
        </w:tc>
        <w:tc>
          <w:tcPr>
            <w:tcW w:w="940" w:type="pct"/>
          </w:tcPr>
          <w:p w:rsidR="00AB43F8" w:rsidRPr="005728DD" w:rsidRDefault="00AB43F8" w:rsidP="00A0357E">
            <w:pPr>
              <w:pStyle w:val="ListParagraph"/>
              <w:numPr>
                <w:ilvl w:val="0"/>
                <w:numId w:val="34"/>
              </w:numPr>
              <w:spacing w:after="0"/>
              <w:ind w:left="156" w:hanging="156"/>
              <w:jc w:val="left"/>
              <w:rPr>
                <w:rFonts w:ascii="Arial Narrow" w:hAnsi="Arial Narrow"/>
                <w:iCs/>
                <w:sz w:val="20"/>
                <w:szCs w:val="20"/>
              </w:rPr>
            </w:pPr>
            <w:r w:rsidRPr="005728DD">
              <w:rPr>
                <w:rFonts w:ascii="Arial Narrow" w:hAnsi="Arial Narrow"/>
                <w:iCs/>
                <w:sz w:val="20"/>
                <w:szCs w:val="20"/>
              </w:rPr>
              <w:t xml:space="preserve">F/F: Study 103 and Study 109 </w:t>
            </w:r>
          </w:p>
          <w:p w:rsidR="00AB43F8" w:rsidRPr="005728DD" w:rsidRDefault="00AB43F8" w:rsidP="00A0357E">
            <w:pPr>
              <w:pStyle w:val="ListParagraph"/>
              <w:numPr>
                <w:ilvl w:val="0"/>
                <w:numId w:val="34"/>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F/RF: Study 104 (subgroup) </w:t>
            </w:r>
          </w:p>
          <w:p w:rsidR="00AB43F8" w:rsidRPr="005728DD" w:rsidRDefault="00AB43F8" w:rsidP="00A0357E">
            <w:pPr>
              <w:pStyle w:val="ListParagraph"/>
              <w:numPr>
                <w:ilvl w:val="0"/>
                <w:numId w:val="34"/>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 xml:space="preserve">F/G: Study 104 (subgroup) </w:t>
            </w:r>
          </w:p>
          <w:p w:rsidR="00AB43F8" w:rsidRPr="005728DD" w:rsidRDefault="00AB43F8" w:rsidP="00A0357E">
            <w:pPr>
              <w:pStyle w:val="ListParagraph"/>
              <w:numPr>
                <w:ilvl w:val="0"/>
                <w:numId w:val="34"/>
              </w:numPr>
              <w:tabs>
                <w:tab w:val="left" w:pos="260"/>
              </w:tabs>
              <w:spacing w:after="0"/>
              <w:ind w:left="156" w:hanging="156"/>
              <w:jc w:val="left"/>
              <w:rPr>
                <w:rFonts w:ascii="Arial Narrow" w:hAnsi="Arial Narrow"/>
                <w:iCs/>
                <w:sz w:val="20"/>
                <w:szCs w:val="20"/>
              </w:rPr>
            </w:pPr>
            <w:r w:rsidRPr="005728DD">
              <w:rPr>
                <w:rFonts w:ascii="Arial Narrow" w:hAnsi="Arial Narrow"/>
                <w:iCs/>
                <w:sz w:val="20"/>
                <w:szCs w:val="20"/>
              </w:rPr>
              <w:t>F/MF: Study 102</w:t>
            </w:r>
            <w:r w:rsidR="008B5EF9" w:rsidRPr="005728DD">
              <w:rPr>
                <w:rFonts w:ascii="Arial Narrow" w:hAnsi="Arial Narrow"/>
                <w:iCs/>
                <w:sz w:val="20"/>
                <w:szCs w:val="20"/>
              </w:rPr>
              <w:t xml:space="preserve"> </w:t>
            </w:r>
          </w:p>
          <w:p w:rsidR="00AB43F8" w:rsidRPr="005728DD" w:rsidRDefault="00AB43F8" w:rsidP="00AB43F8">
            <w:pPr>
              <w:pStyle w:val="ListBullet"/>
              <w:rPr>
                <w:rFonts w:ascii="Arial Narrow" w:hAnsi="Arial Narrow"/>
                <w:sz w:val="20"/>
                <w:szCs w:val="20"/>
              </w:rPr>
            </w:pPr>
          </w:p>
          <w:p w:rsidR="00CF65D2" w:rsidRPr="005728DD" w:rsidRDefault="00CF65D2" w:rsidP="00AB43F8">
            <w:pPr>
              <w:pStyle w:val="ListBullet"/>
              <w:rPr>
                <w:rFonts w:ascii="Arial Narrow" w:hAnsi="Arial Narrow"/>
                <w:sz w:val="20"/>
                <w:szCs w:val="20"/>
              </w:rPr>
            </w:pPr>
            <w:r w:rsidRPr="005728DD">
              <w:rPr>
                <w:rFonts w:ascii="Arial Narrow" w:hAnsi="Arial Narrow"/>
                <w:sz w:val="20"/>
                <w:szCs w:val="20"/>
              </w:rPr>
              <w:t>Study 105 (F/F and F/MF, extension study)</w:t>
            </w:r>
          </w:p>
          <w:p w:rsidR="00CF65D2" w:rsidRPr="005728DD" w:rsidRDefault="00CF65D2" w:rsidP="00AB43F8">
            <w:pPr>
              <w:pStyle w:val="ListBullet"/>
              <w:rPr>
                <w:rFonts w:ascii="Arial Narrow" w:hAnsi="Arial Narrow"/>
                <w:sz w:val="20"/>
                <w:szCs w:val="20"/>
              </w:rPr>
            </w:pPr>
          </w:p>
          <w:p w:rsidR="00AB43F8" w:rsidRPr="005728DD" w:rsidRDefault="00AB43F8" w:rsidP="00AB43F8">
            <w:pPr>
              <w:pStyle w:val="ListBullet"/>
              <w:rPr>
                <w:rFonts w:ascii="Arial Narrow" w:hAnsi="Arial Narrow"/>
                <w:iCs/>
                <w:sz w:val="20"/>
                <w:szCs w:val="20"/>
              </w:rPr>
            </w:pPr>
            <w:r w:rsidRPr="005728DD">
              <w:rPr>
                <w:rFonts w:ascii="Arial Narrow" w:hAnsi="Arial Narrow"/>
                <w:iCs/>
                <w:sz w:val="20"/>
                <w:szCs w:val="20"/>
              </w:rPr>
              <w:t>Up to 48 weeks of data from extension study.</w:t>
            </w:r>
          </w:p>
          <w:p w:rsidR="00AB43F8" w:rsidRPr="005728DD" w:rsidRDefault="00AB43F8" w:rsidP="00AB43F8">
            <w:pPr>
              <w:tabs>
                <w:tab w:val="left" w:pos="260"/>
              </w:tabs>
              <w:jc w:val="left"/>
              <w:rPr>
                <w:rFonts w:ascii="Arial Narrow" w:hAnsi="Arial Narrow"/>
                <w:iCs/>
                <w:sz w:val="20"/>
                <w:szCs w:val="20"/>
              </w:rPr>
            </w:pPr>
          </w:p>
        </w:tc>
        <w:tc>
          <w:tcPr>
            <w:tcW w:w="1071" w:type="pct"/>
          </w:tcPr>
          <w:p w:rsidR="00AB43F8" w:rsidRPr="005728DD" w:rsidRDefault="00AB43F8" w:rsidP="00A0357E">
            <w:pPr>
              <w:pStyle w:val="ListParagraph"/>
              <w:numPr>
                <w:ilvl w:val="0"/>
                <w:numId w:val="36"/>
              </w:numPr>
              <w:spacing w:after="0"/>
              <w:ind w:left="117" w:hanging="117"/>
              <w:jc w:val="left"/>
              <w:rPr>
                <w:rFonts w:ascii="Arial Narrow" w:hAnsi="Arial Narrow"/>
                <w:iCs/>
                <w:sz w:val="20"/>
                <w:szCs w:val="20"/>
              </w:rPr>
            </w:pPr>
            <w:r w:rsidRPr="005728DD">
              <w:rPr>
                <w:rFonts w:ascii="Arial Narrow" w:hAnsi="Arial Narrow"/>
                <w:iCs/>
                <w:sz w:val="20"/>
                <w:szCs w:val="20"/>
              </w:rPr>
              <w:t>F/F: EVOLVE</w:t>
            </w:r>
            <w:r w:rsidR="00CF65D2" w:rsidRPr="005728DD">
              <w:rPr>
                <w:rFonts w:ascii="Arial Narrow" w:hAnsi="Arial Narrow"/>
                <w:iCs/>
                <w:sz w:val="20"/>
                <w:szCs w:val="20"/>
              </w:rPr>
              <w:t>, Study 110 (extension study)</w:t>
            </w:r>
            <w:r w:rsidRPr="005728DD">
              <w:rPr>
                <w:rFonts w:ascii="Arial Narrow" w:hAnsi="Arial Narrow"/>
                <w:iCs/>
                <w:sz w:val="20"/>
                <w:szCs w:val="20"/>
              </w:rPr>
              <w:t xml:space="preserve"> </w:t>
            </w:r>
          </w:p>
          <w:p w:rsidR="00AB43F8" w:rsidRPr="005728DD" w:rsidRDefault="00AB43F8" w:rsidP="00A0357E">
            <w:pPr>
              <w:pStyle w:val="ListParagraph"/>
              <w:numPr>
                <w:ilvl w:val="0"/>
                <w:numId w:val="35"/>
              </w:numPr>
              <w:spacing w:after="0"/>
              <w:ind w:left="117" w:hanging="117"/>
              <w:jc w:val="left"/>
              <w:rPr>
                <w:rFonts w:ascii="Arial Narrow" w:hAnsi="Arial Narrow"/>
                <w:iCs/>
                <w:sz w:val="20"/>
                <w:szCs w:val="20"/>
              </w:rPr>
            </w:pPr>
            <w:r w:rsidRPr="005728DD">
              <w:rPr>
                <w:rFonts w:ascii="Arial Narrow" w:hAnsi="Arial Narrow"/>
                <w:iCs/>
                <w:sz w:val="20"/>
                <w:szCs w:val="20"/>
              </w:rPr>
              <w:t>F/RF: EXPAND</w:t>
            </w:r>
          </w:p>
          <w:p w:rsidR="00AB43F8" w:rsidRPr="005728DD" w:rsidRDefault="00AB43F8" w:rsidP="00AB43F8">
            <w:pPr>
              <w:jc w:val="left"/>
              <w:rPr>
                <w:rFonts w:ascii="Arial Narrow" w:hAnsi="Arial Narrow"/>
                <w:iCs/>
                <w:sz w:val="20"/>
                <w:szCs w:val="20"/>
              </w:rPr>
            </w:pP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Up to 48 weeks of data from extension study.</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 xml:space="preserve">2-5 years: Study 115 (non-comparative) </w:t>
            </w: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 xml:space="preserve">6-11 years: </w:t>
            </w: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Study 109</w:t>
            </w:r>
            <w:r w:rsidR="008B5EF9" w:rsidRPr="005728DD">
              <w:rPr>
                <w:rFonts w:ascii="Arial Narrow" w:hAnsi="Arial Narrow"/>
                <w:iCs/>
                <w:sz w:val="20"/>
                <w:szCs w:val="20"/>
              </w:rPr>
              <w:t xml:space="preserve"> </w:t>
            </w:r>
            <w:r w:rsidRPr="005728DD">
              <w:rPr>
                <w:rFonts w:ascii="Arial Narrow" w:hAnsi="Arial Narrow"/>
                <w:iCs/>
                <w:sz w:val="20"/>
                <w:szCs w:val="20"/>
              </w:rPr>
              <w:t xml:space="preserve">and </w:t>
            </w: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 xml:space="preserve">Study 011 (open-label) </w:t>
            </w: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12 and older:</w:t>
            </w:r>
            <w:r w:rsidR="008B5EF9" w:rsidRPr="005728DD">
              <w:rPr>
                <w:rFonts w:ascii="Arial Narrow" w:hAnsi="Arial Narrow"/>
                <w:iCs/>
                <w:sz w:val="20"/>
                <w:szCs w:val="20"/>
              </w:rPr>
              <w:t xml:space="preserve"> </w:t>
            </w:r>
            <w:r w:rsidRPr="005728DD">
              <w:rPr>
                <w:rFonts w:ascii="Arial Narrow" w:hAnsi="Arial Narrow"/>
                <w:iCs/>
                <w:sz w:val="20"/>
                <w:szCs w:val="20"/>
              </w:rPr>
              <w:t>TRAFFIC,</w:t>
            </w:r>
            <w:r w:rsidR="008B5EF9" w:rsidRPr="005728DD">
              <w:rPr>
                <w:rFonts w:ascii="Arial Narrow" w:hAnsi="Arial Narrow"/>
                <w:iCs/>
                <w:sz w:val="20"/>
                <w:szCs w:val="20"/>
              </w:rPr>
              <w:t xml:space="preserve"> </w:t>
            </w:r>
            <w:r w:rsidRPr="005728DD">
              <w:rPr>
                <w:rFonts w:ascii="Arial Narrow" w:hAnsi="Arial Narrow"/>
                <w:iCs/>
                <w:sz w:val="20"/>
                <w:szCs w:val="20"/>
              </w:rPr>
              <w:t>TRANSPORT, PROGRESS (extension)</w:t>
            </w:r>
          </w:p>
          <w:p w:rsidR="00AB43F8" w:rsidRPr="005728DD" w:rsidRDefault="00AB43F8" w:rsidP="00AB43F8">
            <w:pPr>
              <w:jc w:val="left"/>
              <w:rPr>
                <w:rFonts w:ascii="Arial Narrow" w:hAnsi="Arial Narrow"/>
                <w:iCs/>
                <w:sz w:val="20"/>
                <w:szCs w:val="20"/>
              </w:rPr>
            </w:pPr>
          </w:p>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 xml:space="preserve">Up to 96 weeks of data from extension studies. </w:t>
            </w:r>
          </w:p>
        </w:tc>
        <w:tc>
          <w:tcPr>
            <w:tcW w:w="1197" w:type="pct"/>
          </w:tcPr>
          <w:p w:rsidR="00AB43F8" w:rsidRPr="005728DD" w:rsidRDefault="00AB43F8" w:rsidP="00A0357E">
            <w:pPr>
              <w:pStyle w:val="ListParagraph"/>
              <w:numPr>
                <w:ilvl w:val="0"/>
                <w:numId w:val="35"/>
              </w:numPr>
              <w:spacing w:after="0"/>
              <w:ind w:left="160" w:hanging="142"/>
              <w:jc w:val="left"/>
              <w:rPr>
                <w:rFonts w:ascii="Arial Narrow" w:hAnsi="Arial Narrow"/>
                <w:iCs/>
                <w:sz w:val="20"/>
                <w:szCs w:val="20"/>
              </w:rPr>
            </w:pPr>
            <w:r w:rsidRPr="005728DD">
              <w:rPr>
                <w:rFonts w:ascii="Arial Narrow" w:hAnsi="Arial Narrow"/>
                <w:bCs/>
                <w:iCs/>
                <w:sz w:val="20"/>
                <w:szCs w:val="20"/>
              </w:rPr>
              <w:t>G551D</w:t>
            </w:r>
            <w:r w:rsidRPr="005728DD">
              <w:rPr>
                <w:rFonts w:ascii="Arial Narrow" w:hAnsi="Arial Narrow"/>
                <w:iCs/>
                <w:sz w:val="20"/>
                <w:szCs w:val="20"/>
              </w:rPr>
              <w:t>: STRIVE, ENVISION</w:t>
            </w:r>
          </w:p>
          <w:p w:rsidR="00AB43F8" w:rsidRPr="005728DD" w:rsidRDefault="00AB43F8" w:rsidP="00A0357E">
            <w:pPr>
              <w:pStyle w:val="ListParagraph"/>
              <w:numPr>
                <w:ilvl w:val="0"/>
                <w:numId w:val="35"/>
              </w:numPr>
              <w:spacing w:after="0"/>
              <w:ind w:left="160" w:hanging="142"/>
              <w:jc w:val="left"/>
              <w:rPr>
                <w:rFonts w:ascii="Arial Narrow" w:hAnsi="Arial Narrow"/>
                <w:bCs/>
                <w:iCs/>
                <w:sz w:val="20"/>
                <w:szCs w:val="20"/>
              </w:rPr>
            </w:pPr>
            <w:r w:rsidRPr="005728DD">
              <w:rPr>
                <w:rFonts w:ascii="Arial Narrow" w:hAnsi="Arial Narrow"/>
                <w:iCs/>
                <w:sz w:val="20"/>
                <w:szCs w:val="20"/>
              </w:rPr>
              <w:t xml:space="preserve">Other Class III: </w:t>
            </w:r>
            <w:r w:rsidRPr="005728DD">
              <w:rPr>
                <w:rFonts w:ascii="Arial Narrow" w:hAnsi="Arial Narrow"/>
                <w:bCs/>
                <w:iCs/>
                <w:sz w:val="20"/>
                <w:szCs w:val="20"/>
              </w:rPr>
              <w:t>KONNECTION</w:t>
            </w:r>
          </w:p>
          <w:p w:rsidR="00AB43F8" w:rsidRPr="005728DD" w:rsidRDefault="00AB43F8" w:rsidP="00AB43F8">
            <w:pPr>
              <w:jc w:val="left"/>
              <w:rPr>
                <w:rFonts w:ascii="Arial Narrow" w:hAnsi="Arial Narrow"/>
                <w:bCs/>
                <w:iCs/>
                <w:sz w:val="20"/>
                <w:szCs w:val="20"/>
              </w:rPr>
            </w:pPr>
          </w:p>
          <w:p w:rsidR="00AB43F8" w:rsidRPr="005728DD" w:rsidRDefault="00AB43F8" w:rsidP="00AB43F8">
            <w:pPr>
              <w:jc w:val="left"/>
              <w:rPr>
                <w:rFonts w:ascii="Arial Narrow" w:hAnsi="Arial Narrow"/>
                <w:bCs/>
                <w:iCs/>
                <w:sz w:val="20"/>
                <w:szCs w:val="20"/>
              </w:rPr>
            </w:pPr>
            <w:r w:rsidRPr="005728DD">
              <w:rPr>
                <w:rFonts w:ascii="Arial Narrow" w:hAnsi="Arial Narrow"/>
                <w:bCs/>
                <w:iCs/>
                <w:sz w:val="20"/>
                <w:szCs w:val="20"/>
              </w:rPr>
              <w:t xml:space="preserve">Up to 48 weeks of data from extension study. </w:t>
            </w:r>
          </w:p>
          <w:p w:rsidR="00AB43F8" w:rsidRPr="005728DD" w:rsidRDefault="00AB43F8" w:rsidP="00AB43F8">
            <w:pPr>
              <w:jc w:val="left"/>
              <w:rPr>
                <w:rFonts w:ascii="Arial Narrow" w:hAnsi="Arial Narrow"/>
                <w:iCs/>
                <w:sz w:val="20"/>
                <w:szCs w:val="20"/>
              </w:rPr>
            </w:pPr>
          </w:p>
        </w:tc>
      </w:tr>
      <w:tr w:rsidR="00AB43F8" w:rsidRPr="005728DD" w:rsidTr="00232AD0">
        <w:trPr>
          <w:trHeight w:val="530"/>
        </w:trPr>
        <w:tc>
          <w:tcPr>
            <w:tcW w:w="595" w:type="pct"/>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Comparators</w:t>
            </w:r>
          </w:p>
        </w:tc>
        <w:tc>
          <w:tcPr>
            <w:tcW w:w="940" w:type="pct"/>
          </w:tcPr>
          <w:p w:rsidR="00AB43F8" w:rsidRPr="005728DD" w:rsidRDefault="00AB43F8" w:rsidP="00A0357E">
            <w:pPr>
              <w:pStyle w:val="ListParagraph"/>
              <w:numPr>
                <w:ilvl w:val="0"/>
                <w:numId w:val="32"/>
              </w:numPr>
              <w:spacing w:after="0"/>
              <w:ind w:left="156" w:hanging="156"/>
              <w:jc w:val="left"/>
              <w:rPr>
                <w:rFonts w:ascii="Arial Narrow" w:hAnsi="Arial Narrow"/>
                <w:iCs/>
                <w:sz w:val="20"/>
                <w:szCs w:val="20"/>
              </w:rPr>
            </w:pPr>
            <w:r w:rsidRPr="005728DD">
              <w:rPr>
                <w:rFonts w:ascii="Arial Narrow" w:hAnsi="Arial Narrow"/>
                <w:iCs/>
                <w:sz w:val="20"/>
                <w:szCs w:val="20"/>
              </w:rPr>
              <w:t>F/F: TEZ/IVA</w:t>
            </w:r>
          </w:p>
          <w:p w:rsidR="00AB43F8" w:rsidRPr="005728DD" w:rsidRDefault="00AB43F8" w:rsidP="00A0357E">
            <w:pPr>
              <w:pStyle w:val="ListParagraph"/>
              <w:numPr>
                <w:ilvl w:val="0"/>
                <w:numId w:val="32"/>
              </w:numPr>
              <w:spacing w:after="0"/>
              <w:ind w:left="156" w:hanging="156"/>
              <w:jc w:val="left"/>
              <w:rPr>
                <w:rFonts w:ascii="Arial Narrow" w:hAnsi="Arial Narrow"/>
                <w:iCs/>
                <w:sz w:val="20"/>
                <w:szCs w:val="20"/>
              </w:rPr>
            </w:pPr>
            <w:r w:rsidRPr="005728DD">
              <w:rPr>
                <w:rFonts w:ascii="Arial Narrow" w:hAnsi="Arial Narrow"/>
                <w:iCs/>
                <w:sz w:val="20"/>
                <w:szCs w:val="20"/>
              </w:rPr>
              <w:t xml:space="preserve">F/RF: TEZ/IVA </w:t>
            </w:r>
          </w:p>
          <w:p w:rsidR="00AB43F8" w:rsidRPr="005728DD" w:rsidRDefault="00AB43F8" w:rsidP="00A0357E">
            <w:pPr>
              <w:pStyle w:val="ListParagraph"/>
              <w:numPr>
                <w:ilvl w:val="0"/>
                <w:numId w:val="32"/>
              </w:numPr>
              <w:spacing w:after="0"/>
              <w:ind w:left="156" w:hanging="156"/>
              <w:jc w:val="left"/>
              <w:rPr>
                <w:rFonts w:ascii="Arial Narrow" w:hAnsi="Arial Narrow"/>
                <w:iCs/>
                <w:sz w:val="20"/>
                <w:szCs w:val="20"/>
              </w:rPr>
            </w:pPr>
            <w:r w:rsidRPr="005728DD">
              <w:rPr>
                <w:rFonts w:ascii="Arial Narrow" w:hAnsi="Arial Narrow"/>
                <w:iCs/>
                <w:sz w:val="20"/>
                <w:szCs w:val="20"/>
              </w:rPr>
              <w:t xml:space="preserve">F/G: IVA </w:t>
            </w:r>
          </w:p>
          <w:p w:rsidR="00AB43F8" w:rsidRPr="005728DD" w:rsidRDefault="00AB43F8" w:rsidP="00A0357E">
            <w:pPr>
              <w:pStyle w:val="ListParagraph"/>
              <w:numPr>
                <w:ilvl w:val="0"/>
                <w:numId w:val="32"/>
              </w:numPr>
              <w:spacing w:after="0"/>
              <w:ind w:left="156" w:hanging="156"/>
              <w:jc w:val="left"/>
              <w:rPr>
                <w:rFonts w:ascii="Arial Narrow" w:hAnsi="Arial Narrow"/>
                <w:iCs/>
                <w:sz w:val="20"/>
                <w:szCs w:val="20"/>
              </w:rPr>
            </w:pPr>
            <w:r w:rsidRPr="005728DD">
              <w:rPr>
                <w:rFonts w:ascii="Arial Narrow" w:hAnsi="Arial Narrow"/>
                <w:iCs/>
                <w:sz w:val="20"/>
                <w:szCs w:val="20"/>
              </w:rPr>
              <w:t xml:space="preserve">F/MF: BSC </w:t>
            </w:r>
          </w:p>
        </w:tc>
        <w:tc>
          <w:tcPr>
            <w:tcW w:w="1071" w:type="pct"/>
          </w:tcPr>
          <w:p w:rsidR="00AB43F8" w:rsidRPr="005728DD" w:rsidRDefault="00AB43F8" w:rsidP="00A0357E">
            <w:pPr>
              <w:pStyle w:val="ListParagraph"/>
              <w:numPr>
                <w:ilvl w:val="0"/>
                <w:numId w:val="32"/>
              </w:numPr>
              <w:spacing w:after="0"/>
              <w:ind w:left="117" w:hanging="101"/>
              <w:jc w:val="left"/>
              <w:rPr>
                <w:rFonts w:ascii="Arial Narrow" w:hAnsi="Arial Narrow"/>
                <w:iCs/>
                <w:sz w:val="20"/>
                <w:szCs w:val="20"/>
              </w:rPr>
            </w:pPr>
            <w:r w:rsidRPr="005728DD">
              <w:rPr>
                <w:rFonts w:ascii="Arial Narrow" w:hAnsi="Arial Narrow"/>
                <w:iCs/>
                <w:sz w:val="20"/>
                <w:szCs w:val="20"/>
              </w:rPr>
              <w:t xml:space="preserve">F/F: LUM/IVA for </w:t>
            </w:r>
          </w:p>
          <w:p w:rsidR="00AB43F8" w:rsidRPr="005728DD" w:rsidRDefault="00AB43F8" w:rsidP="00A0357E">
            <w:pPr>
              <w:pStyle w:val="ListParagraph"/>
              <w:numPr>
                <w:ilvl w:val="0"/>
                <w:numId w:val="32"/>
              </w:numPr>
              <w:spacing w:after="0"/>
              <w:ind w:left="117" w:hanging="117"/>
              <w:jc w:val="left"/>
              <w:rPr>
                <w:rFonts w:ascii="Arial Narrow" w:hAnsi="Arial Narrow"/>
                <w:iCs/>
                <w:sz w:val="20"/>
                <w:szCs w:val="20"/>
              </w:rPr>
            </w:pPr>
            <w:r w:rsidRPr="005728DD">
              <w:rPr>
                <w:rFonts w:ascii="Arial Narrow" w:hAnsi="Arial Narrow"/>
                <w:iCs/>
                <w:sz w:val="20"/>
                <w:szCs w:val="20"/>
              </w:rPr>
              <w:t xml:space="preserve">F/RF: BSC </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BSC</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BSC</w:t>
            </w:r>
          </w:p>
        </w:tc>
      </w:tr>
      <w:tr w:rsidR="00AB43F8" w:rsidRPr="005728DD" w:rsidTr="00232AD0">
        <w:trPr>
          <w:trHeight w:val="530"/>
        </w:trPr>
        <w:tc>
          <w:tcPr>
            <w:tcW w:w="595" w:type="pct"/>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ppFEV</w:t>
            </w:r>
            <w:r w:rsidRPr="005728DD">
              <w:rPr>
                <w:rFonts w:ascii="Arial Narrow" w:hAnsi="Arial Narrow"/>
                <w:b/>
                <w:bCs/>
                <w:iCs/>
                <w:sz w:val="20"/>
                <w:szCs w:val="20"/>
                <w:vertAlign w:val="subscript"/>
              </w:rPr>
              <w:t>1</w:t>
            </w:r>
            <w:r w:rsidRPr="005728DD">
              <w:rPr>
                <w:rFonts w:ascii="Arial Narrow" w:hAnsi="Arial Narrow"/>
                <w:b/>
                <w:bCs/>
                <w:iCs/>
                <w:sz w:val="20"/>
                <w:szCs w:val="20"/>
              </w:rPr>
              <w:t xml:space="preserve"> improvement (%)</w:t>
            </w:r>
          </w:p>
        </w:tc>
        <w:tc>
          <w:tcPr>
            <w:tcW w:w="940" w:type="pct"/>
          </w:tcPr>
          <w:p w:rsidR="00AB43F8" w:rsidRPr="005728DD" w:rsidRDefault="00AB43F8" w:rsidP="00A0357E">
            <w:pPr>
              <w:pStyle w:val="ListParagraph"/>
              <w:numPr>
                <w:ilvl w:val="0"/>
                <w:numId w:val="31"/>
              </w:numPr>
              <w:spacing w:after="0"/>
              <w:ind w:left="156" w:hanging="142"/>
              <w:jc w:val="left"/>
              <w:rPr>
                <w:rFonts w:ascii="Arial Narrow" w:hAnsi="Arial Narrow"/>
                <w:iCs/>
                <w:sz w:val="20"/>
                <w:szCs w:val="20"/>
              </w:rPr>
            </w:pPr>
            <w:r w:rsidRPr="005728DD">
              <w:rPr>
                <w:rFonts w:ascii="Arial Narrow" w:hAnsi="Arial Narrow"/>
                <w:iCs/>
                <w:sz w:val="20"/>
                <w:szCs w:val="20"/>
              </w:rPr>
              <w:t>F/F: 10.2% vs TEZ/IVA</w:t>
            </w:r>
          </w:p>
          <w:p w:rsidR="00AB43F8" w:rsidRPr="005728DD" w:rsidRDefault="00AB43F8" w:rsidP="00A0357E">
            <w:pPr>
              <w:pStyle w:val="ListParagraph"/>
              <w:numPr>
                <w:ilvl w:val="0"/>
                <w:numId w:val="31"/>
              </w:numPr>
              <w:spacing w:after="0"/>
              <w:ind w:left="156" w:hanging="142"/>
              <w:jc w:val="left"/>
              <w:rPr>
                <w:rFonts w:ascii="Arial Narrow" w:hAnsi="Arial Narrow"/>
                <w:iCs/>
                <w:sz w:val="20"/>
                <w:szCs w:val="20"/>
              </w:rPr>
            </w:pPr>
            <w:r w:rsidRPr="005728DD">
              <w:rPr>
                <w:rFonts w:ascii="Arial Narrow" w:hAnsi="Arial Narrow"/>
                <w:iCs/>
                <w:sz w:val="20"/>
                <w:szCs w:val="20"/>
              </w:rPr>
              <w:t>F/RF: 2.0% vs TEZ/IVA</w:t>
            </w:r>
          </w:p>
          <w:p w:rsidR="00AB43F8" w:rsidRPr="005728DD" w:rsidRDefault="00AB43F8" w:rsidP="00A0357E">
            <w:pPr>
              <w:pStyle w:val="ListParagraph"/>
              <w:numPr>
                <w:ilvl w:val="0"/>
                <w:numId w:val="31"/>
              </w:numPr>
              <w:spacing w:after="0"/>
              <w:ind w:left="156" w:hanging="142"/>
              <w:jc w:val="left"/>
              <w:rPr>
                <w:rFonts w:ascii="Arial Narrow" w:hAnsi="Arial Narrow"/>
                <w:iCs/>
                <w:sz w:val="20"/>
                <w:szCs w:val="20"/>
              </w:rPr>
            </w:pPr>
            <w:r w:rsidRPr="005728DD">
              <w:rPr>
                <w:rFonts w:ascii="Arial Narrow" w:hAnsi="Arial Narrow"/>
                <w:iCs/>
                <w:sz w:val="20"/>
                <w:szCs w:val="20"/>
              </w:rPr>
              <w:t xml:space="preserve">F/G: 5.8% vs IVA </w:t>
            </w:r>
          </w:p>
          <w:p w:rsidR="00AB43F8" w:rsidRPr="005728DD" w:rsidRDefault="00AB43F8" w:rsidP="00A0357E">
            <w:pPr>
              <w:pStyle w:val="ListParagraph"/>
              <w:numPr>
                <w:ilvl w:val="0"/>
                <w:numId w:val="31"/>
              </w:numPr>
              <w:spacing w:after="0"/>
              <w:ind w:left="156" w:hanging="142"/>
              <w:jc w:val="left"/>
              <w:rPr>
                <w:rFonts w:ascii="Arial Narrow" w:hAnsi="Arial Narrow"/>
                <w:iCs/>
                <w:sz w:val="20"/>
                <w:szCs w:val="20"/>
              </w:rPr>
            </w:pPr>
            <w:r w:rsidRPr="005728DD">
              <w:rPr>
                <w:rFonts w:ascii="Arial Narrow" w:hAnsi="Arial Narrow"/>
                <w:iCs/>
                <w:sz w:val="20"/>
                <w:szCs w:val="20"/>
              </w:rPr>
              <w:t>F/MF: 14.3% vs BSC</w:t>
            </w:r>
          </w:p>
        </w:tc>
        <w:tc>
          <w:tcPr>
            <w:tcW w:w="1071" w:type="pct"/>
          </w:tcPr>
          <w:p w:rsidR="00AB43F8" w:rsidRPr="005728DD" w:rsidRDefault="00AB43F8" w:rsidP="00A0357E">
            <w:pPr>
              <w:pStyle w:val="ListParagraph"/>
              <w:numPr>
                <w:ilvl w:val="0"/>
                <w:numId w:val="31"/>
              </w:numPr>
              <w:spacing w:after="0"/>
              <w:ind w:left="117" w:hanging="117"/>
              <w:jc w:val="left"/>
              <w:rPr>
                <w:rFonts w:ascii="Arial Narrow" w:hAnsi="Arial Narrow"/>
                <w:iCs/>
                <w:sz w:val="20"/>
                <w:szCs w:val="20"/>
              </w:rPr>
            </w:pPr>
            <w:r w:rsidRPr="005728DD">
              <w:rPr>
                <w:rFonts w:ascii="Arial Narrow" w:hAnsi="Arial Narrow"/>
                <w:iCs/>
                <w:sz w:val="20"/>
                <w:szCs w:val="20"/>
              </w:rPr>
              <w:t xml:space="preserve">F/F: 1.59% vs LUM/IVA </w:t>
            </w:r>
          </w:p>
          <w:p w:rsidR="00AB43F8" w:rsidRPr="005728DD" w:rsidRDefault="00AB43F8" w:rsidP="00A0357E">
            <w:pPr>
              <w:pStyle w:val="ListParagraph"/>
              <w:numPr>
                <w:ilvl w:val="0"/>
                <w:numId w:val="31"/>
              </w:numPr>
              <w:spacing w:after="0"/>
              <w:ind w:left="117" w:hanging="117"/>
              <w:jc w:val="left"/>
              <w:rPr>
                <w:rFonts w:ascii="Arial Narrow" w:hAnsi="Arial Narrow"/>
                <w:iCs/>
                <w:sz w:val="20"/>
                <w:szCs w:val="20"/>
              </w:rPr>
            </w:pPr>
            <w:r w:rsidRPr="005728DD">
              <w:rPr>
                <w:rFonts w:ascii="Arial Narrow" w:hAnsi="Arial Narrow"/>
                <w:iCs/>
                <w:sz w:val="20"/>
                <w:szCs w:val="20"/>
              </w:rPr>
              <w:t>F/RF: 6.8% vs BSC</w:t>
            </w:r>
          </w:p>
          <w:p w:rsidR="00AB43F8" w:rsidRPr="005728DD" w:rsidRDefault="00AB43F8" w:rsidP="00AB43F8">
            <w:pPr>
              <w:jc w:val="left"/>
              <w:rPr>
                <w:rFonts w:ascii="Arial Narrow" w:hAnsi="Arial Narrow"/>
                <w:iCs/>
                <w:sz w:val="20"/>
                <w:szCs w:val="20"/>
              </w:rPr>
            </w:pPr>
          </w:p>
        </w:tc>
        <w:tc>
          <w:tcPr>
            <w:tcW w:w="1197" w:type="pct"/>
          </w:tcPr>
          <w:p w:rsidR="00AB43F8" w:rsidRPr="005728DD" w:rsidRDefault="00AB43F8" w:rsidP="00A0357E">
            <w:pPr>
              <w:pStyle w:val="ListParagraph"/>
              <w:numPr>
                <w:ilvl w:val="0"/>
                <w:numId w:val="31"/>
              </w:numPr>
              <w:spacing w:after="0"/>
              <w:ind w:left="112" w:hanging="107"/>
              <w:jc w:val="left"/>
              <w:rPr>
                <w:rFonts w:ascii="Arial Narrow" w:hAnsi="Arial Narrow"/>
                <w:iCs/>
                <w:sz w:val="20"/>
                <w:szCs w:val="20"/>
              </w:rPr>
            </w:pPr>
            <w:r w:rsidRPr="005728DD">
              <w:rPr>
                <w:rFonts w:ascii="Arial Narrow" w:hAnsi="Arial Narrow"/>
                <w:iCs/>
                <w:sz w:val="20"/>
                <w:szCs w:val="20"/>
              </w:rPr>
              <w:t>2-5 years: 0.5% change from baseline</w:t>
            </w:r>
          </w:p>
          <w:p w:rsidR="00AB43F8" w:rsidRPr="005728DD" w:rsidRDefault="00AB43F8" w:rsidP="00A0357E">
            <w:pPr>
              <w:pStyle w:val="ListParagraph"/>
              <w:numPr>
                <w:ilvl w:val="0"/>
                <w:numId w:val="31"/>
              </w:numPr>
              <w:spacing w:after="0"/>
              <w:ind w:left="112" w:hanging="107"/>
              <w:jc w:val="left"/>
              <w:rPr>
                <w:rFonts w:ascii="Arial Narrow" w:hAnsi="Arial Narrow"/>
                <w:iCs/>
                <w:sz w:val="20"/>
                <w:szCs w:val="20"/>
              </w:rPr>
            </w:pPr>
            <w:r w:rsidRPr="005728DD">
              <w:rPr>
                <w:rFonts w:ascii="Arial Narrow" w:hAnsi="Arial Narrow"/>
                <w:iCs/>
                <w:sz w:val="20"/>
                <w:szCs w:val="20"/>
              </w:rPr>
              <w:t>6-11 years: 3% vs placebo</w:t>
            </w:r>
          </w:p>
          <w:p w:rsidR="00AB43F8" w:rsidRPr="005728DD" w:rsidRDefault="00AB43F8" w:rsidP="00A0357E">
            <w:pPr>
              <w:pStyle w:val="ListParagraph"/>
              <w:numPr>
                <w:ilvl w:val="0"/>
                <w:numId w:val="31"/>
              </w:numPr>
              <w:spacing w:after="0"/>
              <w:ind w:left="112" w:hanging="107"/>
              <w:jc w:val="left"/>
              <w:rPr>
                <w:rFonts w:ascii="Arial Narrow" w:hAnsi="Arial Narrow"/>
                <w:iCs/>
                <w:sz w:val="20"/>
                <w:szCs w:val="20"/>
              </w:rPr>
            </w:pPr>
            <w:r w:rsidRPr="005728DD">
              <w:rPr>
                <w:rFonts w:ascii="Arial Narrow" w:hAnsi="Arial Narrow"/>
                <w:iCs/>
                <w:sz w:val="20"/>
                <w:szCs w:val="20"/>
              </w:rPr>
              <w:t xml:space="preserve">12 - older: 2.81% vs placebo </w:t>
            </w:r>
          </w:p>
          <w:p w:rsidR="00AB43F8" w:rsidRPr="005728DD" w:rsidRDefault="00AB43F8" w:rsidP="00AB43F8">
            <w:pPr>
              <w:jc w:val="left"/>
              <w:rPr>
                <w:rFonts w:ascii="Arial Narrow" w:hAnsi="Arial Narrow"/>
                <w:iCs/>
                <w:sz w:val="20"/>
                <w:szCs w:val="20"/>
              </w:rPr>
            </w:pP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 xml:space="preserve">10.5% vs placebo </w:t>
            </w:r>
          </w:p>
        </w:tc>
      </w:tr>
      <w:tr w:rsidR="00AB43F8" w:rsidRPr="005728DD" w:rsidTr="00232AD0">
        <w:trPr>
          <w:trHeight w:val="130"/>
        </w:trPr>
        <w:tc>
          <w:tcPr>
            <w:tcW w:w="595" w:type="pct"/>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Proposed/ current price</w:t>
            </w:r>
          </w:p>
        </w:tc>
        <w:tc>
          <w:tcPr>
            <w:tcW w:w="940"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w:t>
            </w:r>
            <w:r w:rsidR="00967E09">
              <w:rPr>
                <w:rFonts w:ascii="Arial Narrow" w:hAnsi="Arial Narrow"/>
                <w:iCs/>
                <w:noProof/>
                <w:color w:val="000000"/>
                <w:sz w:val="20"/>
                <w:szCs w:val="20"/>
                <w:highlight w:val="black"/>
              </w:rPr>
              <w:t>'''''''''''''''''''''''</w:t>
            </w:r>
            <w:r w:rsidRPr="005728DD">
              <w:rPr>
                <w:rFonts w:ascii="Arial Narrow" w:hAnsi="Arial Narrow"/>
                <w:i/>
                <w:iCs/>
                <w:sz w:val="20"/>
                <w:szCs w:val="20"/>
              </w:rPr>
              <w:t xml:space="preserve"> </w:t>
            </w:r>
            <w:r w:rsidRPr="005728DD">
              <w:rPr>
                <w:rFonts w:ascii="Arial Narrow" w:hAnsi="Arial Narrow"/>
                <w:iCs/>
                <w:sz w:val="20"/>
                <w:szCs w:val="20"/>
              </w:rPr>
              <w:t>per 28-day pack</w:t>
            </w:r>
            <w:r w:rsidR="007831CE" w:rsidRPr="005728DD">
              <w:rPr>
                <w:rFonts w:ascii="Arial Narrow" w:hAnsi="Arial Narrow"/>
                <w:iCs/>
                <w:sz w:val="20"/>
                <w:szCs w:val="20"/>
              </w:rPr>
              <w:t xml:space="preserve"> (revised to $</w:t>
            </w:r>
            <w:r w:rsidR="00967E09">
              <w:rPr>
                <w:rFonts w:ascii="Arial Narrow" w:hAnsi="Arial Narrow"/>
                <w:iCs/>
                <w:noProof/>
                <w:color w:val="000000"/>
                <w:sz w:val="20"/>
                <w:szCs w:val="20"/>
                <w:highlight w:val="black"/>
              </w:rPr>
              <w:t>'''''''''''''''''''''</w:t>
            </w:r>
            <w:r w:rsidR="007831CE" w:rsidRPr="005728DD">
              <w:rPr>
                <w:rFonts w:ascii="Arial Narrow" w:hAnsi="Arial Narrow"/>
                <w:iCs/>
                <w:sz w:val="20"/>
                <w:szCs w:val="20"/>
              </w:rPr>
              <w:t xml:space="preserve"> in the pre-PBAC response)</w:t>
            </w:r>
          </w:p>
        </w:tc>
        <w:tc>
          <w:tcPr>
            <w:tcW w:w="1071"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Annual price of $</w:t>
            </w:r>
            <w:r w:rsidR="00967E09">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w:t>
            </w:r>
            <w:r w:rsidRPr="005728DD">
              <w:rPr>
                <w:rFonts w:ascii="Arial Narrow" w:hAnsi="Arial Narrow"/>
                <w:i/>
                <w:iCs/>
                <w:sz w:val="20"/>
                <w:szCs w:val="20"/>
              </w:rPr>
              <w:t xml:space="preserve">). </w:t>
            </w:r>
            <w:r w:rsidR="00232AD0" w:rsidRPr="005728DD">
              <w:rPr>
                <w:rFonts w:ascii="Arial Narrow" w:hAnsi="Arial Narrow"/>
                <w:iCs/>
                <w:sz w:val="20"/>
                <w:szCs w:val="20"/>
              </w:rPr>
              <w:t xml:space="preserve">Implemented via RSA. </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Annual price of $</w:t>
            </w:r>
            <w:r w:rsidR="00967E09">
              <w:rPr>
                <w:rFonts w:ascii="Arial Narrow" w:hAnsi="Arial Narrow"/>
                <w:iCs/>
                <w:noProof/>
                <w:color w:val="000000"/>
                <w:sz w:val="20"/>
                <w:szCs w:val="20"/>
                <w:highlight w:val="black"/>
              </w:rPr>
              <w:t>'''''''''''''''''</w:t>
            </w:r>
            <w:r w:rsidRPr="005728DD">
              <w:rPr>
                <w:rFonts w:ascii="Arial Narrow" w:hAnsi="Arial Narrow"/>
                <w:iCs/>
                <w:sz w:val="20"/>
                <w:szCs w:val="20"/>
              </w:rPr>
              <w:t xml:space="preserve"> per patient (11 packs per year).</w:t>
            </w:r>
            <w:r w:rsidR="00232AD0" w:rsidRPr="005728DD">
              <w:rPr>
                <w:rFonts w:ascii="Arial Narrow" w:hAnsi="Arial Narrow"/>
                <w:iCs/>
                <w:sz w:val="20"/>
                <w:szCs w:val="20"/>
              </w:rPr>
              <w:t xml:space="preserve"> Implemented via RSA.</w:t>
            </w:r>
          </w:p>
        </w:tc>
        <w:tc>
          <w:tcPr>
            <w:tcW w:w="1197" w:type="pct"/>
          </w:tcPr>
          <w:p w:rsidR="00AB43F8" w:rsidRPr="005728DD" w:rsidRDefault="00AB43F8" w:rsidP="00AB43F8">
            <w:pPr>
              <w:jc w:val="left"/>
              <w:rPr>
                <w:rFonts w:ascii="Arial Narrow" w:hAnsi="Arial Narrow"/>
                <w:iCs/>
                <w:sz w:val="20"/>
                <w:szCs w:val="20"/>
              </w:rPr>
            </w:pPr>
            <w:r w:rsidRPr="005728DD">
              <w:rPr>
                <w:rFonts w:ascii="Arial Narrow" w:hAnsi="Arial Narrow"/>
                <w:iCs/>
                <w:sz w:val="20"/>
                <w:szCs w:val="20"/>
              </w:rPr>
              <w:t>$</w:t>
            </w:r>
            <w:r w:rsidR="00967E09">
              <w:rPr>
                <w:rFonts w:ascii="Arial Narrow" w:hAnsi="Arial Narrow"/>
                <w:iCs/>
                <w:noProof/>
                <w:color w:val="000000"/>
                <w:sz w:val="20"/>
                <w:szCs w:val="20"/>
                <w:highlight w:val="black"/>
              </w:rPr>
              <w:t>'''''''''''''''''''''''''</w:t>
            </w:r>
            <w:r w:rsidRPr="005728DD">
              <w:rPr>
                <w:rFonts w:ascii="Arial Narrow" w:hAnsi="Arial Narrow"/>
                <w:iCs/>
                <w:sz w:val="20"/>
                <w:szCs w:val="20"/>
              </w:rPr>
              <w:t xml:space="preserve"> per 28-day pack </w:t>
            </w:r>
          </w:p>
        </w:tc>
      </w:tr>
      <w:tr w:rsidR="00AB43F8" w:rsidRPr="005728DD" w:rsidTr="00232AD0">
        <w:trPr>
          <w:trHeight w:val="130"/>
        </w:trPr>
        <w:tc>
          <w:tcPr>
            <w:tcW w:w="595" w:type="pct"/>
          </w:tcPr>
          <w:p w:rsidR="00AB43F8" w:rsidRPr="005728DD" w:rsidRDefault="00AB43F8" w:rsidP="00AB43F8">
            <w:pPr>
              <w:rPr>
                <w:rFonts w:ascii="Arial Narrow" w:hAnsi="Arial Narrow"/>
                <w:b/>
                <w:bCs/>
                <w:iCs/>
                <w:sz w:val="20"/>
                <w:szCs w:val="20"/>
              </w:rPr>
            </w:pPr>
            <w:r w:rsidRPr="005728DD">
              <w:rPr>
                <w:rFonts w:ascii="Arial Narrow" w:hAnsi="Arial Narrow"/>
                <w:b/>
                <w:bCs/>
                <w:iCs/>
                <w:sz w:val="20"/>
                <w:szCs w:val="20"/>
              </w:rPr>
              <w:t>Economic evidence</w:t>
            </w:r>
          </w:p>
        </w:tc>
        <w:tc>
          <w:tcPr>
            <w:tcW w:w="940" w:type="pct"/>
          </w:tcPr>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t xml:space="preserve">F/F: CUA,ICER </w:t>
            </w:r>
            <w:r w:rsidRPr="005728DD">
              <w:rPr>
                <w:rFonts w:ascii="Arial Narrow" w:hAnsi="Arial Narrow"/>
                <w:i/>
                <w:iCs/>
                <w:sz w:val="20"/>
                <w:szCs w:val="20"/>
              </w:rPr>
              <w:t>$</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1</w:t>
            </w:r>
            <w:r w:rsidRPr="005728DD">
              <w:rPr>
                <w:rFonts w:ascii="Arial Narrow" w:hAnsi="Arial Narrow"/>
                <w:iCs/>
                <w:sz w:val="20"/>
                <w:szCs w:val="20"/>
              </w:rPr>
              <w:t xml:space="preserve"> vs TEZ/VA</w:t>
            </w:r>
          </w:p>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F/RF: CUA, ICER $</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2</w:t>
            </w:r>
            <w:r w:rsidRPr="005728DD">
              <w:rPr>
                <w:rFonts w:ascii="Arial Narrow" w:hAnsi="Arial Narrow"/>
                <w:iCs/>
                <w:sz w:val="20"/>
                <w:szCs w:val="20"/>
              </w:rPr>
              <w:t xml:space="preserve"> vs TEZ/IVA</w:t>
            </w:r>
          </w:p>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t>F/G: Cost-analysis, cost saving vs IVA</w:t>
            </w:r>
          </w:p>
          <w:p w:rsidR="00AB43F8" w:rsidRPr="005728DD" w:rsidRDefault="00AB43F8" w:rsidP="00A0357E">
            <w:pPr>
              <w:pStyle w:val="ListParagraph"/>
              <w:numPr>
                <w:ilvl w:val="0"/>
                <w:numId w:val="33"/>
              </w:numPr>
              <w:ind w:left="156" w:hanging="142"/>
              <w:jc w:val="left"/>
              <w:rPr>
                <w:rFonts w:ascii="Arial Narrow" w:hAnsi="Arial Narrow"/>
                <w:iCs/>
                <w:sz w:val="20"/>
                <w:szCs w:val="20"/>
              </w:rPr>
            </w:pPr>
            <w:r w:rsidRPr="005728DD">
              <w:rPr>
                <w:rFonts w:ascii="Arial Narrow" w:hAnsi="Arial Narrow"/>
                <w:iCs/>
                <w:sz w:val="20"/>
                <w:szCs w:val="20"/>
              </w:rPr>
              <w:t>F/MF: CUA,</w:t>
            </w:r>
            <w:r w:rsidR="008B5EF9" w:rsidRPr="005728DD">
              <w:rPr>
                <w:rFonts w:ascii="Arial Narrow" w:hAnsi="Arial Narrow"/>
                <w:iCs/>
                <w:sz w:val="20"/>
                <w:szCs w:val="20"/>
              </w:rPr>
              <w:t xml:space="preserve"> </w:t>
            </w:r>
            <w:r w:rsidRPr="005728DD">
              <w:rPr>
                <w:rFonts w:ascii="Arial Narrow" w:hAnsi="Arial Narrow"/>
                <w:iCs/>
                <w:sz w:val="20"/>
                <w:szCs w:val="20"/>
              </w:rPr>
              <w:t>ICER $</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2</w:t>
            </w:r>
            <w:r w:rsidRPr="005728DD">
              <w:rPr>
                <w:rFonts w:ascii="Arial Narrow" w:hAnsi="Arial Narrow"/>
                <w:iCs/>
                <w:sz w:val="20"/>
                <w:szCs w:val="20"/>
              </w:rPr>
              <w:t xml:space="preserve"> vs BSC</w:t>
            </w:r>
          </w:p>
          <w:p w:rsidR="00AB43F8" w:rsidRPr="005728DD" w:rsidRDefault="00AB43F8" w:rsidP="00AB43F8">
            <w:pPr>
              <w:pStyle w:val="ListParagraph"/>
              <w:numPr>
                <w:ilvl w:val="0"/>
                <w:numId w:val="0"/>
              </w:numPr>
              <w:ind w:left="360"/>
              <w:jc w:val="left"/>
              <w:rPr>
                <w:rFonts w:ascii="Arial Narrow" w:hAnsi="Arial Narrow"/>
                <w:iCs/>
                <w:sz w:val="20"/>
                <w:szCs w:val="20"/>
              </w:rPr>
            </w:pPr>
          </w:p>
        </w:tc>
        <w:tc>
          <w:tcPr>
            <w:tcW w:w="1071" w:type="pct"/>
          </w:tcPr>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F/F: TEZ/IVA cost-minimised to LUM/IVA ($</w:t>
            </w:r>
            <w:r w:rsidR="00967E09">
              <w:rPr>
                <w:rFonts w:ascii="Arial Narrow" w:hAnsi="Arial Narrow"/>
                <w:iCs/>
                <w:noProof/>
                <w:color w:val="000000"/>
                <w:sz w:val="20"/>
                <w:szCs w:val="20"/>
                <w:highlight w:val="black"/>
              </w:rPr>
              <w:t>'''''''''''''''''</w:t>
            </w:r>
            <w:r w:rsidRPr="005728DD">
              <w:rPr>
                <w:rFonts w:ascii="Arial Narrow" w:hAnsi="Arial Narrow"/>
                <w:iCs/>
                <w:sz w:val="20"/>
                <w:szCs w:val="20"/>
              </w:rPr>
              <w:t xml:space="preserve"> per patient)</w:t>
            </w:r>
          </w:p>
          <w:p w:rsidR="00AB43F8" w:rsidRPr="005728DD" w:rsidRDefault="00AB43F8" w:rsidP="00EB200B">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 xml:space="preserve">F/RF recommended at same </w:t>
            </w:r>
            <w:r w:rsidR="00EB200B" w:rsidRPr="005728DD">
              <w:rPr>
                <w:rFonts w:ascii="Arial Narrow" w:hAnsi="Arial Narrow"/>
                <w:iCs/>
                <w:sz w:val="20"/>
                <w:szCs w:val="20"/>
              </w:rPr>
              <w:t xml:space="preserve">cost </w:t>
            </w:r>
            <w:r w:rsidRPr="005728DD">
              <w:rPr>
                <w:rFonts w:ascii="Arial Narrow" w:hAnsi="Arial Narrow"/>
                <w:iCs/>
                <w:sz w:val="20"/>
                <w:szCs w:val="20"/>
              </w:rPr>
              <w:t>per patient as F/F.</w:t>
            </w:r>
          </w:p>
        </w:tc>
        <w:tc>
          <w:tcPr>
            <w:tcW w:w="1197" w:type="pct"/>
          </w:tcPr>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CUA</w:t>
            </w:r>
          </w:p>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t>2 years and older: $</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2</w:t>
            </w:r>
            <w:r w:rsidRPr="005728DD" w:rsidDel="00B24A69">
              <w:rPr>
                <w:rFonts w:ascii="Arial Narrow" w:hAnsi="Arial Narrow"/>
                <w:iCs/>
                <w:sz w:val="20"/>
                <w:szCs w:val="20"/>
              </w:rPr>
              <w:t xml:space="preserve"> </w:t>
            </w:r>
            <w:r w:rsidRPr="005728DD">
              <w:rPr>
                <w:rFonts w:ascii="Arial Narrow" w:hAnsi="Arial Narrow"/>
                <w:iCs/>
                <w:sz w:val="20"/>
                <w:szCs w:val="20"/>
              </w:rPr>
              <w:t>/QALY</w:t>
            </w:r>
          </w:p>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6</w:t>
            </w:r>
            <w:r w:rsidR="00DB73E2" w:rsidRPr="005728DD">
              <w:rPr>
                <w:rFonts w:ascii="Arial Narrow" w:hAnsi="Arial Narrow"/>
                <w:iCs/>
                <w:sz w:val="20"/>
                <w:szCs w:val="20"/>
              </w:rPr>
              <w:t xml:space="preserve"> </w:t>
            </w:r>
            <w:r w:rsidRPr="005728DD">
              <w:rPr>
                <w:rFonts w:ascii="Arial Narrow" w:hAnsi="Arial Narrow"/>
                <w:iCs/>
                <w:sz w:val="20"/>
                <w:szCs w:val="20"/>
              </w:rPr>
              <w:t>years and older: $</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2</w:t>
            </w:r>
            <w:r w:rsidRPr="005728DD">
              <w:rPr>
                <w:rFonts w:ascii="Arial Narrow" w:hAnsi="Arial Narrow"/>
                <w:iCs/>
                <w:sz w:val="20"/>
                <w:szCs w:val="20"/>
              </w:rPr>
              <w:t xml:space="preserve">/QALY </w:t>
            </w:r>
          </w:p>
          <w:p w:rsidR="00AB43F8" w:rsidRPr="005728DD" w:rsidRDefault="00AB43F8"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t>12 years and older: $</w:t>
            </w:r>
            <w:r w:rsidR="00967E09">
              <w:rPr>
                <w:rFonts w:ascii="Arial Narrow" w:hAnsi="Arial Narrow"/>
                <w:iCs/>
                <w:noProof/>
                <w:color w:val="000000"/>
                <w:sz w:val="20"/>
                <w:szCs w:val="20"/>
                <w:highlight w:val="black"/>
              </w:rPr>
              <w:t>'''''''''''''''''''</w:t>
            </w:r>
            <w:r w:rsidR="008F40AA">
              <w:rPr>
                <w:rFonts w:ascii="Arial Narrow" w:hAnsi="Arial Narrow"/>
                <w:iCs/>
                <w:sz w:val="20"/>
                <w:szCs w:val="20"/>
                <w:vertAlign w:val="superscript"/>
              </w:rPr>
              <w:t>2</w:t>
            </w:r>
            <w:r w:rsidRPr="005728DD">
              <w:rPr>
                <w:rFonts w:ascii="Arial Narrow" w:hAnsi="Arial Narrow"/>
                <w:iCs/>
                <w:sz w:val="20"/>
                <w:szCs w:val="20"/>
              </w:rPr>
              <w:t>/QALY</w:t>
            </w:r>
          </w:p>
        </w:tc>
        <w:tc>
          <w:tcPr>
            <w:tcW w:w="1197" w:type="pct"/>
          </w:tcPr>
          <w:p w:rsidR="00AB43F8" w:rsidRPr="005728DD" w:rsidRDefault="003A1E90"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lastRenderedPageBreak/>
              <w:t xml:space="preserve">G551D: </w:t>
            </w:r>
            <w:r w:rsidR="00AB43F8" w:rsidRPr="005728DD">
              <w:rPr>
                <w:rFonts w:ascii="Arial Narrow" w:hAnsi="Arial Narrow"/>
                <w:iCs/>
                <w:sz w:val="20"/>
                <w:szCs w:val="20"/>
              </w:rPr>
              <w:t xml:space="preserve">The PBAC considered that the cost-effectiveness of ivacaftor </w:t>
            </w:r>
            <w:r w:rsidR="00AB43F8" w:rsidRPr="005728DD">
              <w:rPr>
                <w:rFonts w:ascii="Arial Narrow" w:hAnsi="Arial Narrow"/>
                <w:iCs/>
                <w:sz w:val="20"/>
                <w:szCs w:val="20"/>
              </w:rPr>
              <w:lastRenderedPageBreak/>
              <w:t>would be acceptable if the ICER was between $60,000-80,000 per QALY gained, and if risk sharing agreements were implemented, including a “pay-for-performance” arrangement.</w:t>
            </w:r>
          </w:p>
          <w:p w:rsidR="00AB43F8" w:rsidRPr="005728DD" w:rsidRDefault="00AB43F8" w:rsidP="00232AD0">
            <w:pPr>
              <w:ind w:left="14"/>
              <w:jc w:val="left"/>
              <w:rPr>
                <w:rFonts w:ascii="Arial Narrow" w:hAnsi="Arial Narrow"/>
                <w:iCs/>
                <w:sz w:val="20"/>
                <w:szCs w:val="20"/>
              </w:rPr>
            </w:pPr>
          </w:p>
          <w:p w:rsidR="00AB43F8" w:rsidRPr="005728DD" w:rsidRDefault="003A1E90" w:rsidP="00A0357E">
            <w:pPr>
              <w:pStyle w:val="ListParagraph"/>
              <w:numPr>
                <w:ilvl w:val="0"/>
                <w:numId w:val="33"/>
              </w:numPr>
              <w:spacing w:after="0"/>
              <w:ind w:left="156" w:hanging="142"/>
              <w:jc w:val="left"/>
              <w:rPr>
                <w:rFonts w:ascii="Arial Narrow" w:hAnsi="Arial Narrow"/>
                <w:iCs/>
                <w:sz w:val="20"/>
                <w:szCs w:val="20"/>
              </w:rPr>
            </w:pPr>
            <w:r w:rsidRPr="005728DD">
              <w:rPr>
                <w:rFonts w:ascii="Arial Narrow" w:hAnsi="Arial Narrow"/>
                <w:iCs/>
                <w:sz w:val="20"/>
                <w:szCs w:val="20"/>
              </w:rPr>
              <w:t xml:space="preserve">Other Class III: </w:t>
            </w:r>
            <w:r w:rsidR="00AB43F8" w:rsidRPr="005728DD">
              <w:rPr>
                <w:rFonts w:ascii="Arial Narrow" w:hAnsi="Arial Narrow"/>
                <w:iCs/>
                <w:sz w:val="20"/>
                <w:szCs w:val="20"/>
              </w:rPr>
              <w:t xml:space="preserve">No economic analysis </w:t>
            </w:r>
          </w:p>
          <w:p w:rsidR="00AB43F8" w:rsidRPr="005728DD" w:rsidRDefault="00AB43F8" w:rsidP="00232AD0">
            <w:pPr>
              <w:jc w:val="left"/>
              <w:rPr>
                <w:rFonts w:ascii="Arial Narrow" w:hAnsi="Arial Narrow"/>
                <w:iCs/>
                <w:sz w:val="20"/>
                <w:szCs w:val="20"/>
              </w:rPr>
            </w:pPr>
          </w:p>
        </w:tc>
      </w:tr>
    </w:tbl>
    <w:p w:rsidR="00AB43F8" w:rsidRPr="005728DD" w:rsidRDefault="00AB43F8" w:rsidP="00AB43F8">
      <w:pPr>
        <w:rPr>
          <w:rFonts w:ascii="Arial Narrow" w:hAnsi="Arial Narrow"/>
          <w:sz w:val="18"/>
          <w:szCs w:val="18"/>
        </w:rPr>
      </w:pPr>
      <w:r w:rsidRPr="005728DD">
        <w:rPr>
          <w:rFonts w:ascii="Arial Narrow" w:hAnsi="Arial Narrow"/>
          <w:sz w:val="18"/>
          <w:szCs w:val="18"/>
        </w:rPr>
        <w:lastRenderedPageBreak/>
        <w:t>Source: Table 1.4.2, Table 2.2.1, Table 2.2.2, Table 2.2.3, Table 4.2.11, Table 3.1.32, Table 4.2.3</w:t>
      </w:r>
      <w:r w:rsidR="0003582C">
        <w:rPr>
          <w:rFonts w:ascii="Arial Narrow" w:hAnsi="Arial Narrow"/>
          <w:sz w:val="18"/>
          <w:szCs w:val="18"/>
        </w:rPr>
        <w:t xml:space="preserve"> </w:t>
      </w:r>
      <w:r w:rsidRPr="005728DD">
        <w:rPr>
          <w:rFonts w:ascii="Arial Narrow" w:hAnsi="Arial Narrow"/>
          <w:sz w:val="18"/>
          <w:szCs w:val="18"/>
        </w:rPr>
        <w:t xml:space="preserve">of the submission; </w:t>
      </w:r>
      <w:r w:rsidR="00232AD0" w:rsidRPr="005728DD">
        <w:rPr>
          <w:rFonts w:ascii="Arial Narrow" w:hAnsi="Arial Narrow"/>
          <w:sz w:val="18"/>
          <w:szCs w:val="18"/>
        </w:rPr>
        <w:t>TEZ/IVA</w:t>
      </w:r>
      <w:r w:rsidRPr="005728DD">
        <w:rPr>
          <w:rFonts w:ascii="Arial Narrow" w:hAnsi="Arial Narrow"/>
          <w:sz w:val="18"/>
          <w:szCs w:val="18"/>
        </w:rPr>
        <w:t xml:space="preserve"> </w:t>
      </w:r>
      <w:r w:rsidR="00900E4C" w:rsidRPr="00900E4C">
        <w:rPr>
          <w:rFonts w:ascii="Arial Narrow" w:hAnsi="Arial Narrow"/>
          <w:sz w:val="18"/>
          <w:szCs w:val="18"/>
        </w:rPr>
        <w:t>Public Summary Document</w:t>
      </w:r>
      <w:r w:rsidR="00900E4C" w:rsidRPr="00900E4C" w:rsidDel="00900E4C">
        <w:rPr>
          <w:rFonts w:ascii="Arial Narrow" w:hAnsi="Arial Narrow"/>
          <w:sz w:val="18"/>
          <w:szCs w:val="18"/>
        </w:rPr>
        <w:t xml:space="preserve"> </w:t>
      </w:r>
      <w:r w:rsidR="00900E4C">
        <w:rPr>
          <w:rFonts w:ascii="Arial Narrow" w:hAnsi="Arial Narrow"/>
          <w:sz w:val="18"/>
          <w:szCs w:val="18"/>
        </w:rPr>
        <w:t>(PSD)</w:t>
      </w:r>
      <w:r w:rsidRPr="005728DD">
        <w:rPr>
          <w:rFonts w:ascii="Arial Narrow" w:hAnsi="Arial Narrow"/>
          <w:sz w:val="18"/>
          <w:szCs w:val="18"/>
        </w:rPr>
        <w:t xml:space="preserve">, March 2019 PBAC meeting; </w:t>
      </w:r>
      <w:r w:rsidR="00232AD0" w:rsidRPr="005728DD">
        <w:rPr>
          <w:rFonts w:ascii="Arial Narrow" w:hAnsi="Arial Narrow"/>
          <w:sz w:val="18"/>
          <w:szCs w:val="18"/>
        </w:rPr>
        <w:t>TEZ/IVA</w:t>
      </w:r>
      <w:r w:rsidRPr="005728DD">
        <w:rPr>
          <w:rFonts w:ascii="Arial Narrow" w:hAnsi="Arial Narrow"/>
          <w:sz w:val="18"/>
          <w:szCs w:val="18"/>
        </w:rPr>
        <w:t xml:space="preserve"> </w:t>
      </w:r>
      <w:r w:rsidR="00900E4C">
        <w:rPr>
          <w:rFonts w:ascii="Arial Narrow" w:hAnsi="Arial Narrow"/>
          <w:sz w:val="18"/>
          <w:szCs w:val="18"/>
        </w:rPr>
        <w:t>PSD</w:t>
      </w:r>
      <w:r w:rsidRPr="005728DD">
        <w:rPr>
          <w:rFonts w:ascii="Arial Narrow" w:hAnsi="Arial Narrow"/>
          <w:sz w:val="18"/>
          <w:szCs w:val="18"/>
        </w:rPr>
        <w:t xml:space="preserve">, November 2019 PBAC meeting; </w:t>
      </w:r>
      <w:r w:rsidR="00232AD0" w:rsidRPr="005728DD">
        <w:rPr>
          <w:rFonts w:ascii="Arial Narrow" w:hAnsi="Arial Narrow"/>
          <w:sz w:val="18"/>
          <w:szCs w:val="18"/>
        </w:rPr>
        <w:t xml:space="preserve">IVA </w:t>
      </w:r>
      <w:r w:rsidR="00900E4C">
        <w:rPr>
          <w:rFonts w:ascii="Arial Narrow" w:hAnsi="Arial Narrow"/>
          <w:sz w:val="18"/>
          <w:szCs w:val="18"/>
        </w:rPr>
        <w:t>PSD</w:t>
      </w:r>
      <w:r w:rsidRPr="005728DD">
        <w:rPr>
          <w:rFonts w:ascii="Arial Narrow" w:hAnsi="Arial Narrow"/>
          <w:sz w:val="18"/>
          <w:szCs w:val="18"/>
        </w:rPr>
        <w:t xml:space="preserve">, July 2013 PBAC meeting; </w:t>
      </w:r>
      <w:r w:rsidR="00232AD0" w:rsidRPr="005728DD">
        <w:rPr>
          <w:rFonts w:ascii="Arial Narrow" w:hAnsi="Arial Narrow"/>
          <w:sz w:val="18"/>
          <w:szCs w:val="18"/>
        </w:rPr>
        <w:t xml:space="preserve">IVA </w:t>
      </w:r>
      <w:r w:rsidR="00900E4C">
        <w:rPr>
          <w:rFonts w:ascii="Arial Narrow" w:hAnsi="Arial Narrow"/>
          <w:sz w:val="18"/>
          <w:szCs w:val="18"/>
        </w:rPr>
        <w:t>PSD</w:t>
      </w:r>
      <w:r w:rsidRPr="005728DD">
        <w:rPr>
          <w:rFonts w:ascii="Arial Narrow" w:hAnsi="Arial Narrow"/>
          <w:sz w:val="18"/>
          <w:szCs w:val="18"/>
        </w:rPr>
        <w:t>, November 2013 PBAC meeting; I</w:t>
      </w:r>
      <w:r w:rsidR="00232AD0" w:rsidRPr="005728DD">
        <w:rPr>
          <w:rFonts w:ascii="Arial Narrow" w:hAnsi="Arial Narrow"/>
          <w:sz w:val="18"/>
          <w:szCs w:val="18"/>
        </w:rPr>
        <w:t xml:space="preserve">VA </w:t>
      </w:r>
      <w:r w:rsidR="00900E4C">
        <w:rPr>
          <w:rFonts w:ascii="Arial Narrow" w:hAnsi="Arial Narrow"/>
          <w:sz w:val="18"/>
          <w:szCs w:val="18"/>
        </w:rPr>
        <w:t>PSD</w:t>
      </w:r>
      <w:r w:rsidRPr="005728DD">
        <w:rPr>
          <w:rFonts w:ascii="Arial Narrow" w:hAnsi="Arial Narrow"/>
          <w:sz w:val="18"/>
          <w:szCs w:val="18"/>
        </w:rPr>
        <w:t>, November 2014 PBAC meeting;</w:t>
      </w:r>
      <w:r w:rsidR="00232AD0" w:rsidRPr="005728DD">
        <w:rPr>
          <w:rFonts w:ascii="Arial Narrow" w:hAnsi="Arial Narrow"/>
          <w:sz w:val="18"/>
          <w:szCs w:val="18"/>
        </w:rPr>
        <w:t xml:space="preserve"> IVA</w:t>
      </w:r>
      <w:r w:rsidRPr="005728DD">
        <w:rPr>
          <w:rFonts w:ascii="Arial Narrow" w:hAnsi="Arial Narrow"/>
          <w:sz w:val="18"/>
          <w:szCs w:val="18"/>
        </w:rPr>
        <w:t xml:space="preserve"> </w:t>
      </w:r>
      <w:r w:rsidR="00900E4C">
        <w:rPr>
          <w:rFonts w:ascii="Arial Narrow" w:hAnsi="Arial Narrow"/>
          <w:sz w:val="18"/>
          <w:szCs w:val="18"/>
        </w:rPr>
        <w:t>PSD</w:t>
      </w:r>
      <w:r w:rsidRPr="005728DD">
        <w:rPr>
          <w:rFonts w:ascii="Arial Narrow" w:hAnsi="Arial Narrow"/>
          <w:sz w:val="18"/>
          <w:szCs w:val="18"/>
        </w:rPr>
        <w:t>, November 2015 PBAC meeting;</w:t>
      </w:r>
      <w:r w:rsidR="00232AD0" w:rsidRPr="005728DD">
        <w:rPr>
          <w:rFonts w:ascii="Arial Narrow" w:hAnsi="Arial Narrow"/>
          <w:sz w:val="18"/>
          <w:szCs w:val="18"/>
        </w:rPr>
        <w:t xml:space="preserve"> LUM/IVA</w:t>
      </w:r>
      <w:r w:rsidRPr="005728DD">
        <w:rPr>
          <w:rFonts w:ascii="Arial Narrow" w:hAnsi="Arial Narrow"/>
          <w:sz w:val="18"/>
          <w:szCs w:val="18"/>
        </w:rPr>
        <w:t xml:space="preserve"> </w:t>
      </w:r>
      <w:r w:rsidR="00900E4C">
        <w:rPr>
          <w:rFonts w:ascii="Arial Narrow" w:hAnsi="Arial Narrow"/>
          <w:sz w:val="18"/>
          <w:szCs w:val="18"/>
        </w:rPr>
        <w:t>PSD</w:t>
      </w:r>
      <w:r w:rsidRPr="005728DD">
        <w:rPr>
          <w:rFonts w:ascii="Arial Narrow" w:hAnsi="Arial Narrow"/>
          <w:sz w:val="18"/>
          <w:szCs w:val="18"/>
        </w:rPr>
        <w:t>, July 2019 PBAC meeting.</w:t>
      </w:r>
    </w:p>
    <w:p w:rsidR="00AB43F8" w:rsidRDefault="00AB43F8" w:rsidP="00AB43F8">
      <w:pPr>
        <w:rPr>
          <w:rFonts w:ascii="Arial Narrow" w:hAnsi="Arial Narrow"/>
          <w:sz w:val="18"/>
          <w:szCs w:val="18"/>
        </w:rPr>
      </w:pPr>
      <w:r w:rsidRPr="005728DD">
        <w:rPr>
          <w:rFonts w:ascii="Arial Narrow" w:hAnsi="Arial Narrow"/>
          <w:sz w:val="18"/>
          <w:szCs w:val="18"/>
        </w:rPr>
        <w:t xml:space="preserve">Abbreviations: BSC = best supportive care; CF = cystic fibrosis; CFTR = Cystic fibrosis transmembrane conductance regulator; CUA = cost-utility analysis; ELX/TEZ/IVA = elexacaftor/tezacaftor/ivacaftor; F/any = CF patient who have at least one F508del mutation in the CFTR gene;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F/U = patients with not yet characterised mutation function; ICER = incremental cost effectiveness ratio; ITC = indirect comparison; IVA = ivacaftor; </w:t>
      </w:r>
      <w:r w:rsidR="00232AD0" w:rsidRPr="005728DD">
        <w:rPr>
          <w:rFonts w:ascii="Arial Narrow" w:hAnsi="Arial Narrow"/>
          <w:sz w:val="18"/>
          <w:szCs w:val="18"/>
        </w:rPr>
        <w:t xml:space="preserve">LUM/IVA = lumacaftor and ivacaftor; </w:t>
      </w:r>
      <w:r w:rsidRPr="005728DD">
        <w:rPr>
          <w:rFonts w:ascii="Arial Narrow" w:hAnsi="Arial Narrow"/>
          <w:sz w:val="18"/>
          <w:szCs w:val="18"/>
        </w:rPr>
        <w:t xml:space="preserve">QALY = quality-adjusted life year; RSA = risk sharing agreement; TEZ/IVA = tezacaftor and ivacaftor; TGA = Therapeutic Goods Administration; </w:t>
      </w:r>
    </w:p>
    <w:p w:rsidR="008F40AA" w:rsidRPr="009868C4" w:rsidRDefault="008F40AA" w:rsidP="008F40AA">
      <w:pPr>
        <w:pStyle w:val="TableFigureFooter"/>
        <w:spacing w:after="0"/>
        <w:contextualSpacing w:val="0"/>
      </w:pPr>
      <w:r w:rsidRPr="009868C4">
        <w:rPr>
          <w:i/>
        </w:rPr>
        <w:t>The redacted values correspond to the following ranges</w:t>
      </w:r>
      <w:r>
        <w:rPr>
          <w:i/>
        </w:rPr>
        <w:t xml:space="preserve">: </w:t>
      </w:r>
    </w:p>
    <w:p w:rsidR="008F40AA" w:rsidRDefault="008F40AA" w:rsidP="00AB43F8">
      <w:pPr>
        <w:rPr>
          <w:rFonts w:ascii="Arial Narrow" w:hAnsi="Arial Narrow"/>
          <w:i/>
          <w:sz w:val="18"/>
          <w:szCs w:val="18"/>
        </w:rPr>
      </w:pPr>
      <w:r>
        <w:rPr>
          <w:rFonts w:ascii="Arial Narrow" w:hAnsi="Arial Narrow"/>
          <w:i/>
          <w:sz w:val="18"/>
          <w:szCs w:val="18"/>
          <w:vertAlign w:val="superscript"/>
        </w:rPr>
        <w:t xml:space="preserve">1 </w:t>
      </w:r>
      <w:r w:rsidRPr="008F40AA">
        <w:rPr>
          <w:rFonts w:ascii="Arial Narrow" w:hAnsi="Arial Narrow"/>
          <w:i/>
          <w:sz w:val="18"/>
          <w:szCs w:val="18"/>
        </w:rPr>
        <w:t>$135,000 to &lt; $155,000</w:t>
      </w:r>
    </w:p>
    <w:p w:rsidR="008F40AA" w:rsidRPr="008F40AA" w:rsidRDefault="008F40AA" w:rsidP="00AB43F8">
      <w:pPr>
        <w:rPr>
          <w:rFonts w:ascii="Arial Narrow" w:hAnsi="Arial Narrow"/>
          <w:i/>
          <w:sz w:val="18"/>
          <w:szCs w:val="18"/>
        </w:rPr>
      </w:pPr>
      <w:r>
        <w:rPr>
          <w:rFonts w:ascii="Arial Narrow" w:hAnsi="Arial Narrow"/>
          <w:i/>
          <w:sz w:val="18"/>
          <w:szCs w:val="18"/>
          <w:vertAlign w:val="superscript"/>
        </w:rPr>
        <w:t xml:space="preserve">2 </w:t>
      </w:r>
      <w:r w:rsidRPr="008F40AA">
        <w:rPr>
          <w:rFonts w:ascii="Arial Narrow" w:hAnsi="Arial Narrow"/>
          <w:i/>
          <w:sz w:val="18"/>
          <w:szCs w:val="18"/>
        </w:rPr>
        <w:t>$155,000 to &lt; $255,000</w:t>
      </w:r>
    </w:p>
    <w:p w:rsidR="001F49A3" w:rsidRPr="005728DD" w:rsidRDefault="001F49A3" w:rsidP="001F49A3">
      <w:pPr>
        <w:pStyle w:val="2-SectionHeading"/>
      </w:pPr>
      <w:bookmarkStart w:id="8" w:name="_Toc62035725"/>
      <w:r w:rsidRPr="005728DD">
        <w:t>Requested listing</w:t>
      </w:r>
      <w:bookmarkEnd w:id="8"/>
    </w:p>
    <w:p w:rsidR="00924969" w:rsidRPr="005728DD" w:rsidRDefault="00161AC4" w:rsidP="00161AC4">
      <w:pPr>
        <w:pStyle w:val="3-BodyText"/>
        <w:rPr>
          <w:rFonts w:cs="Calibri"/>
          <w:bCs/>
        </w:rPr>
      </w:pPr>
      <w:r w:rsidRPr="005728DD">
        <w:rPr>
          <w:rFonts w:cs="Calibri"/>
          <w:bCs/>
        </w:rPr>
        <w:t>Suggestions and additions proposed by the Secretariat are added in italics and suggested deletions are crossed out with strikethrough.</w:t>
      </w:r>
    </w:p>
    <w:tbl>
      <w:tblPr>
        <w:tblW w:w="9044" w:type="dxa"/>
        <w:tblBorders>
          <w:top w:val="single" w:sz="4" w:space="0" w:color="auto"/>
          <w:bottom w:val="single" w:sz="4" w:space="0" w:color="auto"/>
          <w:insideH w:val="single" w:sz="4" w:space="0" w:color="auto"/>
        </w:tblBorders>
        <w:tblLook w:val="04A0" w:firstRow="1" w:lastRow="0" w:firstColumn="1" w:lastColumn="0" w:noHBand="0" w:noVBand="1"/>
        <w:tblCaption w:val="Section 100 (Highly Specialised Drugs Program) "/>
      </w:tblPr>
      <w:tblGrid>
        <w:gridCol w:w="2809"/>
        <w:gridCol w:w="1586"/>
        <w:gridCol w:w="932"/>
        <w:gridCol w:w="1638"/>
        <w:gridCol w:w="2079"/>
      </w:tblGrid>
      <w:tr w:rsidR="001F49A3" w:rsidRPr="005728DD" w:rsidTr="00CC382F">
        <w:trPr>
          <w:trHeight w:val="747"/>
        </w:trPr>
        <w:tc>
          <w:tcPr>
            <w:tcW w:w="0" w:type="auto"/>
            <w:tcBorders>
              <w:bottom w:val="single" w:sz="4" w:space="0" w:color="auto"/>
            </w:tcBorders>
          </w:tcPr>
          <w:p w:rsidR="001F49A3" w:rsidRPr="005728DD" w:rsidRDefault="001F49A3" w:rsidP="007846A7">
            <w:pPr>
              <w:pStyle w:val="Tabletext"/>
              <w:keepNext/>
              <w:keepLines/>
              <w:widowControl w:val="0"/>
              <w:rPr>
                <w:b/>
                <w:bCs/>
              </w:rPr>
            </w:pPr>
            <w:r w:rsidRPr="005728DD">
              <w:rPr>
                <w:b/>
              </w:rPr>
              <w:t>Name, restriction, manner of administration, form</w:t>
            </w:r>
          </w:p>
        </w:tc>
        <w:tc>
          <w:tcPr>
            <w:tcW w:w="0" w:type="auto"/>
            <w:tcBorders>
              <w:bottom w:val="single" w:sz="4" w:space="0" w:color="auto"/>
            </w:tcBorders>
          </w:tcPr>
          <w:p w:rsidR="001F49A3" w:rsidRPr="005728DD" w:rsidRDefault="001F49A3" w:rsidP="007846A7">
            <w:pPr>
              <w:pStyle w:val="Tabletext"/>
              <w:keepNext/>
              <w:keepLines/>
              <w:widowControl w:val="0"/>
              <w:jc w:val="center"/>
              <w:rPr>
                <w:b/>
                <w:bCs/>
              </w:rPr>
            </w:pPr>
            <w:r w:rsidRPr="005728DD">
              <w:rPr>
                <w:b/>
              </w:rPr>
              <w:t>Maximum quantity (units)</w:t>
            </w:r>
          </w:p>
        </w:tc>
        <w:tc>
          <w:tcPr>
            <w:tcW w:w="0" w:type="auto"/>
            <w:tcBorders>
              <w:bottom w:val="single" w:sz="4" w:space="0" w:color="auto"/>
            </w:tcBorders>
          </w:tcPr>
          <w:p w:rsidR="001F49A3" w:rsidRPr="005728DD" w:rsidRDefault="001F49A3" w:rsidP="007846A7">
            <w:pPr>
              <w:pStyle w:val="Tabletext"/>
              <w:keepNext/>
              <w:keepLines/>
              <w:widowControl w:val="0"/>
              <w:rPr>
                <w:b/>
                <w:bCs/>
              </w:rPr>
            </w:pPr>
            <w:r w:rsidRPr="005728DD">
              <w:rPr>
                <w:b/>
              </w:rPr>
              <w:t>No. of repeats</w:t>
            </w:r>
          </w:p>
        </w:tc>
        <w:tc>
          <w:tcPr>
            <w:tcW w:w="0" w:type="auto"/>
            <w:tcBorders>
              <w:bottom w:val="single" w:sz="4" w:space="0" w:color="auto"/>
            </w:tcBorders>
          </w:tcPr>
          <w:p w:rsidR="001F49A3" w:rsidRPr="005728DD" w:rsidRDefault="001F49A3" w:rsidP="007846A7">
            <w:pPr>
              <w:pStyle w:val="Tabletext"/>
              <w:keepNext/>
              <w:keepLines/>
              <w:widowControl w:val="0"/>
              <w:rPr>
                <w:b/>
                <w:bCs/>
              </w:rPr>
            </w:pPr>
            <w:r w:rsidRPr="005728DD">
              <w:rPr>
                <w:b/>
              </w:rPr>
              <w:t>Dispensed price for maximum quantity</w:t>
            </w:r>
          </w:p>
        </w:tc>
        <w:tc>
          <w:tcPr>
            <w:tcW w:w="0" w:type="auto"/>
            <w:tcBorders>
              <w:bottom w:val="single" w:sz="4" w:space="0" w:color="auto"/>
            </w:tcBorders>
          </w:tcPr>
          <w:p w:rsidR="001F49A3" w:rsidRPr="005728DD" w:rsidRDefault="001F49A3" w:rsidP="007846A7">
            <w:pPr>
              <w:pStyle w:val="Tabletext"/>
              <w:keepNext/>
              <w:keepLines/>
              <w:widowControl w:val="0"/>
              <w:rPr>
                <w:b/>
                <w:bCs/>
              </w:rPr>
            </w:pPr>
            <w:r w:rsidRPr="005728DD">
              <w:rPr>
                <w:b/>
              </w:rPr>
              <w:t>Proprietary name and manufacturer</w:t>
            </w:r>
          </w:p>
        </w:tc>
      </w:tr>
      <w:tr w:rsidR="001F49A3" w:rsidRPr="005728DD" w:rsidTr="00CC382F">
        <w:trPr>
          <w:trHeight w:val="991"/>
        </w:trPr>
        <w:tc>
          <w:tcPr>
            <w:tcW w:w="0" w:type="auto"/>
            <w:tcBorders>
              <w:bottom w:val="nil"/>
            </w:tcBorders>
            <w:vAlign w:val="center"/>
          </w:tcPr>
          <w:p w:rsidR="001F49A3" w:rsidRPr="005728DD" w:rsidRDefault="001F49A3" w:rsidP="007846A7">
            <w:pPr>
              <w:pStyle w:val="Tabletext"/>
            </w:pPr>
            <w:r w:rsidRPr="005728DD">
              <w:t>Elexacaftor 100 mg/ tezacaftor 50 mg/ ivacaftor 75 mg film-coated tablets</w:t>
            </w:r>
            <w:r w:rsidR="00736B0F" w:rsidRPr="005728DD">
              <w:t xml:space="preserve"> </w:t>
            </w:r>
            <w:r w:rsidRPr="005728DD">
              <w:t>co-packaged with</w:t>
            </w:r>
          </w:p>
          <w:p w:rsidR="001F49A3" w:rsidRPr="005728DD" w:rsidRDefault="001F49A3" w:rsidP="007846A7">
            <w:pPr>
              <w:pStyle w:val="Tabletext"/>
              <w:rPr>
                <w:b/>
                <w:bCs/>
              </w:rPr>
            </w:pPr>
            <w:r w:rsidRPr="005728DD">
              <w:t>ivacaftor 150 mg film-coated tablets</w:t>
            </w:r>
            <w:r w:rsidR="00736B0F" w:rsidRPr="005728DD">
              <w:t xml:space="preserve"> </w:t>
            </w:r>
          </w:p>
        </w:tc>
        <w:tc>
          <w:tcPr>
            <w:tcW w:w="0" w:type="auto"/>
            <w:tcBorders>
              <w:bottom w:val="nil"/>
            </w:tcBorders>
            <w:vAlign w:val="center"/>
          </w:tcPr>
          <w:p w:rsidR="001F49A3" w:rsidRPr="005728DD" w:rsidRDefault="001F49A3" w:rsidP="007846A7">
            <w:pPr>
              <w:pStyle w:val="Tabletext"/>
              <w:jc w:val="center"/>
              <w:rPr>
                <w:rFonts w:ascii="Times" w:hAnsi="Times"/>
              </w:rPr>
            </w:pPr>
            <w:r w:rsidRPr="005728DD">
              <w:t>Pack containing 84 tablets (4-week supply)</w:t>
            </w:r>
          </w:p>
        </w:tc>
        <w:tc>
          <w:tcPr>
            <w:tcW w:w="0" w:type="auto"/>
            <w:tcBorders>
              <w:bottom w:val="nil"/>
            </w:tcBorders>
            <w:vAlign w:val="center"/>
          </w:tcPr>
          <w:p w:rsidR="001F49A3" w:rsidRPr="005728DD" w:rsidRDefault="001F49A3" w:rsidP="007846A7">
            <w:pPr>
              <w:pStyle w:val="Tabletext"/>
              <w:jc w:val="center"/>
              <w:rPr>
                <w:rFonts w:ascii="Times" w:hAnsi="Times"/>
              </w:rPr>
            </w:pPr>
            <w:r w:rsidRPr="005728DD">
              <w:t>-</w:t>
            </w:r>
          </w:p>
        </w:tc>
        <w:tc>
          <w:tcPr>
            <w:tcW w:w="0" w:type="auto"/>
            <w:tcBorders>
              <w:bottom w:val="nil"/>
            </w:tcBorders>
            <w:vAlign w:val="center"/>
          </w:tcPr>
          <w:p w:rsidR="001F49A3" w:rsidRPr="005728DD" w:rsidRDefault="001F49A3" w:rsidP="007846A7">
            <w:pPr>
              <w:pStyle w:val="Tabletext"/>
              <w:jc w:val="center"/>
            </w:pPr>
            <w:r w:rsidRPr="005728DD">
              <w:t>$21,375 published price</w:t>
            </w:r>
            <w:r w:rsidR="00CC2F45" w:rsidRPr="005728DD">
              <w:rPr>
                <w:vertAlign w:val="superscript"/>
              </w:rPr>
              <w:t>a</w:t>
            </w:r>
          </w:p>
          <w:p w:rsidR="001F49A3" w:rsidRPr="005728DD" w:rsidRDefault="001F49A3" w:rsidP="00FE5A51">
            <w:pPr>
              <w:pStyle w:val="Tabletext"/>
              <w:jc w:val="center"/>
            </w:pPr>
            <w:r w:rsidRPr="005728DD">
              <w:t>$</w:t>
            </w:r>
            <w:r w:rsidR="00967E09">
              <w:rPr>
                <w:noProof/>
                <w:color w:val="000000"/>
                <w:highlight w:val="black"/>
              </w:rPr>
              <w:t>'''''''''''''''''''''''</w:t>
            </w:r>
            <w:r w:rsidR="00FE5A51" w:rsidRPr="005728DD">
              <w:t>,</w:t>
            </w:r>
            <w:r w:rsidRPr="005728DD">
              <w:t xml:space="preserve"> effective price</w:t>
            </w:r>
          </w:p>
        </w:tc>
        <w:tc>
          <w:tcPr>
            <w:tcW w:w="0" w:type="auto"/>
            <w:tcBorders>
              <w:bottom w:val="nil"/>
            </w:tcBorders>
            <w:vAlign w:val="center"/>
          </w:tcPr>
          <w:p w:rsidR="001F49A3" w:rsidRPr="005728DD" w:rsidRDefault="001F49A3" w:rsidP="007846A7">
            <w:pPr>
              <w:pStyle w:val="Tabletext"/>
              <w:jc w:val="center"/>
              <w:rPr>
                <w:rFonts w:ascii="Times" w:hAnsi="Times"/>
              </w:rPr>
            </w:pPr>
            <w:r w:rsidRPr="005728DD">
              <w:t>Trikafta, Vertex Pharmaceuticals (Australia) Pty Ltd</w:t>
            </w:r>
          </w:p>
        </w:tc>
      </w:tr>
    </w:tbl>
    <w:tbl>
      <w:tblPr>
        <w:tblStyle w:val="HTATableshaded1"/>
        <w:tblW w:w="9026" w:type="dxa"/>
        <w:tblLook w:val="04A0" w:firstRow="1" w:lastRow="0" w:firstColumn="1" w:lastColumn="0" w:noHBand="0" w:noVBand="1"/>
        <w:tblCaption w:val="Section 100 (Highly Specialised Drugs Program) "/>
      </w:tblPr>
      <w:tblGrid>
        <w:gridCol w:w="2127"/>
        <w:gridCol w:w="6899"/>
      </w:tblGrid>
      <w:tr w:rsidR="001F49A3" w:rsidRPr="005728DD" w:rsidTr="005C66A3">
        <w:trPr>
          <w:cnfStyle w:val="100000000000" w:firstRow="1" w:lastRow="0" w:firstColumn="0" w:lastColumn="0" w:oddVBand="0" w:evenVBand="0" w:oddHBand="0" w:evenHBand="0" w:firstRowFirstColumn="0" w:firstRowLastColumn="0" w:lastRowFirstColumn="0" w:lastRowLastColumn="0"/>
          <w:tblHeader/>
        </w:trPr>
        <w:tc>
          <w:tcPr>
            <w:tcW w:w="9026" w:type="dxa"/>
            <w:gridSpan w:val="2"/>
            <w:shd w:val="clear" w:color="auto" w:fill="auto"/>
          </w:tcPr>
          <w:p w:rsidR="001F49A3" w:rsidRPr="005728DD" w:rsidRDefault="001F49A3" w:rsidP="007846A7">
            <w:pPr>
              <w:spacing w:after="40"/>
              <w:jc w:val="left"/>
              <w:rPr>
                <w:rFonts w:ascii="Arial Narrow" w:hAnsi="Arial Narrow" w:cs="Tahoma"/>
                <w:b/>
                <w:sz w:val="20"/>
                <w:szCs w:val="20"/>
              </w:rPr>
            </w:pPr>
            <w:r w:rsidRPr="005728DD">
              <w:rPr>
                <w:rFonts w:ascii="Arial Narrow" w:hAnsi="Arial Narrow" w:cs="Tahoma"/>
                <w:b/>
                <w:sz w:val="20"/>
                <w:szCs w:val="20"/>
              </w:rPr>
              <w:t xml:space="preserve">Section 100 (Highly Specialised Drugs Program) </w:t>
            </w:r>
          </w:p>
          <w:p w:rsidR="001F49A3" w:rsidRPr="005728DD" w:rsidRDefault="001F49A3" w:rsidP="007846A7">
            <w:pPr>
              <w:spacing w:after="40"/>
              <w:jc w:val="left"/>
              <w:rPr>
                <w:rFonts w:ascii="Arial Narrow" w:hAnsi="Arial Narrow" w:cs="Tahoma"/>
                <w:b/>
                <w:sz w:val="20"/>
                <w:szCs w:val="20"/>
              </w:rPr>
            </w:pPr>
            <w:r w:rsidRPr="005728DD">
              <w:rPr>
                <w:rFonts w:ascii="Arial Narrow" w:hAnsi="Arial Narrow" w:cs="Tahoma"/>
                <w:b/>
                <w:sz w:val="20"/>
                <w:szCs w:val="20"/>
              </w:rPr>
              <w:t>Authority required</w:t>
            </w:r>
          </w:p>
        </w:tc>
      </w:tr>
      <w:tr w:rsidR="000D5690" w:rsidRPr="005728DD" w:rsidTr="005C66A3">
        <w:tc>
          <w:tcPr>
            <w:tcW w:w="2127" w:type="dxa"/>
            <w:shd w:val="clear" w:color="auto" w:fill="auto"/>
          </w:tcPr>
          <w:p w:rsidR="000D5690" w:rsidRPr="005728DD" w:rsidRDefault="000D5690" w:rsidP="007846A7">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rsidR="000D5690" w:rsidRPr="005728DD" w:rsidRDefault="000D5690" w:rsidP="007846A7">
            <w:pPr>
              <w:spacing w:before="20"/>
              <w:jc w:val="left"/>
              <w:rPr>
                <w:rFonts w:ascii="Arial Narrow" w:hAnsi="Arial Narrow"/>
                <w:i/>
                <w:sz w:val="20"/>
                <w:szCs w:val="20"/>
              </w:rPr>
            </w:pPr>
            <w:r w:rsidRPr="005728DD">
              <w:rPr>
                <w:rFonts w:ascii="Arial Narrow" w:hAnsi="Arial Narrow"/>
                <w:i/>
                <w:sz w:val="20"/>
                <w:szCs w:val="20"/>
              </w:rPr>
              <w:t>Initial treatment</w:t>
            </w:r>
          </w:p>
        </w:tc>
      </w:tr>
      <w:tr w:rsidR="001F49A3" w:rsidRPr="005728DD" w:rsidTr="005C66A3">
        <w:tc>
          <w:tcPr>
            <w:tcW w:w="2127"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Treatment criteria:</w:t>
            </w:r>
          </w:p>
        </w:tc>
        <w:tc>
          <w:tcPr>
            <w:tcW w:w="6899"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Must be treated by a specialist respiratory physician with expertise in cystic fibrosis, OR</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Must be treated in consultation with a specialist respiratory physician with expertise in cystic fibrosis if attendance is not possible due to geographic isolation.</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AND</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Must be treated in a centre with expertise in cystic fibrosis, OR</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Must be treated in consultation with a centre with expertise in cystic fibrosis if attendance is not possible due to geographic isolation.</w:t>
            </w:r>
          </w:p>
        </w:tc>
      </w:tr>
      <w:tr w:rsidR="001F49A3" w:rsidRPr="005728DD" w:rsidTr="005C66A3">
        <w:tc>
          <w:tcPr>
            <w:tcW w:w="2127"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Clinical criteria:</w:t>
            </w:r>
          </w:p>
        </w:tc>
        <w:tc>
          <w:tcPr>
            <w:tcW w:w="6899" w:type="dxa"/>
            <w:shd w:val="clear" w:color="auto" w:fill="auto"/>
          </w:tcPr>
          <w:p w:rsidR="001F49A3" w:rsidRPr="005728DD" w:rsidRDefault="001F49A3" w:rsidP="007846A7">
            <w:pPr>
              <w:spacing w:before="20"/>
              <w:jc w:val="left"/>
              <w:rPr>
                <w:rFonts w:ascii="Arial Narrow" w:hAnsi="Arial Narrow"/>
                <w:strike/>
                <w:sz w:val="20"/>
                <w:szCs w:val="20"/>
              </w:rPr>
            </w:pPr>
            <w:r w:rsidRPr="005728DD">
              <w:rPr>
                <w:rFonts w:ascii="Arial Narrow" w:hAnsi="Arial Narrow"/>
                <w:strike/>
                <w:sz w:val="20"/>
                <w:szCs w:val="20"/>
              </w:rPr>
              <w:t>Patient must have been diagnosed with cystic fibrosis</w:t>
            </w:r>
          </w:p>
          <w:p w:rsidR="001F49A3" w:rsidRPr="005728DD" w:rsidRDefault="001F49A3" w:rsidP="007846A7">
            <w:pPr>
              <w:spacing w:before="20"/>
              <w:jc w:val="left"/>
              <w:rPr>
                <w:rFonts w:ascii="Arial Narrow" w:hAnsi="Arial Narrow"/>
                <w:strike/>
                <w:sz w:val="20"/>
                <w:szCs w:val="20"/>
              </w:rPr>
            </w:pPr>
            <w:r w:rsidRPr="005728DD">
              <w:rPr>
                <w:rFonts w:ascii="Arial Narrow" w:hAnsi="Arial Narrow"/>
                <w:strike/>
                <w:sz w:val="20"/>
                <w:szCs w:val="20"/>
              </w:rPr>
              <w:t>AND</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 xml:space="preserve">Patient must have at least one F508del mutation </w:t>
            </w:r>
            <w:r w:rsidR="00622450" w:rsidRPr="005728DD">
              <w:rPr>
                <w:rFonts w:ascii="Arial Narrow" w:hAnsi="Arial Narrow"/>
                <w:i/>
                <w:sz w:val="20"/>
              </w:rPr>
              <w:t>in the cystic fibrosis transmembrane conductance regulator (</w:t>
            </w:r>
            <w:r w:rsidR="00622450" w:rsidRPr="005728DD">
              <w:rPr>
                <w:rFonts w:ascii="Arial Narrow" w:hAnsi="Arial Narrow"/>
                <w:i/>
                <w:iCs/>
                <w:sz w:val="20"/>
              </w:rPr>
              <w:t>CFTR)</w:t>
            </w:r>
            <w:r w:rsidR="00622450" w:rsidRPr="005728DD">
              <w:rPr>
                <w:rFonts w:ascii="Arial Narrow" w:hAnsi="Arial Narrow"/>
                <w:sz w:val="20"/>
              </w:rPr>
              <w:t xml:space="preserve"> gene </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lastRenderedPageBreak/>
              <w:t>AND</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 xml:space="preserve">The treatment must be </w:t>
            </w:r>
            <w:r w:rsidR="00622450" w:rsidRPr="005728DD">
              <w:rPr>
                <w:rFonts w:ascii="Arial Narrow" w:hAnsi="Arial Narrow"/>
                <w:i/>
                <w:sz w:val="20"/>
                <w:szCs w:val="20"/>
              </w:rPr>
              <w:t>the</w:t>
            </w:r>
            <w:r w:rsidR="00622450" w:rsidRPr="005728DD">
              <w:rPr>
                <w:rFonts w:ascii="Arial Narrow" w:hAnsi="Arial Narrow"/>
                <w:sz w:val="20"/>
                <w:szCs w:val="20"/>
              </w:rPr>
              <w:t xml:space="preserve"> </w:t>
            </w:r>
            <w:r w:rsidRPr="005728DD">
              <w:rPr>
                <w:rFonts w:ascii="Arial Narrow" w:hAnsi="Arial Narrow"/>
                <w:strike/>
                <w:sz w:val="20"/>
                <w:szCs w:val="20"/>
              </w:rPr>
              <w:t>a</w:t>
            </w:r>
            <w:r w:rsidRPr="005728DD">
              <w:rPr>
                <w:rFonts w:ascii="Arial Narrow" w:hAnsi="Arial Narrow"/>
                <w:sz w:val="20"/>
                <w:szCs w:val="20"/>
              </w:rPr>
              <w:t xml:space="preserve"> sole PBS-subsidised </w:t>
            </w:r>
            <w:r w:rsidR="00622450" w:rsidRPr="005728DD">
              <w:rPr>
                <w:rFonts w:ascii="Arial Narrow" w:hAnsi="Arial Narrow"/>
                <w:i/>
                <w:sz w:val="20"/>
                <w:szCs w:val="20"/>
              </w:rPr>
              <w:t>cystic fibrosis transmembrane conductance regulator (</w:t>
            </w:r>
            <w:r w:rsidR="005728DD" w:rsidRPr="005728DD">
              <w:rPr>
                <w:rFonts w:ascii="Arial Narrow" w:hAnsi="Arial Narrow"/>
                <w:i/>
                <w:sz w:val="20"/>
                <w:szCs w:val="20"/>
              </w:rPr>
              <w:t>CFTR</w:t>
            </w:r>
            <w:r w:rsidR="00622450" w:rsidRPr="005728DD">
              <w:rPr>
                <w:rFonts w:ascii="Arial Narrow" w:hAnsi="Arial Narrow"/>
                <w:i/>
                <w:sz w:val="20"/>
                <w:szCs w:val="20"/>
              </w:rPr>
              <w:t xml:space="preserve">) modulator therapy </w:t>
            </w:r>
            <w:r w:rsidRPr="005728DD">
              <w:rPr>
                <w:rFonts w:ascii="Arial Narrow" w:hAnsi="Arial Narrow"/>
                <w:strike/>
                <w:sz w:val="20"/>
                <w:szCs w:val="20"/>
              </w:rPr>
              <w:t>disease-modifying therapy</w:t>
            </w:r>
            <w:r w:rsidRPr="005728DD">
              <w:rPr>
                <w:rFonts w:ascii="Arial Narrow" w:hAnsi="Arial Narrow"/>
                <w:sz w:val="20"/>
                <w:szCs w:val="20"/>
              </w:rPr>
              <w:t xml:space="preserve"> for this condition,</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AND</w:t>
            </w: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The treatment must be given concomitantly with standard therapy for this condition.</w:t>
            </w:r>
          </w:p>
          <w:p w:rsidR="00622450" w:rsidRPr="005728DD" w:rsidRDefault="00622450" w:rsidP="007846A7">
            <w:pPr>
              <w:spacing w:before="20"/>
              <w:jc w:val="left"/>
              <w:rPr>
                <w:rFonts w:ascii="Arial Narrow" w:hAnsi="Arial Narrow"/>
                <w:sz w:val="20"/>
                <w:szCs w:val="20"/>
              </w:rPr>
            </w:pPr>
            <w:r w:rsidRPr="005728DD">
              <w:rPr>
                <w:rFonts w:ascii="Arial Narrow" w:hAnsi="Arial Narrow"/>
                <w:sz w:val="20"/>
                <w:szCs w:val="20"/>
              </w:rPr>
              <w:t>AND</w:t>
            </w:r>
          </w:p>
          <w:p w:rsidR="00622450" w:rsidRPr="005728DD" w:rsidRDefault="00622450" w:rsidP="007846A7">
            <w:pPr>
              <w:spacing w:before="20"/>
              <w:jc w:val="left"/>
              <w:rPr>
                <w:rFonts w:ascii="Arial Narrow" w:hAnsi="Arial Narrow"/>
                <w:sz w:val="20"/>
                <w:szCs w:val="20"/>
              </w:rPr>
            </w:pPr>
            <w:r w:rsidRPr="005728DD">
              <w:rPr>
                <w:rFonts w:ascii="Arial Narrow" w:hAnsi="Arial Narrow"/>
                <w:i/>
                <w:sz w:val="20"/>
                <w:szCs w:val="20"/>
              </w:rPr>
              <w:t>Patient must have either chronic sinopulmonary disease or gastrointestinal and nutritional abnormalities</w:t>
            </w:r>
          </w:p>
        </w:tc>
      </w:tr>
      <w:tr w:rsidR="001F49A3" w:rsidRPr="005728DD" w:rsidTr="005C66A3">
        <w:tc>
          <w:tcPr>
            <w:tcW w:w="2127"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lastRenderedPageBreak/>
              <w:t>Population criteria:</w:t>
            </w:r>
          </w:p>
        </w:tc>
        <w:tc>
          <w:tcPr>
            <w:tcW w:w="6899"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Patients must be 12 years or older.</w:t>
            </w:r>
          </w:p>
        </w:tc>
      </w:tr>
      <w:tr w:rsidR="001F49A3" w:rsidRPr="005728DD" w:rsidTr="005C66A3">
        <w:tc>
          <w:tcPr>
            <w:tcW w:w="2127"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Prescribing instructions:</w:t>
            </w:r>
          </w:p>
        </w:tc>
        <w:tc>
          <w:tcPr>
            <w:tcW w:w="6899" w:type="dxa"/>
            <w:shd w:val="clear" w:color="auto" w:fill="auto"/>
          </w:tcPr>
          <w:p w:rsidR="001F49A3" w:rsidRPr="005728DD" w:rsidRDefault="001F49A3" w:rsidP="007846A7">
            <w:pPr>
              <w:spacing w:before="20"/>
              <w:jc w:val="left"/>
              <w:rPr>
                <w:rFonts w:ascii="Arial Narrow" w:hAnsi="Arial Narrow"/>
                <w:sz w:val="20"/>
                <w:szCs w:val="20"/>
              </w:rPr>
            </w:pPr>
            <w:r w:rsidRPr="005728DD">
              <w:rPr>
                <w:rFonts w:ascii="Arial Narrow" w:hAnsi="Arial Narrow"/>
                <w:strike/>
                <w:sz w:val="20"/>
                <w:szCs w:val="20"/>
              </w:rPr>
              <w:t>Patients receiving PBS-subsidised treatment with this drug must be</w:t>
            </w:r>
            <w:r w:rsidR="00622450" w:rsidRPr="005728DD">
              <w:rPr>
                <w:rFonts w:ascii="Arial Narrow" w:hAnsi="Arial Narrow"/>
                <w:strike/>
                <w:sz w:val="20"/>
                <w:szCs w:val="20"/>
              </w:rPr>
              <w:t xml:space="preserve"> </w:t>
            </w:r>
            <w:r w:rsidR="00622450" w:rsidRPr="005728DD">
              <w:rPr>
                <w:rFonts w:ascii="Arial Narrow" w:hAnsi="Arial Narrow"/>
                <w:i/>
                <w:sz w:val="20"/>
                <w:szCs w:val="20"/>
              </w:rPr>
              <w:t>The patient must be</w:t>
            </w:r>
            <w:r w:rsidRPr="005728DD">
              <w:rPr>
                <w:rFonts w:ascii="Arial Narrow" w:hAnsi="Arial Narrow"/>
                <w:sz w:val="22"/>
                <w:szCs w:val="20"/>
              </w:rPr>
              <w:t xml:space="preserve"> </w:t>
            </w:r>
            <w:r w:rsidRPr="005728DD">
              <w:rPr>
                <w:rFonts w:ascii="Arial Narrow" w:hAnsi="Arial Narrow"/>
                <w:sz w:val="20"/>
                <w:szCs w:val="20"/>
              </w:rPr>
              <w:t>registered in the Australian Cystic Fibrosis Database Registry.</w:t>
            </w:r>
          </w:p>
          <w:p w:rsidR="00622450" w:rsidRPr="005728DD" w:rsidRDefault="00622450" w:rsidP="007846A7">
            <w:pPr>
              <w:spacing w:before="20"/>
              <w:jc w:val="left"/>
              <w:rPr>
                <w:rFonts w:ascii="Arial Narrow" w:hAnsi="Arial Narrow"/>
                <w:sz w:val="20"/>
                <w:szCs w:val="20"/>
              </w:rPr>
            </w:pP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Treatment must not be given to a patient who has an acute upper or lower respiratory infection, pulmonary exacerbation, or changes in therapy (including antibiotics) for pulmonary disease in the last 4 weeks prior to commencing this drug.</w:t>
            </w:r>
          </w:p>
          <w:p w:rsidR="00622450" w:rsidRPr="005728DD" w:rsidRDefault="00622450" w:rsidP="007846A7">
            <w:pPr>
              <w:spacing w:before="20"/>
              <w:jc w:val="left"/>
              <w:rPr>
                <w:rFonts w:ascii="Arial Narrow" w:hAnsi="Arial Narrow"/>
                <w:sz w:val="20"/>
                <w:szCs w:val="20"/>
              </w:rPr>
            </w:pPr>
          </w:p>
          <w:p w:rsidR="00622450" w:rsidRPr="005728DD" w:rsidRDefault="00622450" w:rsidP="00622450">
            <w:pPr>
              <w:keepNext/>
              <w:spacing w:after="0"/>
              <w:rPr>
                <w:rFonts w:ascii="Arial Narrow" w:hAnsi="Arial Narrow"/>
                <w:i/>
                <w:color w:val="222222"/>
                <w:sz w:val="20"/>
                <w:szCs w:val="20"/>
                <w:shd w:val="clear" w:color="auto" w:fill="EEEEEE"/>
              </w:rPr>
            </w:pPr>
            <w:r w:rsidRPr="005728DD">
              <w:rPr>
                <w:rFonts w:ascii="Arial Narrow" w:hAnsi="Arial Narrow"/>
                <w:i/>
                <w:sz w:val="20"/>
              </w:rPr>
              <w:t xml:space="preserve">For the purposes of this restriction, PBS subsidised 'CFTR modulator' means ivacaftor, lumacaftor/ivacaftor, tezacaftor/ivacaftor and elexacaftor/ </w:t>
            </w:r>
            <w:r w:rsidR="005728DD" w:rsidRPr="005728DD">
              <w:rPr>
                <w:rFonts w:ascii="Arial Narrow" w:hAnsi="Arial Narrow"/>
                <w:i/>
                <w:sz w:val="20"/>
              </w:rPr>
              <w:t>tezacaftor</w:t>
            </w:r>
            <w:r w:rsidRPr="005728DD">
              <w:rPr>
                <w:rFonts w:ascii="Arial Narrow" w:hAnsi="Arial Narrow"/>
                <w:i/>
                <w:sz w:val="20"/>
              </w:rPr>
              <w:t>/ ivacaftor</w:t>
            </w:r>
            <w:r w:rsidRPr="005728DD">
              <w:rPr>
                <w:rFonts w:ascii="Arial Narrow" w:hAnsi="Arial Narrow"/>
                <w:i/>
                <w:color w:val="222222"/>
                <w:sz w:val="20"/>
                <w:szCs w:val="20"/>
                <w:shd w:val="clear" w:color="auto" w:fill="EEEEEE"/>
              </w:rPr>
              <w:t>.</w:t>
            </w:r>
          </w:p>
          <w:p w:rsidR="001F49A3" w:rsidRPr="005728DD" w:rsidRDefault="001F49A3" w:rsidP="007846A7">
            <w:pPr>
              <w:spacing w:before="20"/>
              <w:jc w:val="left"/>
              <w:rPr>
                <w:rFonts w:ascii="Arial Narrow" w:hAnsi="Arial Narrow"/>
                <w:sz w:val="20"/>
                <w:szCs w:val="20"/>
              </w:rPr>
            </w:pPr>
          </w:p>
          <w:p w:rsidR="001F49A3" w:rsidRPr="005728DD" w:rsidRDefault="001F49A3" w:rsidP="007846A7">
            <w:pPr>
              <w:spacing w:before="20"/>
              <w:jc w:val="left"/>
              <w:rPr>
                <w:rFonts w:ascii="Arial Narrow" w:hAnsi="Arial Narrow"/>
                <w:sz w:val="20"/>
                <w:szCs w:val="20"/>
              </w:rPr>
            </w:pPr>
            <w:r w:rsidRPr="005728DD">
              <w:rPr>
                <w:rFonts w:ascii="Arial Narrow" w:hAnsi="Arial Narrow"/>
                <w:sz w:val="20"/>
                <w:szCs w:val="20"/>
              </w:rPr>
              <w:t>The authority application must be in writing and must include:</w:t>
            </w:r>
          </w:p>
          <w:p w:rsidR="001F49A3" w:rsidRPr="005728DD" w:rsidRDefault="001F49A3" w:rsidP="007846A7">
            <w:pPr>
              <w:spacing w:before="20"/>
              <w:ind w:left="113"/>
              <w:jc w:val="left"/>
              <w:rPr>
                <w:rFonts w:ascii="Arial Narrow" w:hAnsi="Arial Narrow"/>
                <w:sz w:val="20"/>
                <w:szCs w:val="20"/>
              </w:rPr>
            </w:pPr>
            <w:r w:rsidRPr="005728DD">
              <w:rPr>
                <w:rFonts w:ascii="Arial Narrow" w:hAnsi="Arial Narrow"/>
                <w:sz w:val="20"/>
                <w:szCs w:val="20"/>
              </w:rPr>
              <w:t>(1) a completed authority prescription form; and</w:t>
            </w:r>
          </w:p>
          <w:p w:rsidR="001F49A3" w:rsidRPr="005728DD" w:rsidRDefault="001F49A3" w:rsidP="007846A7">
            <w:pPr>
              <w:spacing w:before="20"/>
              <w:ind w:left="113"/>
              <w:jc w:val="left"/>
              <w:rPr>
                <w:rFonts w:ascii="Arial Narrow" w:hAnsi="Arial Narrow"/>
                <w:sz w:val="20"/>
                <w:szCs w:val="20"/>
              </w:rPr>
            </w:pPr>
            <w:r w:rsidRPr="005728DD">
              <w:rPr>
                <w:rFonts w:ascii="Arial Narrow" w:hAnsi="Arial Narrow"/>
                <w:sz w:val="20"/>
                <w:szCs w:val="20"/>
              </w:rPr>
              <w:t>(2) a completed Cystic Fibrosis Elexacaftor, Tezacaftor with Ivacaftor Authority Application Supporting Information Form; and</w:t>
            </w:r>
          </w:p>
          <w:p w:rsidR="001F49A3" w:rsidRPr="005728DD" w:rsidRDefault="001F49A3" w:rsidP="007846A7">
            <w:pPr>
              <w:spacing w:before="20"/>
              <w:ind w:left="113"/>
              <w:jc w:val="left"/>
              <w:rPr>
                <w:rFonts w:ascii="Arial Narrow" w:hAnsi="Arial Narrow"/>
                <w:strike/>
                <w:sz w:val="20"/>
                <w:szCs w:val="20"/>
              </w:rPr>
            </w:pPr>
            <w:r w:rsidRPr="005728DD">
              <w:rPr>
                <w:rFonts w:ascii="Arial Narrow" w:hAnsi="Arial Narrow"/>
                <w:strike/>
                <w:sz w:val="20"/>
                <w:szCs w:val="20"/>
              </w:rPr>
              <w:t>(3) a signed patient acknowledgement; or an acknowledgement signed by a parent or authorised guardian, if applicable; and</w:t>
            </w:r>
          </w:p>
          <w:p w:rsidR="001F49A3" w:rsidRPr="005728DD" w:rsidRDefault="001F49A3" w:rsidP="007846A7">
            <w:pPr>
              <w:spacing w:before="20"/>
              <w:ind w:left="113"/>
              <w:jc w:val="left"/>
              <w:rPr>
                <w:rFonts w:ascii="Arial Narrow" w:hAnsi="Arial Narrow"/>
                <w:sz w:val="20"/>
                <w:szCs w:val="20"/>
              </w:rPr>
            </w:pPr>
            <w:r w:rsidRPr="005728DD">
              <w:rPr>
                <w:rFonts w:ascii="Arial Narrow" w:hAnsi="Arial Narrow"/>
                <w:sz w:val="20"/>
                <w:szCs w:val="20"/>
              </w:rPr>
              <w:t>(</w:t>
            </w:r>
            <w:r w:rsidR="00622450" w:rsidRPr="005728DD">
              <w:rPr>
                <w:rFonts w:ascii="Arial Narrow" w:hAnsi="Arial Narrow"/>
                <w:sz w:val="20"/>
                <w:szCs w:val="20"/>
              </w:rPr>
              <w:t>3</w:t>
            </w:r>
            <w:r w:rsidRPr="005728DD">
              <w:rPr>
                <w:rFonts w:ascii="Arial Narrow" w:hAnsi="Arial Narrow"/>
                <w:sz w:val="20"/>
                <w:szCs w:val="20"/>
              </w:rPr>
              <w:t>) a copy of the pathology report detailing the molecular testing for the patient having at least one F508del mutation on the CFTR gene; and</w:t>
            </w:r>
          </w:p>
          <w:p w:rsidR="001F49A3" w:rsidRPr="005728DD" w:rsidRDefault="000D5690" w:rsidP="007846A7">
            <w:pPr>
              <w:spacing w:before="20"/>
              <w:ind w:left="113"/>
              <w:jc w:val="left"/>
              <w:rPr>
                <w:rFonts w:ascii="Arial Narrow" w:hAnsi="Arial Narrow"/>
                <w:sz w:val="20"/>
                <w:szCs w:val="20"/>
              </w:rPr>
            </w:pPr>
            <w:r w:rsidRPr="005728DD">
              <w:rPr>
                <w:rFonts w:ascii="Arial Narrow" w:hAnsi="Arial Narrow"/>
                <w:sz w:val="20"/>
                <w:szCs w:val="20"/>
              </w:rPr>
              <w:t>(4</w:t>
            </w:r>
            <w:r w:rsidR="001F49A3" w:rsidRPr="005728DD">
              <w:rPr>
                <w:rFonts w:ascii="Arial Narrow" w:hAnsi="Arial Narrow"/>
                <w:sz w:val="20"/>
                <w:szCs w:val="20"/>
              </w:rPr>
              <w:t>) the result of an FEV1 measurement performed within a month before the date of application. Note: FEV1, must be measured in a cystic fibrosis clinic with documented no acute infective exacerbation at the time FEV1 is measured; and</w:t>
            </w:r>
          </w:p>
          <w:p w:rsidR="001F49A3" w:rsidRPr="005728DD" w:rsidRDefault="001F49A3" w:rsidP="007846A7">
            <w:pPr>
              <w:spacing w:before="20"/>
              <w:ind w:left="113"/>
              <w:jc w:val="left"/>
              <w:rPr>
                <w:rFonts w:ascii="Arial Narrow" w:hAnsi="Arial Narrow"/>
                <w:strike/>
                <w:sz w:val="20"/>
                <w:szCs w:val="20"/>
              </w:rPr>
            </w:pPr>
            <w:r w:rsidRPr="005728DD">
              <w:rPr>
                <w:rFonts w:ascii="Arial Narrow" w:hAnsi="Arial Narrow"/>
                <w:strike/>
                <w:sz w:val="20"/>
                <w:szCs w:val="20"/>
              </w:rPr>
              <w:t>(6) evidence that the patient has either chronic sinopulmonary disease or gastrointestinal and nutritional abnormalities; and</w:t>
            </w:r>
          </w:p>
          <w:p w:rsidR="001F49A3" w:rsidRPr="005728DD" w:rsidRDefault="000D5690" w:rsidP="007846A7">
            <w:pPr>
              <w:spacing w:before="20"/>
              <w:ind w:left="113"/>
              <w:jc w:val="left"/>
              <w:rPr>
                <w:rFonts w:ascii="Arial Narrow" w:hAnsi="Arial Narrow"/>
                <w:strike/>
                <w:sz w:val="22"/>
                <w:szCs w:val="20"/>
              </w:rPr>
            </w:pPr>
            <w:r w:rsidRPr="005728DD">
              <w:rPr>
                <w:rFonts w:ascii="Arial Narrow" w:hAnsi="Arial Narrow"/>
                <w:sz w:val="20"/>
                <w:szCs w:val="20"/>
              </w:rPr>
              <w:t>(5)</w:t>
            </w:r>
            <w:r w:rsidRPr="005728DD">
              <w:rPr>
                <w:rFonts w:ascii="Arial Narrow" w:hAnsi="Arial Narrow"/>
                <w:strike/>
                <w:sz w:val="20"/>
                <w:szCs w:val="20"/>
              </w:rPr>
              <w:t xml:space="preserve"> </w:t>
            </w:r>
            <w:r w:rsidR="001F49A3" w:rsidRPr="005728DD">
              <w:rPr>
                <w:rFonts w:ascii="Arial Narrow" w:hAnsi="Arial Narrow"/>
                <w:strike/>
                <w:sz w:val="20"/>
                <w:szCs w:val="20"/>
              </w:rPr>
              <w:t>a copy of a current medication history</w:t>
            </w:r>
            <w:r w:rsidRPr="005728DD">
              <w:rPr>
                <w:rFonts w:ascii="Arial Narrow" w:hAnsi="Arial Narrow"/>
                <w:strike/>
                <w:sz w:val="20"/>
                <w:szCs w:val="20"/>
              </w:rPr>
              <w:t xml:space="preserve"> </w:t>
            </w:r>
            <w:r w:rsidRPr="005728DD">
              <w:rPr>
                <w:rFonts w:ascii="Arial Narrow" w:hAnsi="Arial Narrow"/>
                <w:i/>
                <w:sz w:val="20"/>
                <w:szCs w:val="18"/>
              </w:rPr>
              <w:t>current CYP3A4 inhibitors, CYP3A4 inducers and IV antibiotics; and</w:t>
            </w:r>
          </w:p>
          <w:p w:rsidR="001F49A3" w:rsidRPr="005728DD" w:rsidRDefault="001F49A3" w:rsidP="007846A7">
            <w:pPr>
              <w:spacing w:before="20"/>
              <w:ind w:left="113"/>
              <w:jc w:val="left"/>
              <w:rPr>
                <w:rFonts w:ascii="Arial Narrow" w:hAnsi="Arial Narrow"/>
                <w:sz w:val="20"/>
                <w:szCs w:val="20"/>
              </w:rPr>
            </w:pPr>
            <w:r w:rsidRPr="005728DD">
              <w:rPr>
                <w:rFonts w:ascii="Arial Narrow" w:hAnsi="Arial Narrow"/>
                <w:sz w:val="20"/>
                <w:szCs w:val="20"/>
              </w:rPr>
              <w:t>(</w:t>
            </w:r>
            <w:r w:rsidR="000D5690" w:rsidRPr="005728DD">
              <w:rPr>
                <w:rFonts w:ascii="Arial Narrow" w:hAnsi="Arial Narrow"/>
                <w:sz w:val="20"/>
                <w:szCs w:val="20"/>
              </w:rPr>
              <w:t>6</w:t>
            </w:r>
            <w:r w:rsidRPr="005728DD">
              <w:rPr>
                <w:rFonts w:ascii="Arial Narrow" w:hAnsi="Arial Narrow"/>
                <w:sz w:val="20"/>
                <w:szCs w:val="20"/>
              </w:rPr>
              <w:t>) height and weight measurements at the time of application; and</w:t>
            </w:r>
          </w:p>
          <w:p w:rsidR="001F49A3" w:rsidRPr="005728DD" w:rsidRDefault="001F49A3" w:rsidP="007846A7">
            <w:pPr>
              <w:spacing w:before="20"/>
              <w:ind w:left="113"/>
              <w:jc w:val="left"/>
              <w:rPr>
                <w:rFonts w:ascii="Arial Narrow" w:hAnsi="Arial Narrow"/>
                <w:sz w:val="20"/>
                <w:szCs w:val="20"/>
              </w:rPr>
            </w:pPr>
            <w:r w:rsidRPr="005728DD">
              <w:rPr>
                <w:rFonts w:ascii="Arial Narrow" w:hAnsi="Arial Narrow"/>
                <w:sz w:val="20"/>
                <w:szCs w:val="20"/>
              </w:rPr>
              <w:t>(</w:t>
            </w:r>
            <w:r w:rsidR="000D5690" w:rsidRPr="005728DD">
              <w:rPr>
                <w:rFonts w:ascii="Arial Narrow" w:hAnsi="Arial Narrow"/>
                <w:sz w:val="20"/>
                <w:szCs w:val="20"/>
              </w:rPr>
              <w:t>7</w:t>
            </w:r>
            <w:r w:rsidRPr="005728DD">
              <w:rPr>
                <w:rFonts w:ascii="Arial Narrow" w:hAnsi="Arial Narrow"/>
                <w:sz w:val="20"/>
                <w:szCs w:val="20"/>
              </w:rPr>
              <w:t>) a baseline measurement of the number of days of CF-related hospitalisation (including hospital-in-the home) in the previous 12 months.</w:t>
            </w:r>
          </w:p>
        </w:tc>
      </w:tr>
      <w:tr w:rsidR="000D5690" w:rsidRPr="005728DD" w:rsidTr="005C66A3">
        <w:tc>
          <w:tcPr>
            <w:tcW w:w="2127" w:type="dxa"/>
            <w:shd w:val="clear" w:color="auto" w:fill="auto"/>
          </w:tcPr>
          <w:p w:rsidR="000D5690" w:rsidRPr="005728DD" w:rsidRDefault="000D5690" w:rsidP="007846A7">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rsidR="000D5690" w:rsidRPr="005728DD" w:rsidRDefault="000D5690" w:rsidP="007846A7">
            <w:pPr>
              <w:spacing w:before="20"/>
              <w:jc w:val="left"/>
              <w:rPr>
                <w:rFonts w:ascii="Arial Narrow" w:hAnsi="Arial Narrow"/>
                <w:i/>
                <w:sz w:val="18"/>
                <w:szCs w:val="18"/>
              </w:rPr>
            </w:pPr>
            <w:r w:rsidRPr="005728DD">
              <w:rPr>
                <w:rFonts w:ascii="Arial Narrow" w:hAnsi="Arial Narrow"/>
                <w:i/>
                <w:sz w:val="18"/>
                <w:szCs w:val="18"/>
              </w:rPr>
              <w:t>No increase in the maximum quantity or number of units may be authorised.</w:t>
            </w:r>
          </w:p>
          <w:p w:rsidR="000D5690" w:rsidRPr="005728DD" w:rsidRDefault="000D5690" w:rsidP="007846A7">
            <w:pPr>
              <w:spacing w:before="20"/>
              <w:jc w:val="left"/>
              <w:rPr>
                <w:rFonts w:ascii="Arial Narrow" w:hAnsi="Arial Narrow"/>
                <w:strike/>
                <w:sz w:val="20"/>
                <w:szCs w:val="20"/>
              </w:rPr>
            </w:pPr>
            <w:r w:rsidRPr="005728DD">
              <w:rPr>
                <w:rFonts w:ascii="Arial Narrow" w:hAnsi="Arial Narrow"/>
                <w:i/>
                <w:sz w:val="18"/>
                <w:szCs w:val="18"/>
              </w:rPr>
              <w:t>No increase in the maximum number of repeats may be authorised</w:t>
            </w:r>
          </w:p>
        </w:tc>
      </w:tr>
    </w:tbl>
    <w:p w:rsidR="000D5690" w:rsidRPr="005728DD" w:rsidRDefault="000D5690" w:rsidP="001F49A3">
      <w:pPr>
        <w:pStyle w:val="TableFooter"/>
      </w:pPr>
    </w:p>
    <w:p w:rsidR="000D5690" w:rsidRPr="005728DD" w:rsidRDefault="000D5690" w:rsidP="001F49A3">
      <w:pPr>
        <w:pStyle w:val="TableFooter"/>
      </w:pPr>
    </w:p>
    <w:tbl>
      <w:tblPr>
        <w:tblStyle w:val="HTATableshaded1"/>
        <w:tblW w:w="9026" w:type="dxa"/>
        <w:tblLook w:val="04A0" w:firstRow="1" w:lastRow="0" w:firstColumn="1" w:lastColumn="0" w:noHBand="0" w:noVBand="1"/>
        <w:tblCaption w:val="Section 100 (Highly Specialised Drugs Program) "/>
      </w:tblPr>
      <w:tblGrid>
        <w:gridCol w:w="2127"/>
        <w:gridCol w:w="6899"/>
      </w:tblGrid>
      <w:tr w:rsidR="000D5690" w:rsidRPr="005728DD" w:rsidTr="005C66A3">
        <w:trPr>
          <w:cnfStyle w:val="100000000000" w:firstRow="1" w:lastRow="0" w:firstColumn="0" w:lastColumn="0" w:oddVBand="0" w:evenVBand="0" w:oddHBand="0" w:evenHBand="0" w:firstRowFirstColumn="0" w:firstRowLastColumn="0" w:lastRowFirstColumn="0" w:lastRowLastColumn="0"/>
          <w:tblHeader/>
        </w:trPr>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Treatment phase</w:t>
            </w:r>
          </w:p>
        </w:tc>
        <w:tc>
          <w:tcPr>
            <w:tcW w:w="6899"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Continuing treatment</w:t>
            </w:r>
          </w:p>
        </w:tc>
      </w:tr>
      <w:tr w:rsidR="000D5690" w:rsidRPr="005728DD" w:rsidTr="00506F0F">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Treatment criteria:</w:t>
            </w:r>
          </w:p>
        </w:tc>
        <w:tc>
          <w:tcPr>
            <w:tcW w:w="6899"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Must be treated by a specialist respiratory physician with expertise in cystic fibrosis, OR</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Must be treated in consultation with a specialist respiratory physician with expertise in cystic fibrosis if attendance is not possible due to geographic isolation.</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AND</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Must be treated in a centre with expertise in cystic fibrosis, OR</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Must be treated in consultation with a centre with expertise in cystic fibrosis if attendance is not possible due to geographic isolation.</w:t>
            </w:r>
          </w:p>
        </w:tc>
      </w:tr>
      <w:tr w:rsidR="000D5690" w:rsidRPr="005728DD" w:rsidTr="00506F0F">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lastRenderedPageBreak/>
              <w:t>Clinical criteria:</w:t>
            </w:r>
          </w:p>
        </w:tc>
        <w:tc>
          <w:tcPr>
            <w:tcW w:w="6899" w:type="dxa"/>
            <w:shd w:val="clear" w:color="auto" w:fill="auto"/>
          </w:tcPr>
          <w:p w:rsidR="000D5690" w:rsidRPr="005728DD" w:rsidRDefault="000D5690" w:rsidP="000D5690">
            <w:pPr>
              <w:keepNext/>
              <w:spacing w:after="0"/>
              <w:rPr>
                <w:rFonts w:ascii="Arial Narrow" w:hAnsi="Arial Narrow"/>
                <w:i/>
                <w:sz w:val="20"/>
                <w:szCs w:val="20"/>
              </w:rPr>
            </w:pPr>
            <w:r w:rsidRPr="005728DD">
              <w:rPr>
                <w:rFonts w:ascii="Arial Narrow" w:hAnsi="Arial Narrow"/>
                <w:i/>
                <w:sz w:val="20"/>
                <w:szCs w:val="20"/>
              </w:rPr>
              <w:t xml:space="preserve">Patient must have previously received PBS-subsidised treatment with this drug for this condition </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AND</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The treatment must be the sole PBS-subsidised cystic fibrosis transmembrane conductance regulator (</w:t>
            </w:r>
            <w:r w:rsidR="005728DD" w:rsidRPr="005728DD">
              <w:rPr>
                <w:rFonts w:ascii="Arial Narrow" w:hAnsi="Arial Narrow"/>
                <w:i/>
                <w:sz w:val="20"/>
                <w:szCs w:val="20"/>
              </w:rPr>
              <w:t>CFTR</w:t>
            </w:r>
            <w:r w:rsidRPr="005728DD">
              <w:rPr>
                <w:rFonts w:ascii="Arial Narrow" w:hAnsi="Arial Narrow"/>
                <w:i/>
                <w:sz w:val="20"/>
                <w:szCs w:val="20"/>
              </w:rPr>
              <w:t>) modulator therapy for this condition,</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AND</w:t>
            </w: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The treatment must be given concomitantly with standard therapy for this condition.</w:t>
            </w:r>
          </w:p>
          <w:p w:rsidR="000D5690" w:rsidRPr="005728DD" w:rsidRDefault="000D5690" w:rsidP="000D5690">
            <w:pPr>
              <w:spacing w:before="20"/>
              <w:jc w:val="left"/>
              <w:rPr>
                <w:rFonts w:ascii="Arial Narrow" w:hAnsi="Arial Narrow"/>
                <w:i/>
                <w:sz w:val="20"/>
                <w:szCs w:val="20"/>
              </w:rPr>
            </w:pPr>
          </w:p>
        </w:tc>
      </w:tr>
      <w:tr w:rsidR="000D5690" w:rsidRPr="005728DD" w:rsidTr="00506F0F">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Population criteria:</w:t>
            </w:r>
          </w:p>
        </w:tc>
        <w:tc>
          <w:tcPr>
            <w:tcW w:w="6899"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Patients must be 12 years or older.</w:t>
            </w:r>
          </w:p>
        </w:tc>
      </w:tr>
      <w:tr w:rsidR="000D5690" w:rsidRPr="005728DD" w:rsidTr="00506F0F">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Prescribing instructions:</w:t>
            </w:r>
          </w:p>
        </w:tc>
        <w:tc>
          <w:tcPr>
            <w:tcW w:w="6899"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Treatment must not be given to a patient who has an acute upper or lower respiratory infection, pulmonary exacerbation, or changes in therapy (including antibiotics) for pulmonary disease in the last 4 weeks prior to commencing this drug.</w:t>
            </w:r>
          </w:p>
          <w:p w:rsidR="000D5690" w:rsidRPr="005728DD" w:rsidRDefault="000D5690" w:rsidP="00506F0F">
            <w:pPr>
              <w:spacing w:before="20"/>
              <w:jc w:val="left"/>
              <w:rPr>
                <w:rFonts w:ascii="Arial Narrow" w:hAnsi="Arial Narrow"/>
                <w:i/>
                <w:sz w:val="20"/>
                <w:szCs w:val="20"/>
              </w:rPr>
            </w:pPr>
          </w:p>
          <w:p w:rsidR="000D5690" w:rsidRPr="005728DD" w:rsidRDefault="000D5690" w:rsidP="00506F0F">
            <w:pPr>
              <w:spacing w:before="20"/>
              <w:jc w:val="left"/>
              <w:rPr>
                <w:rFonts w:ascii="Arial Narrow" w:hAnsi="Arial Narrow"/>
                <w:i/>
                <w:sz w:val="22"/>
                <w:szCs w:val="20"/>
              </w:rPr>
            </w:pPr>
            <w:r w:rsidRPr="005728DD">
              <w:rPr>
                <w:rFonts w:ascii="Arial Narrow" w:hAnsi="Arial Narrow"/>
                <w:i/>
                <w:sz w:val="20"/>
              </w:rPr>
              <w:t>Patients who have an acute infective exacerbation at the time of assessment for continuing therapy may receive an additional one month's supply in order to enable the assessment to be repeated following resolution of the exacerbation</w:t>
            </w:r>
          </w:p>
          <w:p w:rsidR="000D5690" w:rsidRPr="005728DD" w:rsidRDefault="000D5690" w:rsidP="00506F0F">
            <w:pPr>
              <w:spacing w:before="20"/>
              <w:jc w:val="left"/>
              <w:rPr>
                <w:rFonts w:ascii="Arial Narrow" w:hAnsi="Arial Narrow"/>
                <w:i/>
                <w:sz w:val="20"/>
                <w:szCs w:val="20"/>
              </w:rPr>
            </w:pPr>
          </w:p>
          <w:p w:rsidR="000D5690" w:rsidRPr="005728DD" w:rsidRDefault="000D5690" w:rsidP="00506F0F">
            <w:pPr>
              <w:keepNext/>
              <w:spacing w:after="0"/>
              <w:rPr>
                <w:rFonts w:ascii="Arial Narrow" w:hAnsi="Arial Narrow"/>
                <w:i/>
                <w:color w:val="222222"/>
                <w:sz w:val="20"/>
                <w:szCs w:val="20"/>
                <w:shd w:val="clear" w:color="auto" w:fill="EEEEEE"/>
              </w:rPr>
            </w:pPr>
            <w:r w:rsidRPr="005728DD">
              <w:rPr>
                <w:rFonts w:ascii="Arial Narrow" w:hAnsi="Arial Narrow"/>
                <w:i/>
                <w:sz w:val="20"/>
              </w:rPr>
              <w:t xml:space="preserve">For the purposes of this restriction, PBS subsidised 'CFTR modulator' means ivacaftor, lumacaftor/ivacaftor, tezacaftor/ivacaftor and elexacaftor/ </w:t>
            </w:r>
            <w:r w:rsidR="005728DD" w:rsidRPr="005728DD">
              <w:rPr>
                <w:rFonts w:ascii="Arial Narrow" w:hAnsi="Arial Narrow"/>
                <w:i/>
                <w:sz w:val="20"/>
              </w:rPr>
              <w:t>tezacaftor</w:t>
            </w:r>
            <w:r w:rsidRPr="005728DD">
              <w:rPr>
                <w:rFonts w:ascii="Arial Narrow" w:hAnsi="Arial Narrow"/>
                <w:i/>
                <w:sz w:val="20"/>
              </w:rPr>
              <w:t>/ ivacaftor</w:t>
            </w:r>
            <w:r w:rsidRPr="005728DD">
              <w:rPr>
                <w:rFonts w:ascii="Arial Narrow" w:hAnsi="Arial Narrow"/>
                <w:i/>
                <w:color w:val="222222"/>
                <w:sz w:val="20"/>
                <w:szCs w:val="20"/>
                <w:shd w:val="clear" w:color="auto" w:fill="EEEEEE"/>
              </w:rPr>
              <w:t>.</w:t>
            </w:r>
          </w:p>
          <w:p w:rsidR="000D5690" w:rsidRPr="005728DD" w:rsidRDefault="000D5690" w:rsidP="00506F0F">
            <w:pPr>
              <w:spacing w:before="20"/>
              <w:jc w:val="left"/>
              <w:rPr>
                <w:rFonts w:ascii="Arial Narrow" w:hAnsi="Arial Narrow"/>
                <w:i/>
                <w:sz w:val="20"/>
                <w:szCs w:val="20"/>
              </w:rPr>
            </w:pPr>
          </w:p>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The authority application must be in writing and must include:</w:t>
            </w:r>
          </w:p>
          <w:p w:rsidR="000D5690" w:rsidRPr="005728DD" w:rsidRDefault="000D5690" w:rsidP="00506F0F">
            <w:pPr>
              <w:spacing w:before="20"/>
              <w:ind w:left="113"/>
              <w:jc w:val="left"/>
              <w:rPr>
                <w:rFonts w:ascii="Arial Narrow" w:hAnsi="Arial Narrow"/>
                <w:i/>
                <w:sz w:val="20"/>
                <w:szCs w:val="20"/>
              </w:rPr>
            </w:pPr>
            <w:r w:rsidRPr="005728DD">
              <w:rPr>
                <w:rFonts w:ascii="Arial Narrow" w:hAnsi="Arial Narrow"/>
                <w:i/>
                <w:sz w:val="20"/>
                <w:szCs w:val="20"/>
              </w:rPr>
              <w:t>(1) a completed authority prescription form; and</w:t>
            </w:r>
          </w:p>
          <w:p w:rsidR="000D5690" w:rsidRPr="005728DD" w:rsidRDefault="000D5690" w:rsidP="00506F0F">
            <w:pPr>
              <w:spacing w:before="20"/>
              <w:ind w:left="113"/>
              <w:jc w:val="left"/>
              <w:rPr>
                <w:rFonts w:ascii="Arial Narrow" w:hAnsi="Arial Narrow"/>
                <w:i/>
                <w:sz w:val="20"/>
                <w:szCs w:val="20"/>
              </w:rPr>
            </w:pPr>
            <w:r w:rsidRPr="005728DD">
              <w:rPr>
                <w:rFonts w:ascii="Arial Narrow" w:hAnsi="Arial Narrow"/>
                <w:i/>
                <w:sz w:val="20"/>
                <w:szCs w:val="20"/>
              </w:rPr>
              <w:t>(2) a completed Cystic Fibrosis Elexacaftor, Tezacaftor with Ivacaftor Authority Application Supporting Information Form; and</w:t>
            </w:r>
          </w:p>
          <w:p w:rsidR="000D5690" w:rsidRPr="005728DD" w:rsidRDefault="000D5690" w:rsidP="00506F0F">
            <w:pPr>
              <w:spacing w:before="20"/>
              <w:ind w:left="113"/>
              <w:jc w:val="left"/>
              <w:rPr>
                <w:rFonts w:ascii="Arial Narrow" w:hAnsi="Arial Narrow"/>
                <w:i/>
                <w:sz w:val="20"/>
                <w:szCs w:val="20"/>
              </w:rPr>
            </w:pPr>
            <w:r w:rsidRPr="005728DD">
              <w:rPr>
                <w:rFonts w:ascii="Arial Narrow" w:hAnsi="Arial Narrow"/>
                <w:i/>
                <w:sz w:val="20"/>
                <w:szCs w:val="20"/>
              </w:rPr>
              <w:t>(3) the result of an FEV1 measurement performed within a month before the date of application. Note: FEV1, must be measured in a cystic fibrosis clinic with documented no acute infective exacerbation at the time FEV1 is measured; and</w:t>
            </w:r>
          </w:p>
          <w:p w:rsidR="000D5690" w:rsidRPr="005728DD" w:rsidRDefault="000D5690" w:rsidP="00506F0F">
            <w:pPr>
              <w:spacing w:before="20"/>
              <w:ind w:left="113"/>
              <w:jc w:val="left"/>
              <w:rPr>
                <w:rFonts w:ascii="Arial Narrow" w:hAnsi="Arial Narrow"/>
                <w:i/>
                <w:strike/>
                <w:sz w:val="20"/>
                <w:szCs w:val="20"/>
              </w:rPr>
            </w:pPr>
            <w:r w:rsidRPr="005728DD">
              <w:rPr>
                <w:rFonts w:ascii="Arial Narrow" w:hAnsi="Arial Narrow"/>
                <w:i/>
                <w:sz w:val="20"/>
                <w:szCs w:val="20"/>
              </w:rPr>
              <w:t xml:space="preserve">(4) </w:t>
            </w:r>
            <w:r w:rsidRPr="005728DD">
              <w:rPr>
                <w:rFonts w:ascii="Arial Narrow" w:hAnsi="Arial Narrow"/>
                <w:i/>
                <w:sz w:val="18"/>
                <w:szCs w:val="18"/>
              </w:rPr>
              <w:t>current CYP3A4 inhibitors, CYP3A4 inducers and IV antibiotics; and</w:t>
            </w:r>
          </w:p>
          <w:p w:rsidR="000D5690" w:rsidRPr="005728DD" w:rsidRDefault="000D5690" w:rsidP="00506F0F">
            <w:pPr>
              <w:spacing w:before="20"/>
              <w:ind w:left="113"/>
              <w:jc w:val="left"/>
              <w:rPr>
                <w:rFonts w:ascii="Arial Narrow" w:hAnsi="Arial Narrow"/>
                <w:i/>
                <w:sz w:val="20"/>
                <w:szCs w:val="20"/>
              </w:rPr>
            </w:pPr>
            <w:r w:rsidRPr="005728DD">
              <w:rPr>
                <w:rFonts w:ascii="Arial Narrow" w:hAnsi="Arial Narrow"/>
                <w:i/>
                <w:sz w:val="20"/>
                <w:szCs w:val="20"/>
              </w:rPr>
              <w:t>(5) height and weight measurements at the time of application; and</w:t>
            </w:r>
          </w:p>
          <w:p w:rsidR="000D5690" w:rsidRPr="005728DD" w:rsidRDefault="000D5690" w:rsidP="000D5690">
            <w:pPr>
              <w:spacing w:before="20"/>
              <w:ind w:left="113"/>
              <w:jc w:val="left"/>
              <w:rPr>
                <w:rFonts w:ascii="Arial Narrow" w:hAnsi="Arial Narrow"/>
                <w:i/>
                <w:sz w:val="20"/>
                <w:szCs w:val="20"/>
              </w:rPr>
            </w:pPr>
            <w:r w:rsidRPr="005728DD">
              <w:rPr>
                <w:rFonts w:ascii="Arial Narrow" w:hAnsi="Arial Narrow"/>
                <w:i/>
                <w:sz w:val="20"/>
                <w:szCs w:val="20"/>
              </w:rPr>
              <w:t xml:space="preserve">(6) </w:t>
            </w:r>
            <w:r w:rsidRPr="006D3480">
              <w:rPr>
                <w:rFonts w:ascii="Arial Narrow" w:hAnsi="Arial Narrow"/>
                <w:sz w:val="18"/>
                <w:szCs w:val="18"/>
              </w:rPr>
              <w:t>th</w:t>
            </w:r>
            <w:r w:rsidRPr="005728DD">
              <w:rPr>
                <w:rFonts w:ascii="Arial Narrow" w:hAnsi="Arial Narrow"/>
                <w:i/>
                <w:sz w:val="20"/>
                <w:szCs w:val="20"/>
              </w:rPr>
              <w:t>e number of days of CF-related hospitalisation (including hospital-in-the home) in the previous 6 months</w:t>
            </w:r>
          </w:p>
        </w:tc>
      </w:tr>
      <w:tr w:rsidR="000D5690" w:rsidRPr="005728DD" w:rsidTr="00506F0F">
        <w:tc>
          <w:tcPr>
            <w:tcW w:w="2127" w:type="dxa"/>
            <w:shd w:val="clear" w:color="auto" w:fill="auto"/>
          </w:tcPr>
          <w:p w:rsidR="000D5690" w:rsidRPr="005728DD" w:rsidRDefault="000D5690" w:rsidP="00506F0F">
            <w:pPr>
              <w:spacing w:before="20"/>
              <w:jc w:val="left"/>
              <w:rPr>
                <w:rFonts w:ascii="Arial Narrow" w:hAnsi="Arial Narrow"/>
                <w:i/>
                <w:sz w:val="20"/>
                <w:szCs w:val="20"/>
              </w:rPr>
            </w:pPr>
            <w:r w:rsidRPr="005728DD">
              <w:rPr>
                <w:rFonts w:ascii="Arial Narrow" w:hAnsi="Arial Narrow"/>
                <w:i/>
                <w:sz w:val="20"/>
                <w:szCs w:val="20"/>
              </w:rPr>
              <w:t>Administrative advice</w:t>
            </w:r>
          </w:p>
        </w:tc>
        <w:tc>
          <w:tcPr>
            <w:tcW w:w="6899" w:type="dxa"/>
            <w:shd w:val="clear" w:color="auto" w:fill="auto"/>
          </w:tcPr>
          <w:p w:rsidR="000D5690" w:rsidRPr="005728DD" w:rsidRDefault="000D5690" w:rsidP="00506F0F">
            <w:pPr>
              <w:spacing w:before="20"/>
              <w:jc w:val="left"/>
              <w:rPr>
                <w:rFonts w:ascii="Arial Narrow" w:hAnsi="Arial Narrow"/>
                <w:i/>
                <w:sz w:val="20"/>
                <w:szCs w:val="18"/>
              </w:rPr>
            </w:pPr>
            <w:r w:rsidRPr="005728DD">
              <w:rPr>
                <w:rFonts w:ascii="Arial Narrow" w:hAnsi="Arial Narrow"/>
                <w:i/>
                <w:sz w:val="20"/>
                <w:szCs w:val="18"/>
              </w:rPr>
              <w:t>No increase in the maximum quantity or number of units may be authorised.</w:t>
            </w:r>
          </w:p>
          <w:p w:rsidR="000D5690" w:rsidRPr="005728DD" w:rsidRDefault="000D5690" w:rsidP="00506F0F">
            <w:pPr>
              <w:spacing w:before="20"/>
              <w:jc w:val="left"/>
              <w:rPr>
                <w:rFonts w:ascii="Arial Narrow" w:hAnsi="Arial Narrow"/>
                <w:i/>
                <w:strike/>
                <w:sz w:val="20"/>
                <w:szCs w:val="20"/>
              </w:rPr>
            </w:pPr>
            <w:r w:rsidRPr="005728DD">
              <w:rPr>
                <w:rFonts w:ascii="Arial Narrow" w:hAnsi="Arial Narrow"/>
                <w:i/>
                <w:sz w:val="20"/>
                <w:szCs w:val="18"/>
              </w:rPr>
              <w:t>No increase in the maximum number of repeats may be authorised</w:t>
            </w:r>
          </w:p>
        </w:tc>
      </w:tr>
    </w:tbl>
    <w:p w:rsidR="001F49A3" w:rsidRPr="005728DD" w:rsidRDefault="001F49A3" w:rsidP="001F49A3">
      <w:pPr>
        <w:pStyle w:val="TableFooter"/>
      </w:pPr>
      <w:r w:rsidRPr="005728DD">
        <w:t>Source: Table 1.4.1, p54; Table 1.4.2, p55 of the submission</w:t>
      </w:r>
    </w:p>
    <w:p w:rsidR="001F49A3" w:rsidRPr="005728DD" w:rsidRDefault="001F49A3" w:rsidP="001F49A3">
      <w:pPr>
        <w:rPr>
          <w:rFonts w:ascii="Arial Narrow" w:hAnsi="Arial Narrow"/>
          <w:sz w:val="18"/>
          <w:szCs w:val="18"/>
        </w:rPr>
      </w:pPr>
      <w:r w:rsidRPr="005728DD">
        <w:rPr>
          <w:rFonts w:ascii="Arial Narrow" w:hAnsi="Arial Narrow"/>
          <w:sz w:val="18"/>
          <w:szCs w:val="18"/>
        </w:rPr>
        <w:t>Abbreviations: CF= cystic fibrosis; CFTR=cystic fibrosis transmembrane conductance regulator; FEV1=forced expiratory volume in one second; mg = milligram; PBS</w:t>
      </w:r>
      <w:r w:rsidR="005C0EE4" w:rsidRPr="005728DD">
        <w:rPr>
          <w:rFonts w:ascii="Arial Narrow" w:hAnsi="Arial Narrow"/>
          <w:sz w:val="18"/>
          <w:szCs w:val="18"/>
        </w:rPr>
        <w:t xml:space="preserve"> </w:t>
      </w:r>
      <w:r w:rsidRPr="005728DD">
        <w:rPr>
          <w:rFonts w:ascii="Arial Narrow" w:hAnsi="Arial Narrow"/>
          <w:sz w:val="18"/>
          <w:szCs w:val="18"/>
        </w:rPr>
        <w:t>=</w:t>
      </w:r>
      <w:r w:rsidR="005C0EE4" w:rsidRPr="005728DD">
        <w:rPr>
          <w:rFonts w:ascii="Arial Narrow" w:hAnsi="Arial Narrow"/>
          <w:sz w:val="18"/>
          <w:szCs w:val="18"/>
        </w:rPr>
        <w:t xml:space="preserve"> Pharmaceutical Benefits S</w:t>
      </w:r>
      <w:r w:rsidRPr="005728DD">
        <w:rPr>
          <w:rFonts w:ascii="Arial Narrow" w:hAnsi="Arial Narrow"/>
          <w:sz w:val="18"/>
          <w:szCs w:val="18"/>
        </w:rPr>
        <w:t xml:space="preserve">cheme </w:t>
      </w:r>
    </w:p>
    <w:p w:rsidR="00CC2F45" w:rsidRPr="005728DD" w:rsidRDefault="00CC2F45" w:rsidP="001F49A3">
      <w:pPr>
        <w:rPr>
          <w:rFonts w:ascii="Arial Narrow" w:hAnsi="Arial Narrow"/>
          <w:sz w:val="18"/>
          <w:szCs w:val="18"/>
        </w:rPr>
      </w:pPr>
      <w:r w:rsidRPr="005728DD">
        <w:rPr>
          <w:rFonts w:ascii="Arial Narrow" w:hAnsi="Arial Narrow"/>
          <w:sz w:val="18"/>
          <w:szCs w:val="18"/>
        </w:rPr>
        <w:t xml:space="preserve">Note: </w:t>
      </w:r>
      <w:r w:rsidRPr="005728DD">
        <w:rPr>
          <w:rFonts w:ascii="Arial Narrow" w:hAnsi="Arial Narrow"/>
          <w:sz w:val="18"/>
          <w:szCs w:val="18"/>
          <w:vertAlign w:val="superscript"/>
        </w:rPr>
        <w:t>a</w:t>
      </w:r>
      <w:r w:rsidRPr="005728DD">
        <w:rPr>
          <w:rFonts w:ascii="Arial Narrow" w:hAnsi="Arial Narrow"/>
          <w:sz w:val="18"/>
          <w:szCs w:val="18"/>
        </w:rPr>
        <w:t>The submission used price ex-manufacturer without mark-up, and justified this was appropriate for a Section 100 drug dispensed almost entirely in public hospitals (Manual of Resource Items and their Associated Costs 2009 Section 4.1.2)</w:t>
      </w:r>
    </w:p>
    <w:p w:rsidR="001F49A3" w:rsidRPr="005728DD" w:rsidRDefault="001F49A3" w:rsidP="001F49A3"/>
    <w:p w:rsidR="001F49A3" w:rsidRPr="005728DD" w:rsidRDefault="001F49A3" w:rsidP="001F49A3">
      <w:pPr>
        <w:pStyle w:val="3-BodyText"/>
        <w:rPr>
          <w:i/>
        </w:rPr>
      </w:pPr>
      <w:r w:rsidRPr="005728DD">
        <w:t xml:space="preserve">The </w:t>
      </w:r>
      <w:r w:rsidR="005B38D5" w:rsidRPr="005728DD">
        <w:t>submission</w:t>
      </w:r>
      <w:r w:rsidRPr="005728DD">
        <w:t xml:space="preserve"> requested a Special Pricing Arrangement by proposing a</w:t>
      </w:r>
      <w:r w:rsidR="00757414" w:rsidRPr="005728DD">
        <w:t xml:space="preserve"> </w:t>
      </w:r>
      <w:r w:rsidRPr="005728DD">
        <w:t xml:space="preserve">confidential </w:t>
      </w:r>
      <w:r w:rsidR="00F80C80" w:rsidRPr="005728DD">
        <w:t xml:space="preserve">effective </w:t>
      </w:r>
      <w:r w:rsidR="00757414" w:rsidRPr="005728DD">
        <w:t xml:space="preserve">price </w:t>
      </w:r>
      <w:r w:rsidRPr="005728DD">
        <w:t xml:space="preserve">for ELX/TEZ/IVA </w:t>
      </w:r>
      <w:r w:rsidR="00F80C80" w:rsidRPr="005728DD">
        <w:t>of $</w:t>
      </w:r>
      <w:r w:rsidR="00967E09">
        <w:rPr>
          <w:noProof/>
          <w:color w:val="000000"/>
          <w:highlight w:val="black"/>
        </w:rPr>
        <w:t>'''''''''''''''''</w:t>
      </w:r>
      <w:r w:rsidR="00F80C80" w:rsidRPr="005728DD">
        <w:t xml:space="preserve"> per pack</w:t>
      </w:r>
      <w:r w:rsidR="00F80C80" w:rsidRPr="005728DD">
        <w:rPr>
          <w:i/>
        </w:rPr>
        <w:t xml:space="preserve"> </w:t>
      </w:r>
      <w:r w:rsidR="008951A8" w:rsidRPr="005728DD">
        <w:rPr>
          <w:i/>
        </w:rPr>
        <w:t>(</w:t>
      </w:r>
      <w:r w:rsidR="00F80C80" w:rsidRPr="005728DD">
        <w:t xml:space="preserve">versus a </w:t>
      </w:r>
      <w:r w:rsidR="00C90F60" w:rsidRPr="005728DD">
        <w:t>published</w:t>
      </w:r>
      <w:r w:rsidR="00F80C80" w:rsidRPr="005728DD">
        <w:t xml:space="preserve"> DPMQ of $21,375 per pack.</w:t>
      </w:r>
      <w:r w:rsidR="005E5062" w:rsidRPr="005728DD">
        <w:t xml:space="preserve"> </w:t>
      </w:r>
      <w:r w:rsidR="000D5690" w:rsidRPr="005728DD">
        <w:t>The pre-PBAC response provided a revised effective cost per pack of $</w:t>
      </w:r>
      <w:r w:rsidR="00967E09">
        <w:rPr>
          <w:noProof/>
          <w:color w:val="000000"/>
          <w:highlight w:val="black"/>
        </w:rPr>
        <w:t>''''''''''''''''</w:t>
      </w:r>
      <w:r w:rsidR="000D5690" w:rsidRPr="005728DD">
        <w:t>.</w:t>
      </w:r>
    </w:p>
    <w:p w:rsidR="001F49A3" w:rsidRPr="005728DD" w:rsidRDefault="00757414" w:rsidP="001F49A3">
      <w:pPr>
        <w:pStyle w:val="3-BodyText"/>
      </w:pPr>
      <w:r w:rsidRPr="005728DD">
        <w:t>C</w:t>
      </w:r>
      <w:r w:rsidR="00D74231" w:rsidRPr="005728DD">
        <w:t>onsistent with all current CFTR modulators, t</w:t>
      </w:r>
      <w:r w:rsidR="001F49A3" w:rsidRPr="005728DD">
        <w:t xml:space="preserve">he </w:t>
      </w:r>
      <w:r w:rsidR="00DD0545" w:rsidRPr="005728DD">
        <w:t xml:space="preserve">proposed </w:t>
      </w:r>
      <w:r w:rsidR="001F49A3" w:rsidRPr="005728DD">
        <w:t xml:space="preserve">restriction </w:t>
      </w:r>
      <w:r w:rsidR="00DD0545" w:rsidRPr="005728DD">
        <w:t xml:space="preserve">allows use in all </w:t>
      </w:r>
      <w:r w:rsidR="001F49A3" w:rsidRPr="005728DD">
        <w:t xml:space="preserve">patients </w:t>
      </w:r>
      <w:r w:rsidR="00D669C8" w:rsidRPr="005728DD">
        <w:t>irrespective</w:t>
      </w:r>
      <w:r w:rsidR="00F748DF" w:rsidRPr="005728DD">
        <w:t xml:space="preserve"> of</w:t>
      </w:r>
      <w:r w:rsidR="001F49A3" w:rsidRPr="005728DD">
        <w:t xml:space="preserve"> lung function</w:t>
      </w:r>
      <w:r w:rsidR="00DD0545" w:rsidRPr="005728DD">
        <w:t xml:space="preserve"> as measured by ppFEV</w:t>
      </w:r>
      <w:r w:rsidR="00DD0545" w:rsidRPr="005728DD">
        <w:rPr>
          <w:vertAlign w:val="subscript"/>
        </w:rPr>
        <w:t>1</w:t>
      </w:r>
      <w:r w:rsidR="00DD0545" w:rsidRPr="005728DD">
        <w:t xml:space="preserve">. This </w:t>
      </w:r>
      <w:r w:rsidR="001F49A3" w:rsidRPr="005728DD">
        <w:t xml:space="preserve">is not consistent with the </w:t>
      </w:r>
      <w:r w:rsidR="00DD0545" w:rsidRPr="005728DD">
        <w:t xml:space="preserve">key </w:t>
      </w:r>
      <w:r w:rsidR="00FE5A51" w:rsidRPr="005728DD">
        <w:t xml:space="preserve">clinical evidence </w:t>
      </w:r>
      <w:r w:rsidR="00DD0545" w:rsidRPr="005728DD">
        <w:t xml:space="preserve">presented in </w:t>
      </w:r>
      <w:r w:rsidR="00FE5A51" w:rsidRPr="005728DD">
        <w:t>the submission</w:t>
      </w:r>
      <w:r w:rsidR="00DD0545" w:rsidRPr="005728DD">
        <w:t xml:space="preserve"> which</w:t>
      </w:r>
      <w:r w:rsidR="001F49A3" w:rsidRPr="005728DD">
        <w:t xml:space="preserve"> includ</w:t>
      </w:r>
      <w:r w:rsidR="00DD0545" w:rsidRPr="005728DD">
        <w:t xml:space="preserve">ed </w:t>
      </w:r>
      <w:r w:rsidR="001F49A3" w:rsidRPr="005728DD">
        <w:t xml:space="preserve">only patients with moderate to mild lung function </w:t>
      </w:r>
      <w:r w:rsidR="009E42ED" w:rsidRPr="005728DD">
        <w:t xml:space="preserve">impairment </w:t>
      </w:r>
      <w:r w:rsidR="001F49A3" w:rsidRPr="005728DD">
        <w:t>(classified by percent predicted forced expiratory volume in one second; ppFEV</w:t>
      </w:r>
      <w:r w:rsidR="001F49A3" w:rsidRPr="005728DD">
        <w:rPr>
          <w:vertAlign w:val="subscript"/>
        </w:rPr>
        <w:t>1</w:t>
      </w:r>
      <w:r w:rsidR="001F49A3" w:rsidRPr="005728DD">
        <w:t xml:space="preserve"> between 40 to 90</w:t>
      </w:r>
      <w:r w:rsidR="00DD0545" w:rsidRPr="005728DD">
        <w:t>%</w:t>
      </w:r>
      <w:r w:rsidR="001F49A3" w:rsidRPr="005728DD">
        <w:t>).</w:t>
      </w:r>
      <w:r w:rsidR="00DD0545" w:rsidRPr="005728DD">
        <w:t xml:space="preserve"> </w:t>
      </w:r>
    </w:p>
    <w:p w:rsidR="005E5062" w:rsidRDefault="005E5062" w:rsidP="001F49A3">
      <w:pPr>
        <w:pStyle w:val="3-BodyText"/>
      </w:pPr>
      <w:r w:rsidRPr="005728DD">
        <w:lastRenderedPageBreak/>
        <w:t xml:space="preserve">The requested listing </w:t>
      </w:r>
      <w:r w:rsidR="009F378D" w:rsidRPr="005728DD">
        <w:t xml:space="preserve">and proposed restriction criteria </w:t>
      </w:r>
      <w:r w:rsidR="00DF1F02" w:rsidRPr="005728DD">
        <w:t xml:space="preserve">was for patients with at least one F508del mutation i.e., the F/any population. </w:t>
      </w:r>
    </w:p>
    <w:p w:rsidR="00E053E4" w:rsidRPr="005728DD" w:rsidRDefault="00E053E4" w:rsidP="006D3480">
      <w:pPr>
        <w:pStyle w:val="3-BodyText"/>
      </w:pPr>
      <w:r>
        <w:t>The PBAC noted the listings for other CFTR modula</w:t>
      </w:r>
      <w:r w:rsidR="006D3480">
        <w:t>tors contained</w:t>
      </w:r>
      <w:r>
        <w:t xml:space="preserve"> advice for dose modifications when combined with </w:t>
      </w:r>
      <w:r w:rsidR="006D3480">
        <w:t xml:space="preserve">specified </w:t>
      </w:r>
      <w:r>
        <w:t>moderate and strong CYP3A4 inhibitors</w:t>
      </w:r>
      <w:r w:rsidR="006D3480">
        <w:t xml:space="preserve"> and a statement that they are not PBS-subsidised in patients receiving a number of specified CYP3A4 inducers</w:t>
      </w:r>
      <w:r>
        <w:t xml:space="preserve">. No justification was provided </w:t>
      </w:r>
      <w:r w:rsidR="006D3480">
        <w:t xml:space="preserve">in the submission </w:t>
      </w:r>
      <w:r w:rsidR="005D654F">
        <w:t>regarding why similar</w:t>
      </w:r>
      <w:r w:rsidR="006D3480">
        <w:t xml:space="preserve"> wording </w:t>
      </w:r>
      <w:r>
        <w:t>was not included in the proposed listing for</w:t>
      </w:r>
      <w:r w:rsidR="006D3480">
        <w:t xml:space="preserve"> ELX/TEZ/IVA. </w:t>
      </w:r>
      <w:r>
        <w:t xml:space="preserve"> </w:t>
      </w:r>
    </w:p>
    <w:p w:rsidR="00EA2069" w:rsidRPr="005728DD" w:rsidRDefault="00EA2069" w:rsidP="00EA2069">
      <w:pPr>
        <w:pStyle w:val="3-BodyText"/>
        <w:numPr>
          <w:ilvl w:val="0"/>
          <w:numId w:val="0"/>
        </w:numPr>
        <w:ind w:left="720"/>
        <w:rPr>
          <w:i/>
        </w:rPr>
      </w:pPr>
      <w:r w:rsidRPr="005728DD">
        <w:rPr>
          <w:i/>
        </w:rPr>
        <w:t>For more detail on the PBAC’s view, see section 7 PBAC outcome.</w:t>
      </w:r>
    </w:p>
    <w:p w:rsidR="001F49A3" w:rsidRPr="005728DD" w:rsidRDefault="001F49A3" w:rsidP="001F49A3">
      <w:pPr>
        <w:pStyle w:val="2-SectionHeading"/>
      </w:pPr>
      <w:bookmarkStart w:id="9" w:name="_Toc62035726"/>
      <w:r w:rsidRPr="005728DD">
        <w:t>Population and disease</w:t>
      </w:r>
      <w:bookmarkEnd w:id="9"/>
    </w:p>
    <w:p w:rsidR="003F1AC1" w:rsidRPr="005728DD" w:rsidRDefault="00011BB3" w:rsidP="00011BB3">
      <w:pPr>
        <w:pStyle w:val="3-BodyText"/>
      </w:pPr>
      <w:r w:rsidRPr="005728DD">
        <w:t>CF is a rare, genetic, systemic disease caused by mutations in the CFTR gene which ultimately leads to defective transport of chloride and other ions. Patients with CF are subject to a progressive loss of lung function, significant excess morbidity and reduced quality of life, pancreatic insufficiency and gastrointestinal malabsorption, frequent pulmonary exacerbations and early death. According to the Australian Cystic Fibrosis Disease Registry (ACFDR</w:t>
      </w:r>
      <w:r w:rsidR="009D367E" w:rsidRPr="005728DD">
        <w:t xml:space="preserve"> 2019 report</w:t>
      </w:r>
      <w:r w:rsidRPr="005728DD">
        <w:t>)</w:t>
      </w:r>
      <w:r w:rsidR="00665841" w:rsidRPr="005728DD">
        <w:t>,</w:t>
      </w:r>
      <w:r w:rsidRPr="005728DD">
        <w:t xml:space="preserve"> the median age of death in Australia</w:t>
      </w:r>
      <w:r w:rsidR="00665841" w:rsidRPr="005728DD">
        <w:t xml:space="preserve"> in 2017</w:t>
      </w:r>
      <w:r w:rsidRPr="005728DD">
        <w:t xml:space="preserve"> was 35.6 years. </w:t>
      </w:r>
    </w:p>
    <w:p w:rsidR="007477E3" w:rsidRPr="005728DD" w:rsidRDefault="00011BB3" w:rsidP="005E5FA3">
      <w:pPr>
        <w:pStyle w:val="3-BodyText"/>
      </w:pPr>
      <w:r w:rsidRPr="005728DD">
        <w:t xml:space="preserve">The most common mutation in </w:t>
      </w:r>
      <w:r w:rsidR="003F1AC1" w:rsidRPr="005728DD">
        <w:t>CF</w:t>
      </w:r>
      <w:r w:rsidRPr="005728DD">
        <w:t xml:space="preserve"> is </w:t>
      </w:r>
      <w:r w:rsidR="00DD0545" w:rsidRPr="005728DD">
        <w:t xml:space="preserve">the </w:t>
      </w:r>
      <w:r w:rsidRPr="005728DD">
        <w:t>F508del of the CFTR, present in at least one allele in approximately 90% of CF patients. The F508del mutation leads to an improperly folded CFTR protein and a disruption of the chloride channel opening leading to minimal CFTR chloride transport activity.</w:t>
      </w:r>
      <w:r w:rsidR="003F1AC1" w:rsidRPr="005728DD">
        <w:t xml:space="preserve"> </w:t>
      </w:r>
      <w:r w:rsidR="007477E3" w:rsidRPr="005728DD">
        <w:t>Patients with CF who have 2 alleles that result in complete or near complete loss of CFTR-mediated chloride transport (e.g., F508del, Class I mutations which make no CFTR protein, gating mutations such as G551D) demonstrate severe CF characterised by early onset and relatively rapid disease progression.</w:t>
      </w:r>
    </w:p>
    <w:p w:rsidR="007477E3" w:rsidRPr="005728DD" w:rsidRDefault="00604FBA" w:rsidP="005E5FA3">
      <w:pPr>
        <w:pStyle w:val="3-BodyText"/>
      </w:pPr>
      <w:r w:rsidRPr="005728DD">
        <w:t>Based on registry data from the ACFDR, 53.2% of CF patients</w:t>
      </w:r>
      <w:r w:rsidR="009D7B84" w:rsidRPr="005728DD">
        <w:t xml:space="preserve"> aged 12 years and older</w:t>
      </w:r>
      <w:r w:rsidRPr="005728DD">
        <w:t xml:space="preserve"> are homozygous for the F508del mutation in Australia (F/F). </w:t>
      </w:r>
    </w:p>
    <w:p w:rsidR="007477E3" w:rsidRPr="005728DD" w:rsidRDefault="007477E3" w:rsidP="005E5FA3">
      <w:pPr>
        <w:pStyle w:val="3-BodyText"/>
      </w:pPr>
      <w:r w:rsidRPr="005728DD">
        <w:t>Based on the registry data, 5.5% of CF patients aged 12 years and older with an F508del mutation have a r</w:t>
      </w:r>
      <w:r w:rsidR="00604FBA" w:rsidRPr="005728DD">
        <w:t xml:space="preserve">esidual function mutation (F/RF). These mutations result in reduced amounts of normal CFTR protein at the cell surface. RF mutations are also associated with a pneumopathy that is delayed in onset and is slower in progression than other forms of CF. </w:t>
      </w:r>
    </w:p>
    <w:p w:rsidR="007477E3" w:rsidRPr="005728DD" w:rsidRDefault="007477E3" w:rsidP="005E5FA3">
      <w:pPr>
        <w:pStyle w:val="3-BodyText"/>
      </w:pPr>
      <w:r w:rsidRPr="005728DD">
        <w:t>Based on the registry data, 7.5% of CF patients aged 12 years and older with an F508del mutation have a g</w:t>
      </w:r>
      <w:r w:rsidR="00604FBA" w:rsidRPr="005728DD">
        <w:t xml:space="preserve">ating mutation (F/G). These mutations result in CFTR proteins that reach the cell surface but are defective and fail to open and close properly, leading to reduced chloride transport. </w:t>
      </w:r>
    </w:p>
    <w:p w:rsidR="007477E3" w:rsidRPr="005728DD" w:rsidRDefault="007477E3" w:rsidP="005E5FA3">
      <w:pPr>
        <w:pStyle w:val="3-BodyText"/>
      </w:pPr>
      <w:r w:rsidRPr="005728DD">
        <w:t>Based on the registry data, 17.8% of CF patients aged 12 years and older with an F508del mutation have a m</w:t>
      </w:r>
      <w:r w:rsidR="00604FBA" w:rsidRPr="005728DD">
        <w:t>inimal function mutation (F/MF). These mutations are defined as either: (1) class 1 mutation that results in no CFTR protein, or (2) missense mutations which result in CFTR protein that does not transport chloride and is unresponsive to current PBS-listed CFTR modulators.</w:t>
      </w:r>
      <w:r w:rsidR="00DD0545" w:rsidRPr="005728DD">
        <w:t xml:space="preserve"> </w:t>
      </w:r>
    </w:p>
    <w:p w:rsidR="00545D6B" w:rsidRPr="005728DD" w:rsidRDefault="002672EE" w:rsidP="005E5FA3">
      <w:pPr>
        <w:pStyle w:val="3-BodyText"/>
      </w:pPr>
      <w:r w:rsidRPr="005728DD">
        <w:lastRenderedPageBreak/>
        <w:t>The submission stated t</w:t>
      </w:r>
      <w:r w:rsidR="003711E5" w:rsidRPr="005728DD">
        <w:t xml:space="preserve">he remaining cohort of CF patients </w:t>
      </w:r>
      <w:r w:rsidRPr="005728DD">
        <w:t xml:space="preserve">(16.8%) </w:t>
      </w:r>
      <w:r w:rsidR="003711E5" w:rsidRPr="005728DD">
        <w:t xml:space="preserve">are </w:t>
      </w:r>
      <w:r w:rsidR="004B24F8" w:rsidRPr="005728DD">
        <w:t>those</w:t>
      </w:r>
      <w:r w:rsidR="003711E5" w:rsidRPr="005728DD">
        <w:t xml:space="preserve"> with an F508del mutation and a second CF causing mutation that is unknown and/or has not yet been characterised as gating, RF or MF (F/not yet characterised).</w:t>
      </w:r>
      <w:r w:rsidRPr="005728DD">
        <w:t xml:space="preserve"> The PBAC considered the F/not yet characterised population </w:t>
      </w:r>
      <w:r w:rsidR="00162C15" w:rsidRPr="005728DD">
        <w:t xml:space="preserve">is not </w:t>
      </w:r>
      <w:r w:rsidRPr="005728DD">
        <w:t>a distinct patient population and for the purpose of calculating phenotype proportions within the F/any population should be considered as either F/MF, F/G or F</w:t>
      </w:r>
      <w:r w:rsidRPr="00C04D0B">
        <w:t xml:space="preserve">/RF (paragraph </w:t>
      </w:r>
      <w:r w:rsidR="003B48D4" w:rsidRPr="00C04D0B">
        <w:t>6.</w:t>
      </w:r>
      <w:r w:rsidR="008173AE" w:rsidRPr="00C04D0B">
        <w:t>6</w:t>
      </w:r>
      <w:r w:rsidR="006770EA" w:rsidRPr="00C04D0B">
        <w:t>8</w:t>
      </w:r>
      <w:r w:rsidRPr="00C04D0B">
        <w:t>).</w:t>
      </w:r>
      <w:r w:rsidR="008B5EF9" w:rsidRPr="005728DD">
        <w:t xml:space="preserve"> </w:t>
      </w:r>
    </w:p>
    <w:p w:rsidR="006C58E3" w:rsidRPr="00B14C0B" w:rsidRDefault="005E36AD" w:rsidP="00B14C0B">
      <w:pPr>
        <w:pStyle w:val="3-BodyText"/>
        <w:rPr>
          <w:b/>
        </w:rPr>
      </w:pPr>
      <w:r w:rsidRPr="005728DD">
        <w:rPr>
          <w:iCs/>
        </w:rPr>
        <w:t>Overall, the proposed treatment algorithms presented by the submission were reasonable</w:t>
      </w:r>
      <w:r w:rsidR="00D05148" w:rsidRPr="005728DD">
        <w:rPr>
          <w:iCs/>
        </w:rPr>
        <w:t xml:space="preserve"> (see </w:t>
      </w:r>
      <w:r w:rsidR="005C56C0" w:rsidRPr="005C56C0">
        <w:t>Figure</w:t>
      </w:r>
      <w:r w:rsidR="005C56C0" w:rsidRPr="009704CA">
        <w:rPr>
          <w:b/>
        </w:rPr>
        <w:t xml:space="preserve"> </w:t>
      </w:r>
      <w:r w:rsidR="005C56C0" w:rsidRPr="007728CB">
        <w:rPr>
          <w:noProof/>
        </w:rPr>
        <w:t>1</w:t>
      </w:r>
      <w:r w:rsidR="00D05148" w:rsidRPr="009704CA">
        <w:rPr>
          <w:iCs/>
        </w:rPr>
        <w:t>)</w:t>
      </w:r>
      <w:r w:rsidRPr="009704CA">
        <w:rPr>
          <w:iCs/>
        </w:rPr>
        <w:t xml:space="preserve">. However, </w:t>
      </w:r>
      <w:r w:rsidR="001C21EA" w:rsidRPr="009704CA">
        <w:rPr>
          <w:iCs/>
        </w:rPr>
        <w:t>the</w:t>
      </w:r>
      <w:r w:rsidRPr="009704CA">
        <w:rPr>
          <w:iCs/>
        </w:rPr>
        <w:t xml:space="preserve"> algorithm </w:t>
      </w:r>
      <w:r w:rsidR="00C1237A" w:rsidRPr="009704CA">
        <w:rPr>
          <w:iCs/>
        </w:rPr>
        <w:t>was</w:t>
      </w:r>
      <w:r w:rsidRPr="009704CA">
        <w:rPr>
          <w:iCs/>
        </w:rPr>
        <w:t xml:space="preserve"> only partly reflected in the evidence presented in </w:t>
      </w:r>
      <w:r w:rsidR="005B414C" w:rsidRPr="009704CA">
        <w:rPr>
          <w:iCs/>
        </w:rPr>
        <w:t>the submission</w:t>
      </w:r>
      <w:r w:rsidRPr="009704CA">
        <w:rPr>
          <w:iCs/>
        </w:rPr>
        <w:t xml:space="preserve"> which</w:t>
      </w:r>
      <w:r w:rsidR="005E5FA3" w:rsidRPr="009704CA">
        <w:rPr>
          <w:iCs/>
        </w:rPr>
        <w:t xml:space="preserve"> </w:t>
      </w:r>
      <w:r w:rsidR="001A190B" w:rsidRPr="009704CA">
        <w:rPr>
          <w:iCs/>
        </w:rPr>
        <w:t xml:space="preserve">included </w:t>
      </w:r>
      <w:r w:rsidRPr="009704CA">
        <w:rPr>
          <w:iCs/>
        </w:rPr>
        <w:t>only patients with moderate to mild lung function</w:t>
      </w:r>
      <w:r w:rsidR="001A190B" w:rsidRPr="009704CA">
        <w:rPr>
          <w:iCs/>
        </w:rPr>
        <w:t xml:space="preserve"> impairment</w:t>
      </w:r>
      <w:r w:rsidRPr="009704CA">
        <w:rPr>
          <w:iCs/>
        </w:rPr>
        <w:t>.</w:t>
      </w:r>
      <w:r w:rsidR="005B414C" w:rsidRPr="009704CA">
        <w:rPr>
          <w:iCs/>
        </w:rPr>
        <w:t xml:space="preserve"> </w:t>
      </w:r>
      <w:bookmarkStart w:id="10" w:name="_Ref64206672"/>
    </w:p>
    <w:p w:rsidR="00937388" w:rsidRPr="005728DD" w:rsidRDefault="002C5783" w:rsidP="00937388">
      <w:pPr>
        <w:pStyle w:val="TableText0"/>
        <w:rPr>
          <w:b/>
          <w:bCs w:val="0"/>
        </w:rPr>
      </w:pPr>
      <w:r w:rsidRPr="005728DD">
        <w:rPr>
          <w:b/>
        </w:rPr>
        <w:t xml:space="preserve">Figure </w:t>
      </w:r>
      <w:r w:rsidR="005C56C0">
        <w:rPr>
          <w:b/>
          <w:noProof/>
        </w:rPr>
        <w:t>1</w:t>
      </w:r>
      <w:bookmarkEnd w:id="10"/>
      <w:r w:rsidR="00E1386C" w:rsidRPr="005728DD">
        <w:t>:</w:t>
      </w:r>
      <w:r w:rsidR="00E1386C" w:rsidRPr="005728DD">
        <w:rPr>
          <w:b/>
          <w:bCs w:val="0"/>
        </w:rPr>
        <w:t xml:space="preserve"> Proposed</w:t>
      </w:r>
      <w:r w:rsidR="00937388" w:rsidRPr="005728DD">
        <w:rPr>
          <w:b/>
          <w:bCs w:val="0"/>
        </w:rPr>
        <w:t xml:space="preserve"> clinical management algorithm for CF patients who have at least one CFTR mutation</w:t>
      </w:r>
    </w:p>
    <w:p w:rsidR="00937388" w:rsidRPr="005728DD" w:rsidRDefault="00937388" w:rsidP="006939E2">
      <w:r w:rsidRPr="005728DD">
        <w:rPr>
          <w:noProof/>
        </w:rPr>
        <w:drawing>
          <wp:inline distT="0" distB="0" distL="0" distR="0" wp14:anchorId="13F3C32B" wp14:editId="66953267">
            <wp:extent cx="5571640" cy="2332747"/>
            <wp:effectExtent l="12700" t="12700" r="16510" b="17145"/>
            <wp:docPr id="2" name="Picture 2"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diagram, application&#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47475"/>
                    <a:stretch/>
                  </pic:blipFill>
                  <pic:spPr bwMode="auto">
                    <a:xfrm>
                      <a:off x="0" y="0"/>
                      <a:ext cx="5583810" cy="2337842"/>
                    </a:xfrm>
                    <a:prstGeom prst="rect">
                      <a:avLst/>
                    </a:prstGeom>
                    <a:noFill/>
                    <a:ln w="9525" cap="flat" cmpd="sng" algn="ctr">
                      <a:solidFill>
                        <a:srgbClr val="000000"/>
                      </a:solidFill>
                      <a:prstDash val="solid"/>
                      <a:miter lim="800000"/>
                      <a:headEnd type="none" w="med" len="med"/>
                      <a:tailEnd type="none" w="med" len="med"/>
                      <a:extLst>
                        <a:ext uri="{C807C97D-BFC1-408E-A445-0C87EB9F89A2}">
                          <ask:lineSketchStyleProps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inline>
        </w:drawing>
      </w:r>
    </w:p>
    <w:p w:rsidR="00E11C01" w:rsidRPr="005728DD" w:rsidRDefault="00B14C0B" w:rsidP="00E11C01">
      <w:pPr>
        <w:pStyle w:val="TableText0"/>
        <w:rPr>
          <w:sz w:val="18"/>
          <w:szCs w:val="18"/>
        </w:rPr>
      </w:pPr>
      <w:r>
        <w:rPr>
          <w:sz w:val="18"/>
          <w:szCs w:val="18"/>
        </w:rPr>
        <w:t>Source: Figure 1.2.1</w:t>
      </w:r>
      <w:r w:rsidR="00E11C01" w:rsidRPr="005728DD">
        <w:rPr>
          <w:sz w:val="18"/>
          <w:szCs w:val="18"/>
        </w:rPr>
        <w:t xml:space="preserve"> of the submission.</w:t>
      </w:r>
    </w:p>
    <w:p w:rsidR="006939E2" w:rsidRPr="005728DD" w:rsidRDefault="006939E2" w:rsidP="006939E2">
      <w:pPr>
        <w:pStyle w:val="TableText0"/>
        <w:rPr>
          <w:sz w:val="18"/>
          <w:szCs w:val="18"/>
        </w:rPr>
      </w:pPr>
      <w:r w:rsidRPr="005728DD">
        <w:rPr>
          <w:sz w:val="18"/>
          <w:szCs w:val="18"/>
        </w:rPr>
        <w:t xml:space="preserve">Abbreviations: BSC = best supportive care; CF = cystic fibrosis; CFTR = CF transmembrane conductance regulator; ELX/TEZ/IVA = elexacaftor/tezacaftor/ivacaftor; F/F = CF patients homozygous for the F508del-CFTR mutation; F/MF = CF patients heterozygous for the F508del in the CFTR gene with a MF mutation; LUM/IVA = lumacaftor/ivacaftor; MF = minimal function; TEZ/IVA = tezacaftor/ivacaftor </w:t>
      </w:r>
    </w:p>
    <w:p w:rsidR="006939E2" w:rsidRPr="005728DD" w:rsidRDefault="006939E2" w:rsidP="006939E2">
      <w:pPr>
        <w:pStyle w:val="TableText0"/>
        <w:rPr>
          <w:sz w:val="18"/>
          <w:szCs w:val="18"/>
        </w:rPr>
      </w:pPr>
      <w:r w:rsidRPr="005728DD">
        <w:rPr>
          <w:sz w:val="18"/>
          <w:szCs w:val="18"/>
        </w:rPr>
        <w:t xml:space="preserve">Notes: </w:t>
      </w:r>
      <w:r w:rsidRPr="005728DD">
        <w:rPr>
          <w:sz w:val="18"/>
          <w:szCs w:val="18"/>
          <w:vertAlign w:val="superscript"/>
        </w:rPr>
        <w:t xml:space="preserve">a </w:t>
      </w:r>
      <w:r w:rsidRPr="005728DD">
        <w:rPr>
          <w:sz w:val="18"/>
          <w:szCs w:val="18"/>
        </w:rPr>
        <w:t>residual mutation includes P67L, D110H, R117C, L206W, R352Q, A455E, D579G, 711+3A→G, S945L, S977F, R1070W, D1152H, 2789+5G→A, 3272-26A→G, and 3849+10kbC→T</w:t>
      </w:r>
    </w:p>
    <w:p w:rsidR="006939E2" w:rsidRPr="005728DD" w:rsidRDefault="006939E2" w:rsidP="006939E2">
      <w:pPr>
        <w:pStyle w:val="TableText0"/>
        <w:rPr>
          <w:sz w:val="18"/>
          <w:szCs w:val="18"/>
        </w:rPr>
      </w:pPr>
      <w:r w:rsidRPr="005728DD">
        <w:rPr>
          <w:sz w:val="18"/>
          <w:szCs w:val="18"/>
          <w:vertAlign w:val="superscript"/>
        </w:rPr>
        <w:t>b</w:t>
      </w:r>
      <w:r w:rsidRPr="005728DD">
        <w:rPr>
          <w:sz w:val="18"/>
          <w:szCs w:val="18"/>
        </w:rPr>
        <w:t xml:space="preserve"> Mutations that 1) produce no CFTR protein production or 2) are unresponsive to CFTR modulators, including TEZ, IVA or a combination of TEZ/IVA, in vitro are classified as “minimal function” mutations. This cohort also includes patients whose second allele is yet to </w:t>
      </w:r>
      <w:r w:rsidR="00D05148" w:rsidRPr="005728DD">
        <w:rPr>
          <w:sz w:val="18"/>
          <w:szCs w:val="18"/>
        </w:rPr>
        <w:t xml:space="preserve">be </w:t>
      </w:r>
      <w:r w:rsidRPr="005728DD">
        <w:rPr>
          <w:sz w:val="18"/>
          <w:szCs w:val="18"/>
        </w:rPr>
        <w:t>characterised (F/Not yet characterised patients)</w:t>
      </w:r>
    </w:p>
    <w:p w:rsidR="00487614" w:rsidRPr="005728DD" w:rsidRDefault="00487614" w:rsidP="00487614">
      <w:pPr>
        <w:tabs>
          <w:tab w:val="center" w:pos="4153"/>
          <w:tab w:val="right" w:pos="8306"/>
        </w:tabs>
        <w:autoSpaceDE w:val="0"/>
        <w:autoSpaceDN w:val="0"/>
        <w:adjustRightInd w:val="0"/>
        <w:spacing w:after="120"/>
        <w:ind w:firstLine="709"/>
        <w:rPr>
          <w:rFonts w:ascii="Times New Roman" w:hAnsi="Times New Roman" w:cs="Times New Roman"/>
          <w:i/>
          <w:iCs/>
        </w:rPr>
      </w:pPr>
      <w:bookmarkStart w:id="11" w:name="_Toc62035727"/>
    </w:p>
    <w:p w:rsidR="00487614" w:rsidRPr="005728DD" w:rsidRDefault="00487614" w:rsidP="00487614">
      <w:pPr>
        <w:tabs>
          <w:tab w:val="center" w:pos="4153"/>
          <w:tab w:val="right" w:pos="8306"/>
        </w:tabs>
        <w:autoSpaceDE w:val="0"/>
        <w:autoSpaceDN w:val="0"/>
        <w:adjustRightInd w:val="0"/>
        <w:spacing w:after="120"/>
        <w:ind w:firstLine="709"/>
        <w:rPr>
          <w:rFonts w:asciiTheme="minorHAnsi" w:hAnsiTheme="minorHAnsi" w:cstheme="minorHAnsi"/>
          <w:i/>
          <w:iCs/>
        </w:rPr>
      </w:pPr>
      <w:r w:rsidRPr="005728DD">
        <w:rPr>
          <w:rFonts w:asciiTheme="minorHAnsi" w:hAnsiTheme="minorHAnsi" w:cstheme="minorHAnsi"/>
          <w:i/>
          <w:iCs/>
        </w:rPr>
        <w:t>For more detail on the PBAC’s view, see section 7 PBAC outcome.</w:t>
      </w:r>
    </w:p>
    <w:p w:rsidR="001F49A3" w:rsidRPr="005728DD" w:rsidRDefault="001F49A3" w:rsidP="001F49A3">
      <w:pPr>
        <w:pStyle w:val="2-SectionHeading"/>
      </w:pPr>
      <w:r w:rsidRPr="005728DD">
        <w:t>Comparator</w:t>
      </w:r>
      <w:bookmarkEnd w:id="11"/>
    </w:p>
    <w:p w:rsidR="009038A0" w:rsidRPr="005728DD" w:rsidRDefault="001F49A3" w:rsidP="009038A0">
      <w:pPr>
        <w:pStyle w:val="3-BodyText"/>
      </w:pPr>
      <w:r w:rsidRPr="005728DD">
        <w:t xml:space="preserve">The comparators nominated by the submission </w:t>
      </w:r>
      <w:r w:rsidR="0029442C" w:rsidRPr="005728DD">
        <w:t xml:space="preserve">were </w:t>
      </w:r>
      <w:r w:rsidR="005B414C" w:rsidRPr="005728DD">
        <w:t xml:space="preserve">(1) </w:t>
      </w:r>
      <w:r w:rsidRPr="005728DD">
        <w:t>TEZ/IVA</w:t>
      </w:r>
      <w:r w:rsidR="0058326D" w:rsidRPr="005728DD">
        <w:t xml:space="preserve"> for </w:t>
      </w:r>
      <w:r w:rsidR="00DD0545" w:rsidRPr="005728DD">
        <w:t xml:space="preserve">the </w:t>
      </w:r>
      <w:r w:rsidR="0058326D" w:rsidRPr="005728DD">
        <w:t>F/F</w:t>
      </w:r>
      <w:r w:rsidR="008951A8" w:rsidRPr="005728DD">
        <w:t xml:space="preserve"> population</w:t>
      </w:r>
      <w:r w:rsidR="005B414C" w:rsidRPr="005728DD">
        <w:t xml:space="preserve"> (2) TEZ/ IVA for </w:t>
      </w:r>
      <w:r w:rsidR="008951A8" w:rsidRPr="005728DD">
        <w:t xml:space="preserve">the </w:t>
      </w:r>
      <w:r w:rsidR="0058326D" w:rsidRPr="005728DD">
        <w:t xml:space="preserve">F/RF </w:t>
      </w:r>
      <w:r w:rsidR="008951A8" w:rsidRPr="005728DD">
        <w:t xml:space="preserve">population </w:t>
      </w:r>
      <w:r w:rsidR="005B414C" w:rsidRPr="005728DD">
        <w:t xml:space="preserve">(3) IVA </w:t>
      </w:r>
      <w:r w:rsidR="0058326D" w:rsidRPr="005728DD">
        <w:t xml:space="preserve">for </w:t>
      </w:r>
      <w:r w:rsidR="008951A8" w:rsidRPr="005728DD">
        <w:t xml:space="preserve">the </w:t>
      </w:r>
      <w:r w:rsidR="0058326D" w:rsidRPr="005728DD">
        <w:t>F/G</w:t>
      </w:r>
      <w:r w:rsidR="008951A8" w:rsidRPr="005728DD">
        <w:t xml:space="preserve"> population</w:t>
      </w:r>
      <w:r w:rsidR="009038A0" w:rsidRPr="005728DD">
        <w:t xml:space="preserve"> </w:t>
      </w:r>
      <w:r w:rsidRPr="005728DD">
        <w:t xml:space="preserve">and </w:t>
      </w:r>
      <w:r w:rsidR="005B414C" w:rsidRPr="005728DD">
        <w:t xml:space="preserve">(4) </w:t>
      </w:r>
      <w:r w:rsidRPr="005728DD">
        <w:t xml:space="preserve">BSC for </w:t>
      </w:r>
      <w:r w:rsidR="008951A8" w:rsidRPr="005728DD">
        <w:t xml:space="preserve">the </w:t>
      </w:r>
      <w:r w:rsidR="0058326D" w:rsidRPr="005728DD">
        <w:t>F/MF</w:t>
      </w:r>
      <w:r w:rsidR="008951A8" w:rsidRPr="005728DD">
        <w:t xml:space="preserve"> population</w:t>
      </w:r>
      <w:r w:rsidRPr="005728DD">
        <w:t>.</w:t>
      </w:r>
      <w:r w:rsidR="00DD0545" w:rsidRPr="005728DD">
        <w:t xml:space="preserve"> The submission nominated these comparators on the basis that these were the current treatments for the F/F, F/RF and F/G patient groups, while F/MF patients are currently not receiving CFTR directed therapy and therefore receive BSC.</w:t>
      </w:r>
      <w:r w:rsidRPr="005728DD">
        <w:t xml:space="preserve"> </w:t>
      </w:r>
    </w:p>
    <w:p w:rsidR="001F49A3" w:rsidRPr="005728DD" w:rsidRDefault="001F49A3" w:rsidP="001F49A3">
      <w:pPr>
        <w:pStyle w:val="2-SectionHeading"/>
      </w:pPr>
      <w:bookmarkStart w:id="12" w:name="_Toc62035728"/>
      <w:bookmarkStart w:id="13" w:name="_Toc22897640"/>
      <w:r w:rsidRPr="005728DD">
        <w:lastRenderedPageBreak/>
        <w:t>Consideration of the evidence</w:t>
      </w:r>
      <w:bookmarkEnd w:id="12"/>
    </w:p>
    <w:p w:rsidR="00AE4050" w:rsidRPr="005728DD" w:rsidRDefault="00AE4050" w:rsidP="00AE4050">
      <w:pPr>
        <w:pStyle w:val="4-SubsectionHeading"/>
      </w:pPr>
      <w:bookmarkStart w:id="14" w:name="_Toc62035729"/>
      <w:r w:rsidRPr="005728DD">
        <w:t>Sponsor hearing</w:t>
      </w:r>
    </w:p>
    <w:p w:rsidR="00AE4050" w:rsidRPr="005728DD" w:rsidRDefault="0081737A" w:rsidP="0081737A">
      <w:pPr>
        <w:pStyle w:val="3-BodyText"/>
      </w:pPr>
      <w:r w:rsidRPr="005728DD">
        <w:rPr>
          <w:snapToGrid/>
        </w:rPr>
        <w:t>The sponsor requested a hearing for this item.</w:t>
      </w:r>
      <w:r w:rsidR="008B5EF9" w:rsidRPr="005728DD">
        <w:rPr>
          <w:snapToGrid/>
        </w:rPr>
        <w:t xml:space="preserve"> </w:t>
      </w:r>
      <w:r w:rsidRPr="005728DD">
        <w:rPr>
          <w:snapToGrid/>
        </w:rPr>
        <w:t>The clinician discussed their experience with ELX/TEZ/IVA and highlighted the significant benefit they have observed in patients being treated with ELX/TEZ/IVA. The clinician noted ELX/TEZ/IVA improved lung function, reduced hospitalisation, improved quality of life and delayed the need for lung transplant in some patients. For patients with residual function mutations, the clinician stated that although the ppFEV</w:t>
      </w:r>
      <w:r w:rsidRPr="00CB1BA3">
        <w:rPr>
          <w:snapToGrid/>
          <w:vertAlign w:val="subscript"/>
        </w:rPr>
        <w:t>1</w:t>
      </w:r>
      <w:r w:rsidRPr="005728DD">
        <w:rPr>
          <w:snapToGrid/>
        </w:rPr>
        <w:t xml:space="preserve"> gain observed in the clinical trial could be considered small, the benefit of ELX/TEZ/IVA in this population was still </w:t>
      </w:r>
      <w:r w:rsidR="00643F0E">
        <w:rPr>
          <w:snapToGrid/>
        </w:rPr>
        <w:t>clinically important</w:t>
      </w:r>
      <w:r w:rsidRPr="005728DD">
        <w:rPr>
          <w:snapToGrid/>
        </w:rPr>
        <w:t>.</w:t>
      </w:r>
      <w:r w:rsidR="008B5EF9" w:rsidRPr="005728DD">
        <w:rPr>
          <w:snapToGrid/>
        </w:rPr>
        <w:t xml:space="preserve"> </w:t>
      </w:r>
    </w:p>
    <w:p w:rsidR="00AE4050" w:rsidRPr="005728DD" w:rsidRDefault="00AE4050" w:rsidP="00AE4050">
      <w:pPr>
        <w:pStyle w:val="4-SubsectionHeading"/>
      </w:pPr>
      <w:r w:rsidRPr="005728DD">
        <w:t>Consumer comments</w:t>
      </w:r>
    </w:p>
    <w:p w:rsidR="006770EA" w:rsidRDefault="00BD609A" w:rsidP="006770EA">
      <w:pPr>
        <w:pStyle w:val="3-BodyText"/>
        <w:rPr>
          <w:snapToGrid/>
        </w:rPr>
      </w:pPr>
      <w:r w:rsidRPr="005728DD">
        <w:rPr>
          <w:snapToGrid/>
        </w:rPr>
        <w:t>The PBAC noted the input from individuals (2,398), health care professionals (26) and organisations</w:t>
      </w:r>
      <w:r w:rsidR="006770EA">
        <w:rPr>
          <w:snapToGrid/>
        </w:rPr>
        <w:t>/ groups</w:t>
      </w:r>
      <w:r w:rsidRPr="005728DD">
        <w:rPr>
          <w:snapToGrid/>
        </w:rPr>
        <w:t xml:space="preserve"> (</w:t>
      </w:r>
      <w:r w:rsidR="006770EA">
        <w:rPr>
          <w:snapToGrid/>
        </w:rPr>
        <w:t>3</w:t>
      </w:r>
      <w:r w:rsidRPr="005728DD">
        <w:rPr>
          <w:snapToGrid/>
        </w:rPr>
        <w:t>) via the Consumer Comments facility on the PBS website.</w:t>
      </w:r>
      <w:r w:rsidR="008B5EF9" w:rsidRPr="005728DD">
        <w:rPr>
          <w:snapToGrid/>
        </w:rPr>
        <w:t xml:space="preserve"> </w:t>
      </w:r>
      <w:r w:rsidRPr="005728DD">
        <w:rPr>
          <w:snapToGrid/>
        </w:rPr>
        <w:t xml:space="preserve">Of the comments from individuals, the PBAC noted 55 were from individuals living with CF with direct experience of using ELX/TEZ/IVA, 94 were from </w:t>
      </w:r>
      <w:r w:rsidR="00E676CB">
        <w:rPr>
          <w:snapToGrid/>
        </w:rPr>
        <w:t>adults</w:t>
      </w:r>
      <w:r w:rsidR="00E676CB" w:rsidRPr="005728DD">
        <w:rPr>
          <w:snapToGrid/>
        </w:rPr>
        <w:t xml:space="preserve"> </w:t>
      </w:r>
      <w:r w:rsidRPr="005728DD">
        <w:rPr>
          <w:snapToGrid/>
        </w:rPr>
        <w:t>living with CF who would like access to ELX/TEZ/IVA, 281 were from parents of children living with CF who wanted access to ELX/TEZ/IVA for their child</w:t>
      </w:r>
      <w:r w:rsidR="006770EA">
        <w:rPr>
          <w:snapToGrid/>
        </w:rPr>
        <w:t xml:space="preserve">. </w:t>
      </w:r>
      <w:r w:rsidR="00E676CB">
        <w:rPr>
          <w:snapToGrid/>
        </w:rPr>
        <w:t>T</w:t>
      </w:r>
      <w:r w:rsidRPr="005728DD">
        <w:rPr>
          <w:snapToGrid/>
        </w:rPr>
        <w:t xml:space="preserve">he remainder </w:t>
      </w:r>
      <w:r w:rsidR="00E676CB">
        <w:rPr>
          <w:snapToGrid/>
        </w:rPr>
        <w:t xml:space="preserve">of the comments </w:t>
      </w:r>
      <w:r w:rsidRPr="005728DD">
        <w:rPr>
          <w:snapToGrid/>
        </w:rPr>
        <w:t xml:space="preserve">were from family members and friends of people living with CF and other interested individuals. </w:t>
      </w:r>
      <w:r w:rsidR="006770EA" w:rsidRPr="006770EA">
        <w:rPr>
          <w:snapToGrid/>
        </w:rPr>
        <w:t xml:space="preserve">Cystic Fibrosis Australia (CFA), an online patient support group and Australian Cystic Fibrosis Centre Directors (ACFCD) provided written input.  </w:t>
      </w:r>
    </w:p>
    <w:p w:rsidR="00BD609A" w:rsidRPr="005728DD" w:rsidRDefault="00BD609A" w:rsidP="00BD609A">
      <w:pPr>
        <w:pStyle w:val="3-BodyText"/>
        <w:rPr>
          <w:snapToGrid/>
        </w:rPr>
      </w:pPr>
      <w:r w:rsidRPr="005728DD">
        <w:rPr>
          <w:snapToGrid/>
        </w:rPr>
        <w:t xml:space="preserve">The </w:t>
      </w:r>
      <w:r w:rsidR="006770EA">
        <w:rPr>
          <w:snapToGrid/>
        </w:rPr>
        <w:t xml:space="preserve">PBAC noted </w:t>
      </w:r>
      <w:r w:rsidRPr="005728DD">
        <w:rPr>
          <w:snapToGrid/>
        </w:rPr>
        <w:t xml:space="preserve">comments </w:t>
      </w:r>
      <w:r w:rsidR="00E676CB">
        <w:rPr>
          <w:snapToGrid/>
        </w:rPr>
        <w:t xml:space="preserve">from the online patient support group, and those living with, or supporting someone with CF, </w:t>
      </w:r>
      <w:r w:rsidRPr="005728DD">
        <w:rPr>
          <w:snapToGrid/>
        </w:rPr>
        <w:t>described a range of benefits of treatment with ELX/TEZ/IVA, including improvement in lung function, reduction in chest infections and exacerbations, weight gain, fewer hospital visits, reduced use of other interventions and improvement in quality of life.</w:t>
      </w:r>
      <w:r w:rsidR="008B5EF9" w:rsidRPr="005728DD">
        <w:rPr>
          <w:snapToGrid/>
        </w:rPr>
        <w:t xml:space="preserve"> </w:t>
      </w:r>
      <w:r w:rsidRPr="005728DD">
        <w:rPr>
          <w:snapToGrid/>
        </w:rPr>
        <w:t>A number of comments emphasise</w:t>
      </w:r>
      <w:r w:rsidR="00CB1BA3">
        <w:rPr>
          <w:snapToGrid/>
        </w:rPr>
        <w:t>d</w:t>
      </w:r>
      <w:r w:rsidRPr="005728DD">
        <w:rPr>
          <w:snapToGrid/>
        </w:rPr>
        <w:t xml:space="preserve"> the importance of the availability of ELX/TEZ/IVA for CF patients that are not able to access other CFTR modulators.</w:t>
      </w:r>
      <w:r w:rsidR="008B5EF9" w:rsidRPr="005728DD">
        <w:rPr>
          <w:snapToGrid/>
        </w:rPr>
        <w:t xml:space="preserve"> </w:t>
      </w:r>
    </w:p>
    <w:p w:rsidR="00AE4050" w:rsidRPr="005728DD" w:rsidRDefault="00BD609A" w:rsidP="00BD609A">
      <w:pPr>
        <w:pStyle w:val="3-BodyText"/>
        <w:rPr>
          <w:snapToGrid/>
        </w:rPr>
      </w:pPr>
      <w:r w:rsidRPr="005728DD">
        <w:rPr>
          <w:snapToGrid/>
        </w:rPr>
        <w:t>The PBAC noted the advice received from CFA</w:t>
      </w:r>
      <w:r w:rsidR="006770EA">
        <w:rPr>
          <w:snapToGrid/>
        </w:rPr>
        <w:t xml:space="preserve"> and ACFCD </w:t>
      </w:r>
      <w:r w:rsidRPr="005728DD">
        <w:rPr>
          <w:snapToGrid/>
        </w:rPr>
        <w:t>which w</w:t>
      </w:r>
      <w:r w:rsidR="006770EA">
        <w:rPr>
          <w:snapToGrid/>
        </w:rPr>
        <w:t>ere</w:t>
      </w:r>
      <w:r w:rsidRPr="005728DD">
        <w:rPr>
          <w:snapToGrid/>
        </w:rPr>
        <w:t xml:space="preserve"> strongly supportive of making ELX/TEZ/IVA available for CF patients as soon as possible. </w:t>
      </w:r>
      <w:r w:rsidR="006770EA">
        <w:rPr>
          <w:snapToGrid/>
        </w:rPr>
        <w:t xml:space="preserve">Both groups </w:t>
      </w:r>
      <w:r w:rsidRPr="005728DD">
        <w:rPr>
          <w:snapToGrid/>
        </w:rPr>
        <w:t>stated ELX/TEZ/IVA significantly reduces pulmonary exacerbations, reduces hospitalisation and antibiotic use and can prevent permanent, irreversible lung damage.</w:t>
      </w:r>
    </w:p>
    <w:p w:rsidR="001F49A3" w:rsidRPr="005728DD" w:rsidRDefault="001F49A3" w:rsidP="001F49A3">
      <w:pPr>
        <w:pStyle w:val="4-SubsectionHeading"/>
      </w:pPr>
      <w:r w:rsidRPr="005728DD">
        <w:t>Clinical trials</w:t>
      </w:r>
      <w:bookmarkEnd w:id="13"/>
      <w:bookmarkEnd w:id="14"/>
    </w:p>
    <w:p w:rsidR="005B414C" w:rsidRPr="005728DD" w:rsidRDefault="001F49A3" w:rsidP="001F49A3">
      <w:pPr>
        <w:pStyle w:val="3-BodyText"/>
        <w:rPr>
          <w:snapToGrid/>
        </w:rPr>
      </w:pPr>
      <w:r w:rsidRPr="005728DD">
        <w:rPr>
          <w:snapToGrid/>
        </w:rPr>
        <w:t>The submission was based on</w:t>
      </w:r>
      <w:r w:rsidR="004749D8" w:rsidRPr="005728DD">
        <w:rPr>
          <w:snapToGrid/>
        </w:rPr>
        <w:t xml:space="preserve"> </w:t>
      </w:r>
      <w:r w:rsidR="0029442C" w:rsidRPr="005728DD">
        <w:rPr>
          <w:snapToGrid/>
        </w:rPr>
        <w:t xml:space="preserve">the following </w:t>
      </w:r>
      <w:r w:rsidR="004749D8" w:rsidRPr="005728DD">
        <w:rPr>
          <w:snapToGrid/>
        </w:rPr>
        <w:t xml:space="preserve">four </w:t>
      </w:r>
      <w:r w:rsidR="00C504FF" w:rsidRPr="005728DD">
        <w:rPr>
          <w:snapToGrid/>
        </w:rPr>
        <w:t>key</w:t>
      </w:r>
      <w:r w:rsidR="004749D8" w:rsidRPr="005728DD">
        <w:rPr>
          <w:snapToGrid/>
        </w:rPr>
        <w:t xml:space="preserve"> </w:t>
      </w:r>
      <w:r w:rsidR="00FF3337" w:rsidRPr="005728DD">
        <w:rPr>
          <w:snapToGrid/>
        </w:rPr>
        <w:t>trials</w:t>
      </w:r>
      <w:r w:rsidR="005B414C" w:rsidRPr="005728DD">
        <w:rPr>
          <w:snapToGrid/>
        </w:rPr>
        <w:t>:</w:t>
      </w:r>
    </w:p>
    <w:p w:rsidR="005B414C" w:rsidRPr="005728DD" w:rsidRDefault="001F49A3" w:rsidP="00A0357E">
      <w:pPr>
        <w:pStyle w:val="3-BodyText"/>
        <w:numPr>
          <w:ilvl w:val="0"/>
          <w:numId w:val="21"/>
        </w:numPr>
        <w:rPr>
          <w:snapToGrid/>
        </w:rPr>
      </w:pPr>
      <w:r w:rsidRPr="005728DD">
        <w:rPr>
          <w:snapToGrid/>
        </w:rPr>
        <w:t xml:space="preserve"> two head-to-head trials comparing ELX/TEZ/IVA to TEZ/IVA in </w:t>
      </w:r>
      <w:r w:rsidR="008951A8" w:rsidRPr="005728DD">
        <w:rPr>
          <w:snapToGrid/>
        </w:rPr>
        <w:t xml:space="preserve">the </w:t>
      </w:r>
      <w:r w:rsidRPr="005728DD">
        <w:rPr>
          <w:snapToGrid/>
        </w:rPr>
        <w:t>F/F</w:t>
      </w:r>
      <w:r w:rsidR="008951A8" w:rsidRPr="005728DD">
        <w:rPr>
          <w:snapToGrid/>
        </w:rPr>
        <w:t xml:space="preserve"> population</w:t>
      </w:r>
      <w:r w:rsidRPr="005728DD">
        <w:rPr>
          <w:snapToGrid/>
        </w:rPr>
        <w:t xml:space="preserve"> </w:t>
      </w:r>
      <w:r w:rsidR="00FF3337" w:rsidRPr="005728DD">
        <w:rPr>
          <w:snapToGrid/>
        </w:rPr>
        <w:t>(</w:t>
      </w:r>
      <w:r w:rsidRPr="005728DD">
        <w:rPr>
          <w:snapToGrid/>
        </w:rPr>
        <w:t>Study 103</w:t>
      </w:r>
      <w:r w:rsidR="00FF3337" w:rsidRPr="005728DD">
        <w:rPr>
          <w:snapToGrid/>
        </w:rPr>
        <w:t xml:space="preserve">; </w:t>
      </w:r>
      <w:r w:rsidRPr="005728DD">
        <w:rPr>
          <w:snapToGrid/>
        </w:rPr>
        <w:t>N = 108 and Study 109</w:t>
      </w:r>
      <w:r w:rsidR="00FF3337" w:rsidRPr="005728DD">
        <w:rPr>
          <w:snapToGrid/>
        </w:rPr>
        <w:t>;</w:t>
      </w:r>
      <w:r w:rsidRPr="005728DD">
        <w:rPr>
          <w:snapToGrid/>
        </w:rPr>
        <w:t xml:space="preserve"> N = 176); </w:t>
      </w:r>
    </w:p>
    <w:p w:rsidR="005B414C" w:rsidRPr="005728DD" w:rsidRDefault="001F49A3" w:rsidP="00A0357E">
      <w:pPr>
        <w:pStyle w:val="3-BodyText"/>
        <w:numPr>
          <w:ilvl w:val="0"/>
          <w:numId w:val="21"/>
        </w:numPr>
        <w:rPr>
          <w:snapToGrid/>
        </w:rPr>
      </w:pPr>
      <w:r w:rsidRPr="005728DD">
        <w:rPr>
          <w:snapToGrid/>
        </w:rPr>
        <w:t xml:space="preserve">one head-to-head trial comparing ELX/TEZ/IVA to TEZ/IVA in </w:t>
      </w:r>
      <w:r w:rsidR="008951A8" w:rsidRPr="005728DD">
        <w:rPr>
          <w:snapToGrid/>
        </w:rPr>
        <w:t xml:space="preserve">the </w:t>
      </w:r>
      <w:r w:rsidRPr="005728DD">
        <w:rPr>
          <w:snapToGrid/>
        </w:rPr>
        <w:t>F/RF</w:t>
      </w:r>
      <w:r w:rsidR="00D00CB3" w:rsidRPr="005728DD">
        <w:rPr>
          <w:snapToGrid/>
        </w:rPr>
        <w:t xml:space="preserve"> </w:t>
      </w:r>
      <w:r w:rsidR="008951A8" w:rsidRPr="005728DD">
        <w:rPr>
          <w:snapToGrid/>
        </w:rPr>
        <w:t xml:space="preserve">population </w:t>
      </w:r>
      <w:r w:rsidR="00D00CB3" w:rsidRPr="005728DD">
        <w:rPr>
          <w:snapToGrid/>
        </w:rPr>
        <w:t>(</w:t>
      </w:r>
      <w:r w:rsidR="00346FE2" w:rsidRPr="005728DD">
        <w:rPr>
          <w:snapToGrid/>
        </w:rPr>
        <w:t xml:space="preserve">subgroup of </w:t>
      </w:r>
      <w:r w:rsidRPr="005728DD">
        <w:rPr>
          <w:snapToGrid/>
        </w:rPr>
        <w:t>Study 104</w:t>
      </w:r>
      <w:r w:rsidR="00D00CB3" w:rsidRPr="005728DD">
        <w:rPr>
          <w:snapToGrid/>
        </w:rPr>
        <w:t xml:space="preserve">; </w:t>
      </w:r>
      <w:r w:rsidRPr="005728DD">
        <w:rPr>
          <w:snapToGrid/>
        </w:rPr>
        <w:t xml:space="preserve">N = </w:t>
      </w:r>
      <w:r w:rsidR="00AE70DC" w:rsidRPr="005728DD">
        <w:rPr>
          <w:snapToGrid/>
        </w:rPr>
        <w:t>164</w:t>
      </w:r>
      <w:r w:rsidR="00492DBB" w:rsidRPr="005728DD">
        <w:rPr>
          <w:snapToGrid/>
        </w:rPr>
        <w:t>)</w:t>
      </w:r>
      <w:r w:rsidRPr="005728DD">
        <w:rPr>
          <w:snapToGrid/>
        </w:rPr>
        <w:t xml:space="preserve">; </w:t>
      </w:r>
    </w:p>
    <w:p w:rsidR="00346FE2" w:rsidRPr="005728DD" w:rsidRDefault="00346FE2" w:rsidP="00A0357E">
      <w:pPr>
        <w:pStyle w:val="3-BodyText"/>
        <w:numPr>
          <w:ilvl w:val="0"/>
          <w:numId w:val="21"/>
        </w:numPr>
        <w:rPr>
          <w:snapToGrid/>
        </w:rPr>
      </w:pPr>
      <w:r w:rsidRPr="005728DD">
        <w:rPr>
          <w:snapToGrid/>
        </w:rPr>
        <w:lastRenderedPageBreak/>
        <w:t>one head-to-head trial comparing ELX/TEZ/IVA to</w:t>
      </w:r>
      <w:r w:rsidR="008951A8" w:rsidRPr="005728DD">
        <w:rPr>
          <w:snapToGrid/>
        </w:rPr>
        <w:t xml:space="preserve"> IVA</w:t>
      </w:r>
      <w:r w:rsidRPr="005728DD">
        <w:rPr>
          <w:snapToGrid/>
        </w:rPr>
        <w:t xml:space="preserve"> in </w:t>
      </w:r>
      <w:r w:rsidR="008951A8" w:rsidRPr="005728DD">
        <w:rPr>
          <w:snapToGrid/>
        </w:rPr>
        <w:t xml:space="preserve">the </w:t>
      </w:r>
      <w:r w:rsidRPr="005728DD">
        <w:rPr>
          <w:snapToGrid/>
        </w:rPr>
        <w:t xml:space="preserve">F/G </w:t>
      </w:r>
      <w:r w:rsidR="008951A8" w:rsidRPr="005728DD">
        <w:rPr>
          <w:snapToGrid/>
        </w:rPr>
        <w:t xml:space="preserve">population </w:t>
      </w:r>
      <w:r w:rsidRPr="005728DD">
        <w:rPr>
          <w:snapToGrid/>
        </w:rPr>
        <w:t>(subgroup of Study 104; N =</w:t>
      </w:r>
      <w:r w:rsidR="00AE70DC" w:rsidRPr="005728DD">
        <w:rPr>
          <w:snapToGrid/>
        </w:rPr>
        <w:t>95</w:t>
      </w:r>
      <w:r w:rsidRPr="005728DD">
        <w:rPr>
          <w:snapToGrid/>
        </w:rPr>
        <w:t xml:space="preserve">); </w:t>
      </w:r>
    </w:p>
    <w:p w:rsidR="00346FE2" w:rsidRPr="005728DD" w:rsidRDefault="001F49A3" w:rsidP="00A0357E">
      <w:pPr>
        <w:pStyle w:val="3-BodyText"/>
        <w:numPr>
          <w:ilvl w:val="0"/>
          <w:numId w:val="21"/>
        </w:numPr>
        <w:rPr>
          <w:snapToGrid/>
        </w:rPr>
      </w:pPr>
      <w:r w:rsidRPr="005728DD">
        <w:rPr>
          <w:snapToGrid/>
        </w:rPr>
        <w:t xml:space="preserve">one head-to-head trial comparing ELX/TEZ/IVA to </w:t>
      </w:r>
      <w:r w:rsidR="0008055D" w:rsidRPr="005728DD">
        <w:rPr>
          <w:snapToGrid/>
        </w:rPr>
        <w:t>placebo</w:t>
      </w:r>
      <w:r w:rsidRPr="005728DD">
        <w:rPr>
          <w:snapToGrid/>
        </w:rPr>
        <w:t xml:space="preserve"> in F/MF patients </w:t>
      </w:r>
      <w:r w:rsidR="00D00CB3" w:rsidRPr="005728DD">
        <w:rPr>
          <w:snapToGrid/>
        </w:rPr>
        <w:t>(</w:t>
      </w:r>
      <w:r w:rsidRPr="005728DD">
        <w:rPr>
          <w:snapToGrid/>
        </w:rPr>
        <w:t>Study 102</w:t>
      </w:r>
      <w:r w:rsidR="00D00CB3" w:rsidRPr="005728DD">
        <w:rPr>
          <w:snapToGrid/>
        </w:rPr>
        <w:t xml:space="preserve">; </w:t>
      </w:r>
      <w:r w:rsidRPr="005728DD">
        <w:rPr>
          <w:snapToGrid/>
        </w:rPr>
        <w:t xml:space="preserve">N = 405). </w:t>
      </w:r>
    </w:p>
    <w:p w:rsidR="004211BD" w:rsidRPr="005728DD" w:rsidRDefault="00346FE2" w:rsidP="00346FE2">
      <w:pPr>
        <w:pStyle w:val="3-BodyText"/>
        <w:numPr>
          <w:ilvl w:val="0"/>
          <w:numId w:val="0"/>
        </w:numPr>
        <w:ind w:left="360"/>
      </w:pPr>
      <w:r w:rsidRPr="005728DD">
        <w:rPr>
          <w:snapToGrid/>
        </w:rPr>
        <w:t>D</w:t>
      </w:r>
      <w:r w:rsidR="001F49A3" w:rsidRPr="005728DD">
        <w:rPr>
          <w:snapToGrid/>
        </w:rPr>
        <w:t xml:space="preserve">etails of the trials presented in the submission are provided in </w:t>
      </w:r>
      <w:r w:rsidR="005C56C0" w:rsidRPr="005728DD">
        <w:t xml:space="preserve">Table </w:t>
      </w:r>
      <w:r w:rsidR="005C56C0">
        <w:rPr>
          <w:noProof/>
        </w:rPr>
        <w:t>3</w:t>
      </w:r>
      <w:r w:rsidR="001F49A3" w:rsidRPr="005728DD">
        <w:rPr>
          <w:snapToGrid/>
        </w:rPr>
        <w:t>.</w:t>
      </w:r>
      <w:r w:rsidR="004211BD" w:rsidRPr="005728DD">
        <w:br w:type="page"/>
      </w:r>
    </w:p>
    <w:p w:rsidR="001F49A3" w:rsidRPr="005728DD" w:rsidRDefault="004211BD" w:rsidP="001F49A3">
      <w:pPr>
        <w:pStyle w:val="TableFigureHeading"/>
        <w:rPr>
          <w:rStyle w:val="CommentReference"/>
          <w:b/>
          <w:szCs w:val="24"/>
        </w:rPr>
      </w:pPr>
      <w:r w:rsidRPr="005728DD">
        <w:rPr>
          <w:rFonts w:asciiTheme="minorHAnsi" w:eastAsia="Times New Roman" w:hAnsiTheme="minorHAnsi" w:cs="Arial"/>
          <w:b w:val="0"/>
          <w:bCs w:val="0"/>
          <w:snapToGrid w:val="0"/>
          <w:color w:val="0066FF"/>
          <w:sz w:val="24"/>
        </w:rPr>
        <w:lastRenderedPageBreak/>
        <w:t xml:space="preserve"> </w:t>
      </w:r>
      <w:bookmarkStart w:id="15" w:name="_Ref64206786"/>
      <w:r w:rsidR="002C5783" w:rsidRPr="005728DD">
        <w:t xml:space="preserve">Table </w:t>
      </w:r>
      <w:r w:rsidR="005C56C0">
        <w:rPr>
          <w:noProof/>
        </w:rPr>
        <w:t>3</w:t>
      </w:r>
      <w:bookmarkEnd w:id="15"/>
      <w:r w:rsidR="001F49A3" w:rsidRPr="005728DD">
        <w:rPr>
          <w:rStyle w:val="CommentReference"/>
          <w:b/>
          <w:szCs w:val="24"/>
        </w:rPr>
        <w:t>: Trials and associated reports presented in the submissio</w:t>
      </w:r>
      <w:r w:rsidR="00A54B8B" w:rsidRPr="005728DD">
        <w:rPr>
          <w:rStyle w:val="CommentReference"/>
          <w:b/>
          <w:szCs w:val="24"/>
        </w:rPr>
        <w:t>n</w:t>
      </w:r>
    </w:p>
    <w:tbl>
      <w:tblPr>
        <w:tblStyle w:val="TableGrid"/>
        <w:tblW w:w="5000" w:type="pct"/>
        <w:tblLook w:val="04A0" w:firstRow="1" w:lastRow="0" w:firstColumn="1" w:lastColumn="0" w:noHBand="0" w:noVBand="1"/>
        <w:tblCaption w:val=" Table 3: Trials and associated reports presented in the submission"/>
      </w:tblPr>
      <w:tblGrid>
        <w:gridCol w:w="1572"/>
        <w:gridCol w:w="7326"/>
      </w:tblGrid>
      <w:tr w:rsidR="001F49A3" w:rsidRPr="005728DD" w:rsidTr="007846A7">
        <w:trPr>
          <w:trHeight w:val="274"/>
          <w:tblHeader/>
        </w:trPr>
        <w:tc>
          <w:tcPr>
            <w:tcW w:w="1579"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rPr>
                <w:rFonts w:ascii="Arial Narrow" w:hAnsi="Arial Narrow"/>
                <w:b/>
                <w:bCs/>
                <w:sz w:val="20"/>
                <w:szCs w:val="20"/>
              </w:rPr>
            </w:pPr>
            <w:r w:rsidRPr="005728DD">
              <w:rPr>
                <w:rFonts w:ascii="Arial Narrow" w:hAnsi="Arial Narrow"/>
                <w:b/>
                <w:bCs/>
                <w:sz w:val="20"/>
                <w:szCs w:val="20"/>
              </w:rPr>
              <w:t>Study ID</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rPr>
                <w:rFonts w:ascii="Arial Narrow" w:hAnsi="Arial Narrow"/>
                <w:b/>
                <w:bCs/>
                <w:sz w:val="20"/>
                <w:szCs w:val="20"/>
              </w:rPr>
            </w:pPr>
            <w:r w:rsidRPr="005728DD">
              <w:rPr>
                <w:rFonts w:ascii="Arial Narrow" w:hAnsi="Arial Narrow"/>
                <w:b/>
                <w:bCs/>
                <w:sz w:val="20"/>
                <w:szCs w:val="20"/>
              </w:rPr>
              <w:t>Reports</w:t>
            </w:r>
          </w:p>
        </w:tc>
      </w:tr>
      <w:tr w:rsidR="001F49A3" w:rsidRPr="005728DD" w:rsidTr="007846A7">
        <w:trPr>
          <w:trHeight w:val="77"/>
        </w:trPr>
        <w:tc>
          <w:tcPr>
            <w:tcW w:w="9016" w:type="dxa"/>
            <w:gridSpan w:val="2"/>
            <w:tcBorders>
              <w:top w:val="single" w:sz="4" w:space="0" w:color="auto"/>
              <w:left w:val="single" w:sz="4" w:space="0" w:color="auto"/>
              <w:bottom w:val="single" w:sz="4" w:space="0" w:color="auto"/>
              <w:right w:val="single" w:sz="4" w:space="0" w:color="auto"/>
            </w:tcBorders>
          </w:tcPr>
          <w:p w:rsidR="001F49A3" w:rsidRPr="005728DD" w:rsidRDefault="001F49A3" w:rsidP="007846A7">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F/F</w:t>
            </w:r>
          </w:p>
        </w:tc>
      </w:tr>
      <w:tr w:rsidR="001F49A3" w:rsidRPr="005728DD" w:rsidTr="007846A7">
        <w:trPr>
          <w:trHeight w:val="497"/>
        </w:trPr>
        <w:tc>
          <w:tcPr>
            <w:tcW w:w="1579" w:type="dxa"/>
            <w:vMerge w:val="restart"/>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spacing w:before="0" w:after="0"/>
              <w:rPr>
                <w:rFonts w:ascii="Arial Narrow" w:hAnsi="Arial Narrow"/>
                <w:bCs/>
                <w:sz w:val="20"/>
              </w:rPr>
            </w:pPr>
            <w:r w:rsidRPr="005728DD">
              <w:rPr>
                <w:rFonts w:ascii="Arial Narrow" w:hAnsi="Arial Narrow"/>
                <w:bCs/>
                <w:sz w:val="20"/>
              </w:rPr>
              <w:t>Study 103, June 2019</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VX17-445-103</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NCT03525548</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June 2019: A Phase 3, Randomised, Double-blind, Controlled Study Evaluating the Efficacy and Safety of VX-445 Combination Therapy in Subjects with Cystic Fibrosis Who Are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(F/F). </w:t>
            </w:r>
          </w:p>
        </w:tc>
      </w:tr>
      <w:tr w:rsidR="001F49A3" w:rsidRPr="005728DD" w:rsidTr="007846A7">
        <w:trPr>
          <w:trHeight w:val="2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49A3" w:rsidRPr="005728DD" w:rsidRDefault="001F49A3" w:rsidP="007846A7">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Heijerman, H. G. M. et al. (2019). "Efficacy and safety of the elexacaftor plus tezacaftor plus ivacaftor combination regimen in people with cystic fibrosis homozygous for the </w:t>
            </w:r>
            <w:r w:rsidRPr="005728DD">
              <w:rPr>
                <w:rFonts w:ascii="Arial Narrow" w:hAnsi="Arial Narrow"/>
                <w:iCs/>
                <w:sz w:val="20"/>
                <w:szCs w:val="20"/>
                <w:lang w:val="en-AU"/>
              </w:rPr>
              <w:t>F508del</w:t>
            </w:r>
            <w:r w:rsidRPr="005728DD">
              <w:rPr>
                <w:rFonts w:ascii="Arial Narrow" w:hAnsi="Arial Narrow"/>
                <w:sz w:val="20"/>
                <w:szCs w:val="20"/>
                <w:lang w:val="en-AU"/>
              </w:rPr>
              <w:t xml:space="preserve"> mutation: a double-blind, randomised, Phase 3 trial." Lancet 394(10212): 1940-1948.</w:t>
            </w:r>
          </w:p>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Heijerman, H. et al. (2019). "Phase 3 efficacy and safety of the ELX/TEZ/</w:t>
            </w:r>
            <w:r w:rsidR="0070562E" w:rsidRPr="005728DD">
              <w:rPr>
                <w:rFonts w:ascii="Arial Narrow" w:hAnsi="Arial Narrow"/>
                <w:sz w:val="20"/>
                <w:szCs w:val="20"/>
                <w:lang w:val="en-AU"/>
              </w:rPr>
              <w:t>IVA</w:t>
            </w:r>
            <w:r w:rsidRPr="005728DD">
              <w:rPr>
                <w:rFonts w:ascii="Arial Narrow" w:hAnsi="Arial Narrow"/>
                <w:sz w:val="20"/>
                <w:szCs w:val="20"/>
                <w:lang w:val="en-AU"/>
              </w:rPr>
              <w:t xml:space="preserve"> triple combination in people with CF homozygous for the F508del mutation." Paediatric Pulmonology 54(Supplement 2): 347.</w:t>
            </w:r>
          </w:p>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Majoor, C. et al. (2020). Impact of elexacaftor/tezacaftor/ivacaftor (ELX/TEZ/IVA) triple combination therapy on health-related quality of life (HRQoL) in people with cystic fibrosis (pwCF) homozygous for F508del (F/F): results from a Phase 3 clinical study. North American Cystic Fibrosis Conference 2020.</w:t>
            </w:r>
          </w:p>
        </w:tc>
      </w:tr>
      <w:tr w:rsidR="001F49A3" w:rsidRPr="005728DD" w:rsidTr="007846A7">
        <w:tc>
          <w:tcPr>
            <w:tcW w:w="1579"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keepNext/>
              <w:spacing w:before="0" w:after="0"/>
              <w:rPr>
                <w:rFonts w:ascii="Arial Narrow" w:hAnsi="Arial Narrow"/>
                <w:bCs/>
                <w:sz w:val="20"/>
              </w:rPr>
            </w:pPr>
            <w:r w:rsidRPr="005728DD">
              <w:rPr>
                <w:rFonts w:ascii="Arial Narrow" w:hAnsi="Arial Narrow"/>
                <w:bCs/>
                <w:sz w:val="20"/>
              </w:rPr>
              <w:t>Study 109</w:t>
            </w:r>
          </w:p>
          <w:p w:rsidR="001F49A3" w:rsidRPr="005728DD" w:rsidRDefault="001F49A3" w:rsidP="007846A7">
            <w:pPr>
              <w:pStyle w:val="Tabletextleft"/>
              <w:keepNext/>
              <w:spacing w:before="0" w:after="0"/>
              <w:rPr>
                <w:rFonts w:ascii="Arial Narrow" w:hAnsi="Arial Narrow"/>
                <w:sz w:val="20"/>
              </w:rPr>
            </w:pPr>
            <w:r w:rsidRPr="005728DD">
              <w:rPr>
                <w:rFonts w:ascii="Arial Narrow" w:hAnsi="Arial Narrow"/>
                <w:sz w:val="20"/>
              </w:rPr>
              <w:t>VX18-445-109</w:t>
            </w:r>
          </w:p>
          <w:p w:rsidR="001F49A3" w:rsidRPr="005728DD" w:rsidRDefault="001F49A3" w:rsidP="007846A7">
            <w:pPr>
              <w:pStyle w:val="Tabletextleft"/>
              <w:keepNext/>
              <w:spacing w:before="0" w:after="0"/>
              <w:rPr>
                <w:rFonts w:ascii="Arial Narrow" w:hAnsi="Arial Narrow"/>
                <w:bCs/>
                <w:sz w:val="20"/>
              </w:rPr>
            </w:pPr>
            <w:r w:rsidRPr="005728DD">
              <w:rPr>
                <w:rFonts w:ascii="Arial Narrow" w:hAnsi="Arial Narrow"/>
                <w:sz w:val="20"/>
              </w:rPr>
              <w:t>NCT04105972</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 xml:space="preserve">Clinical Study Report, October 2020: A Phase 3b, Randomized, Double-blind, Controlled Study Evaluating the Efficacy and Safety of VX-445/Tezacaftor/Ivacaftor in Cystic Fibrosis Subjects, Homozygous for </w:t>
            </w:r>
            <w:r w:rsidRPr="005728DD">
              <w:rPr>
                <w:rFonts w:ascii="Arial Narrow" w:hAnsi="Arial Narrow"/>
                <w:i/>
                <w:iCs/>
                <w:sz w:val="20"/>
                <w:szCs w:val="20"/>
                <w:lang w:val="en-AU"/>
              </w:rPr>
              <w:t>F508del</w:t>
            </w:r>
          </w:p>
        </w:tc>
      </w:tr>
      <w:tr w:rsidR="001F49A3" w:rsidRPr="005728DD" w:rsidTr="007846A7">
        <w:tc>
          <w:tcPr>
            <w:tcW w:w="1579"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VX17-445-105</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rsidR="001F49A3" w:rsidRPr="005728DD" w:rsidRDefault="001F49A3" w:rsidP="007846A7">
            <w:pPr>
              <w:pStyle w:val="Tablebulletlis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r w:rsidR="001F49A3" w:rsidRPr="005728DD" w:rsidTr="007846A7">
        <w:tc>
          <w:tcPr>
            <w:tcW w:w="9016" w:type="dxa"/>
            <w:gridSpan w:val="2"/>
            <w:tcBorders>
              <w:top w:val="single" w:sz="4" w:space="0" w:color="auto"/>
              <w:left w:val="single" w:sz="4" w:space="0" w:color="auto"/>
              <w:bottom w:val="single" w:sz="4" w:space="0" w:color="auto"/>
              <w:right w:val="single" w:sz="4" w:space="0" w:color="auto"/>
            </w:tcBorders>
          </w:tcPr>
          <w:p w:rsidR="001F49A3" w:rsidRPr="005728DD" w:rsidRDefault="001F49A3" w:rsidP="007846A7">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F/RF, F/G</w:t>
            </w:r>
          </w:p>
        </w:tc>
      </w:tr>
      <w:tr w:rsidR="001F49A3" w:rsidRPr="005728DD" w:rsidTr="007846A7">
        <w:tc>
          <w:tcPr>
            <w:tcW w:w="1579"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spacing w:before="0" w:after="0"/>
              <w:rPr>
                <w:rFonts w:ascii="Arial Narrow" w:hAnsi="Arial Narrow"/>
                <w:bCs/>
                <w:sz w:val="20"/>
              </w:rPr>
            </w:pPr>
            <w:r w:rsidRPr="005728DD">
              <w:rPr>
                <w:rFonts w:ascii="Arial Narrow" w:hAnsi="Arial Narrow"/>
                <w:bCs/>
                <w:sz w:val="20"/>
              </w:rPr>
              <w:t>Study 104, July 2019</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VX18-445-104</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NCT04058353</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Elexacaftor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Gating or Residual Function Mutation (F/G and F/RF Genotypes)</w:t>
            </w:r>
          </w:p>
        </w:tc>
      </w:tr>
      <w:tr w:rsidR="001F49A3" w:rsidRPr="005728DD" w:rsidTr="007846A7">
        <w:tc>
          <w:tcPr>
            <w:tcW w:w="9016" w:type="dxa"/>
            <w:gridSpan w:val="2"/>
            <w:tcBorders>
              <w:top w:val="single" w:sz="4" w:space="0" w:color="auto"/>
              <w:left w:val="single" w:sz="4" w:space="0" w:color="auto"/>
              <w:bottom w:val="single" w:sz="4" w:space="0" w:color="auto"/>
              <w:right w:val="single" w:sz="4" w:space="0" w:color="auto"/>
            </w:tcBorders>
          </w:tcPr>
          <w:p w:rsidR="001F49A3" w:rsidRPr="005728DD" w:rsidRDefault="001F49A3" w:rsidP="007846A7">
            <w:pPr>
              <w:pStyle w:val="Tablebulletlist"/>
              <w:numPr>
                <w:ilvl w:val="0"/>
                <w:numId w:val="0"/>
              </w:numPr>
              <w:spacing w:before="0"/>
              <w:rPr>
                <w:rFonts w:ascii="Arial Narrow" w:hAnsi="Arial Narrow"/>
                <w:b/>
                <w:sz w:val="20"/>
                <w:szCs w:val="20"/>
                <w:lang w:val="en-AU"/>
              </w:rPr>
            </w:pPr>
            <w:r w:rsidRPr="005728DD">
              <w:rPr>
                <w:rFonts w:ascii="Arial Narrow" w:hAnsi="Arial Narrow"/>
                <w:b/>
                <w:sz w:val="20"/>
                <w:szCs w:val="20"/>
                <w:lang w:val="en-AU"/>
              </w:rPr>
              <w:t>F/MF</w:t>
            </w:r>
          </w:p>
        </w:tc>
      </w:tr>
      <w:tr w:rsidR="001F49A3" w:rsidRPr="005728DD" w:rsidTr="007846A7">
        <w:tc>
          <w:tcPr>
            <w:tcW w:w="1579" w:type="dxa"/>
            <w:vMerge w:val="restart"/>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spacing w:before="0" w:after="0"/>
              <w:rPr>
                <w:rFonts w:ascii="Arial Narrow" w:hAnsi="Arial Narrow"/>
                <w:bCs/>
                <w:sz w:val="20"/>
              </w:rPr>
            </w:pPr>
            <w:r w:rsidRPr="005728DD">
              <w:rPr>
                <w:rFonts w:ascii="Arial Narrow" w:hAnsi="Arial Narrow"/>
                <w:bCs/>
                <w:sz w:val="20"/>
              </w:rPr>
              <w:t>Study 102, July 2019</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VX17-445-102</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NCT03525444</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Clinical Study Report, July 2019: A Phase 3, Randomised, Double-blind, Controlled Study Evaluating the Efficacy and Safety of VX-445 Combination Therapy in Subjects with Cystic Fibrosis Who Are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 and a Minimal Function Mutation (F/MF).</w:t>
            </w:r>
          </w:p>
        </w:tc>
      </w:tr>
      <w:tr w:rsidR="001F49A3" w:rsidRPr="005728DD" w:rsidTr="007846A7">
        <w:tc>
          <w:tcPr>
            <w:tcW w:w="0" w:type="auto"/>
            <w:vMerge/>
            <w:tcBorders>
              <w:top w:val="single" w:sz="4" w:space="0" w:color="auto"/>
              <w:left w:val="single" w:sz="4" w:space="0" w:color="auto"/>
              <w:bottom w:val="single" w:sz="4" w:space="0" w:color="auto"/>
              <w:right w:val="single" w:sz="4" w:space="0" w:color="auto"/>
            </w:tcBorders>
            <w:vAlign w:val="center"/>
            <w:hideMark/>
          </w:tcPr>
          <w:p w:rsidR="001F49A3" w:rsidRPr="005728DD" w:rsidRDefault="001F49A3" w:rsidP="007846A7">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Middleton, P. G. et al. (2019). "Elexacaftor-Tezacaftor-Ivacaftor for Cystic Fibrosis with a Single Phe508del Allele." N Engl J Med 381(19): 1809-1819.</w:t>
            </w:r>
          </w:p>
        </w:tc>
      </w:tr>
      <w:tr w:rsidR="001F49A3" w:rsidRPr="005728DD" w:rsidTr="007846A7">
        <w:tc>
          <w:tcPr>
            <w:tcW w:w="0" w:type="auto"/>
            <w:vMerge/>
            <w:tcBorders>
              <w:top w:val="single" w:sz="4" w:space="0" w:color="auto"/>
              <w:left w:val="single" w:sz="4" w:space="0" w:color="auto"/>
              <w:bottom w:val="single" w:sz="4" w:space="0" w:color="auto"/>
              <w:right w:val="single" w:sz="4" w:space="0" w:color="auto"/>
            </w:tcBorders>
            <w:vAlign w:val="center"/>
            <w:hideMark/>
          </w:tcPr>
          <w:p w:rsidR="001F49A3" w:rsidRPr="005728DD" w:rsidRDefault="001F49A3" w:rsidP="007846A7">
            <w:pPr>
              <w:jc w:val="left"/>
              <w:rPr>
                <w:rFonts w:ascii="Arial Narrow" w:hAnsi="Arial Narrow" w:cs="Times New Roman"/>
                <w:sz w:val="20"/>
                <w:szCs w:val="20"/>
              </w:rPr>
            </w:pP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Fajac, I. et al. (2020). "Impact of elexacaftor/tezacaftor/ivacaftor triple combination therapy on health-related quality of life in people with cystic fibrosis heterozygous for F508del and a minimal function mutation: results from a Phase 3 clinical study." Journal of Cystic Fibrosis 19(Supplement 2): S118-S119.</w:t>
            </w:r>
          </w:p>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Jain, R. et al. (2019). "Phase 3 efficacy and safety of the ELX/TEZ/</w:t>
            </w:r>
            <w:r w:rsidR="00752053" w:rsidRPr="005728DD">
              <w:rPr>
                <w:rFonts w:ascii="Arial Narrow" w:hAnsi="Arial Narrow"/>
                <w:sz w:val="20"/>
                <w:szCs w:val="20"/>
                <w:lang w:val="en-AU"/>
              </w:rPr>
              <w:t>IVA</w:t>
            </w:r>
            <w:r w:rsidRPr="005728DD">
              <w:rPr>
                <w:rFonts w:ascii="Arial Narrow" w:hAnsi="Arial Narrow"/>
                <w:sz w:val="20"/>
                <w:szCs w:val="20"/>
                <w:lang w:val="en-AU"/>
              </w:rPr>
              <w:t xml:space="preserve"> triple combination in people with CF and F508del/minimal function genotypes." Paediatric Pulmonology 54(Supplement 2): 346-347.</w:t>
            </w:r>
          </w:p>
        </w:tc>
      </w:tr>
      <w:tr w:rsidR="001F49A3" w:rsidRPr="005728DD" w:rsidTr="007846A7">
        <w:tc>
          <w:tcPr>
            <w:tcW w:w="1579"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textleft"/>
              <w:spacing w:before="0" w:after="0"/>
              <w:rPr>
                <w:rFonts w:ascii="Arial Narrow" w:hAnsi="Arial Narrow"/>
                <w:bCs/>
                <w:sz w:val="20"/>
              </w:rPr>
            </w:pPr>
            <w:r w:rsidRPr="005728DD">
              <w:rPr>
                <w:rFonts w:ascii="Arial Narrow" w:hAnsi="Arial Narrow"/>
                <w:bCs/>
                <w:sz w:val="20"/>
              </w:rPr>
              <w:t>Study 105 Interim Analysis 2, March 2020</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VX17-445-105</w:t>
            </w:r>
          </w:p>
          <w:p w:rsidR="001F49A3" w:rsidRPr="005728DD" w:rsidRDefault="001F49A3" w:rsidP="007846A7">
            <w:pPr>
              <w:pStyle w:val="Tabletextleft"/>
              <w:spacing w:before="0" w:after="0"/>
              <w:rPr>
                <w:rFonts w:ascii="Arial Narrow" w:hAnsi="Arial Narrow"/>
                <w:sz w:val="20"/>
              </w:rPr>
            </w:pPr>
            <w:r w:rsidRPr="005728DD">
              <w:rPr>
                <w:rFonts w:ascii="Arial Narrow" w:hAnsi="Arial Narrow"/>
                <w:sz w:val="20"/>
              </w:rPr>
              <w:t>NCT03525574</w:t>
            </w:r>
          </w:p>
        </w:tc>
        <w:tc>
          <w:tcPr>
            <w:tcW w:w="7437" w:type="dxa"/>
            <w:tcBorders>
              <w:top w:val="single" w:sz="4" w:space="0" w:color="auto"/>
              <w:left w:val="single" w:sz="4" w:space="0" w:color="auto"/>
              <w:bottom w:val="single" w:sz="4" w:space="0" w:color="auto"/>
              <w:right w:val="single" w:sz="4" w:space="0" w:color="auto"/>
            </w:tcBorders>
            <w:hideMark/>
          </w:tcPr>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ab/>
              <w:t xml:space="preserve">Interim Analysis Summary, March 2020: A Phase 3, Open-label Study Evaluating the Long-term Safety and Efficacy of VX-445 Combination Therapy in Subjects with Cystic Fibrosis Who Are Homozygous or Heterozygous for the </w:t>
            </w:r>
            <w:r w:rsidRPr="005728DD">
              <w:rPr>
                <w:rFonts w:ascii="Arial Narrow" w:hAnsi="Arial Narrow"/>
                <w:i/>
                <w:iCs/>
                <w:sz w:val="20"/>
                <w:szCs w:val="20"/>
                <w:lang w:val="en-AU"/>
              </w:rPr>
              <w:t>F508del</w:t>
            </w:r>
            <w:r w:rsidRPr="005728DD">
              <w:rPr>
                <w:rFonts w:ascii="Arial Narrow" w:hAnsi="Arial Narrow"/>
                <w:sz w:val="20"/>
                <w:szCs w:val="20"/>
                <w:lang w:val="en-AU"/>
              </w:rPr>
              <w:t xml:space="preserve"> Mutation.</w:t>
            </w:r>
          </w:p>
          <w:p w:rsidR="001F49A3" w:rsidRPr="005728DD" w:rsidRDefault="001F49A3" w:rsidP="007846A7">
            <w:pPr>
              <w:pStyle w:val="Tablebulletlist"/>
              <w:keepNext/>
              <w:spacing w:before="0"/>
              <w:rPr>
                <w:rFonts w:ascii="Arial Narrow" w:hAnsi="Arial Narrow"/>
                <w:sz w:val="20"/>
                <w:szCs w:val="20"/>
                <w:lang w:val="en-AU"/>
              </w:rPr>
            </w:pPr>
            <w:r w:rsidRPr="005728DD">
              <w:rPr>
                <w:rFonts w:ascii="Arial Narrow" w:hAnsi="Arial Narrow"/>
                <w:sz w:val="20"/>
                <w:szCs w:val="20"/>
                <w:lang w:val="en-AU"/>
              </w:rPr>
              <w:t>Griese M, et al</w:t>
            </w:r>
            <w:r w:rsidRPr="005728DD">
              <w:rPr>
                <w:rFonts w:ascii="Arial Narrow" w:hAnsi="Arial Narrow"/>
                <w:i/>
                <w:sz w:val="20"/>
                <w:szCs w:val="20"/>
                <w:lang w:val="en-AU"/>
              </w:rPr>
              <w:t>.</w:t>
            </w:r>
            <w:r w:rsidRPr="005728DD">
              <w:rPr>
                <w:rFonts w:ascii="Arial Narrow" w:hAnsi="Arial Narrow"/>
                <w:sz w:val="20"/>
                <w:szCs w:val="20"/>
                <w:lang w:val="en-AU"/>
              </w:rPr>
              <w:t xml:space="preserve"> Safety and Efficacy of Elexacaftor/Tezacaftor/Ivacaftor for ≥24 Weeks in People with CF and ≥1 F508del Allele: Interim Results of an Open-Label Phase Three Clinical Trial. American journal of respiratory and critical care medicine. 2020.</w:t>
            </w:r>
          </w:p>
        </w:tc>
      </w:tr>
    </w:tbl>
    <w:p w:rsidR="001F49A3" w:rsidRPr="005728DD" w:rsidRDefault="001F49A3" w:rsidP="001F49A3">
      <w:pPr>
        <w:pStyle w:val="TableFigureFooter"/>
        <w:rPr>
          <w:sz w:val="20"/>
        </w:rPr>
      </w:pPr>
      <w:r w:rsidRPr="005728DD">
        <w:t>Source: Table 2.2.1, p60-62; Table 2.2.2, p63; Table 2.2.3, p64 of the submission</w:t>
      </w:r>
    </w:p>
    <w:p w:rsidR="001F49A3" w:rsidRPr="005728DD" w:rsidRDefault="001F49A3" w:rsidP="008951A8">
      <w:pPr>
        <w:pStyle w:val="3-BodyText"/>
        <w:rPr>
          <w:i/>
          <w:color w:val="0066FF"/>
        </w:rPr>
      </w:pPr>
      <w:r w:rsidRPr="005728DD">
        <w:t xml:space="preserve">The key features of the direct randomised trials are summarised in </w:t>
      </w:r>
      <w:r w:rsidR="005C56C0" w:rsidRPr="005728DD">
        <w:t xml:space="preserve">Table </w:t>
      </w:r>
      <w:r w:rsidR="005C56C0">
        <w:rPr>
          <w:noProof/>
        </w:rPr>
        <w:t>4</w:t>
      </w:r>
      <w:r w:rsidRPr="005728DD">
        <w:t xml:space="preserve">. </w:t>
      </w:r>
      <w:r w:rsidR="002F4735" w:rsidRPr="005728DD">
        <w:t xml:space="preserve">The </w:t>
      </w:r>
      <w:r w:rsidR="002C35FF" w:rsidRPr="005728DD">
        <w:t xml:space="preserve">studies were randomised, double-blind in design with a low risk of bias. </w:t>
      </w:r>
    </w:p>
    <w:p w:rsidR="001F49A3" w:rsidRPr="005728DD" w:rsidRDefault="002C5783" w:rsidP="001F49A3">
      <w:pPr>
        <w:pStyle w:val="TableFigureHeading"/>
        <w:rPr>
          <w:rStyle w:val="CommentReference"/>
          <w:b/>
          <w:szCs w:val="24"/>
        </w:rPr>
      </w:pPr>
      <w:bookmarkStart w:id="16" w:name="_Ref64206814"/>
      <w:r w:rsidRPr="005728DD">
        <w:lastRenderedPageBreak/>
        <w:t xml:space="preserve">Table </w:t>
      </w:r>
      <w:r w:rsidR="005C56C0">
        <w:rPr>
          <w:noProof/>
        </w:rPr>
        <w:t>4</w:t>
      </w:r>
      <w:bookmarkEnd w:id="16"/>
      <w:r w:rsidR="001F49A3" w:rsidRPr="005728DD">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9"/>
        <w:gridCol w:w="829"/>
        <w:gridCol w:w="1392"/>
        <w:gridCol w:w="1105"/>
        <w:gridCol w:w="1525"/>
        <w:gridCol w:w="1107"/>
        <w:gridCol w:w="1671"/>
      </w:tblGrid>
      <w:tr w:rsidR="001F49A3" w:rsidRPr="005728DD" w:rsidTr="007846A7">
        <w:trPr>
          <w:cantSplit/>
          <w:tblHeader/>
        </w:trPr>
        <w:tc>
          <w:tcPr>
            <w:tcW w:w="713" w:type="pct"/>
            <w:shd w:val="clear" w:color="auto" w:fill="auto"/>
            <w:vAlign w:val="center"/>
          </w:tcPr>
          <w:p w:rsidR="001F49A3" w:rsidRPr="005728DD" w:rsidRDefault="001F49A3" w:rsidP="00D05148">
            <w:pPr>
              <w:pStyle w:val="In-tableHeading"/>
              <w:rPr>
                <w:lang w:val="en-AU"/>
              </w:rPr>
            </w:pPr>
            <w:r w:rsidRPr="005728DD">
              <w:rPr>
                <w:lang w:val="en-AU"/>
              </w:rPr>
              <w:t>Trial</w:t>
            </w:r>
          </w:p>
        </w:tc>
        <w:tc>
          <w:tcPr>
            <w:tcW w:w="466" w:type="pct"/>
            <w:shd w:val="clear" w:color="auto" w:fill="auto"/>
            <w:vAlign w:val="center"/>
          </w:tcPr>
          <w:p w:rsidR="001F49A3" w:rsidRPr="005728DD" w:rsidRDefault="001F49A3" w:rsidP="00D05148">
            <w:pPr>
              <w:pStyle w:val="In-tableHeading"/>
              <w:jc w:val="center"/>
              <w:rPr>
                <w:lang w:val="en-AU"/>
              </w:rPr>
            </w:pPr>
            <w:r w:rsidRPr="005728DD">
              <w:rPr>
                <w:lang w:val="en-AU"/>
              </w:rPr>
              <w:t>N</w:t>
            </w:r>
          </w:p>
        </w:tc>
        <w:tc>
          <w:tcPr>
            <w:tcW w:w="782" w:type="pct"/>
            <w:shd w:val="clear" w:color="auto" w:fill="auto"/>
            <w:vAlign w:val="center"/>
          </w:tcPr>
          <w:p w:rsidR="001F49A3" w:rsidRPr="005728DD" w:rsidRDefault="001F49A3" w:rsidP="00D05148">
            <w:pPr>
              <w:pStyle w:val="In-tableHeading"/>
              <w:jc w:val="center"/>
              <w:rPr>
                <w:lang w:val="en-AU"/>
              </w:rPr>
            </w:pPr>
            <w:r w:rsidRPr="005728DD">
              <w:rPr>
                <w:lang w:val="en-AU"/>
              </w:rPr>
              <w:t>Design/ duration</w:t>
            </w:r>
          </w:p>
        </w:tc>
        <w:tc>
          <w:tcPr>
            <w:tcW w:w="621" w:type="pct"/>
            <w:shd w:val="clear" w:color="auto" w:fill="auto"/>
            <w:vAlign w:val="center"/>
          </w:tcPr>
          <w:p w:rsidR="001F49A3" w:rsidRPr="005728DD" w:rsidRDefault="001F49A3" w:rsidP="00D05148">
            <w:pPr>
              <w:pStyle w:val="In-tableHeading"/>
              <w:jc w:val="center"/>
              <w:rPr>
                <w:lang w:val="en-AU"/>
              </w:rPr>
            </w:pPr>
            <w:r w:rsidRPr="005728DD">
              <w:rPr>
                <w:lang w:val="en-AU"/>
              </w:rPr>
              <w:t>Risk of bias</w:t>
            </w:r>
          </w:p>
        </w:tc>
        <w:tc>
          <w:tcPr>
            <w:tcW w:w="857" w:type="pct"/>
            <w:shd w:val="clear" w:color="auto" w:fill="auto"/>
            <w:vAlign w:val="center"/>
          </w:tcPr>
          <w:p w:rsidR="001F49A3" w:rsidRPr="005728DD" w:rsidRDefault="001F49A3" w:rsidP="00D05148">
            <w:pPr>
              <w:pStyle w:val="In-tableHeading"/>
              <w:jc w:val="center"/>
              <w:rPr>
                <w:lang w:val="en-AU"/>
              </w:rPr>
            </w:pPr>
            <w:r w:rsidRPr="005728DD">
              <w:rPr>
                <w:lang w:val="en-AU"/>
              </w:rPr>
              <w:t>Patient population</w:t>
            </w:r>
          </w:p>
        </w:tc>
        <w:tc>
          <w:tcPr>
            <w:tcW w:w="622" w:type="pct"/>
            <w:shd w:val="clear" w:color="auto" w:fill="auto"/>
            <w:vAlign w:val="center"/>
          </w:tcPr>
          <w:p w:rsidR="001F49A3" w:rsidRPr="005728DD" w:rsidRDefault="001F49A3" w:rsidP="00D05148">
            <w:pPr>
              <w:pStyle w:val="In-tableHeading"/>
              <w:jc w:val="center"/>
              <w:rPr>
                <w:lang w:val="en-AU"/>
              </w:rPr>
            </w:pPr>
            <w:r w:rsidRPr="005728DD">
              <w:rPr>
                <w:lang w:val="en-AU"/>
              </w:rPr>
              <w:t>Outcomes</w:t>
            </w:r>
          </w:p>
        </w:tc>
        <w:tc>
          <w:tcPr>
            <w:tcW w:w="939" w:type="pct"/>
            <w:shd w:val="clear" w:color="auto" w:fill="auto"/>
            <w:vAlign w:val="center"/>
          </w:tcPr>
          <w:p w:rsidR="001F49A3" w:rsidRPr="005728DD" w:rsidRDefault="001F49A3" w:rsidP="00D05148">
            <w:pPr>
              <w:pStyle w:val="In-tableHeading"/>
              <w:jc w:val="center"/>
              <w:rPr>
                <w:lang w:val="en-AU"/>
              </w:rPr>
            </w:pPr>
            <w:r w:rsidRPr="005728DD">
              <w:rPr>
                <w:lang w:val="en-AU"/>
              </w:rPr>
              <w:t xml:space="preserve">Use in </w:t>
            </w:r>
            <w:r w:rsidR="008468D4" w:rsidRPr="005728DD">
              <w:rPr>
                <w:lang w:val="en-AU"/>
              </w:rPr>
              <w:t>the economic model</w:t>
            </w:r>
          </w:p>
        </w:tc>
      </w:tr>
      <w:tr w:rsidR="001F49A3" w:rsidRPr="005728DD" w:rsidTr="007846A7">
        <w:trPr>
          <w:cantSplit/>
        </w:trPr>
        <w:tc>
          <w:tcPr>
            <w:tcW w:w="5000" w:type="pct"/>
            <w:gridSpan w:val="7"/>
            <w:shd w:val="clear" w:color="auto" w:fill="auto"/>
            <w:vAlign w:val="center"/>
          </w:tcPr>
          <w:p w:rsidR="001F49A3" w:rsidRPr="005728DD" w:rsidRDefault="001F49A3" w:rsidP="00D05148">
            <w:pPr>
              <w:pStyle w:val="In-tableHeading"/>
              <w:rPr>
                <w:lang w:val="en-AU"/>
              </w:rPr>
            </w:pPr>
            <w:r w:rsidRPr="005728DD">
              <w:rPr>
                <w:lang w:val="en-AU"/>
              </w:rPr>
              <w:t xml:space="preserve">ELX/TEZ/IVA versus TEZ/IVA </w:t>
            </w:r>
            <w:r w:rsidR="002C35FF" w:rsidRPr="005728DD">
              <w:rPr>
                <w:lang w:val="en-AU"/>
              </w:rPr>
              <w:t>(F/F)</w:t>
            </w:r>
          </w:p>
        </w:tc>
      </w:tr>
      <w:tr w:rsidR="001F49A3" w:rsidRPr="005728DD" w:rsidTr="007846A7">
        <w:trPr>
          <w:cantSplit/>
        </w:trPr>
        <w:tc>
          <w:tcPr>
            <w:tcW w:w="713" w:type="pct"/>
            <w:shd w:val="clear" w:color="auto" w:fill="auto"/>
            <w:vAlign w:val="center"/>
          </w:tcPr>
          <w:p w:rsidR="001F49A3" w:rsidRPr="005728DD" w:rsidRDefault="001F49A3" w:rsidP="00D05148">
            <w:pPr>
              <w:pStyle w:val="TableText0"/>
            </w:pPr>
            <w:r w:rsidRPr="005728DD">
              <w:t>Study 103</w:t>
            </w:r>
          </w:p>
        </w:tc>
        <w:tc>
          <w:tcPr>
            <w:tcW w:w="466" w:type="pct"/>
            <w:shd w:val="clear" w:color="auto" w:fill="auto"/>
            <w:vAlign w:val="center"/>
          </w:tcPr>
          <w:p w:rsidR="001F49A3" w:rsidRPr="005728DD" w:rsidRDefault="001F49A3" w:rsidP="00D05148">
            <w:pPr>
              <w:pStyle w:val="TableText0"/>
              <w:jc w:val="center"/>
            </w:pPr>
            <w:r w:rsidRPr="005728DD">
              <w:t>108</w:t>
            </w:r>
          </w:p>
        </w:tc>
        <w:tc>
          <w:tcPr>
            <w:tcW w:w="782" w:type="pct"/>
            <w:shd w:val="clear" w:color="auto" w:fill="auto"/>
            <w:vAlign w:val="center"/>
          </w:tcPr>
          <w:p w:rsidR="001F49A3" w:rsidRPr="005728DD" w:rsidRDefault="001F49A3" w:rsidP="00D05148">
            <w:pPr>
              <w:pStyle w:val="TableText0"/>
              <w:jc w:val="center"/>
            </w:pPr>
            <w:r w:rsidRPr="005728DD">
              <w:t>R, DB</w:t>
            </w:r>
            <w:r w:rsidR="00F01F9D" w:rsidRPr="005728DD">
              <w:t>, MC</w:t>
            </w:r>
          </w:p>
          <w:p w:rsidR="001F49A3" w:rsidRPr="005728DD" w:rsidRDefault="001F49A3" w:rsidP="00D05148">
            <w:pPr>
              <w:pStyle w:val="TableText0"/>
              <w:jc w:val="center"/>
            </w:pPr>
            <w:r w:rsidRPr="005728DD">
              <w:t>4 weeks</w:t>
            </w:r>
            <w:r w:rsidR="0040519B" w:rsidRPr="005728DD">
              <w:rPr>
                <w:vertAlign w:val="superscript"/>
              </w:rPr>
              <w:t>a</w:t>
            </w:r>
          </w:p>
        </w:tc>
        <w:tc>
          <w:tcPr>
            <w:tcW w:w="621" w:type="pct"/>
            <w:shd w:val="clear" w:color="auto" w:fill="auto"/>
            <w:vAlign w:val="center"/>
          </w:tcPr>
          <w:p w:rsidR="001F49A3" w:rsidRPr="005728DD" w:rsidRDefault="001F49A3" w:rsidP="00D05148">
            <w:pPr>
              <w:pStyle w:val="TableText0"/>
              <w:jc w:val="center"/>
            </w:pPr>
            <w:r w:rsidRPr="005728DD">
              <w:t>Low</w:t>
            </w:r>
          </w:p>
        </w:tc>
        <w:tc>
          <w:tcPr>
            <w:tcW w:w="857" w:type="pct"/>
            <w:shd w:val="clear" w:color="auto" w:fill="auto"/>
            <w:vAlign w:val="center"/>
          </w:tcPr>
          <w:p w:rsidR="001F49A3" w:rsidRPr="005728DD" w:rsidRDefault="001F49A3" w:rsidP="00D05148">
            <w:pPr>
              <w:pStyle w:val="TableText0"/>
              <w:jc w:val="center"/>
            </w:pPr>
            <w:r w:rsidRPr="005728DD">
              <w:rPr>
                <w:szCs w:val="20"/>
              </w:rPr>
              <w:t>≥ 12 years F/F</w:t>
            </w:r>
            <w:r w:rsidR="00044722" w:rsidRPr="005728DD">
              <w:rPr>
                <w:szCs w:val="20"/>
              </w:rPr>
              <w:t>, 40-90 ppFEV</w:t>
            </w:r>
            <w:r w:rsidR="00044722" w:rsidRPr="005728DD">
              <w:rPr>
                <w:szCs w:val="20"/>
                <w:vertAlign w:val="subscript"/>
              </w:rPr>
              <w:t>1</w:t>
            </w:r>
          </w:p>
        </w:tc>
        <w:tc>
          <w:tcPr>
            <w:tcW w:w="622"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CFQ-R Respiratory, BMI, sweat chloride </w:t>
            </w:r>
          </w:p>
        </w:tc>
        <w:tc>
          <w:tcPr>
            <w:tcW w:w="939" w:type="pct"/>
            <w:shd w:val="clear" w:color="auto" w:fill="auto"/>
            <w:vAlign w:val="center"/>
          </w:tcPr>
          <w:p w:rsidR="001F49A3" w:rsidRPr="005728DD" w:rsidRDefault="001F49A3" w:rsidP="00D05148">
            <w:pPr>
              <w:pStyle w:val="TableText0"/>
              <w:jc w:val="center"/>
            </w:pPr>
            <w:r w:rsidRPr="005728DD">
              <w:t>Not used</w:t>
            </w:r>
          </w:p>
        </w:tc>
      </w:tr>
      <w:tr w:rsidR="001F49A3" w:rsidRPr="005728DD" w:rsidTr="007846A7">
        <w:trPr>
          <w:cantSplit/>
        </w:trPr>
        <w:tc>
          <w:tcPr>
            <w:tcW w:w="713" w:type="pct"/>
            <w:shd w:val="clear" w:color="auto" w:fill="auto"/>
            <w:vAlign w:val="center"/>
          </w:tcPr>
          <w:p w:rsidR="001F49A3" w:rsidRPr="005728DD" w:rsidRDefault="001F49A3" w:rsidP="00D05148">
            <w:pPr>
              <w:pStyle w:val="TableText0"/>
            </w:pPr>
            <w:r w:rsidRPr="005728DD">
              <w:t>Study 109</w:t>
            </w:r>
          </w:p>
        </w:tc>
        <w:tc>
          <w:tcPr>
            <w:tcW w:w="466" w:type="pct"/>
            <w:shd w:val="clear" w:color="auto" w:fill="auto"/>
            <w:vAlign w:val="center"/>
          </w:tcPr>
          <w:p w:rsidR="001F49A3" w:rsidRPr="005728DD" w:rsidRDefault="001F49A3" w:rsidP="00D05148">
            <w:pPr>
              <w:pStyle w:val="TableText0"/>
              <w:jc w:val="center"/>
            </w:pPr>
            <w:r w:rsidRPr="005728DD">
              <w:t>176</w:t>
            </w:r>
          </w:p>
        </w:tc>
        <w:tc>
          <w:tcPr>
            <w:tcW w:w="782" w:type="pct"/>
            <w:shd w:val="clear" w:color="auto" w:fill="auto"/>
            <w:vAlign w:val="center"/>
          </w:tcPr>
          <w:p w:rsidR="001F49A3" w:rsidRPr="005728DD" w:rsidRDefault="001F49A3" w:rsidP="00D05148">
            <w:pPr>
              <w:pStyle w:val="TableText0"/>
              <w:jc w:val="center"/>
            </w:pPr>
            <w:r w:rsidRPr="005728DD">
              <w:t>R, DB</w:t>
            </w:r>
            <w:r w:rsidR="00F01F9D" w:rsidRPr="005728DD">
              <w:t>, MC</w:t>
            </w:r>
          </w:p>
          <w:p w:rsidR="001F49A3" w:rsidRPr="005728DD" w:rsidRDefault="001F49A3" w:rsidP="00D05148">
            <w:pPr>
              <w:pStyle w:val="TableText0"/>
              <w:jc w:val="center"/>
            </w:pPr>
            <w:r w:rsidRPr="005728DD">
              <w:t>24 weeks</w:t>
            </w:r>
            <w:r w:rsidR="0040519B" w:rsidRPr="005728DD">
              <w:rPr>
                <w:vertAlign w:val="superscript"/>
              </w:rPr>
              <w:t>a</w:t>
            </w:r>
          </w:p>
        </w:tc>
        <w:tc>
          <w:tcPr>
            <w:tcW w:w="621" w:type="pct"/>
            <w:shd w:val="clear" w:color="auto" w:fill="auto"/>
            <w:vAlign w:val="center"/>
          </w:tcPr>
          <w:p w:rsidR="001F49A3" w:rsidRPr="005728DD" w:rsidRDefault="001F49A3" w:rsidP="00D05148">
            <w:pPr>
              <w:pStyle w:val="TableText0"/>
              <w:jc w:val="center"/>
            </w:pPr>
            <w:r w:rsidRPr="005728DD">
              <w:t>Low</w:t>
            </w:r>
          </w:p>
        </w:tc>
        <w:tc>
          <w:tcPr>
            <w:tcW w:w="857" w:type="pct"/>
            <w:shd w:val="clear" w:color="auto" w:fill="auto"/>
            <w:vAlign w:val="center"/>
          </w:tcPr>
          <w:p w:rsidR="001F49A3" w:rsidRPr="005728DD" w:rsidRDefault="001F49A3" w:rsidP="00D05148">
            <w:pPr>
              <w:pStyle w:val="TableText0"/>
              <w:jc w:val="center"/>
            </w:pPr>
            <w:r w:rsidRPr="005728DD">
              <w:rPr>
                <w:szCs w:val="20"/>
              </w:rPr>
              <w:t>≥ 12 years F/F</w:t>
            </w:r>
            <w:r w:rsidR="00044722" w:rsidRPr="005728DD">
              <w:rPr>
                <w:szCs w:val="20"/>
              </w:rPr>
              <w:t>, 40-90 ppFEV</w:t>
            </w:r>
            <w:r w:rsidR="00044722" w:rsidRPr="005728DD">
              <w:rPr>
                <w:szCs w:val="20"/>
                <w:vertAlign w:val="subscript"/>
              </w:rPr>
              <w:t>1</w:t>
            </w:r>
          </w:p>
        </w:tc>
        <w:tc>
          <w:tcPr>
            <w:tcW w:w="622" w:type="pct"/>
            <w:shd w:val="clear" w:color="auto" w:fill="auto"/>
            <w:vAlign w:val="center"/>
          </w:tcPr>
          <w:p w:rsidR="001F49A3" w:rsidRPr="005728DD" w:rsidRDefault="001F49A3" w:rsidP="00D05148">
            <w:pPr>
              <w:pStyle w:val="TableText0"/>
              <w:jc w:val="center"/>
            </w:pPr>
            <w:r w:rsidRPr="005728DD">
              <w:t>CFQ-R Respiratory, ppFEV</w:t>
            </w:r>
            <w:r w:rsidRPr="005728DD">
              <w:rPr>
                <w:vertAlign w:val="subscript"/>
              </w:rPr>
              <w:t>1</w:t>
            </w:r>
            <w:r w:rsidRPr="005728DD">
              <w:t>, sweat chloride</w:t>
            </w:r>
          </w:p>
        </w:tc>
        <w:tc>
          <w:tcPr>
            <w:tcW w:w="939"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w:t>
            </w:r>
          </w:p>
        </w:tc>
      </w:tr>
      <w:tr w:rsidR="001F49A3" w:rsidRPr="005728DD" w:rsidTr="007846A7">
        <w:trPr>
          <w:cantSplit/>
        </w:trPr>
        <w:tc>
          <w:tcPr>
            <w:tcW w:w="5000" w:type="pct"/>
            <w:gridSpan w:val="7"/>
            <w:shd w:val="clear" w:color="auto" w:fill="auto"/>
            <w:vAlign w:val="center"/>
          </w:tcPr>
          <w:p w:rsidR="001F49A3" w:rsidRPr="005728DD" w:rsidRDefault="001F49A3" w:rsidP="00D05148">
            <w:pPr>
              <w:pStyle w:val="TableText0"/>
              <w:rPr>
                <w:b/>
              </w:rPr>
            </w:pPr>
            <w:r w:rsidRPr="005728DD">
              <w:rPr>
                <w:b/>
              </w:rPr>
              <w:t>ELX/TEZ/IVA versus TEZ/IVA</w:t>
            </w:r>
            <w:r w:rsidR="002C29FB" w:rsidRPr="005728DD">
              <w:rPr>
                <w:b/>
              </w:rPr>
              <w:t xml:space="preserve"> (F/RF)</w:t>
            </w:r>
            <w:r w:rsidRPr="005728DD">
              <w:rPr>
                <w:b/>
              </w:rPr>
              <w:t xml:space="preserve"> and ivacaftor</w:t>
            </w:r>
            <w:r w:rsidR="002C29FB" w:rsidRPr="005728DD">
              <w:rPr>
                <w:b/>
              </w:rPr>
              <w:t xml:space="preserve"> (F/G)</w:t>
            </w:r>
          </w:p>
        </w:tc>
      </w:tr>
      <w:tr w:rsidR="001F49A3" w:rsidRPr="005728DD" w:rsidTr="007846A7">
        <w:trPr>
          <w:cantSplit/>
        </w:trPr>
        <w:tc>
          <w:tcPr>
            <w:tcW w:w="713" w:type="pct"/>
            <w:shd w:val="clear" w:color="auto" w:fill="auto"/>
            <w:vAlign w:val="center"/>
          </w:tcPr>
          <w:p w:rsidR="001F49A3" w:rsidRPr="005728DD" w:rsidRDefault="001F49A3" w:rsidP="00D05148">
            <w:pPr>
              <w:pStyle w:val="TableText0"/>
            </w:pPr>
            <w:r w:rsidRPr="005728DD">
              <w:t>Study 104</w:t>
            </w:r>
          </w:p>
        </w:tc>
        <w:tc>
          <w:tcPr>
            <w:tcW w:w="466" w:type="pct"/>
            <w:shd w:val="clear" w:color="auto" w:fill="auto"/>
            <w:vAlign w:val="center"/>
          </w:tcPr>
          <w:p w:rsidR="001F49A3" w:rsidRPr="005728DD" w:rsidRDefault="001F49A3" w:rsidP="00D05148">
            <w:pPr>
              <w:pStyle w:val="TableText0"/>
              <w:jc w:val="center"/>
            </w:pPr>
            <w:r w:rsidRPr="005728DD">
              <w:t>259</w:t>
            </w:r>
          </w:p>
          <w:p w:rsidR="00630DB4" w:rsidRPr="005728DD" w:rsidRDefault="00630DB4" w:rsidP="00630DB4">
            <w:pPr>
              <w:pStyle w:val="TableText0"/>
              <w:jc w:val="center"/>
            </w:pPr>
            <w:r w:rsidRPr="005728DD">
              <w:t>(164 F/RF; 95 F/G)</w:t>
            </w:r>
          </w:p>
        </w:tc>
        <w:tc>
          <w:tcPr>
            <w:tcW w:w="782" w:type="pct"/>
            <w:shd w:val="clear" w:color="auto" w:fill="auto"/>
            <w:vAlign w:val="center"/>
          </w:tcPr>
          <w:p w:rsidR="001F49A3" w:rsidRPr="005728DD" w:rsidRDefault="001F49A3" w:rsidP="00D05148">
            <w:pPr>
              <w:pStyle w:val="TableText0"/>
              <w:jc w:val="center"/>
            </w:pPr>
            <w:r w:rsidRPr="005728DD">
              <w:t>R, DB</w:t>
            </w:r>
            <w:r w:rsidR="00F01F9D" w:rsidRPr="005728DD">
              <w:t>, MC</w:t>
            </w:r>
          </w:p>
          <w:p w:rsidR="001F49A3" w:rsidRPr="005728DD" w:rsidRDefault="001F49A3" w:rsidP="00D05148">
            <w:pPr>
              <w:pStyle w:val="TableText0"/>
              <w:jc w:val="center"/>
            </w:pPr>
            <w:r w:rsidRPr="005728DD">
              <w:t>8 weeks</w:t>
            </w:r>
            <w:r w:rsidR="0040519B" w:rsidRPr="005728DD">
              <w:rPr>
                <w:vertAlign w:val="superscript"/>
              </w:rPr>
              <w:t>a</w:t>
            </w:r>
          </w:p>
        </w:tc>
        <w:tc>
          <w:tcPr>
            <w:tcW w:w="621" w:type="pct"/>
            <w:shd w:val="clear" w:color="auto" w:fill="auto"/>
            <w:vAlign w:val="center"/>
          </w:tcPr>
          <w:p w:rsidR="001F49A3" w:rsidRPr="005728DD" w:rsidRDefault="001F49A3" w:rsidP="00D05148">
            <w:pPr>
              <w:pStyle w:val="TableText0"/>
              <w:jc w:val="center"/>
            </w:pPr>
            <w:r w:rsidRPr="005728DD">
              <w:t>Low</w:t>
            </w:r>
          </w:p>
        </w:tc>
        <w:tc>
          <w:tcPr>
            <w:tcW w:w="857" w:type="pct"/>
            <w:shd w:val="clear" w:color="auto" w:fill="auto"/>
            <w:vAlign w:val="center"/>
          </w:tcPr>
          <w:p w:rsidR="001F49A3" w:rsidRPr="005728DD" w:rsidRDefault="001F49A3" w:rsidP="00D05148">
            <w:pPr>
              <w:pStyle w:val="TableText0"/>
              <w:jc w:val="center"/>
            </w:pPr>
            <w:r w:rsidRPr="005728DD">
              <w:rPr>
                <w:szCs w:val="20"/>
              </w:rPr>
              <w:t>≥ 12 years F/RF or F/G</w:t>
            </w:r>
            <w:r w:rsidR="00044722" w:rsidRPr="005728DD">
              <w:rPr>
                <w:szCs w:val="20"/>
              </w:rPr>
              <w:t>, 40-90 ppFEV</w:t>
            </w:r>
            <w:r w:rsidR="00044722" w:rsidRPr="005728DD">
              <w:rPr>
                <w:szCs w:val="20"/>
                <w:vertAlign w:val="subscript"/>
              </w:rPr>
              <w:t>1</w:t>
            </w:r>
          </w:p>
        </w:tc>
        <w:tc>
          <w:tcPr>
            <w:tcW w:w="622"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CFQ-R </w:t>
            </w:r>
            <w:r w:rsidR="004A5AA9" w:rsidRPr="005728DD">
              <w:t>Respiratory, sweat</w:t>
            </w:r>
            <w:r w:rsidRPr="005728DD">
              <w:t xml:space="preserve"> chloride </w:t>
            </w:r>
          </w:p>
        </w:tc>
        <w:tc>
          <w:tcPr>
            <w:tcW w:w="939"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w:t>
            </w:r>
          </w:p>
        </w:tc>
      </w:tr>
      <w:tr w:rsidR="001F49A3" w:rsidRPr="005728DD" w:rsidTr="007846A7">
        <w:trPr>
          <w:cantSplit/>
        </w:trPr>
        <w:tc>
          <w:tcPr>
            <w:tcW w:w="5000" w:type="pct"/>
            <w:gridSpan w:val="7"/>
            <w:shd w:val="clear" w:color="auto" w:fill="auto"/>
            <w:vAlign w:val="center"/>
          </w:tcPr>
          <w:p w:rsidR="001F49A3" w:rsidRPr="005728DD" w:rsidRDefault="001F49A3" w:rsidP="00D05148">
            <w:pPr>
              <w:pStyle w:val="TableText0"/>
            </w:pPr>
            <w:r w:rsidRPr="005728DD">
              <w:rPr>
                <w:b/>
              </w:rPr>
              <w:t xml:space="preserve">ELX/TEZ/IVA versus </w:t>
            </w:r>
            <w:r w:rsidR="0008055D" w:rsidRPr="005728DD">
              <w:rPr>
                <w:b/>
              </w:rPr>
              <w:t>placebo</w:t>
            </w:r>
            <w:r w:rsidR="002C35FF" w:rsidRPr="005728DD">
              <w:rPr>
                <w:b/>
              </w:rPr>
              <w:t xml:space="preserve"> (F/MF)</w:t>
            </w:r>
          </w:p>
        </w:tc>
      </w:tr>
      <w:tr w:rsidR="001F49A3" w:rsidRPr="005728DD" w:rsidTr="007846A7">
        <w:trPr>
          <w:cantSplit/>
        </w:trPr>
        <w:tc>
          <w:tcPr>
            <w:tcW w:w="713" w:type="pct"/>
            <w:shd w:val="clear" w:color="auto" w:fill="auto"/>
            <w:vAlign w:val="center"/>
          </w:tcPr>
          <w:p w:rsidR="001F49A3" w:rsidRPr="005728DD" w:rsidRDefault="001F49A3" w:rsidP="00D05148">
            <w:pPr>
              <w:pStyle w:val="TableText0"/>
            </w:pPr>
            <w:r w:rsidRPr="005728DD">
              <w:t>Study 102</w:t>
            </w:r>
          </w:p>
        </w:tc>
        <w:tc>
          <w:tcPr>
            <w:tcW w:w="466" w:type="pct"/>
            <w:shd w:val="clear" w:color="auto" w:fill="auto"/>
            <w:vAlign w:val="center"/>
          </w:tcPr>
          <w:p w:rsidR="001F49A3" w:rsidRPr="005728DD" w:rsidRDefault="001F49A3" w:rsidP="00D05148">
            <w:pPr>
              <w:pStyle w:val="TableText0"/>
              <w:jc w:val="center"/>
            </w:pPr>
            <w:r w:rsidRPr="005728DD">
              <w:t>405</w:t>
            </w:r>
          </w:p>
        </w:tc>
        <w:tc>
          <w:tcPr>
            <w:tcW w:w="782" w:type="pct"/>
            <w:shd w:val="clear" w:color="auto" w:fill="auto"/>
            <w:vAlign w:val="center"/>
          </w:tcPr>
          <w:p w:rsidR="001F49A3" w:rsidRPr="005728DD" w:rsidRDefault="001F49A3" w:rsidP="00D05148">
            <w:pPr>
              <w:pStyle w:val="TableText0"/>
              <w:jc w:val="center"/>
            </w:pPr>
            <w:r w:rsidRPr="005728DD">
              <w:t>R, DB</w:t>
            </w:r>
            <w:r w:rsidR="00F01F9D" w:rsidRPr="005728DD">
              <w:t>, MC</w:t>
            </w:r>
          </w:p>
          <w:p w:rsidR="001F49A3" w:rsidRPr="005728DD" w:rsidRDefault="001F49A3" w:rsidP="00D05148">
            <w:pPr>
              <w:pStyle w:val="TableText0"/>
              <w:jc w:val="center"/>
            </w:pPr>
            <w:r w:rsidRPr="005728DD">
              <w:t>24 weeks</w:t>
            </w:r>
          </w:p>
        </w:tc>
        <w:tc>
          <w:tcPr>
            <w:tcW w:w="621" w:type="pct"/>
            <w:shd w:val="clear" w:color="auto" w:fill="auto"/>
            <w:vAlign w:val="center"/>
          </w:tcPr>
          <w:p w:rsidR="001F49A3" w:rsidRPr="005728DD" w:rsidRDefault="001F49A3" w:rsidP="00D05148">
            <w:pPr>
              <w:pStyle w:val="TableText0"/>
              <w:jc w:val="center"/>
            </w:pPr>
            <w:r w:rsidRPr="005728DD">
              <w:t>Low</w:t>
            </w:r>
          </w:p>
        </w:tc>
        <w:tc>
          <w:tcPr>
            <w:tcW w:w="857" w:type="pct"/>
            <w:shd w:val="clear" w:color="auto" w:fill="auto"/>
            <w:vAlign w:val="center"/>
          </w:tcPr>
          <w:p w:rsidR="001F49A3" w:rsidRPr="005728DD" w:rsidRDefault="001F49A3" w:rsidP="00D05148">
            <w:pPr>
              <w:pStyle w:val="TableText0"/>
              <w:jc w:val="center"/>
            </w:pPr>
            <w:r w:rsidRPr="005728DD">
              <w:rPr>
                <w:szCs w:val="20"/>
              </w:rPr>
              <w:t>≥ 12 years F/MF</w:t>
            </w:r>
            <w:r w:rsidR="00044722" w:rsidRPr="005728DD">
              <w:rPr>
                <w:szCs w:val="20"/>
              </w:rPr>
              <w:t>, 40-90 ppFEV</w:t>
            </w:r>
            <w:r w:rsidR="00044722" w:rsidRPr="005728DD">
              <w:rPr>
                <w:szCs w:val="20"/>
                <w:vertAlign w:val="subscript"/>
              </w:rPr>
              <w:t>1</w:t>
            </w:r>
          </w:p>
        </w:tc>
        <w:tc>
          <w:tcPr>
            <w:tcW w:w="622"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CFQ-R Respiratory, BMI, PEx, sweat chloride </w:t>
            </w:r>
          </w:p>
        </w:tc>
        <w:tc>
          <w:tcPr>
            <w:tcW w:w="939" w:type="pct"/>
            <w:shd w:val="clear" w:color="auto" w:fill="auto"/>
            <w:vAlign w:val="center"/>
          </w:tcPr>
          <w:p w:rsidR="001F49A3" w:rsidRPr="005728DD" w:rsidRDefault="001F49A3" w:rsidP="00D05148">
            <w:pPr>
              <w:pStyle w:val="TableText0"/>
              <w:jc w:val="center"/>
            </w:pPr>
            <w:r w:rsidRPr="005728DD">
              <w:t>ppFEV</w:t>
            </w:r>
            <w:r w:rsidRPr="005728DD">
              <w:rPr>
                <w:vertAlign w:val="subscript"/>
              </w:rPr>
              <w:t>1</w:t>
            </w:r>
            <w:r w:rsidRPr="005728DD">
              <w:t xml:space="preserve">, BMI, PEx </w:t>
            </w:r>
          </w:p>
        </w:tc>
      </w:tr>
    </w:tbl>
    <w:p w:rsidR="001F49A3" w:rsidRPr="005728DD" w:rsidRDefault="001F49A3" w:rsidP="001F49A3">
      <w:pPr>
        <w:pStyle w:val="TableFigureFooter"/>
      </w:pPr>
      <w:r w:rsidRPr="005728DD">
        <w:t xml:space="preserve">Source: </w:t>
      </w:r>
      <w:r w:rsidRPr="005728DD">
        <w:rPr>
          <w:bCs/>
          <w:iCs/>
        </w:rPr>
        <w:t xml:space="preserve">Developed during the evaluation based on </w:t>
      </w:r>
      <w:r w:rsidRPr="005728DD">
        <w:rPr>
          <w:bCs/>
          <w:szCs w:val="20"/>
        </w:rPr>
        <w:t>p17-20;</w:t>
      </w:r>
      <w:r w:rsidRPr="005728DD">
        <w:t>Table 2.3.1, p68-69; Table 2.4.1, p105-106; Table 2.5.2, p133-134; Table 2.3.8, p78; Table 2.3.9, p78; Table 2.3.10, p79; Table 2.3.11, p79-80; Table 2.3.12, p82-83; Table 2.4.10, p113-114; Table 2.4.11, p115-116; Table 2.5.12, p143; Table 2.5.13, p144; Table 2.5.14, p145</w:t>
      </w:r>
      <w:r w:rsidRPr="005728DD">
        <w:rPr>
          <w:bCs/>
          <w:szCs w:val="20"/>
        </w:rPr>
        <w:t xml:space="preserve"> of the submission</w:t>
      </w:r>
    </w:p>
    <w:p w:rsidR="001F49A3" w:rsidRPr="005728DD" w:rsidRDefault="001F49A3" w:rsidP="001F49A3">
      <w:pPr>
        <w:pStyle w:val="TableFigureFooter"/>
        <w:rPr>
          <w:bCs/>
          <w:szCs w:val="20"/>
        </w:rPr>
      </w:pPr>
      <w:r w:rsidRPr="005728DD">
        <w:t xml:space="preserve">Abbreviations: </w:t>
      </w:r>
      <w:r w:rsidR="00F01F9D" w:rsidRPr="005728DD">
        <w:t xml:space="preserve">BMI = body mass index; </w:t>
      </w:r>
      <w:r w:rsidRPr="005728DD">
        <w:t xml:space="preserve">DB = double blind; </w:t>
      </w:r>
      <w:r w:rsidR="00F01F9D" w:rsidRPr="005728DD">
        <w:rPr>
          <w:bCs/>
          <w:szCs w:val="20"/>
        </w:rPr>
        <w:t xml:space="preserve">ELX/TEZ/IVA = </w:t>
      </w:r>
      <w:r w:rsidR="00D669C8" w:rsidRPr="005728DD">
        <w:rPr>
          <w:bCs/>
          <w:szCs w:val="20"/>
        </w:rPr>
        <w:t>elex</w:t>
      </w:r>
      <w:r w:rsidR="00F01F9D" w:rsidRPr="005728DD">
        <w:rPr>
          <w:bCs/>
          <w:szCs w:val="20"/>
        </w:rPr>
        <w:t xml:space="preserve">acaftor/tezacaftor/ivacaftor; CFQ-R = Cystic Fibrosis Questionnaire-Revised;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t>MC = multi-centre;</w:t>
      </w:r>
      <w:r w:rsidR="00F01F9D" w:rsidRPr="005728DD">
        <w:rPr>
          <w:rFonts w:eastAsia="Calibri"/>
        </w:rPr>
        <w:t xml:space="preserve"> N = total patients; </w:t>
      </w:r>
      <w:r w:rsidR="00F01F9D" w:rsidRPr="005728DD">
        <w:rPr>
          <w:bCs/>
          <w:szCs w:val="20"/>
        </w:rPr>
        <w:t>ppFEV</w:t>
      </w:r>
      <w:r w:rsidR="00F01F9D" w:rsidRPr="005728DD">
        <w:rPr>
          <w:bCs/>
          <w:szCs w:val="20"/>
          <w:vertAlign w:val="subscript"/>
        </w:rPr>
        <w:t>1</w:t>
      </w:r>
      <w:r w:rsidR="00F01F9D" w:rsidRPr="005728DD">
        <w:rPr>
          <w:bCs/>
          <w:szCs w:val="20"/>
        </w:rPr>
        <w:t xml:space="preserve"> = percent predicted forced expiratory volume in one second;</w:t>
      </w:r>
      <w:r w:rsidRPr="005728DD">
        <w:t xml:space="preserve"> </w:t>
      </w:r>
      <w:r w:rsidR="00F01F9D" w:rsidRPr="005728DD">
        <w:t xml:space="preserve">PEx = pulmonary exacerbation; </w:t>
      </w:r>
      <w:r w:rsidRPr="005728DD">
        <w:t>R = randomised</w:t>
      </w:r>
      <w:r w:rsidR="00F01F9D" w:rsidRPr="005728DD">
        <w:t xml:space="preserve">; </w:t>
      </w:r>
      <w:r w:rsidR="00F01F9D" w:rsidRPr="005728DD">
        <w:rPr>
          <w:bCs/>
          <w:szCs w:val="20"/>
        </w:rPr>
        <w:t>TEZ/IVA = tezacaftor and ivacaftor</w:t>
      </w:r>
    </w:p>
    <w:p w:rsidR="0040519B" w:rsidRPr="005728DD" w:rsidRDefault="0040519B" w:rsidP="001F49A3">
      <w:pPr>
        <w:pStyle w:val="TableFigureFooter"/>
        <w:rPr>
          <w:sz w:val="20"/>
        </w:rPr>
      </w:pPr>
      <w:r w:rsidRPr="005728DD">
        <w:rPr>
          <w:bCs/>
          <w:szCs w:val="20"/>
        </w:rPr>
        <w:t>a.</w:t>
      </w:r>
      <w:r w:rsidRPr="005728DD">
        <w:t xml:space="preserve"> </w:t>
      </w:r>
      <w:r w:rsidRPr="005728DD">
        <w:rPr>
          <w:bCs/>
          <w:szCs w:val="20"/>
        </w:rPr>
        <w:t>In Study 103, Study 109, and Study 104, all patients received a 4-week run-in period with TEZA/IVA and were subsequently randomised to ELX/TEZ/IVA or control</w:t>
      </w:r>
    </w:p>
    <w:p w:rsidR="008951A8" w:rsidRPr="005728DD" w:rsidRDefault="002C5783" w:rsidP="008951A8">
      <w:pPr>
        <w:pStyle w:val="3-BodyText"/>
        <w:rPr>
          <w:color w:val="0066FF"/>
        </w:rPr>
      </w:pPr>
      <w:r w:rsidRPr="005728DD">
        <w:t>In considering the strength of the clinical evidence presented for each of the populations, the ESC noted the following</w:t>
      </w:r>
      <w:r w:rsidR="008951A8" w:rsidRPr="005728DD">
        <w:t>:</w:t>
      </w:r>
    </w:p>
    <w:p w:rsidR="008951A8" w:rsidRPr="005728DD" w:rsidRDefault="008951A8" w:rsidP="00A0357E">
      <w:pPr>
        <w:pStyle w:val="3-BodyText"/>
        <w:numPr>
          <w:ilvl w:val="0"/>
          <w:numId w:val="25"/>
        </w:numPr>
      </w:pPr>
      <w:r w:rsidRPr="005728DD">
        <w:t xml:space="preserve">There was one study in the F/F population of 24 weeks duration (Study 109) and BMI and PEx were not included as </w:t>
      </w:r>
      <w:r w:rsidR="00F91D20" w:rsidRPr="005728DD">
        <w:t xml:space="preserve">efficacy </w:t>
      </w:r>
      <w:r w:rsidRPr="005728DD">
        <w:t xml:space="preserve">outcomes. The 4 week study (Study 103) included BMI as an outcome; however, </w:t>
      </w:r>
      <w:r w:rsidR="00AE70DC" w:rsidRPr="005728DD">
        <w:t xml:space="preserve">this timeframe </w:t>
      </w:r>
      <w:r w:rsidR="00993ED7" w:rsidRPr="005728DD">
        <w:t>is not</w:t>
      </w:r>
      <w:r w:rsidR="00AE70DC" w:rsidRPr="005728DD">
        <w:t xml:space="preserve"> adequate to support </w:t>
      </w:r>
      <w:r w:rsidR="000B5AD8" w:rsidRPr="005728DD">
        <w:t>an improvement in nutritional status</w:t>
      </w:r>
      <w:r w:rsidRPr="005728DD">
        <w:t xml:space="preserve">. </w:t>
      </w:r>
    </w:p>
    <w:p w:rsidR="008951A8" w:rsidRPr="005728DD" w:rsidRDefault="008951A8" w:rsidP="00A0357E">
      <w:pPr>
        <w:pStyle w:val="3-BodyText"/>
        <w:numPr>
          <w:ilvl w:val="0"/>
          <w:numId w:val="25"/>
        </w:numPr>
      </w:pPr>
      <w:r w:rsidRPr="005728DD">
        <w:t xml:space="preserve">Clinical evidence for the F/RF population </w:t>
      </w:r>
      <w:r w:rsidR="00135085" w:rsidRPr="005728DD">
        <w:t>wa</w:t>
      </w:r>
      <w:r w:rsidRPr="005728DD">
        <w:t xml:space="preserve">s from a subgroup of patients in Study 104 </w:t>
      </w:r>
      <w:r w:rsidR="00135085" w:rsidRPr="005728DD">
        <w:t>for which the follow-up was short</w:t>
      </w:r>
      <w:r w:rsidRPr="005728DD">
        <w:t xml:space="preserve"> (8 weeks)</w:t>
      </w:r>
      <w:r w:rsidR="00135085" w:rsidRPr="005728DD">
        <w:t>,</w:t>
      </w:r>
      <w:r w:rsidRPr="005728DD">
        <w:t xml:space="preserve"> and BMI and PEx were not included as </w:t>
      </w:r>
      <w:r w:rsidR="00F91D20" w:rsidRPr="005728DD">
        <w:t xml:space="preserve">efficacy </w:t>
      </w:r>
      <w:r w:rsidRPr="005728DD">
        <w:t xml:space="preserve">outcomes. </w:t>
      </w:r>
    </w:p>
    <w:p w:rsidR="008951A8" w:rsidRPr="005728DD" w:rsidRDefault="008951A8" w:rsidP="00A0357E">
      <w:pPr>
        <w:pStyle w:val="3-BodyText"/>
        <w:numPr>
          <w:ilvl w:val="0"/>
          <w:numId w:val="25"/>
        </w:numPr>
      </w:pPr>
      <w:r w:rsidRPr="005728DD">
        <w:t xml:space="preserve">Clinical evidence for the F/G population </w:t>
      </w:r>
      <w:r w:rsidR="00135085" w:rsidRPr="005728DD">
        <w:t>wa</w:t>
      </w:r>
      <w:r w:rsidRPr="005728DD">
        <w:t xml:space="preserve">s from a subgroup of patients in Study 104 </w:t>
      </w:r>
      <w:r w:rsidR="00135085" w:rsidRPr="005728DD">
        <w:t>for which the follow-up was short</w:t>
      </w:r>
      <w:r w:rsidRPr="005728DD">
        <w:t xml:space="preserve"> (8 weeks)</w:t>
      </w:r>
      <w:r w:rsidR="00135085" w:rsidRPr="005728DD">
        <w:t>,</w:t>
      </w:r>
      <w:r w:rsidRPr="005728DD">
        <w:t xml:space="preserve"> and BMI and PEx were not included as </w:t>
      </w:r>
      <w:r w:rsidR="00F91D20" w:rsidRPr="005728DD">
        <w:t xml:space="preserve">efficacy </w:t>
      </w:r>
      <w:r w:rsidRPr="005728DD">
        <w:t>outcomes.</w:t>
      </w:r>
    </w:p>
    <w:p w:rsidR="00346FE2" w:rsidRPr="005728DD" w:rsidRDefault="008951A8" w:rsidP="00A0357E">
      <w:pPr>
        <w:pStyle w:val="3-BodyText"/>
        <w:numPr>
          <w:ilvl w:val="0"/>
          <w:numId w:val="25"/>
        </w:numPr>
        <w:rPr>
          <w:color w:val="0066FF"/>
        </w:rPr>
      </w:pPr>
      <w:r w:rsidRPr="005728DD">
        <w:t xml:space="preserve">The clinical study for the F/ MF population was of 24 weeks duration and included BMI and PEx as </w:t>
      </w:r>
      <w:r w:rsidR="00F91D20" w:rsidRPr="005728DD">
        <w:t xml:space="preserve">efficacy </w:t>
      </w:r>
      <w:r w:rsidRPr="005728DD">
        <w:t xml:space="preserve">outcomes. </w:t>
      </w:r>
    </w:p>
    <w:p w:rsidR="00487614" w:rsidRPr="005728DD" w:rsidRDefault="00487614" w:rsidP="00F97C0C">
      <w:pPr>
        <w:pStyle w:val="3-BodyText"/>
      </w:pPr>
      <w:r w:rsidRPr="005728DD">
        <w:lastRenderedPageBreak/>
        <w:t xml:space="preserve">The </w:t>
      </w:r>
      <w:r w:rsidR="00F97C0C" w:rsidRPr="005728DD">
        <w:t xml:space="preserve">pre-PBAC response </w:t>
      </w:r>
      <w:r w:rsidRPr="005728DD">
        <w:t xml:space="preserve">noted </w:t>
      </w:r>
      <w:r w:rsidR="00F97C0C" w:rsidRPr="005728DD">
        <w:t>PEx was evaluated as a safety outcome, rather than an efficacy endpoint, in Study 103, Study 109</w:t>
      </w:r>
      <w:r w:rsidR="00D22482" w:rsidRPr="005728DD">
        <w:t xml:space="preserve"> </w:t>
      </w:r>
      <w:r w:rsidR="00F97C0C" w:rsidRPr="005728DD">
        <w:t xml:space="preserve">and Study 104. </w:t>
      </w:r>
    </w:p>
    <w:p w:rsidR="001F49A3" w:rsidRPr="005728DD" w:rsidRDefault="001F49A3" w:rsidP="001F49A3">
      <w:pPr>
        <w:pStyle w:val="4-SubsectionHeading"/>
      </w:pPr>
      <w:bookmarkStart w:id="17" w:name="_Toc22897641"/>
      <w:bookmarkStart w:id="18" w:name="_Toc62035730"/>
      <w:r w:rsidRPr="005728DD">
        <w:t>Comparative effectiveness</w:t>
      </w:r>
      <w:bookmarkEnd w:id="17"/>
      <w:bookmarkEnd w:id="18"/>
    </w:p>
    <w:p w:rsidR="001F49A3" w:rsidRPr="005728DD" w:rsidRDefault="001F49A3" w:rsidP="001F49A3">
      <w:pPr>
        <w:pStyle w:val="3-BodyText"/>
        <w:rPr>
          <w:color w:val="0066FF"/>
        </w:rPr>
      </w:pPr>
      <w:r w:rsidRPr="005728DD">
        <w:t xml:space="preserve">A summary of the </w:t>
      </w:r>
      <w:r w:rsidR="00D05148" w:rsidRPr="005728DD">
        <w:t xml:space="preserve">results of the </w:t>
      </w:r>
      <w:r w:rsidRPr="005728DD">
        <w:t>absolute change from baseline in ppFEV</w:t>
      </w:r>
      <w:r w:rsidRPr="005728DD">
        <w:rPr>
          <w:vertAlign w:val="subscript"/>
        </w:rPr>
        <w:t>1</w:t>
      </w:r>
      <w:r w:rsidRPr="005728DD">
        <w:t xml:space="preserve"> across the trials is presented in </w:t>
      </w:r>
      <w:r w:rsidR="005C56C0" w:rsidRPr="005728DD">
        <w:t xml:space="preserve">Table </w:t>
      </w:r>
      <w:r w:rsidR="005C56C0">
        <w:rPr>
          <w:noProof/>
        </w:rPr>
        <w:t>5</w:t>
      </w:r>
      <w:r w:rsidRPr="005728DD">
        <w:t>.</w:t>
      </w:r>
    </w:p>
    <w:p w:rsidR="001F49A3" w:rsidRPr="005728DD" w:rsidRDefault="00DE0B4E" w:rsidP="001F49A3">
      <w:pPr>
        <w:pStyle w:val="TableFigureHeading"/>
        <w:rPr>
          <w:rStyle w:val="CommentReference"/>
          <w:b/>
          <w:szCs w:val="24"/>
        </w:rPr>
      </w:pPr>
      <w:bookmarkStart w:id="19" w:name="_Ref64496501"/>
      <w:r w:rsidRPr="005728DD">
        <w:t xml:space="preserve">Table </w:t>
      </w:r>
      <w:r w:rsidR="005C56C0">
        <w:rPr>
          <w:noProof/>
        </w:rPr>
        <w:t>5</w:t>
      </w:r>
      <w:bookmarkEnd w:id="19"/>
      <w:r w:rsidR="001F49A3" w:rsidRPr="005728DD">
        <w:rPr>
          <w:rStyle w:val="CommentReference"/>
          <w:b/>
          <w:szCs w:val="24"/>
        </w:rPr>
        <w:t>: Results of absolute change from baseline in ppFEV</w:t>
      </w:r>
      <w:r w:rsidR="001F49A3" w:rsidRPr="005728DD">
        <w:rPr>
          <w:rStyle w:val="CommentReference"/>
          <w:b/>
          <w:szCs w:val="24"/>
          <w:vertAlign w:val="subscript"/>
        </w:rPr>
        <w:t>1</w:t>
      </w:r>
      <w:r w:rsidR="001F49A3" w:rsidRPr="005728DD">
        <w:rPr>
          <w:rStyle w:val="CommentReference"/>
          <w:b/>
          <w:szCs w:val="24"/>
        </w:rPr>
        <w:t xml:space="preserve"> across the trials </w:t>
      </w:r>
    </w:p>
    <w:p w:rsidR="00BC5E47" w:rsidRPr="005728DD" w:rsidRDefault="00BC5E47" w:rsidP="00346FE2">
      <w:pPr>
        <w:pStyle w:val="TableFigure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714"/>
        <w:gridCol w:w="1130"/>
        <w:gridCol w:w="991"/>
        <w:gridCol w:w="707"/>
        <w:gridCol w:w="1130"/>
        <w:gridCol w:w="989"/>
        <w:gridCol w:w="1287"/>
        <w:gridCol w:w="673"/>
      </w:tblGrid>
      <w:tr w:rsidR="00816C22" w:rsidRPr="005728DD" w:rsidTr="006B1583">
        <w:trPr>
          <w:trHeight w:val="229"/>
        </w:trPr>
        <w:tc>
          <w:tcPr>
            <w:tcW w:w="718" w:type="pct"/>
            <w:vMerge w:val="restart"/>
            <w:tcMar>
              <w:left w:w="11" w:type="dxa"/>
              <w:right w:w="11" w:type="dxa"/>
            </w:tcMar>
            <w:vAlign w:val="center"/>
          </w:tcPr>
          <w:p w:rsidR="00816C22" w:rsidRPr="005728DD" w:rsidRDefault="00816C22" w:rsidP="00816C22">
            <w:pPr>
              <w:pStyle w:val="In-tableHeading"/>
              <w:jc w:val="center"/>
              <w:rPr>
                <w:lang w:val="en-AU"/>
              </w:rPr>
            </w:pPr>
            <w:r w:rsidRPr="005728DD">
              <w:rPr>
                <w:lang w:val="en-AU"/>
              </w:rPr>
              <w:t>Population</w:t>
            </w:r>
          </w:p>
          <w:p w:rsidR="00816C22" w:rsidRPr="005728DD" w:rsidRDefault="00816C22" w:rsidP="00816C22">
            <w:pPr>
              <w:pStyle w:val="TableText0"/>
            </w:pPr>
            <w:r w:rsidRPr="005728DD">
              <w:t>Trial, follow-up</w:t>
            </w:r>
          </w:p>
        </w:tc>
        <w:tc>
          <w:tcPr>
            <w:tcW w:w="401" w:type="pct"/>
            <w:vMerge w:val="restart"/>
            <w:tcMar>
              <w:left w:w="11" w:type="dxa"/>
              <w:right w:w="11" w:type="dxa"/>
            </w:tcMar>
            <w:vAlign w:val="center"/>
          </w:tcPr>
          <w:p w:rsidR="00816C22" w:rsidRPr="005728DD" w:rsidRDefault="00816C22" w:rsidP="00816C22">
            <w:pPr>
              <w:pStyle w:val="TableText0"/>
              <w:jc w:val="center"/>
            </w:pPr>
            <w:r w:rsidRPr="005728DD">
              <w:rPr>
                <w:b/>
                <w:bCs w:val="0"/>
              </w:rPr>
              <w:t>n/N</w:t>
            </w:r>
          </w:p>
        </w:tc>
        <w:tc>
          <w:tcPr>
            <w:tcW w:w="635" w:type="pct"/>
            <w:vMerge w:val="restart"/>
            <w:tcMar>
              <w:left w:w="11" w:type="dxa"/>
              <w:right w:w="11" w:type="dxa"/>
            </w:tcMar>
            <w:vAlign w:val="center"/>
          </w:tcPr>
          <w:p w:rsidR="00816C22" w:rsidRPr="005728DD" w:rsidRDefault="00816C22" w:rsidP="00816C22">
            <w:pPr>
              <w:pStyle w:val="TableText0"/>
              <w:jc w:val="center"/>
            </w:pPr>
            <w:r w:rsidRPr="005728DD">
              <w:rPr>
                <w:b/>
                <w:bCs w:val="0"/>
              </w:rPr>
              <w:t>Mean baseline (SD)</w:t>
            </w:r>
          </w:p>
        </w:tc>
        <w:tc>
          <w:tcPr>
            <w:tcW w:w="557" w:type="pct"/>
            <w:vMerge w:val="restart"/>
            <w:tcMar>
              <w:left w:w="11" w:type="dxa"/>
              <w:right w:w="11" w:type="dxa"/>
            </w:tcMar>
            <w:vAlign w:val="center"/>
          </w:tcPr>
          <w:p w:rsidR="00816C22" w:rsidRPr="005728DD" w:rsidRDefault="00816C22" w:rsidP="00816C22">
            <w:pPr>
              <w:pStyle w:val="TableText0"/>
              <w:jc w:val="center"/>
            </w:pPr>
            <w:r w:rsidRPr="005728DD">
              <w:rPr>
                <w:b/>
                <w:bCs w:val="0"/>
              </w:rPr>
              <w:t>Mean change (SE)</w:t>
            </w:r>
          </w:p>
        </w:tc>
        <w:tc>
          <w:tcPr>
            <w:tcW w:w="397" w:type="pct"/>
            <w:vMerge w:val="restart"/>
            <w:tcMar>
              <w:left w:w="11" w:type="dxa"/>
              <w:right w:w="11" w:type="dxa"/>
            </w:tcMar>
            <w:vAlign w:val="center"/>
          </w:tcPr>
          <w:p w:rsidR="00816C22" w:rsidRPr="005728DD" w:rsidRDefault="00816C22" w:rsidP="00816C22">
            <w:pPr>
              <w:pStyle w:val="TableText0"/>
              <w:jc w:val="center"/>
            </w:pPr>
            <w:r w:rsidRPr="005728DD">
              <w:rPr>
                <w:b/>
                <w:bCs w:val="0"/>
              </w:rPr>
              <w:t>n/N</w:t>
            </w:r>
          </w:p>
        </w:tc>
        <w:tc>
          <w:tcPr>
            <w:tcW w:w="635" w:type="pct"/>
            <w:vMerge w:val="restart"/>
            <w:tcMar>
              <w:left w:w="11" w:type="dxa"/>
              <w:right w:w="11" w:type="dxa"/>
            </w:tcMar>
            <w:vAlign w:val="center"/>
          </w:tcPr>
          <w:p w:rsidR="00816C22" w:rsidRPr="005728DD" w:rsidRDefault="00816C22" w:rsidP="00816C22">
            <w:pPr>
              <w:pStyle w:val="TableText0"/>
              <w:jc w:val="center"/>
            </w:pPr>
            <w:r w:rsidRPr="005728DD">
              <w:rPr>
                <w:b/>
                <w:bCs w:val="0"/>
              </w:rPr>
              <w:t>Mean baseline (SD)</w:t>
            </w:r>
          </w:p>
        </w:tc>
        <w:tc>
          <w:tcPr>
            <w:tcW w:w="556" w:type="pct"/>
            <w:vMerge w:val="restart"/>
            <w:tcMar>
              <w:left w:w="11" w:type="dxa"/>
              <w:right w:w="11" w:type="dxa"/>
            </w:tcMar>
            <w:vAlign w:val="center"/>
          </w:tcPr>
          <w:p w:rsidR="00816C22" w:rsidRPr="005728DD" w:rsidRDefault="00816C22" w:rsidP="00816C22">
            <w:pPr>
              <w:pStyle w:val="TableText0"/>
              <w:jc w:val="center"/>
            </w:pPr>
            <w:r w:rsidRPr="005728DD">
              <w:rPr>
                <w:b/>
                <w:bCs w:val="0"/>
              </w:rPr>
              <w:t>Mean change (SE)</w:t>
            </w:r>
          </w:p>
        </w:tc>
        <w:tc>
          <w:tcPr>
            <w:tcW w:w="723" w:type="pct"/>
            <w:vMerge w:val="restart"/>
            <w:tcMar>
              <w:left w:w="11" w:type="dxa"/>
              <w:right w:w="11" w:type="dxa"/>
            </w:tcMar>
            <w:vAlign w:val="center"/>
          </w:tcPr>
          <w:p w:rsidR="00816C22" w:rsidRPr="005728DD" w:rsidRDefault="00816C22" w:rsidP="00816C22">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816C22" w:rsidRPr="005728DD" w:rsidRDefault="00816C22" w:rsidP="00816C22">
            <w:pPr>
              <w:pStyle w:val="TableText0"/>
              <w:jc w:val="center"/>
              <w:rPr>
                <w:b/>
              </w:rPr>
            </w:pPr>
            <w:r w:rsidRPr="005728DD">
              <w:rPr>
                <w:b/>
              </w:rPr>
              <w:t>P-value</w:t>
            </w:r>
          </w:p>
        </w:tc>
      </w:tr>
      <w:tr w:rsidR="00816C22" w:rsidRPr="005728DD" w:rsidTr="006B1583">
        <w:trPr>
          <w:trHeight w:val="229"/>
        </w:trPr>
        <w:tc>
          <w:tcPr>
            <w:tcW w:w="718" w:type="pct"/>
            <w:vMerge/>
            <w:tcMar>
              <w:left w:w="11" w:type="dxa"/>
              <w:right w:w="11" w:type="dxa"/>
            </w:tcMar>
            <w:vAlign w:val="center"/>
          </w:tcPr>
          <w:p w:rsidR="00816C22" w:rsidRPr="005728DD" w:rsidRDefault="00816C22" w:rsidP="00816C22">
            <w:pPr>
              <w:pStyle w:val="TableText0"/>
            </w:pPr>
          </w:p>
        </w:tc>
        <w:tc>
          <w:tcPr>
            <w:tcW w:w="401" w:type="pct"/>
            <w:vMerge/>
            <w:tcMar>
              <w:left w:w="11" w:type="dxa"/>
              <w:right w:w="11" w:type="dxa"/>
            </w:tcMar>
            <w:vAlign w:val="center"/>
          </w:tcPr>
          <w:p w:rsidR="00816C22" w:rsidRPr="005728DD" w:rsidRDefault="00816C22" w:rsidP="00816C22">
            <w:pPr>
              <w:pStyle w:val="TableText0"/>
              <w:jc w:val="center"/>
            </w:pPr>
          </w:p>
        </w:tc>
        <w:tc>
          <w:tcPr>
            <w:tcW w:w="635" w:type="pct"/>
            <w:vMerge/>
            <w:tcMar>
              <w:left w:w="11" w:type="dxa"/>
              <w:right w:w="11" w:type="dxa"/>
            </w:tcMar>
            <w:vAlign w:val="center"/>
          </w:tcPr>
          <w:p w:rsidR="00816C22" w:rsidRPr="005728DD" w:rsidRDefault="00816C22" w:rsidP="00816C22">
            <w:pPr>
              <w:pStyle w:val="TableText0"/>
              <w:jc w:val="center"/>
            </w:pPr>
          </w:p>
        </w:tc>
        <w:tc>
          <w:tcPr>
            <w:tcW w:w="557" w:type="pct"/>
            <w:vMerge/>
            <w:tcMar>
              <w:left w:w="11" w:type="dxa"/>
              <w:right w:w="11" w:type="dxa"/>
            </w:tcMar>
            <w:vAlign w:val="center"/>
          </w:tcPr>
          <w:p w:rsidR="00816C22" w:rsidRPr="005728DD" w:rsidRDefault="00816C22" w:rsidP="00816C22">
            <w:pPr>
              <w:pStyle w:val="TableText0"/>
              <w:jc w:val="center"/>
            </w:pPr>
          </w:p>
        </w:tc>
        <w:tc>
          <w:tcPr>
            <w:tcW w:w="397" w:type="pct"/>
            <w:vMerge/>
            <w:tcMar>
              <w:left w:w="11" w:type="dxa"/>
              <w:right w:w="11" w:type="dxa"/>
            </w:tcMar>
            <w:vAlign w:val="center"/>
          </w:tcPr>
          <w:p w:rsidR="00816C22" w:rsidRPr="005728DD" w:rsidRDefault="00816C22" w:rsidP="00816C22">
            <w:pPr>
              <w:pStyle w:val="TableText0"/>
              <w:jc w:val="center"/>
            </w:pPr>
          </w:p>
        </w:tc>
        <w:tc>
          <w:tcPr>
            <w:tcW w:w="635" w:type="pct"/>
            <w:vMerge/>
            <w:tcMar>
              <w:left w:w="11" w:type="dxa"/>
              <w:right w:w="11" w:type="dxa"/>
            </w:tcMar>
            <w:vAlign w:val="center"/>
          </w:tcPr>
          <w:p w:rsidR="00816C22" w:rsidRPr="005728DD" w:rsidRDefault="00816C22" w:rsidP="00816C22">
            <w:pPr>
              <w:pStyle w:val="TableText0"/>
              <w:jc w:val="center"/>
            </w:pPr>
          </w:p>
        </w:tc>
        <w:tc>
          <w:tcPr>
            <w:tcW w:w="556" w:type="pct"/>
            <w:vMerge/>
            <w:tcMar>
              <w:left w:w="11" w:type="dxa"/>
              <w:right w:w="11" w:type="dxa"/>
            </w:tcMar>
            <w:vAlign w:val="center"/>
          </w:tcPr>
          <w:p w:rsidR="00816C22" w:rsidRPr="005728DD" w:rsidRDefault="00816C22" w:rsidP="00816C22">
            <w:pPr>
              <w:pStyle w:val="TableText0"/>
              <w:jc w:val="center"/>
            </w:pPr>
          </w:p>
        </w:tc>
        <w:tc>
          <w:tcPr>
            <w:tcW w:w="723" w:type="pct"/>
            <w:vMerge/>
            <w:tcMar>
              <w:left w:w="11" w:type="dxa"/>
              <w:right w:w="11" w:type="dxa"/>
            </w:tcMar>
            <w:vAlign w:val="center"/>
          </w:tcPr>
          <w:p w:rsidR="00816C22" w:rsidRPr="005728DD" w:rsidRDefault="00816C22" w:rsidP="00816C22">
            <w:pPr>
              <w:pStyle w:val="TableText0"/>
              <w:jc w:val="center"/>
              <w:rPr>
                <w:b/>
                <w:bCs w:val="0"/>
              </w:rPr>
            </w:pPr>
          </w:p>
        </w:tc>
        <w:tc>
          <w:tcPr>
            <w:tcW w:w="378" w:type="pct"/>
            <w:vMerge/>
            <w:tcMar>
              <w:left w:w="11" w:type="dxa"/>
              <w:right w:w="11" w:type="dxa"/>
            </w:tcMar>
            <w:vAlign w:val="center"/>
          </w:tcPr>
          <w:p w:rsidR="00816C22" w:rsidRPr="005728DD" w:rsidRDefault="00816C22" w:rsidP="00816C22">
            <w:pPr>
              <w:pStyle w:val="TableText0"/>
              <w:jc w:val="center"/>
            </w:pPr>
          </w:p>
        </w:tc>
      </w:tr>
      <w:tr w:rsidR="00816C22" w:rsidRPr="005728DD" w:rsidTr="00630DB4">
        <w:tc>
          <w:tcPr>
            <w:tcW w:w="718" w:type="pct"/>
            <w:tcMar>
              <w:left w:w="11" w:type="dxa"/>
              <w:right w:w="11" w:type="dxa"/>
            </w:tcMar>
            <w:vAlign w:val="center"/>
          </w:tcPr>
          <w:p w:rsidR="00816C22" w:rsidRPr="005728DD" w:rsidRDefault="00816C22" w:rsidP="00A0357E">
            <w:pPr>
              <w:pStyle w:val="TableText0"/>
              <w:numPr>
                <w:ilvl w:val="0"/>
                <w:numId w:val="20"/>
              </w:numPr>
              <w:rPr>
                <w:b/>
              </w:rPr>
            </w:pPr>
            <w:r w:rsidRPr="005728DD">
              <w:rPr>
                <w:b/>
              </w:rPr>
              <w:t>F/F</w:t>
            </w:r>
          </w:p>
        </w:tc>
        <w:tc>
          <w:tcPr>
            <w:tcW w:w="1593" w:type="pct"/>
            <w:gridSpan w:val="3"/>
            <w:tcMar>
              <w:left w:w="11" w:type="dxa"/>
              <w:right w:w="11" w:type="dxa"/>
            </w:tcMar>
            <w:vAlign w:val="center"/>
          </w:tcPr>
          <w:p w:rsidR="00816C22" w:rsidRPr="005728DD" w:rsidRDefault="00816C22" w:rsidP="00816C22">
            <w:pPr>
              <w:pStyle w:val="TableText0"/>
              <w:jc w:val="center"/>
              <w:rPr>
                <w:b/>
              </w:rPr>
            </w:pPr>
            <w:r w:rsidRPr="005728DD">
              <w:rPr>
                <w:b/>
                <w:iCs/>
              </w:rPr>
              <w:t>ELX/TEZ/IVA</w:t>
            </w:r>
          </w:p>
        </w:tc>
        <w:tc>
          <w:tcPr>
            <w:tcW w:w="1588" w:type="pct"/>
            <w:gridSpan w:val="3"/>
            <w:tcMar>
              <w:left w:w="11" w:type="dxa"/>
              <w:right w:w="11" w:type="dxa"/>
            </w:tcMar>
            <w:vAlign w:val="center"/>
          </w:tcPr>
          <w:p w:rsidR="00816C22" w:rsidRPr="005728DD" w:rsidRDefault="00816C22" w:rsidP="00816C22">
            <w:pPr>
              <w:pStyle w:val="TableText0"/>
              <w:jc w:val="center"/>
              <w:rPr>
                <w:b/>
              </w:rPr>
            </w:pPr>
            <w:r w:rsidRPr="005728DD">
              <w:rPr>
                <w:b/>
                <w:iCs/>
              </w:rPr>
              <w:t>TEZ/IVA</w:t>
            </w:r>
          </w:p>
        </w:tc>
        <w:tc>
          <w:tcPr>
            <w:tcW w:w="723" w:type="pct"/>
            <w:tcMar>
              <w:left w:w="11" w:type="dxa"/>
              <w:right w:w="11" w:type="dxa"/>
            </w:tcMar>
            <w:vAlign w:val="center"/>
          </w:tcPr>
          <w:p w:rsidR="00816C22" w:rsidRPr="005728DD" w:rsidRDefault="00816C22" w:rsidP="00816C22">
            <w:pPr>
              <w:pStyle w:val="TableText0"/>
              <w:jc w:val="center"/>
              <w:rPr>
                <w:b/>
                <w:bCs w:val="0"/>
              </w:rPr>
            </w:pPr>
          </w:p>
        </w:tc>
        <w:tc>
          <w:tcPr>
            <w:tcW w:w="378" w:type="pct"/>
            <w:tcMar>
              <w:left w:w="11" w:type="dxa"/>
              <w:right w:w="11" w:type="dxa"/>
            </w:tcMar>
            <w:vAlign w:val="center"/>
          </w:tcPr>
          <w:p w:rsidR="00816C22" w:rsidRPr="005728DD" w:rsidRDefault="00816C22" w:rsidP="00816C22">
            <w:pPr>
              <w:pStyle w:val="TableText0"/>
              <w:jc w:val="center"/>
              <w:rPr>
                <w:b/>
              </w:rPr>
            </w:pPr>
          </w:p>
        </w:tc>
      </w:tr>
      <w:tr w:rsidR="00816C22" w:rsidRPr="005728DD" w:rsidTr="006B1583">
        <w:tc>
          <w:tcPr>
            <w:tcW w:w="718" w:type="pct"/>
            <w:tcMar>
              <w:left w:w="11" w:type="dxa"/>
              <w:right w:w="11" w:type="dxa"/>
            </w:tcMar>
            <w:vAlign w:val="center"/>
          </w:tcPr>
          <w:p w:rsidR="00816C22" w:rsidRPr="005728DD" w:rsidRDefault="00816C22" w:rsidP="00816C22">
            <w:pPr>
              <w:pStyle w:val="TableText0"/>
            </w:pPr>
            <w:r w:rsidRPr="005728DD">
              <w:t>Study 103, w4</w:t>
            </w:r>
          </w:p>
        </w:tc>
        <w:tc>
          <w:tcPr>
            <w:tcW w:w="401" w:type="pct"/>
            <w:tcMar>
              <w:left w:w="11" w:type="dxa"/>
              <w:right w:w="11" w:type="dxa"/>
            </w:tcMar>
            <w:vAlign w:val="center"/>
          </w:tcPr>
          <w:p w:rsidR="00816C22" w:rsidRPr="005728DD" w:rsidRDefault="00816C22" w:rsidP="00816C22">
            <w:pPr>
              <w:pStyle w:val="TableText0"/>
              <w:jc w:val="center"/>
            </w:pPr>
            <w:r w:rsidRPr="005728DD">
              <w:t>53/55</w:t>
            </w:r>
          </w:p>
        </w:tc>
        <w:tc>
          <w:tcPr>
            <w:tcW w:w="635" w:type="pct"/>
            <w:tcMar>
              <w:left w:w="11" w:type="dxa"/>
              <w:right w:w="11" w:type="dxa"/>
            </w:tcMar>
            <w:vAlign w:val="center"/>
          </w:tcPr>
          <w:p w:rsidR="00816C22" w:rsidRPr="005728DD" w:rsidRDefault="00816C22" w:rsidP="00816C22">
            <w:pPr>
              <w:pStyle w:val="TableText0"/>
              <w:jc w:val="center"/>
            </w:pPr>
            <w:r w:rsidRPr="005728DD">
              <w:t>61.6 (15.4)</w:t>
            </w:r>
          </w:p>
        </w:tc>
        <w:tc>
          <w:tcPr>
            <w:tcW w:w="557" w:type="pct"/>
            <w:tcMar>
              <w:left w:w="11" w:type="dxa"/>
              <w:right w:w="11" w:type="dxa"/>
            </w:tcMar>
            <w:vAlign w:val="center"/>
          </w:tcPr>
          <w:p w:rsidR="00816C22" w:rsidRPr="005728DD" w:rsidRDefault="00816C22" w:rsidP="00816C22">
            <w:pPr>
              <w:pStyle w:val="TableText0"/>
              <w:jc w:val="center"/>
            </w:pPr>
            <w:r w:rsidRPr="005728DD">
              <w:t>10.4 (0.9)</w:t>
            </w:r>
          </w:p>
        </w:tc>
        <w:tc>
          <w:tcPr>
            <w:tcW w:w="397" w:type="pct"/>
            <w:tcMar>
              <w:left w:w="11" w:type="dxa"/>
              <w:right w:w="11" w:type="dxa"/>
            </w:tcMar>
            <w:vAlign w:val="center"/>
          </w:tcPr>
          <w:p w:rsidR="00816C22" w:rsidRPr="005728DD" w:rsidRDefault="00816C22" w:rsidP="00816C22">
            <w:pPr>
              <w:pStyle w:val="TableText0"/>
              <w:jc w:val="center"/>
            </w:pPr>
            <w:r w:rsidRPr="005728DD">
              <w:t>49/52</w:t>
            </w:r>
          </w:p>
        </w:tc>
        <w:tc>
          <w:tcPr>
            <w:tcW w:w="635" w:type="pct"/>
            <w:tcMar>
              <w:left w:w="11" w:type="dxa"/>
              <w:right w:w="11" w:type="dxa"/>
            </w:tcMar>
            <w:vAlign w:val="center"/>
          </w:tcPr>
          <w:p w:rsidR="00816C22" w:rsidRPr="005728DD" w:rsidRDefault="00816C22" w:rsidP="00816C22">
            <w:pPr>
              <w:pStyle w:val="TableText0"/>
              <w:jc w:val="center"/>
            </w:pPr>
            <w:r w:rsidRPr="005728DD">
              <w:t>60.2 (14.4)</w:t>
            </w:r>
          </w:p>
        </w:tc>
        <w:tc>
          <w:tcPr>
            <w:tcW w:w="556" w:type="pct"/>
            <w:tcMar>
              <w:left w:w="11" w:type="dxa"/>
              <w:right w:w="11" w:type="dxa"/>
            </w:tcMar>
            <w:vAlign w:val="center"/>
          </w:tcPr>
          <w:p w:rsidR="00816C22" w:rsidRPr="005728DD" w:rsidRDefault="00816C22" w:rsidP="00816C22">
            <w:pPr>
              <w:pStyle w:val="TableText0"/>
              <w:jc w:val="center"/>
            </w:pPr>
            <w:r w:rsidRPr="005728DD">
              <w:t>0.4 (0.9)</w:t>
            </w:r>
          </w:p>
        </w:tc>
        <w:tc>
          <w:tcPr>
            <w:tcW w:w="723" w:type="pct"/>
            <w:tcMar>
              <w:left w:w="11" w:type="dxa"/>
              <w:right w:w="11" w:type="dxa"/>
            </w:tcMar>
            <w:vAlign w:val="center"/>
          </w:tcPr>
          <w:p w:rsidR="00816C22" w:rsidRPr="005728DD" w:rsidRDefault="00816C22" w:rsidP="00816C22">
            <w:pPr>
              <w:pStyle w:val="TableText0"/>
              <w:jc w:val="center"/>
              <w:rPr>
                <w:b/>
                <w:bCs w:val="0"/>
              </w:rPr>
            </w:pPr>
            <w:r w:rsidRPr="005728DD">
              <w:rPr>
                <w:b/>
                <w:bCs w:val="0"/>
              </w:rPr>
              <w:t>10.0 (7.4, 12.6)</w:t>
            </w:r>
          </w:p>
        </w:tc>
        <w:tc>
          <w:tcPr>
            <w:tcW w:w="378" w:type="pct"/>
            <w:tcMar>
              <w:left w:w="11" w:type="dxa"/>
              <w:right w:w="11" w:type="dxa"/>
            </w:tcMar>
            <w:vAlign w:val="center"/>
          </w:tcPr>
          <w:p w:rsidR="00816C22" w:rsidRPr="005728DD" w:rsidRDefault="00816C22" w:rsidP="00816C22">
            <w:pPr>
              <w:pStyle w:val="TableText0"/>
              <w:jc w:val="center"/>
            </w:pPr>
            <w:r w:rsidRPr="005728DD">
              <w:t>&lt;0.0001</w:t>
            </w:r>
          </w:p>
        </w:tc>
      </w:tr>
      <w:tr w:rsidR="00816C22" w:rsidRPr="005728DD" w:rsidTr="006B1583">
        <w:tc>
          <w:tcPr>
            <w:tcW w:w="718" w:type="pct"/>
            <w:tcMar>
              <w:left w:w="11" w:type="dxa"/>
              <w:right w:w="11" w:type="dxa"/>
            </w:tcMar>
            <w:vAlign w:val="center"/>
          </w:tcPr>
          <w:p w:rsidR="00816C22" w:rsidRPr="005728DD" w:rsidRDefault="00816C22" w:rsidP="00816C22">
            <w:pPr>
              <w:pStyle w:val="TableText0"/>
            </w:pPr>
            <w:r w:rsidRPr="005728DD">
              <w:t>Study 109, w24</w:t>
            </w:r>
          </w:p>
        </w:tc>
        <w:tc>
          <w:tcPr>
            <w:tcW w:w="401" w:type="pct"/>
            <w:tcMar>
              <w:left w:w="11" w:type="dxa"/>
              <w:right w:w="11" w:type="dxa"/>
            </w:tcMar>
            <w:vAlign w:val="center"/>
          </w:tcPr>
          <w:p w:rsidR="00816C22" w:rsidRPr="005728DD" w:rsidRDefault="00816C22" w:rsidP="00816C22">
            <w:pPr>
              <w:pStyle w:val="TableText0"/>
              <w:jc w:val="center"/>
            </w:pPr>
            <w:r w:rsidRPr="005728DD">
              <w:t>NR/87</w:t>
            </w:r>
          </w:p>
        </w:tc>
        <w:tc>
          <w:tcPr>
            <w:tcW w:w="635" w:type="pct"/>
            <w:tcMar>
              <w:left w:w="11" w:type="dxa"/>
              <w:right w:w="11" w:type="dxa"/>
            </w:tcMar>
            <w:vAlign w:val="center"/>
          </w:tcPr>
          <w:p w:rsidR="00816C22" w:rsidRPr="005728DD" w:rsidRDefault="00816C22" w:rsidP="00816C22">
            <w:pPr>
              <w:pStyle w:val="TableText0"/>
              <w:jc w:val="center"/>
            </w:pPr>
            <w:r w:rsidRPr="005728DD">
              <w:t>63.0 (15.1)</w:t>
            </w:r>
          </w:p>
        </w:tc>
        <w:tc>
          <w:tcPr>
            <w:tcW w:w="557" w:type="pct"/>
            <w:tcMar>
              <w:left w:w="11" w:type="dxa"/>
              <w:right w:w="11" w:type="dxa"/>
            </w:tcMar>
            <w:vAlign w:val="center"/>
          </w:tcPr>
          <w:p w:rsidR="00816C22" w:rsidRPr="005728DD" w:rsidRDefault="00816C22" w:rsidP="00816C22">
            <w:pPr>
              <w:pStyle w:val="TableText0"/>
              <w:jc w:val="center"/>
            </w:pPr>
            <w:r w:rsidRPr="005728DD">
              <w:t>11.2 (0.7)</w:t>
            </w:r>
          </w:p>
        </w:tc>
        <w:tc>
          <w:tcPr>
            <w:tcW w:w="397" w:type="pct"/>
            <w:tcMar>
              <w:left w:w="11" w:type="dxa"/>
              <w:right w:w="11" w:type="dxa"/>
            </w:tcMar>
            <w:vAlign w:val="center"/>
          </w:tcPr>
          <w:p w:rsidR="00816C22" w:rsidRPr="005728DD" w:rsidRDefault="00816C22" w:rsidP="00816C22">
            <w:pPr>
              <w:pStyle w:val="TableText0"/>
              <w:jc w:val="center"/>
            </w:pPr>
            <w:r w:rsidRPr="005728DD">
              <w:t>NR/88</w:t>
            </w:r>
          </w:p>
        </w:tc>
        <w:tc>
          <w:tcPr>
            <w:tcW w:w="635" w:type="pct"/>
            <w:tcMar>
              <w:left w:w="11" w:type="dxa"/>
              <w:right w:w="11" w:type="dxa"/>
            </w:tcMar>
            <w:vAlign w:val="center"/>
          </w:tcPr>
          <w:p w:rsidR="00816C22" w:rsidRPr="005728DD" w:rsidRDefault="00816C22" w:rsidP="00816C22">
            <w:pPr>
              <w:pStyle w:val="TableText0"/>
              <w:jc w:val="center"/>
            </w:pPr>
            <w:r w:rsidRPr="005728DD">
              <w:t>64.2 (15.1)</w:t>
            </w:r>
          </w:p>
        </w:tc>
        <w:tc>
          <w:tcPr>
            <w:tcW w:w="556" w:type="pct"/>
            <w:tcMar>
              <w:left w:w="11" w:type="dxa"/>
              <w:right w:w="11" w:type="dxa"/>
            </w:tcMar>
            <w:vAlign w:val="center"/>
          </w:tcPr>
          <w:p w:rsidR="00816C22" w:rsidRPr="005728DD" w:rsidRDefault="00816C22" w:rsidP="00816C22">
            <w:pPr>
              <w:pStyle w:val="TableText0"/>
              <w:jc w:val="center"/>
            </w:pPr>
            <w:r w:rsidRPr="005728DD">
              <w:t>1.0 (0.7)</w:t>
            </w:r>
          </w:p>
        </w:tc>
        <w:tc>
          <w:tcPr>
            <w:tcW w:w="723" w:type="pct"/>
            <w:tcMar>
              <w:left w:w="11" w:type="dxa"/>
              <w:right w:w="11" w:type="dxa"/>
            </w:tcMar>
            <w:vAlign w:val="center"/>
          </w:tcPr>
          <w:p w:rsidR="00816C22" w:rsidRPr="005728DD" w:rsidRDefault="00816C22" w:rsidP="00816C22">
            <w:pPr>
              <w:pStyle w:val="TableText0"/>
              <w:jc w:val="center"/>
              <w:rPr>
                <w:b/>
                <w:bCs w:val="0"/>
              </w:rPr>
            </w:pPr>
            <w:r w:rsidRPr="005728DD">
              <w:rPr>
                <w:b/>
                <w:bCs w:val="0"/>
              </w:rPr>
              <w:t>10.2 (8.2, 12.1)</w:t>
            </w:r>
          </w:p>
        </w:tc>
        <w:tc>
          <w:tcPr>
            <w:tcW w:w="378" w:type="pct"/>
            <w:tcMar>
              <w:left w:w="11" w:type="dxa"/>
              <w:right w:w="11" w:type="dxa"/>
            </w:tcMar>
            <w:vAlign w:val="center"/>
          </w:tcPr>
          <w:p w:rsidR="00816C22" w:rsidRPr="005728DD" w:rsidRDefault="00816C22" w:rsidP="00816C22">
            <w:pPr>
              <w:pStyle w:val="TableText0"/>
              <w:jc w:val="center"/>
            </w:pPr>
            <w:r w:rsidRPr="005728DD">
              <w:t>&lt;0.0001</w:t>
            </w:r>
          </w:p>
        </w:tc>
      </w:tr>
      <w:tr w:rsidR="00816C22" w:rsidRPr="005728DD" w:rsidTr="00630DB4">
        <w:tc>
          <w:tcPr>
            <w:tcW w:w="718" w:type="pct"/>
            <w:tcMar>
              <w:left w:w="11" w:type="dxa"/>
              <w:right w:w="11" w:type="dxa"/>
            </w:tcMar>
            <w:vAlign w:val="center"/>
          </w:tcPr>
          <w:p w:rsidR="00816C22" w:rsidRPr="005728DD" w:rsidRDefault="00816C22" w:rsidP="00A0357E">
            <w:pPr>
              <w:pStyle w:val="TableText0"/>
              <w:numPr>
                <w:ilvl w:val="0"/>
                <w:numId w:val="20"/>
              </w:numPr>
              <w:rPr>
                <w:b/>
              </w:rPr>
            </w:pPr>
            <w:r w:rsidRPr="005728DD">
              <w:rPr>
                <w:b/>
              </w:rPr>
              <w:t>F/RF</w:t>
            </w:r>
          </w:p>
        </w:tc>
        <w:tc>
          <w:tcPr>
            <w:tcW w:w="1593" w:type="pct"/>
            <w:gridSpan w:val="3"/>
            <w:tcMar>
              <w:left w:w="11" w:type="dxa"/>
              <w:right w:w="11" w:type="dxa"/>
            </w:tcMar>
            <w:vAlign w:val="center"/>
          </w:tcPr>
          <w:p w:rsidR="00816C22" w:rsidRPr="005728DD" w:rsidRDefault="00816C22" w:rsidP="00816C22">
            <w:pPr>
              <w:pStyle w:val="TableText0"/>
              <w:jc w:val="center"/>
            </w:pPr>
            <w:r w:rsidRPr="005728DD">
              <w:rPr>
                <w:b/>
                <w:iCs/>
              </w:rPr>
              <w:t>ELX/TEZ/IVA</w:t>
            </w:r>
          </w:p>
        </w:tc>
        <w:tc>
          <w:tcPr>
            <w:tcW w:w="1588" w:type="pct"/>
            <w:gridSpan w:val="3"/>
            <w:tcMar>
              <w:left w:w="11" w:type="dxa"/>
              <w:right w:w="11" w:type="dxa"/>
            </w:tcMar>
            <w:vAlign w:val="center"/>
          </w:tcPr>
          <w:p w:rsidR="00816C22" w:rsidRPr="005728DD" w:rsidRDefault="00816C22" w:rsidP="00816C22">
            <w:pPr>
              <w:pStyle w:val="TableText0"/>
              <w:jc w:val="center"/>
              <w:rPr>
                <w:b/>
              </w:rPr>
            </w:pPr>
            <w:r w:rsidRPr="005728DD">
              <w:rPr>
                <w:b/>
                <w:iCs/>
              </w:rPr>
              <w:t>TEZ/IVA</w:t>
            </w:r>
          </w:p>
        </w:tc>
        <w:tc>
          <w:tcPr>
            <w:tcW w:w="723" w:type="pct"/>
            <w:tcMar>
              <w:left w:w="11" w:type="dxa"/>
              <w:right w:w="11" w:type="dxa"/>
            </w:tcMar>
            <w:vAlign w:val="center"/>
          </w:tcPr>
          <w:p w:rsidR="00816C22" w:rsidRPr="005728DD" w:rsidRDefault="00816C22" w:rsidP="00816C22">
            <w:pPr>
              <w:pStyle w:val="TableText0"/>
              <w:jc w:val="center"/>
              <w:rPr>
                <w:b/>
                <w:bCs w:val="0"/>
              </w:rPr>
            </w:pPr>
          </w:p>
        </w:tc>
        <w:tc>
          <w:tcPr>
            <w:tcW w:w="378" w:type="pct"/>
            <w:tcMar>
              <w:left w:w="11" w:type="dxa"/>
              <w:right w:w="11" w:type="dxa"/>
            </w:tcMar>
            <w:vAlign w:val="center"/>
          </w:tcPr>
          <w:p w:rsidR="00816C22" w:rsidRPr="005728DD" w:rsidRDefault="00816C22" w:rsidP="00816C22">
            <w:pPr>
              <w:pStyle w:val="TableText0"/>
              <w:jc w:val="center"/>
            </w:pPr>
          </w:p>
        </w:tc>
      </w:tr>
      <w:tr w:rsidR="00630DB4" w:rsidRPr="005728DD" w:rsidTr="006B1583">
        <w:trPr>
          <w:trHeight w:val="229"/>
        </w:trPr>
        <w:tc>
          <w:tcPr>
            <w:tcW w:w="718" w:type="pct"/>
            <w:tcMar>
              <w:left w:w="11" w:type="dxa"/>
              <w:right w:w="11" w:type="dxa"/>
            </w:tcMar>
          </w:tcPr>
          <w:p w:rsidR="00630DB4" w:rsidRPr="005728DD" w:rsidRDefault="00630DB4" w:rsidP="00630DB4">
            <w:pPr>
              <w:pStyle w:val="TableText0"/>
            </w:pPr>
            <w:r w:rsidRPr="005728DD">
              <w:t>Study 104</w:t>
            </w:r>
            <w:r w:rsidR="00060C27" w:rsidRPr="005728DD">
              <w:t xml:space="preserve"> (subgroup)</w:t>
            </w:r>
            <w:r w:rsidRPr="005728DD">
              <w:t>, w8</w:t>
            </w:r>
          </w:p>
        </w:tc>
        <w:tc>
          <w:tcPr>
            <w:tcW w:w="401" w:type="pct"/>
            <w:tcMar>
              <w:left w:w="11" w:type="dxa"/>
              <w:right w:w="11" w:type="dxa"/>
            </w:tcMar>
          </w:tcPr>
          <w:p w:rsidR="00630DB4" w:rsidRPr="005728DD" w:rsidRDefault="00630DB4" w:rsidP="00630DB4">
            <w:pPr>
              <w:pStyle w:val="TableText0"/>
              <w:jc w:val="center"/>
            </w:pPr>
            <w:r w:rsidRPr="005728DD">
              <w:t>73/82</w:t>
            </w:r>
          </w:p>
        </w:tc>
        <w:tc>
          <w:tcPr>
            <w:tcW w:w="635" w:type="pct"/>
            <w:tcMar>
              <w:left w:w="11" w:type="dxa"/>
              <w:right w:w="11" w:type="dxa"/>
            </w:tcMar>
          </w:tcPr>
          <w:p w:rsidR="00630DB4" w:rsidRPr="005728DD" w:rsidRDefault="00630DB4" w:rsidP="00630DB4">
            <w:pPr>
              <w:pStyle w:val="TableText0"/>
              <w:jc w:val="center"/>
            </w:pPr>
            <w:r w:rsidRPr="005728DD">
              <w:t>67.8 (16.3)</w:t>
            </w:r>
          </w:p>
        </w:tc>
        <w:tc>
          <w:tcPr>
            <w:tcW w:w="557" w:type="pct"/>
            <w:tcMar>
              <w:left w:w="11" w:type="dxa"/>
              <w:right w:w="11" w:type="dxa"/>
            </w:tcMar>
          </w:tcPr>
          <w:p w:rsidR="00630DB4" w:rsidRPr="005728DD" w:rsidRDefault="00630DB4" w:rsidP="00630DB4">
            <w:pPr>
              <w:pStyle w:val="TableText0"/>
              <w:jc w:val="center"/>
            </w:pPr>
            <w:r w:rsidRPr="005728DD">
              <w:t>2.5 (0.5)</w:t>
            </w:r>
          </w:p>
        </w:tc>
        <w:tc>
          <w:tcPr>
            <w:tcW w:w="397" w:type="pct"/>
            <w:tcMar>
              <w:left w:w="11" w:type="dxa"/>
              <w:right w:w="11" w:type="dxa"/>
            </w:tcMar>
          </w:tcPr>
          <w:p w:rsidR="00630DB4" w:rsidRPr="005728DD" w:rsidRDefault="00630DB4" w:rsidP="00630DB4">
            <w:pPr>
              <w:pStyle w:val="TableText0"/>
              <w:jc w:val="center"/>
            </w:pPr>
            <w:r w:rsidRPr="005728DD">
              <w:t>72/82</w:t>
            </w:r>
          </w:p>
        </w:tc>
        <w:tc>
          <w:tcPr>
            <w:tcW w:w="635" w:type="pct"/>
            <w:tcMar>
              <w:left w:w="11" w:type="dxa"/>
              <w:right w:w="11" w:type="dxa"/>
            </w:tcMar>
          </w:tcPr>
          <w:p w:rsidR="00630DB4" w:rsidRPr="005728DD" w:rsidRDefault="00630DB4" w:rsidP="00630DB4">
            <w:pPr>
              <w:pStyle w:val="TableText0"/>
              <w:jc w:val="center"/>
            </w:pPr>
            <w:r w:rsidRPr="005728DD">
              <w:t>68.1 (16.4)</w:t>
            </w:r>
          </w:p>
        </w:tc>
        <w:tc>
          <w:tcPr>
            <w:tcW w:w="556" w:type="pct"/>
            <w:tcMar>
              <w:left w:w="11" w:type="dxa"/>
              <w:right w:w="11" w:type="dxa"/>
            </w:tcMar>
          </w:tcPr>
          <w:p w:rsidR="00630DB4" w:rsidRPr="005728DD" w:rsidRDefault="00630DB4" w:rsidP="00630DB4">
            <w:pPr>
              <w:pStyle w:val="TableText0"/>
              <w:jc w:val="center"/>
            </w:pPr>
            <w:r w:rsidRPr="005728DD">
              <w:t>0.5 (0.5)</w:t>
            </w:r>
          </w:p>
        </w:tc>
        <w:tc>
          <w:tcPr>
            <w:tcW w:w="723" w:type="pct"/>
            <w:tcMar>
              <w:left w:w="11" w:type="dxa"/>
              <w:right w:w="11" w:type="dxa"/>
            </w:tcMar>
          </w:tcPr>
          <w:p w:rsidR="00630DB4" w:rsidRPr="005728DD" w:rsidRDefault="00630DB4" w:rsidP="00630DB4">
            <w:pPr>
              <w:pStyle w:val="TableText0"/>
              <w:jc w:val="center"/>
              <w:rPr>
                <w:b/>
              </w:rPr>
            </w:pPr>
            <w:r w:rsidRPr="005728DD">
              <w:rPr>
                <w:b/>
              </w:rPr>
              <w:t>2.0 (0.5, 3.4)</w:t>
            </w:r>
            <w:r w:rsidRPr="005728DD">
              <w:rPr>
                <w:b/>
                <w:vertAlign w:val="superscript"/>
              </w:rPr>
              <w:t>a</w:t>
            </w:r>
          </w:p>
        </w:tc>
        <w:tc>
          <w:tcPr>
            <w:tcW w:w="378" w:type="pct"/>
            <w:tcMar>
              <w:left w:w="11" w:type="dxa"/>
              <w:right w:w="11" w:type="dxa"/>
            </w:tcMar>
          </w:tcPr>
          <w:p w:rsidR="00630DB4" w:rsidRPr="005728DD" w:rsidRDefault="00630DB4" w:rsidP="00630DB4">
            <w:pPr>
              <w:pStyle w:val="TableText0"/>
              <w:jc w:val="center"/>
            </w:pPr>
            <w:r w:rsidRPr="005728DD">
              <w:t>0.0093</w:t>
            </w:r>
          </w:p>
        </w:tc>
      </w:tr>
      <w:tr w:rsidR="00630DB4" w:rsidRPr="005728DD" w:rsidTr="00630DB4">
        <w:tc>
          <w:tcPr>
            <w:tcW w:w="718" w:type="pct"/>
            <w:tcMar>
              <w:left w:w="11" w:type="dxa"/>
              <w:right w:w="11" w:type="dxa"/>
            </w:tcMar>
            <w:vAlign w:val="center"/>
          </w:tcPr>
          <w:p w:rsidR="00630DB4" w:rsidRPr="005728DD" w:rsidRDefault="00630DB4" w:rsidP="00A0357E">
            <w:pPr>
              <w:pStyle w:val="TableText0"/>
              <w:numPr>
                <w:ilvl w:val="0"/>
                <w:numId w:val="20"/>
              </w:numPr>
              <w:rPr>
                <w:b/>
              </w:rPr>
            </w:pPr>
            <w:r w:rsidRPr="005728DD">
              <w:rPr>
                <w:b/>
              </w:rPr>
              <w:t>F/G</w:t>
            </w:r>
          </w:p>
        </w:tc>
        <w:tc>
          <w:tcPr>
            <w:tcW w:w="1593" w:type="pct"/>
            <w:gridSpan w:val="3"/>
            <w:tcMar>
              <w:left w:w="11" w:type="dxa"/>
              <w:right w:w="11" w:type="dxa"/>
            </w:tcMar>
            <w:vAlign w:val="center"/>
          </w:tcPr>
          <w:p w:rsidR="00630DB4" w:rsidRPr="005728DD" w:rsidRDefault="00630DB4" w:rsidP="00630DB4">
            <w:pPr>
              <w:pStyle w:val="TableText0"/>
              <w:jc w:val="center"/>
            </w:pPr>
            <w:r w:rsidRPr="005728DD">
              <w:rPr>
                <w:b/>
                <w:iCs/>
              </w:rPr>
              <w:t>ELX/TEZ/IVA</w:t>
            </w:r>
          </w:p>
        </w:tc>
        <w:tc>
          <w:tcPr>
            <w:tcW w:w="1588" w:type="pct"/>
            <w:gridSpan w:val="3"/>
            <w:tcMar>
              <w:left w:w="11" w:type="dxa"/>
              <w:right w:w="11" w:type="dxa"/>
            </w:tcMar>
            <w:vAlign w:val="center"/>
          </w:tcPr>
          <w:p w:rsidR="00630DB4" w:rsidRPr="005728DD" w:rsidRDefault="00630DB4" w:rsidP="00630DB4">
            <w:pPr>
              <w:pStyle w:val="TableText0"/>
              <w:jc w:val="center"/>
              <w:rPr>
                <w:b/>
              </w:rPr>
            </w:pPr>
            <w:r w:rsidRPr="005728DD">
              <w:rPr>
                <w:b/>
                <w:iCs/>
              </w:rPr>
              <w:t>IVA</w:t>
            </w:r>
          </w:p>
        </w:tc>
        <w:tc>
          <w:tcPr>
            <w:tcW w:w="723" w:type="pct"/>
            <w:tcMar>
              <w:left w:w="11" w:type="dxa"/>
              <w:right w:w="11" w:type="dxa"/>
            </w:tcMar>
            <w:vAlign w:val="center"/>
          </w:tcPr>
          <w:p w:rsidR="00630DB4" w:rsidRPr="005728DD" w:rsidRDefault="00630DB4" w:rsidP="00630DB4">
            <w:pPr>
              <w:pStyle w:val="TableText0"/>
              <w:jc w:val="center"/>
              <w:rPr>
                <w:b/>
                <w:bCs w:val="0"/>
              </w:rPr>
            </w:pPr>
          </w:p>
        </w:tc>
        <w:tc>
          <w:tcPr>
            <w:tcW w:w="378" w:type="pct"/>
            <w:tcMar>
              <w:left w:w="11" w:type="dxa"/>
              <w:right w:w="11" w:type="dxa"/>
            </w:tcMar>
            <w:vAlign w:val="center"/>
          </w:tcPr>
          <w:p w:rsidR="00630DB4" w:rsidRPr="005728DD" w:rsidRDefault="00630DB4" w:rsidP="00630DB4">
            <w:pPr>
              <w:pStyle w:val="TableText0"/>
              <w:jc w:val="center"/>
            </w:pPr>
          </w:p>
        </w:tc>
      </w:tr>
      <w:tr w:rsidR="00630DB4" w:rsidRPr="005728DD" w:rsidTr="006B1583">
        <w:trPr>
          <w:trHeight w:val="229"/>
        </w:trPr>
        <w:tc>
          <w:tcPr>
            <w:tcW w:w="718" w:type="pct"/>
            <w:tcMar>
              <w:left w:w="11" w:type="dxa"/>
              <w:right w:w="11" w:type="dxa"/>
            </w:tcMar>
            <w:vAlign w:val="center"/>
          </w:tcPr>
          <w:p w:rsidR="00630DB4" w:rsidRPr="005728DD" w:rsidRDefault="00630DB4" w:rsidP="00630DB4">
            <w:pPr>
              <w:pStyle w:val="TableText0"/>
              <w:rPr>
                <w:b/>
              </w:rPr>
            </w:pPr>
            <w:r w:rsidRPr="005728DD">
              <w:t>Study 104</w:t>
            </w:r>
            <w:r w:rsidR="00060C27" w:rsidRPr="005728DD">
              <w:t xml:space="preserve"> (subgroup)</w:t>
            </w:r>
            <w:r w:rsidRPr="005728DD">
              <w:t>, w8</w:t>
            </w:r>
          </w:p>
        </w:tc>
        <w:tc>
          <w:tcPr>
            <w:tcW w:w="401" w:type="pct"/>
            <w:tcMar>
              <w:left w:w="11" w:type="dxa"/>
              <w:right w:w="11" w:type="dxa"/>
            </w:tcMar>
            <w:vAlign w:val="center"/>
          </w:tcPr>
          <w:p w:rsidR="00630DB4" w:rsidRPr="005728DD" w:rsidRDefault="00630DB4" w:rsidP="00630DB4">
            <w:pPr>
              <w:pStyle w:val="TableText0"/>
              <w:jc w:val="center"/>
            </w:pPr>
            <w:r w:rsidRPr="005728DD">
              <w:t>42/50</w:t>
            </w:r>
          </w:p>
        </w:tc>
        <w:tc>
          <w:tcPr>
            <w:tcW w:w="635" w:type="pct"/>
            <w:tcMar>
              <w:left w:w="11" w:type="dxa"/>
              <w:right w:w="11" w:type="dxa"/>
            </w:tcMar>
            <w:vAlign w:val="center"/>
          </w:tcPr>
          <w:p w:rsidR="00630DB4" w:rsidRPr="005728DD" w:rsidRDefault="00630DB4" w:rsidP="00630DB4">
            <w:pPr>
              <w:pStyle w:val="TableText0"/>
              <w:jc w:val="center"/>
            </w:pPr>
            <w:r w:rsidRPr="005728DD">
              <w:t>66.0 (14.8)</w:t>
            </w:r>
          </w:p>
        </w:tc>
        <w:tc>
          <w:tcPr>
            <w:tcW w:w="557" w:type="pct"/>
            <w:tcMar>
              <w:left w:w="11" w:type="dxa"/>
              <w:right w:w="11" w:type="dxa"/>
            </w:tcMar>
            <w:vAlign w:val="center"/>
          </w:tcPr>
          <w:p w:rsidR="00630DB4" w:rsidRPr="005728DD" w:rsidRDefault="00630DB4" w:rsidP="00630DB4">
            <w:pPr>
              <w:pStyle w:val="TableText0"/>
              <w:jc w:val="center"/>
            </w:pPr>
            <w:r w:rsidRPr="005728DD">
              <w:t>5.8 (0.8)</w:t>
            </w:r>
          </w:p>
        </w:tc>
        <w:tc>
          <w:tcPr>
            <w:tcW w:w="397" w:type="pct"/>
            <w:tcMar>
              <w:left w:w="11" w:type="dxa"/>
              <w:right w:w="11" w:type="dxa"/>
            </w:tcMar>
            <w:vAlign w:val="center"/>
          </w:tcPr>
          <w:p w:rsidR="00630DB4" w:rsidRPr="005728DD" w:rsidRDefault="00630DB4" w:rsidP="00630DB4">
            <w:pPr>
              <w:pStyle w:val="TableText0"/>
              <w:jc w:val="center"/>
            </w:pPr>
            <w:r w:rsidRPr="005728DD">
              <w:t>42/45</w:t>
            </w:r>
          </w:p>
        </w:tc>
        <w:tc>
          <w:tcPr>
            <w:tcW w:w="635" w:type="pct"/>
            <w:tcMar>
              <w:left w:w="11" w:type="dxa"/>
              <w:right w:w="11" w:type="dxa"/>
            </w:tcMar>
            <w:vAlign w:val="center"/>
          </w:tcPr>
          <w:p w:rsidR="00630DB4" w:rsidRPr="005728DD" w:rsidRDefault="00630DB4" w:rsidP="00630DB4">
            <w:pPr>
              <w:pStyle w:val="TableText0"/>
              <w:jc w:val="center"/>
            </w:pPr>
            <w:r w:rsidRPr="005728DD">
              <w:t>68.1 (16.6)</w:t>
            </w:r>
          </w:p>
        </w:tc>
        <w:tc>
          <w:tcPr>
            <w:tcW w:w="556" w:type="pct"/>
            <w:tcMar>
              <w:left w:w="11" w:type="dxa"/>
              <w:right w:w="11" w:type="dxa"/>
            </w:tcMar>
            <w:vAlign w:val="center"/>
          </w:tcPr>
          <w:p w:rsidR="00630DB4" w:rsidRPr="005728DD" w:rsidRDefault="00630DB4" w:rsidP="00630DB4">
            <w:pPr>
              <w:pStyle w:val="TableText0"/>
              <w:jc w:val="center"/>
            </w:pPr>
            <w:r w:rsidRPr="005728DD">
              <w:t>0.1 (0.9)</w:t>
            </w:r>
          </w:p>
        </w:tc>
        <w:tc>
          <w:tcPr>
            <w:tcW w:w="723" w:type="pct"/>
            <w:tcMar>
              <w:left w:w="11" w:type="dxa"/>
              <w:right w:w="11" w:type="dxa"/>
            </w:tcMar>
            <w:vAlign w:val="center"/>
          </w:tcPr>
          <w:p w:rsidR="00630DB4" w:rsidRPr="005728DD" w:rsidRDefault="00630DB4" w:rsidP="00630DB4">
            <w:pPr>
              <w:pStyle w:val="TableText0"/>
              <w:jc w:val="center"/>
              <w:rPr>
                <w:b/>
              </w:rPr>
            </w:pPr>
            <w:r w:rsidRPr="005728DD">
              <w:rPr>
                <w:b/>
              </w:rPr>
              <w:t>5.8 (3.5, 8.0)</w:t>
            </w:r>
            <w:r w:rsidRPr="005728DD">
              <w:rPr>
                <w:b/>
                <w:vertAlign w:val="superscript"/>
              </w:rPr>
              <w:t>a</w:t>
            </w:r>
          </w:p>
        </w:tc>
        <w:tc>
          <w:tcPr>
            <w:tcW w:w="378" w:type="pct"/>
            <w:tcMar>
              <w:left w:w="11" w:type="dxa"/>
              <w:right w:w="11" w:type="dxa"/>
            </w:tcMar>
            <w:vAlign w:val="center"/>
          </w:tcPr>
          <w:p w:rsidR="00630DB4" w:rsidRPr="005728DD" w:rsidRDefault="00630DB4" w:rsidP="00630DB4">
            <w:pPr>
              <w:pStyle w:val="TableText0"/>
              <w:jc w:val="center"/>
            </w:pPr>
            <w:r w:rsidRPr="005728DD">
              <w:t>&lt;0.0001</w:t>
            </w:r>
          </w:p>
        </w:tc>
      </w:tr>
      <w:tr w:rsidR="00630DB4" w:rsidRPr="005728DD" w:rsidTr="00630DB4">
        <w:trPr>
          <w:trHeight w:val="145"/>
        </w:trPr>
        <w:tc>
          <w:tcPr>
            <w:tcW w:w="718" w:type="pct"/>
            <w:tcMar>
              <w:left w:w="11" w:type="dxa"/>
              <w:right w:w="11" w:type="dxa"/>
            </w:tcMar>
            <w:vAlign w:val="center"/>
          </w:tcPr>
          <w:p w:rsidR="00630DB4" w:rsidRPr="005728DD" w:rsidRDefault="00630DB4" w:rsidP="00A0357E">
            <w:pPr>
              <w:pStyle w:val="TableText0"/>
              <w:numPr>
                <w:ilvl w:val="0"/>
                <w:numId w:val="20"/>
              </w:numPr>
              <w:rPr>
                <w:b/>
                <w:bCs w:val="0"/>
              </w:rPr>
            </w:pPr>
            <w:r w:rsidRPr="005728DD">
              <w:rPr>
                <w:b/>
              </w:rPr>
              <w:t>F/MF</w:t>
            </w:r>
          </w:p>
        </w:tc>
        <w:tc>
          <w:tcPr>
            <w:tcW w:w="1593" w:type="pct"/>
            <w:gridSpan w:val="3"/>
            <w:tcMar>
              <w:left w:w="11" w:type="dxa"/>
              <w:right w:w="11" w:type="dxa"/>
            </w:tcMar>
            <w:vAlign w:val="center"/>
          </w:tcPr>
          <w:p w:rsidR="00630DB4" w:rsidRPr="005728DD" w:rsidRDefault="00630DB4" w:rsidP="00630DB4">
            <w:pPr>
              <w:pStyle w:val="TableText0"/>
              <w:jc w:val="center"/>
              <w:rPr>
                <w:b/>
                <w:bCs w:val="0"/>
              </w:rPr>
            </w:pPr>
            <w:r w:rsidRPr="005728DD">
              <w:rPr>
                <w:b/>
                <w:bCs w:val="0"/>
                <w:iCs/>
              </w:rPr>
              <w:t>ELX/TEZ/IVA</w:t>
            </w:r>
          </w:p>
        </w:tc>
        <w:tc>
          <w:tcPr>
            <w:tcW w:w="1588" w:type="pct"/>
            <w:gridSpan w:val="3"/>
            <w:tcMar>
              <w:left w:w="11" w:type="dxa"/>
              <w:right w:w="11" w:type="dxa"/>
            </w:tcMar>
            <w:vAlign w:val="center"/>
          </w:tcPr>
          <w:p w:rsidR="00630DB4" w:rsidRPr="005728DD" w:rsidRDefault="00630DB4" w:rsidP="00630DB4">
            <w:pPr>
              <w:pStyle w:val="TableText0"/>
              <w:jc w:val="center"/>
              <w:rPr>
                <w:b/>
                <w:bCs w:val="0"/>
              </w:rPr>
            </w:pPr>
            <w:r w:rsidRPr="005728DD">
              <w:rPr>
                <w:b/>
                <w:bCs w:val="0"/>
              </w:rPr>
              <w:t>Placebo</w:t>
            </w:r>
          </w:p>
        </w:tc>
        <w:tc>
          <w:tcPr>
            <w:tcW w:w="723" w:type="pct"/>
            <w:tcMar>
              <w:left w:w="11" w:type="dxa"/>
              <w:right w:w="11" w:type="dxa"/>
            </w:tcMar>
            <w:vAlign w:val="center"/>
          </w:tcPr>
          <w:p w:rsidR="00630DB4" w:rsidRPr="005728DD" w:rsidRDefault="00630DB4" w:rsidP="00630DB4">
            <w:pPr>
              <w:pStyle w:val="TableText0"/>
              <w:jc w:val="center"/>
              <w:rPr>
                <w:b/>
                <w:bCs w:val="0"/>
              </w:rPr>
            </w:pPr>
          </w:p>
        </w:tc>
        <w:tc>
          <w:tcPr>
            <w:tcW w:w="378" w:type="pct"/>
            <w:tcMar>
              <w:left w:w="11" w:type="dxa"/>
              <w:right w:w="11" w:type="dxa"/>
            </w:tcMar>
            <w:vAlign w:val="center"/>
          </w:tcPr>
          <w:p w:rsidR="00630DB4" w:rsidRPr="005728DD" w:rsidRDefault="00630DB4" w:rsidP="00630DB4">
            <w:pPr>
              <w:pStyle w:val="TableText0"/>
              <w:jc w:val="center"/>
              <w:rPr>
                <w:b/>
                <w:bCs w:val="0"/>
              </w:rPr>
            </w:pPr>
          </w:p>
        </w:tc>
      </w:tr>
      <w:tr w:rsidR="00630DB4" w:rsidRPr="005728DD" w:rsidTr="006B1583">
        <w:tc>
          <w:tcPr>
            <w:tcW w:w="718" w:type="pct"/>
            <w:tcMar>
              <w:left w:w="11" w:type="dxa"/>
              <w:right w:w="11" w:type="dxa"/>
            </w:tcMar>
            <w:vAlign w:val="center"/>
          </w:tcPr>
          <w:p w:rsidR="00630DB4" w:rsidRPr="005728DD" w:rsidRDefault="00630DB4" w:rsidP="00630DB4">
            <w:pPr>
              <w:pStyle w:val="TableText0"/>
            </w:pPr>
            <w:r w:rsidRPr="005728DD">
              <w:t>Study 102, w24</w:t>
            </w:r>
          </w:p>
        </w:tc>
        <w:tc>
          <w:tcPr>
            <w:tcW w:w="401" w:type="pct"/>
            <w:tcMar>
              <w:left w:w="11" w:type="dxa"/>
              <w:right w:w="11" w:type="dxa"/>
            </w:tcMar>
            <w:vAlign w:val="center"/>
          </w:tcPr>
          <w:p w:rsidR="00630DB4" w:rsidRPr="005728DD" w:rsidRDefault="00630DB4" w:rsidP="00630DB4">
            <w:pPr>
              <w:pStyle w:val="TableText0"/>
              <w:jc w:val="center"/>
            </w:pPr>
            <w:r w:rsidRPr="005728DD">
              <w:t>196/200</w:t>
            </w:r>
          </w:p>
        </w:tc>
        <w:tc>
          <w:tcPr>
            <w:tcW w:w="635" w:type="pct"/>
            <w:tcMar>
              <w:left w:w="11" w:type="dxa"/>
              <w:right w:w="11" w:type="dxa"/>
            </w:tcMar>
            <w:vAlign w:val="center"/>
          </w:tcPr>
          <w:p w:rsidR="00630DB4" w:rsidRPr="005728DD" w:rsidRDefault="00630DB4" w:rsidP="00630DB4">
            <w:pPr>
              <w:pStyle w:val="TableText0"/>
              <w:jc w:val="center"/>
            </w:pPr>
            <w:r w:rsidRPr="005728DD">
              <w:t>61.6 (15.0)</w:t>
            </w:r>
          </w:p>
        </w:tc>
        <w:tc>
          <w:tcPr>
            <w:tcW w:w="557" w:type="pct"/>
            <w:tcMar>
              <w:left w:w="11" w:type="dxa"/>
              <w:right w:w="11" w:type="dxa"/>
            </w:tcMar>
            <w:vAlign w:val="center"/>
          </w:tcPr>
          <w:p w:rsidR="00630DB4" w:rsidRPr="005728DD" w:rsidRDefault="00630DB4" w:rsidP="00630DB4">
            <w:pPr>
              <w:pStyle w:val="TableText0"/>
              <w:jc w:val="center"/>
            </w:pPr>
            <w:r w:rsidRPr="005728DD">
              <w:t>13.9 (0.6)</w:t>
            </w:r>
          </w:p>
        </w:tc>
        <w:tc>
          <w:tcPr>
            <w:tcW w:w="397" w:type="pct"/>
            <w:tcMar>
              <w:left w:w="11" w:type="dxa"/>
              <w:right w:w="11" w:type="dxa"/>
            </w:tcMar>
            <w:vAlign w:val="center"/>
          </w:tcPr>
          <w:p w:rsidR="00630DB4" w:rsidRPr="005728DD" w:rsidRDefault="00630DB4" w:rsidP="00630DB4">
            <w:pPr>
              <w:pStyle w:val="TableText0"/>
              <w:jc w:val="center"/>
            </w:pPr>
            <w:r w:rsidRPr="005728DD">
              <w:t>203/203</w:t>
            </w:r>
          </w:p>
        </w:tc>
        <w:tc>
          <w:tcPr>
            <w:tcW w:w="635" w:type="pct"/>
            <w:tcMar>
              <w:left w:w="11" w:type="dxa"/>
              <w:right w:w="11" w:type="dxa"/>
            </w:tcMar>
            <w:vAlign w:val="center"/>
          </w:tcPr>
          <w:p w:rsidR="00630DB4" w:rsidRPr="005728DD" w:rsidRDefault="00630DB4" w:rsidP="00630DB4">
            <w:pPr>
              <w:pStyle w:val="TableText0"/>
              <w:jc w:val="center"/>
            </w:pPr>
            <w:r w:rsidRPr="005728DD">
              <w:t>61.3 (15.5)</w:t>
            </w:r>
          </w:p>
        </w:tc>
        <w:tc>
          <w:tcPr>
            <w:tcW w:w="556" w:type="pct"/>
            <w:tcMar>
              <w:left w:w="11" w:type="dxa"/>
              <w:right w:w="11" w:type="dxa"/>
            </w:tcMar>
            <w:vAlign w:val="center"/>
          </w:tcPr>
          <w:p w:rsidR="00630DB4" w:rsidRPr="005728DD" w:rsidRDefault="00630DB4" w:rsidP="00630DB4">
            <w:pPr>
              <w:pStyle w:val="TableText0"/>
              <w:jc w:val="center"/>
            </w:pPr>
            <w:r w:rsidRPr="005728DD">
              <w:t>-0.4 (0.5)</w:t>
            </w:r>
          </w:p>
        </w:tc>
        <w:tc>
          <w:tcPr>
            <w:tcW w:w="723" w:type="pct"/>
            <w:tcMar>
              <w:left w:w="11" w:type="dxa"/>
              <w:right w:w="11" w:type="dxa"/>
            </w:tcMar>
            <w:vAlign w:val="center"/>
          </w:tcPr>
          <w:p w:rsidR="00630DB4" w:rsidRPr="005728DD" w:rsidRDefault="00630DB4" w:rsidP="00630DB4">
            <w:pPr>
              <w:pStyle w:val="TableText0"/>
              <w:jc w:val="center"/>
              <w:rPr>
                <w:b/>
                <w:bCs w:val="0"/>
              </w:rPr>
            </w:pPr>
            <w:r w:rsidRPr="005728DD">
              <w:rPr>
                <w:b/>
                <w:bCs w:val="0"/>
              </w:rPr>
              <w:t>14.3 (12.7, 15.8)</w:t>
            </w:r>
          </w:p>
        </w:tc>
        <w:tc>
          <w:tcPr>
            <w:tcW w:w="378" w:type="pct"/>
            <w:tcMar>
              <w:left w:w="11" w:type="dxa"/>
              <w:right w:w="11" w:type="dxa"/>
            </w:tcMar>
            <w:vAlign w:val="center"/>
          </w:tcPr>
          <w:p w:rsidR="00630DB4" w:rsidRPr="005728DD" w:rsidRDefault="00630DB4" w:rsidP="00630DB4">
            <w:pPr>
              <w:pStyle w:val="TableText0"/>
              <w:jc w:val="center"/>
            </w:pPr>
            <w:r w:rsidRPr="005728DD">
              <w:t>&lt;0.0001</w:t>
            </w:r>
          </w:p>
        </w:tc>
      </w:tr>
    </w:tbl>
    <w:p w:rsidR="00BC5E47" w:rsidRPr="005728DD" w:rsidRDefault="00BC5E47" w:rsidP="001F49A3">
      <w:pPr>
        <w:pStyle w:val="TableFigureFooter"/>
      </w:pPr>
    </w:p>
    <w:p w:rsidR="001F49A3" w:rsidRPr="005728DD" w:rsidRDefault="001F49A3" w:rsidP="001F49A3">
      <w:pPr>
        <w:pStyle w:val="TableFigureFooter"/>
        <w:rPr>
          <w:sz w:val="20"/>
        </w:rPr>
      </w:pPr>
      <w:r w:rsidRPr="005728DD">
        <w:t>Source: Table 2.3.13, p85; Table 2.3.14, p86; Table 2.4.13, p118; Table 2.5.15, p14</w:t>
      </w:r>
      <w:r w:rsidR="00452FD8" w:rsidRPr="005728DD">
        <w:t xml:space="preserve">, Table 2.5.22, pg156 </w:t>
      </w:r>
      <w:r w:rsidRPr="005728DD">
        <w:t>of the submission</w:t>
      </w:r>
    </w:p>
    <w:p w:rsidR="001F49A3" w:rsidRPr="005728DD" w:rsidRDefault="001F49A3" w:rsidP="001F49A3">
      <w:pPr>
        <w:pStyle w:val="TableFigureFooter"/>
        <w:spacing w:after="0"/>
      </w:pPr>
      <w:r w:rsidRPr="005728DD">
        <w:t xml:space="preserve">Abbreviations: CI = confidence interval; </w:t>
      </w:r>
      <w:r w:rsidR="00C45D07" w:rsidRPr="005728DD">
        <w:rPr>
          <w:bCs/>
          <w:szCs w:val="20"/>
        </w:rPr>
        <w:t xml:space="preserve">ELX/TEZ/IVA = elexacaftor/tezacaftor/ivacaftor; </w:t>
      </w:r>
      <w:r w:rsidRPr="005728DD">
        <w:rPr>
          <w:bCs/>
          <w:szCs w:val="20"/>
        </w:rPr>
        <w:t xml:space="preserve">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00C45D07" w:rsidRPr="005728DD">
        <w:rPr>
          <w:bCs/>
          <w:szCs w:val="20"/>
        </w:rPr>
        <w:t>IVA = ivacaftor</w:t>
      </w:r>
      <w:r w:rsidR="00C45D07" w:rsidRPr="005728DD">
        <w:rPr>
          <w:rFonts w:eastAsia="Calibri"/>
        </w:rPr>
        <w:t xml:space="preserve">; </w:t>
      </w:r>
      <w:r w:rsidRPr="005728DD">
        <w:rPr>
          <w:rFonts w:eastAsia="Calibri"/>
        </w:rPr>
        <w:t xml:space="preserve">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w:t>
      </w:r>
      <w:r w:rsidR="00C45D07" w:rsidRPr="005728DD">
        <w:t xml:space="preserve">; </w:t>
      </w:r>
      <w:r w:rsidR="00C45D07" w:rsidRPr="005728DD">
        <w:rPr>
          <w:bCs/>
          <w:szCs w:val="20"/>
        </w:rPr>
        <w:t>TEZ/IVA = tezacaftor and ivacaftor</w:t>
      </w:r>
    </w:p>
    <w:p w:rsidR="001F49A3" w:rsidRPr="005728DD" w:rsidRDefault="001F49A3" w:rsidP="001F49A3">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C57062" w:rsidRPr="005728DD" w:rsidRDefault="00B66412" w:rsidP="001F49A3">
      <w:pPr>
        <w:rPr>
          <w:rFonts w:ascii="Arial Narrow" w:eastAsia="Calibri" w:hAnsi="Arial Narrow"/>
          <w:sz w:val="18"/>
          <w:szCs w:val="18"/>
        </w:rPr>
      </w:pPr>
      <w:r w:rsidRPr="005728DD">
        <w:rPr>
          <w:rFonts w:ascii="Arial Narrow" w:eastAsia="Calibri" w:hAnsi="Arial Narrow"/>
          <w:sz w:val="18"/>
          <w:szCs w:val="18"/>
        </w:rPr>
        <w:t xml:space="preserve">Note: </w:t>
      </w:r>
      <w:r w:rsidR="00A60A4A" w:rsidRPr="005728DD">
        <w:rPr>
          <w:rFonts w:ascii="Arial Narrow" w:eastAsia="Calibri" w:hAnsi="Arial Narrow"/>
          <w:sz w:val="18"/>
          <w:szCs w:val="18"/>
          <w:vertAlign w:val="superscript"/>
        </w:rPr>
        <w:t xml:space="preserve">a </w:t>
      </w:r>
      <w:r w:rsidR="008951A8" w:rsidRPr="005728DD">
        <w:rPr>
          <w:rFonts w:ascii="Arial Narrow" w:eastAsia="Calibri" w:hAnsi="Arial Narrow"/>
          <w:sz w:val="18"/>
          <w:szCs w:val="18"/>
        </w:rPr>
        <w:t>3.5 (95% CI: 2.2, 4.7) in the ITT population</w:t>
      </w:r>
    </w:p>
    <w:p w:rsidR="008951A8" w:rsidRPr="005728DD" w:rsidRDefault="008951A8" w:rsidP="001F49A3">
      <w:pPr>
        <w:rPr>
          <w:rFonts w:ascii="Arial Narrow" w:eastAsia="Calibri" w:hAnsi="Arial Narrow"/>
          <w:sz w:val="18"/>
          <w:szCs w:val="18"/>
        </w:rPr>
      </w:pPr>
    </w:p>
    <w:p w:rsidR="00C57062" w:rsidRPr="005728DD" w:rsidRDefault="00C57062" w:rsidP="00C57062">
      <w:pPr>
        <w:pStyle w:val="3-BodyText"/>
      </w:pPr>
      <w:r w:rsidRPr="005728DD">
        <w:t xml:space="preserve">Results from the trials indicated </w:t>
      </w:r>
      <w:r w:rsidR="007B06D6">
        <w:t>the mean treatment difference compared to the control arm for the</w:t>
      </w:r>
      <w:r w:rsidRPr="005728DD">
        <w:t xml:space="preserve"> change from baseline in ppFEV</w:t>
      </w:r>
      <w:r w:rsidRPr="005728DD">
        <w:rPr>
          <w:vertAlign w:val="subscript"/>
        </w:rPr>
        <w:t>1</w:t>
      </w:r>
      <w:r w:rsidRPr="005728DD">
        <w:t xml:space="preserve"> </w:t>
      </w:r>
      <w:r w:rsidR="007B06D6">
        <w:t xml:space="preserve">was statistically significant </w:t>
      </w:r>
      <w:r w:rsidRPr="005728DD">
        <w:t xml:space="preserve">with an absolute change of (1) 10.0 (95% CI: 7.4, 12.6) at 4 weeks and 10.2 (95% CI: 8.2, 12.1) at 24 weeks in </w:t>
      </w:r>
      <w:r w:rsidR="008951A8" w:rsidRPr="005728DD">
        <w:t xml:space="preserve">the </w:t>
      </w:r>
      <w:r w:rsidRPr="005728DD">
        <w:t xml:space="preserve">F/F </w:t>
      </w:r>
      <w:r w:rsidR="008951A8" w:rsidRPr="005728DD">
        <w:t xml:space="preserve">population </w:t>
      </w:r>
      <w:r w:rsidRPr="005728DD">
        <w:t xml:space="preserve">(2) 2.0 (95% CI: 0.5, 3.4) at 8 weeks in </w:t>
      </w:r>
      <w:r w:rsidR="008951A8" w:rsidRPr="005728DD">
        <w:t xml:space="preserve">the </w:t>
      </w:r>
      <w:r w:rsidRPr="005728DD">
        <w:t>F/RF</w:t>
      </w:r>
      <w:r w:rsidR="008951A8" w:rsidRPr="005728DD">
        <w:t xml:space="preserve"> population</w:t>
      </w:r>
      <w:r w:rsidRPr="005728DD">
        <w:t xml:space="preserve">; (3) 5.8 (95% CI: 3.5, 8.0) at 8 weeks in </w:t>
      </w:r>
      <w:r w:rsidR="008951A8" w:rsidRPr="005728DD">
        <w:t xml:space="preserve">the </w:t>
      </w:r>
      <w:r w:rsidRPr="005728DD">
        <w:t>F/G</w:t>
      </w:r>
      <w:r w:rsidR="008951A8" w:rsidRPr="005728DD">
        <w:t xml:space="preserve"> population</w:t>
      </w:r>
      <w:r w:rsidRPr="005728DD">
        <w:t xml:space="preserve">; and (4) 14.3 (95% CI: 12.7, 15.8) at 24 weeks in </w:t>
      </w:r>
      <w:r w:rsidR="008951A8" w:rsidRPr="005728DD">
        <w:t xml:space="preserve">the </w:t>
      </w:r>
      <w:r w:rsidRPr="005728DD">
        <w:t>F/MF</w:t>
      </w:r>
      <w:r w:rsidR="008951A8" w:rsidRPr="005728DD">
        <w:t xml:space="preserve"> population</w:t>
      </w:r>
      <w:r w:rsidRPr="005728DD">
        <w:t>.</w:t>
      </w:r>
    </w:p>
    <w:p w:rsidR="001F49A3" w:rsidRPr="005728DD" w:rsidRDefault="001F49A3" w:rsidP="00900E4C">
      <w:pPr>
        <w:pStyle w:val="3-BodyText"/>
        <w:rPr>
          <w:color w:val="0066FF"/>
        </w:rPr>
      </w:pPr>
      <w:r w:rsidRPr="005728DD">
        <w:rPr>
          <w:rFonts w:ascii="Calibri" w:hAnsi="Calibri"/>
          <w:snapToGrid/>
          <w:color w:val="000000" w:themeColor="text1"/>
        </w:rPr>
        <w:t xml:space="preserve">The </w:t>
      </w:r>
      <w:r w:rsidR="00AE70DC" w:rsidRPr="005728DD">
        <w:rPr>
          <w:rFonts w:ascii="Calibri" w:hAnsi="Calibri"/>
          <w:snapToGrid/>
          <w:color w:val="000000" w:themeColor="text1"/>
        </w:rPr>
        <w:t xml:space="preserve">evaluation noted the </w:t>
      </w:r>
      <w:r w:rsidRPr="005728DD">
        <w:rPr>
          <w:rFonts w:ascii="Calibri" w:hAnsi="Calibri"/>
          <w:snapToGrid/>
          <w:color w:val="000000" w:themeColor="text1"/>
        </w:rPr>
        <w:t>improvement in ppFEV</w:t>
      </w:r>
      <w:r w:rsidRPr="005728DD">
        <w:rPr>
          <w:rFonts w:ascii="Calibri" w:hAnsi="Calibri"/>
          <w:snapToGrid/>
          <w:color w:val="000000" w:themeColor="text1"/>
          <w:vertAlign w:val="subscript"/>
        </w:rPr>
        <w:t>1</w:t>
      </w:r>
      <w:r w:rsidRPr="005728DD">
        <w:rPr>
          <w:rFonts w:ascii="Calibri" w:hAnsi="Calibri"/>
          <w:snapToGrid/>
          <w:color w:val="000000" w:themeColor="text1"/>
        </w:rPr>
        <w:t xml:space="preserve"> in</w:t>
      </w:r>
      <w:r w:rsidR="00C57062" w:rsidRPr="005728DD">
        <w:rPr>
          <w:rFonts w:ascii="Calibri" w:hAnsi="Calibri"/>
          <w:snapToGrid/>
          <w:color w:val="000000" w:themeColor="text1"/>
        </w:rPr>
        <w:t xml:space="preserve"> both F/F studies </w:t>
      </w:r>
      <w:r w:rsidR="00630DB4" w:rsidRPr="005728DD">
        <w:rPr>
          <w:rFonts w:ascii="Calibri" w:hAnsi="Calibri"/>
          <w:snapToGrid/>
          <w:color w:val="000000" w:themeColor="text1"/>
        </w:rPr>
        <w:t xml:space="preserve">(vs TEZ/IVA) </w:t>
      </w:r>
      <w:r w:rsidRPr="005728DD">
        <w:rPr>
          <w:rFonts w:ascii="Calibri" w:hAnsi="Calibri"/>
          <w:snapToGrid/>
          <w:color w:val="000000" w:themeColor="text1"/>
        </w:rPr>
        <w:t xml:space="preserve">and </w:t>
      </w:r>
      <w:r w:rsidR="00C57062" w:rsidRPr="005728DD">
        <w:rPr>
          <w:rFonts w:ascii="Calibri" w:hAnsi="Calibri"/>
          <w:snapToGrid/>
          <w:color w:val="000000" w:themeColor="text1"/>
        </w:rPr>
        <w:t>the F/MF study</w:t>
      </w:r>
      <w:r w:rsidR="00630DB4" w:rsidRPr="005728DD">
        <w:rPr>
          <w:rFonts w:ascii="Calibri" w:hAnsi="Calibri"/>
          <w:snapToGrid/>
          <w:color w:val="000000" w:themeColor="text1"/>
        </w:rPr>
        <w:t xml:space="preserve"> (vs BSC)</w:t>
      </w:r>
      <w:r w:rsidR="00C57062" w:rsidRPr="005728DD">
        <w:rPr>
          <w:rFonts w:ascii="Calibri" w:hAnsi="Calibri"/>
          <w:snapToGrid/>
          <w:color w:val="000000" w:themeColor="text1"/>
        </w:rPr>
        <w:t xml:space="preserve"> e</w:t>
      </w:r>
      <w:r w:rsidRPr="005728DD">
        <w:rPr>
          <w:rFonts w:ascii="Calibri" w:hAnsi="Calibri"/>
          <w:snapToGrid/>
          <w:color w:val="000000" w:themeColor="text1"/>
        </w:rPr>
        <w:t xml:space="preserve">xceeded </w:t>
      </w:r>
      <w:r w:rsidRPr="005728DD">
        <w:t>a minimum clinically important difference (MCID) for ppFEV</w:t>
      </w:r>
      <w:r w:rsidRPr="005728DD">
        <w:rPr>
          <w:vertAlign w:val="subscript"/>
        </w:rPr>
        <w:t xml:space="preserve">1 </w:t>
      </w:r>
      <w:r w:rsidR="00B22A9D" w:rsidRPr="005728DD">
        <w:t xml:space="preserve">of </w:t>
      </w:r>
      <w:r w:rsidRPr="005728DD">
        <w:t xml:space="preserve">an absolute change of 10% that was previously </w:t>
      </w:r>
      <w:r w:rsidR="00CF223C" w:rsidRPr="005728DD">
        <w:t>considered</w:t>
      </w:r>
      <w:r w:rsidR="001B2336" w:rsidRPr="005728DD">
        <w:t xml:space="preserve"> </w:t>
      </w:r>
      <w:r w:rsidRPr="005728DD">
        <w:t xml:space="preserve">by the PBAC (paragraph 6.10, </w:t>
      </w:r>
      <w:r w:rsidR="008173AE" w:rsidRPr="005728DD">
        <w:t>LUM/IVA</w:t>
      </w:r>
      <w:r w:rsidR="00A24FFE" w:rsidRPr="005728DD">
        <w:t xml:space="preserve"> </w:t>
      </w:r>
      <w:r w:rsidR="00900E4C" w:rsidRPr="00900E4C">
        <w:t xml:space="preserve">Public Summary Document </w:t>
      </w:r>
      <w:r w:rsidR="00900E4C">
        <w:t>(</w:t>
      </w:r>
      <w:r w:rsidRPr="005728DD">
        <w:t>PSD</w:t>
      </w:r>
      <w:r w:rsidR="00900E4C">
        <w:t>)</w:t>
      </w:r>
      <w:r w:rsidRPr="005728DD">
        <w:t xml:space="preserve">, March 2016 PBAC meeting; </w:t>
      </w:r>
      <w:r w:rsidR="00D37766" w:rsidRPr="005728DD">
        <w:t>Section 1</w:t>
      </w:r>
      <w:r w:rsidRPr="005728DD">
        <w:t xml:space="preserve">2, ivacaftor, PSD, July 2013 PBAC meeting). </w:t>
      </w:r>
      <w:r w:rsidR="00A83324" w:rsidRPr="005728DD">
        <w:t xml:space="preserve">The ESC recalled the </w:t>
      </w:r>
      <w:r w:rsidR="00A83324" w:rsidRPr="005728DD">
        <w:rPr>
          <w:iCs/>
        </w:rPr>
        <w:t xml:space="preserve">sponsor had previously stated that the objective of CF treatment is to maintain lung function and the PBAC had acknowledged that maintaining or slowing decline in lung function was the main aim of CF treatment (paragraph 6.13, LUM/IVA PSD, July 2018 PBAC meeting). </w:t>
      </w:r>
      <w:r w:rsidR="008951A8" w:rsidRPr="005728DD">
        <w:t>The ESC recalled the PBAC had previously considered that, in addition to ppFEV</w:t>
      </w:r>
      <w:r w:rsidR="008951A8" w:rsidRPr="005728DD">
        <w:rPr>
          <w:vertAlign w:val="subscript"/>
        </w:rPr>
        <w:t>1</w:t>
      </w:r>
      <w:r w:rsidR="008951A8" w:rsidRPr="005728DD">
        <w:t>, outcomes such as increase in</w:t>
      </w:r>
      <w:r w:rsidR="00CA174A" w:rsidRPr="005728DD">
        <w:t xml:space="preserve"> weight</w:t>
      </w:r>
      <w:r w:rsidR="008951A8" w:rsidRPr="005728DD">
        <w:t xml:space="preserve"> (which may support an improvement in nutritional status) and </w:t>
      </w:r>
      <w:r w:rsidR="00CA174A" w:rsidRPr="005728DD">
        <w:t xml:space="preserve">a </w:t>
      </w:r>
      <w:r w:rsidR="008951A8" w:rsidRPr="005728DD">
        <w:t xml:space="preserve">reduction in </w:t>
      </w:r>
      <w:r w:rsidR="00AE70DC" w:rsidRPr="005728DD">
        <w:t xml:space="preserve">the number of pulmonary </w:t>
      </w:r>
      <w:r w:rsidR="00AE70DC" w:rsidRPr="005728DD">
        <w:lastRenderedPageBreak/>
        <w:t xml:space="preserve">exacerbations (including exacerbations requiring hospitalisations and/or intravenous antibiotics) </w:t>
      </w:r>
      <w:r w:rsidR="00D30B84" w:rsidRPr="005728DD">
        <w:t xml:space="preserve">are </w:t>
      </w:r>
      <w:r w:rsidR="00AE70DC" w:rsidRPr="005728DD">
        <w:t xml:space="preserve">clinically </w:t>
      </w:r>
      <w:r w:rsidR="008951A8" w:rsidRPr="005728DD">
        <w:t>important outcomes (paragraph 7.7, LUM/IVA PSD, March 2016 PBAC meeting).</w:t>
      </w:r>
      <w:r w:rsidR="008B5EF9" w:rsidRPr="005728DD">
        <w:t xml:space="preserve"> </w:t>
      </w:r>
    </w:p>
    <w:p w:rsidR="00D24F49" w:rsidRPr="005728DD" w:rsidRDefault="008C58C8" w:rsidP="001210A3">
      <w:pPr>
        <w:pStyle w:val="3-BodyText"/>
        <w:rPr>
          <w:rFonts w:ascii="Calibri" w:hAnsi="Calibri"/>
          <w:i/>
          <w:snapToGrid/>
          <w:color w:val="000000" w:themeColor="text1"/>
        </w:rPr>
      </w:pPr>
      <w:r w:rsidRPr="005728DD">
        <w:rPr>
          <w:rFonts w:ascii="Calibri" w:hAnsi="Calibri"/>
          <w:snapToGrid/>
          <w:color w:val="000000" w:themeColor="text1"/>
        </w:rPr>
        <w:t>T</w:t>
      </w:r>
      <w:r w:rsidR="00D24F49" w:rsidRPr="005728DD">
        <w:rPr>
          <w:rFonts w:ascii="Calibri" w:hAnsi="Calibri"/>
          <w:snapToGrid/>
          <w:color w:val="000000" w:themeColor="text1"/>
        </w:rPr>
        <w:t xml:space="preserve">he </w:t>
      </w:r>
      <w:r w:rsidRPr="005728DD">
        <w:rPr>
          <w:rFonts w:ascii="Calibri" w:hAnsi="Calibri"/>
          <w:snapToGrid/>
          <w:color w:val="000000" w:themeColor="text1"/>
        </w:rPr>
        <w:t xml:space="preserve">results were based on </w:t>
      </w:r>
      <w:r w:rsidR="00D24F49" w:rsidRPr="005728DD">
        <w:rPr>
          <w:rFonts w:ascii="Calibri" w:hAnsi="Calibri"/>
          <w:snapToGrid/>
          <w:color w:val="000000" w:themeColor="text1"/>
        </w:rPr>
        <w:t xml:space="preserve">a relatively short period within the clinical trials. The submission </w:t>
      </w:r>
      <w:r w:rsidR="001E04C8" w:rsidRPr="005728DD">
        <w:rPr>
          <w:rFonts w:ascii="Calibri" w:hAnsi="Calibri"/>
          <w:snapToGrid/>
          <w:color w:val="000000" w:themeColor="text1"/>
        </w:rPr>
        <w:t>substantiated</w:t>
      </w:r>
      <w:r w:rsidR="00D24F49" w:rsidRPr="005728DD">
        <w:rPr>
          <w:rFonts w:ascii="Calibri" w:hAnsi="Calibri"/>
          <w:snapToGrid/>
          <w:color w:val="000000" w:themeColor="text1"/>
        </w:rPr>
        <w:t xml:space="preserve"> longer-term results of response duration from</w:t>
      </w:r>
      <w:r w:rsidR="000F6AAE" w:rsidRPr="005728DD">
        <w:rPr>
          <w:rFonts w:ascii="Calibri" w:hAnsi="Calibri"/>
          <w:snapToGrid/>
          <w:color w:val="000000" w:themeColor="text1"/>
        </w:rPr>
        <w:t xml:space="preserve"> an interim analysis of</w:t>
      </w:r>
      <w:r w:rsidR="00D24F49" w:rsidRPr="005728DD">
        <w:rPr>
          <w:rFonts w:ascii="Calibri" w:hAnsi="Calibri"/>
          <w:snapToGrid/>
          <w:color w:val="000000" w:themeColor="text1"/>
        </w:rPr>
        <w:t xml:space="preserve"> Study 105 (rollover study for Study 103 </w:t>
      </w:r>
      <w:r w:rsidR="00647C9A" w:rsidRPr="005728DD">
        <w:rPr>
          <w:rFonts w:ascii="Calibri" w:hAnsi="Calibri"/>
          <w:snapToGrid/>
          <w:color w:val="000000" w:themeColor="text1"/>
        </w:rPr>
        <w:t xml:space="preserve">(F/F) </w:t>
      </w:r>
      <w:r w:rsidR="00D24F49" w:rsidRPr="005728DD">
        <w:rPr>
          <w:rFonts w:ascii="Calibri" w:hAnsi="Calibri"/>
          <w:snapToGrid/>
          <w:color w:val="000000" w:themeColor="text1"/>
        </w:rPr>
        <w:t>and Study 102</w:t>
      </w:r>
      <w:r w:rsidR="00494230" w:rsidRPr="005728DD">
        <w:rPr>
          <w:rFonts w:ascii="Calibri" w:hAnsi="Calibri"/>
          <w:snapToGrid/>
          <w:color w:val="000000" w:themeColor="text1"/>
        </w:rPr>
        <w:t xml:space="preserve"> </w:t>
      </w:r>
      <w:r w:rsidR="00647C9A" w:rsidRPr="005728DD">
        <w:rPr>
          <w:rFonts w:ascii="Calibri" w:hAnsi="Calibri"/>
          <w:snapToGrid/>
          <w:color w:val="000000" w:themeColor="text1"/>
        </w:rPr>
        <w:t xml:space="preserve">(F/MF) </w:t>
      </w:r>
      <w:r w:rsidR="002F7BD1" w:rsidRPr="005728DD">
        <w:rPr>
          <w:rFonts w:ascii="Calibri" w:hAnsi="Calibri"/>
          <w:snapToGrid/>
          <w:color w:val="000000" w:themeColor="text1"/>
        </w:rPr>
        <w:t xml:space="preserve">with </w:t>
      </w:r>
      <w:r w:rsidR="00D22D1C" w:rsidRPr="005728DD">
        <w:rPr>
          <w:rFonts w:ascii="Calibri" w:hAnsi="Calibri"/>
          <w:snapToGrid/>
          <w:color w:val="000000" w:themeColor="text1"/>
        </w:rPr>
        <w:t xml:space="preserve">a </w:t>
      </w:r>
      <w:r w:rsidR="002F7BD1" w:rsidRPr="005728DD">
        <w:rPr>
          <w:rFonts w:ascii="Calibri" w:hAnsi="Calibri"/>
          <w:snapToGrid/>
          <w:color w:val="000000" w:themeColor="text1"/>
        </w:rPr>
        <w:t xml:space="preserve">planned </w:t>
      </w:r>
      <w:r w:rsidR="00494230" w:rsidRPr="005728DD">
        <w:rPr>
          <w:rFonts w:ascii="Calibri" w:hAnsi="Calibri"/>
          <w:snapToGrid/>
          <w:color w:val="000000" w:themeColor="text1"/>
        </w:rPr>
        <w:t>follow</w:t>
      </w:r>
      <w:r w:rsidR="002F7BD1" w:rsidRPr="005728DD">
        <w:rPr>
          <w:rFonts w:ascii="Calibri" w:hAnsi="Calibri"/>
          <w:snapToGrid/>
          <w:color w:val="000000" w:themeColor="text1"/>
        </w:rPr>
        <w:t>-</w:t>
      </w:r>
      <w:r w:rsidR="00494230" w:rsidRPr="005728DD">
        <w:rPr>
          <w:rFonts w:ascii="Calibri" w:hAnsi="Calibri"/>
          <w:snapToGrid/>
          <w:color w:val="000000" w:themeColor="text1"/>
        </w:rPr>
        <w:t>up</w:t>
      </w:r>
      <w:r w:rsidR="002F7BD1" w:rsidRPr="005728DD">
        <w:rPr>
          <w:rFonts w:ascii="Calibri" w:hAnsi="Calibri"/>
          <w:snapToGrid/>
          <w:color w:val="000000" w:themeColor="text1"/>
        </w:rPr>
        <w:t xml:space="preserve"> of</w:t>
      </w:r>
      <w:r w:rsidR="00494230" w:rsidRPr="005728DD">
        <w:rPr>
          <w:rFonts w:ascii="Calibri" w:hAnsi="Calibri"/>
          <w:snapToGrid/>
          <w:color w:val="000000" w:themeColor="text1"/>
        </w:rPr>
        <w:t xml:space="preserve"> </w:t>
      </w:r>
      <w:r w:rsidR="002F7BD1" w:rsidRPr="005728DD">
        <w:rPr>
          <w:rFonts w:ascii="Calibri" w:hAnsi="Calibri"/>
          <w:snapToGrid/>
          <w:color w:val="000000" w:themeColor="text1"/>
        </w:rPr>
        <w:t>9</w:t>
      </w:r>
      <w:r w:rsidR="004669A0" w:rsidRPr="005728DD">
        <w:rPr>
          <w:rFonts w:ascii="Calibri" w:hAnsi="Calibri"/>
          <w:snapToGrid/>
          <w:color w:val="000000" w:themeColor="text1"/>
        </w:rPr>
        <w:t>6</w:t>
      </w:r>
      <w:r w:rsidR="002F7BD1" w:rsidRPr="005728DD">
        <w:rPr>
          <w:rFonts w:ascii="Calibri" w:hAnsi="Calibri"/>
          <w:snapToGrid/>
          <w:color w:val="000000" w:themeColor="text1"/>
        </w:rPr>
        <w:t xml:space="preserve"> weeks</w:t>
      </w:r>
      <w:r w:rsidR="00D24F49" w:rsidRPr="005728DD">
        <w:rPr>
          <w:rFonts w:ascii="Calibri" w:hAnsi="Calibri"/>
          <w:snapToGrid/>
          <w:color w:val="000000" w:themeColor="text1"/>
        </w:rPr>
        <w:t xml:space="preserve">); see </w:t>
      </w:r>
      <w:r w:rsidR="00B22A9D" w:rsidRPr="005728DD">
        <w:rPr>
          <w:rFonts w:ascii="Calibri" w:hAnsi="Calibri"/>
          <w:snapToGrid/>
          <w:color w:val="000000" w:themeColor="text1"/>
        </w:rPr>
        <w:t xml:space="preserve">Figure </w:t>
      </w:r>
      <w:r w:rsidR="00E11C01" w:rsidRPr="005728DD">
        <w:rPr>
          <w:rFonts w:ascii="Calibri" w:hAnsi="Calibri"/>
          <w:snapToGrid/>
          <w:color w:val="000000" w:themeColor="text1"/>
        </w:rPr>
        <w:t>3</w:t>
      </w:r>
      <w:r w:rsidR="00D24F49" w:rsidRPr="005728DD">
        <w:rPr>
          <w:rFonts w:ascii="Calibri" w:hAnsi="Calibri"/>
          <w:snapToGrid/>
          <w:color w:val="000000" w:themeColor="text1"/>
        </w:rPr>
        <w:t xml:space="preserve">. </w:t>
      </w:r>
      <w:r w:rsidR="00B22A9D" w:rsidRPr="005728DD">
        <w:rPr>
          <w:rFonts w:ascii="Calibri" w:hAnsi="Calibri"/>
          <w:snapToGrid/>
          <w:color w:val="000000" w:themeColor="text1"/>
        </w:rPr>
        <w:t xml:space="preserve">The </w:t>
      </w:r>
      <w:r w:rsidR="00CB03D8" w:rsidRPr="005728DD">
        <w:rPr>
          <w:rFonts w:ascii="Calibri" w:hAnsi="Calibri"/>
          <w:snapToGrid/>
          <w:color w:val="000000" w:themeColor="text1"/>
        </w:rPr>
        <w:t xml:space="preserve">interim analysis </w:t>
      </w:r>
      <w:r w:rsidR="008951A8" w:rsidRPr="005728DD">
        <w:rPr>
          <w:rFonts w:ascii="Calibri" w:hAnsi="Calibri"/>
          <w:snapToGrid/>
          <w:color w:val="000000" w:themeColor="text1"/>
        </w:rPr>
        <w:t xml:space="preserve">(data </w:t>
      </w:r>
      <w:r w:rsidR="005F754B" w:rsidRPr="005728DD">
        <w:rPr>
          <w:rFonts w:ascii="Calibri" w:hAnsi="Calibri"/>
          <w:snapToGrid/>
          <w:color w:val="000000" w:themeColor="text1"/>
        </w:rPr>
        <w:t>cut-off</w:t>
      </w:r>
      <w:r w:rsidR="008951A8" w:rsidRPr="005728DD">
        <w:rPr>
          <w:rFonts w:ascii="Calibri" w:hAnsi="Calibri"/>
          <w:snapToGrid/>
          <w:color w:val="000000" w:themeColor="text1"/>
        </w:rPr>
        <w:t xml:space="preserve"> 31 October 2019) </w:t>
      </w:r>
      <w:r w:rsidR="00B22A9D" w:rsidRPr="005728DD">
        <w:rPr>
          <w:rFonts w:ascii="Calibri" w:hAnsi="Calibri"/>
          <w:snapToGrid/>
          <w:color w:val="000000" w:themeColor="text1"/>
        </w:rPr>
        <w:t xml:space="preserve">from </w:t>
      </w:r>
      <w:r w:rsidR="00D24F49" w:rsidRPr="005728DD">
        <w:rPr>
          <w:rFonts w:ascii="Calibri" w:hAnsi="Calibri"/>
          <w:snapToGrid/>
          <w:color w:val="000000" w:themeColor="text1"/>
        </w:rPr>
        <w:t>Study 105</w:t>
      </w:r>
      <w:r w:rsidR="00B22A9D" w:rsidRPr="005728DD">
        <w:rPr>
          <w:rFonts w:ascii="Calibri" w:hAnsi="Calibri"/>
          <w:snapToGrid/>
          <w:color w:val="000000" w:themeColor="text1"/>
        </w:rPr>
        <w:t xml:space="preserve"> presented </w:t>
      </w:r>
      <w:r w:rsidR="00CA174A" w:rsidRPr="005728DD">
        <w:rPr>
          <w:rFonts w:ascii="Calibri" w:hAnsi="Calibri"/>
          <w:snapToGrid/>
          <w:color w:val="000000" w:themeColor="text1"/>
        </w:rPr>
        <w:t xml:space="preserve">data from a </w:t>
      </w:r>
      <w:r w:rsidR="00B22A9D" w:rsidRPr="005728DD">
        <w:rPr>
          <w:rFonts w:ascii="Calibri" w:hAnsi="Calibri"/>
          <w:snapToGrid/>
          <w:color w:val="000000" w:themeColor="text1"/>
        </w:rPr>
        <w:t xml:space="preserve">total </w:t>
      </w:r>
      <w:r w:rsidR="00D24F49" w:rsidRPr="005728DD">
        <w:rPr>
          <w:rFonts w:ascii="Calibri" w:hAnsi="Calibri"/>
          <w:snapToGrid/>
          <w:color w:val="000000" w:themeColor="text1"/>
        </w:rPr>
        <w:t xml:space="preserve">follow-up </w:t>
      </w:r>
      <w:r w:rsidR="00B22A9D" w:rsidRPr="005728DD">
        <w:rPr>
          <w:rFonts w:ascii="Calibri" w:hAnsi="Calibri"/>
          <w:snapToGrid/>
          <w:color w:val="000000" w:themeColor="text1"/>
        </w:rPr>
        <w:t xml:space="preserve">of 40 </w:t>
      </w:r>
      <w:r w:rsidR="00D24F49" w:rsidRPr="005728DD">
        <w:rPr>
          <w:rFonts w:ascii="Calibri" w:hAnsi="Calibri"/>
          <w:snapToGrid/>
          <w:color w:val="000000" w:themeColor="text1"/>
        </w:rPr>
        <w:t xml:space="preserve">weeks for F/F and </w:t>
      </w:r>
      <w:r w:rsidR="00B22A9D" w:rsidRPr="005728DD">
        <w:rPr>
          <w:rFonts w:ascii="Calibri" w:hAnsi="Calibri"/>
          <w:snapToGrid/>
          <w:color w:val="000000" w:themeColor="text1"/>
        </w:rPr>
        <w:t>48</w:t>
      </w:r>
      <w:r w:rsidR="00D24F49" w:rsidRPr="005728DD">
        <w:rPr>
          <w:rFonts w:ascii="Calibri" w:hAnsi="Calibri"/>
          <w:snapToGrid/>
          <w:color w:val="000000" w:themeColor="text1"/>
        </w:rPr>
        <w:t xml:space="preserve"> weeks for F/MF. </w:t>
      </w:r>
      <w:r w:rsidR="00D24F49" w:rsidRPr="005728DD">
        <w:rPr>
          <w:rFonts w:ascii="Calibri" w:hAnsi="Calibri"/>
          <w:iCs/>
          <w:snapToGrid/>
          <w:color w:val="000000" w:themeColor="text1"/>
        </w:rPr>
        <w:t>The results suggest that ppFEV</w:t>
      </w:r>
      <w:r w:rsidR="00D24F49" w:rsidRPr="005728DD">
        <w:rPr>
          <w:rFonts w:ascii="Calibri" w:hAnsi="Calibri"/>
          <w:iCs/>
          <w:snapToGrid/>
          <w:color w:val="000000" w:themeColor="text1"/>
          <w:vertAlign w:val="subscript"/>
        </w:rPr>
        <w:t>1</w:t>
      </w:r>
      <w:r w:rsidR="00D24F49" w:rsidRPr="005728DD">
        <w:rPr>
          <w:rFonts w:ascii="Calibri" w:hAnsi="Calibri"/>
          <w:iCs/>
          <w:snapToGrid/>
          <w:color w:val="000000" w:themeColor="text1"/>
        </w:rPr>
        <w:t xml:space="preserve"> </w:t>
      </w:r>
      <w:r w:rsidR="00F8265E" w:rsidRPr="005728DD">
        <w:rPr>
          <w:rFonts w:ascii="Calibri" w:hAnsi="Calibri"/>
          <w:iCs/>
          <w:snapToGrid/>
          <w:color w:val="000000" w:themeColor="text1"/>
        </w:rPr>
        <w:t xml:space="preserve">of patients receiving ELX/TEZ/IVA </w:t>
      </w:r>
      <w:r w:rsidR="00D24F49" w:rsidRPr="005728DD">
        <w:rPr>
          <w:rFonts w:ascii="Calibri" w:hAnsi="Calibri"/>
          <w:iCs/>
          <w:snapToGrid/>
          <w:color w:val="000000" w:themeColor="text1"/>
        </w:rPr>
        <w:t xml:space="preserve">continued to remain stable over </w:t>
      </w:r>
      <w:r w:rsidR="007A186A" w:rsidRPr="005728DD">
        <w:rPr>
          <w:rFonts w:ascii="Calibri" w:hAnsi="Calibri"/>
          <w:iCs/>
          <w:snapToGrid/>
          <w:color w:val="000000" w:themeColor="text1"/>
        </w:rPr>
        <w:t xml:space="preserve">periods of up to </w:t>
      </w:r>
      <w:r w:rsidR="00CF223C" w:rsidRPr="005728DD">
        <w:rPr>
          <w:rFonts w:ascii="Calibri" w:hAnsi="Calibri"/>
          <w:iCs/>
          <w:snapToGrid/>
          <w:color w:val="000000" w:themeColor="text1"/>
        </w:rPr>
        <w:t>48</w:t>
      </w:r>
      <w:r w:rsidR="007A186A" w:rsidRPr="005728DD">
        <w:rPr>
          <w:rFonts w:ascii="Calibri" w:hAnsi="Calibri"/>
          <w:iCs/>
          <w:snapToGrid/>
          <w:color w:val="000000" w:themeColor="text1"/>
        </w:rPr>
        <w:t xml:space="preserve"> weeks</w:t>
      </w:r>
      <w:r w:rsidR="00FA5DC9" w:rsidRPr="005728DD">
        <w:rPr>
          <w:rFonts w:ascii="Calibri" w:hAnsi="Calibri"/>
          <w:iCs/>
          <w:snapToGrid/>
          <w:color w:val="000000" w:themeColor="text1"/>
        </w:rPr>
        <w:t>.</w:t>
      </w:r>
      <w:r w:rsidR="008951A8" w:rsidRPr="005728DD">
        <w:rPr>
          <w:rFonts w:ascii="Calibri" w:hAnsi="Calibri"/>
          <w:iCs/>
          <w:snapToGrid/>
          <w:color w:val="000000" w:themeColor="text1"/>
        </w:rPr>
        <w:t xml:space="preserve"> The ESC noted the primary completion date for Study 105 was September 2020</w:t>
      </w:r>
      <w:r w:rsidR="00491947" w:rsidRPr="005728DD">
        <w:rPr>
          <w:rFonts w:ascii="Calibri" w:hAnsi="Calibri"/>
          <w:iCs/>
          <w:snapToGrid/>
          <w:color w:val="000000" w:themeColor="text1"/>
        </w:rPr>
        <w:t>.</w:t>
      </w:r>
      <w:r w:rsidR="008951A8" w:rsidRPr="005728DD">
        <w:rPr>
          <w:rFonts w:ascii="Calibri" w:hAnsi="Calibri"/>
          <w:iCs/>
          <w:snapToGrid/>
          <w:color w:val="000000" w:themeColor="text1"/>
        </w:rPr>
        <w:t xml:space="preserve"> The ESC noted there are additional studies underway that may provide longer term data</w:t>
      </w:r>
      <w:r w:rsidR="00630DB4" w:rsidRPr="005728DD">
        <w:rPr>
          <w:rFonts w:ascii="Calibri" w:hAnsi="Calibri"/>
          <w:iCs/>
          <w:snapToGrid/>
          <w:color w:val="000000" w:themeColor="text1"/>
        </w:rPr>
        <w:t xml:space="preserve"> for ELX/TEZ/IVA</w:t>
      </w:r>
      <w:r w:rsidR="008951A8" w:rsidRPr="005728DD">
        <w:rPr>
          <w:rStyle w:val="FootnoteReference"/>
          <w:rFonts w:ascii="Calibri" w:hAnsi="Calibri"/>
          <w:iCs/>
          <w:snapToGrid/>
          <w:color w:val="000000" w:themeColor="text1"/>
        </w:rPr>
        <w:footnoteReference w:id="1"/>
      </w:r>
      <w:r w:rsidR="008951A8" w:rsidRPr="005728DD">
        <w:rPr>
          <w:rFonts w:ascii="Calibri" w:hAnsi="Calibri"/>
          <w:iCs/>
          <w:snapToGrid/>
          <w:color w:val="000000" w:themeColor="text1"/>
        </w:rPr>
        <w:t>.</w:t>
      </w:r>
      <w:r w:rsidR="003B1A99" w:rsidRPr="005728DD">
        <w:rPr>
          <w:rFonts w:ascii="Calibri" w:hAnsi="Calibri"/>
          <w:iCs/>
          <w:snapToGrid/>
          <w:color w:val="000000" w:themeColor="text1"/>
        </w:rPr>
        <w:t xml:space="preserve"> The ESC recalled the PBAC had previously considered clinical data from extension studies with up to 96 weeks follow up for LUMA/IVA (paragraph 6.9, LUM/IVA PSD, July 2018 PBAC meeting) and up to 48 weeks follow up for TEZ/IVA (paragraph 6.11,TEZ/IVA PSD, March 2019 PBAC meeting)</w:t>
      </w:r>
      <w:r w:rsidR="005728DD">
        <w:rPr>
          <w:rFonts w:ascii="Calibri" w:hAnsi="Calibri"/>
          <w:iCs/>
          <w:snapToGrid/>
          <w:color w:val="000000" w:themeColor="text1"/>
        </w:rPr>
        <w:t xml:space="preserve">. </w:t>
      </w:r>
    </w:p>
    <w:p w:rsidR="00B14C0B" w:rsidRDefault="00B14C0B">
      <w:pPr>
        <w:jc w:val="left"/>
        <w:rPr>
          <w:rFonts w:ascii="Arial Narrow" w:hAnsi="Arial Narrow"/>
          <w:b/>
          <w:bCs/>
          <w:sz w:val="20"/>
          <w:szCs w:val="20"/>
        </w:rPr>
      </w:pPr>
      <w:r>
        <w:br w:type="page"/>
      </w:r>
    </w:p>
    <w:p w:rsidR="00E1386C" w:rsidRPr="005728DD" w:rsidRDefault="00E1386C" w:rsidP="00E1386C">
      <w:pPr>
        <w:pStyle w:val="Caption"/>
        <w:jc w:val="both"/>
      </w:pPr>
      <w:r w:rsidRPr="005728DD">
        <w:lastRenderedPageBreak/>
        <w:t xml:space="preserve">Figure </w:t>
      </w:r>
      <w:r w:rsidR="005C56C0">
        <w:rPr>
          <w:noProof/>
        </w:rPr>
        <w:t>2</w:t>
      </w:r>
      <w:r w:rsidRPr="005728DD">
        <w:t>: Absolute change from Baseline in ppFEV1 by Visit in A) F/F patients (Study 103/OL-FAS Study 105) and B) F/MF patients (Study 102/OL-FAS Study 105)</w:t>
      </w:r>
    </w:p>
    <w:p w:rsidR="008C58C8" w:rsidRPr="005728DD" w:rsidRDefault="006B6882" w:rsidP="001F49A3">
      <w:pPr>
        <w:pStyle w:val="3-BodyText"/>
        <w:numPr>
          <w:ilvl w:val="0"/>
          <w:numId w:val="0"/>
        </w:numPr>
        <w:rPr>
          <w:i/>
          <w:iCs/>
          <w:snapToGrid/>
        </w:rPr>
      </w:pPr>
      <w:r w:rsidRPr="005728DD">
        <w:rPr>
          <w:i/>
          <w:iCs/>
          <w:noProof/>
          <w:snapToGrid/>
        </w:rPr>
        <w:drawing>
          <wp:inline distT="0" distB="0" distL="0" distR="0" wp14:anchorId="49F9B956" wp14:editId="14154F52">
            <wp:extent cx="5727700" cy="3518535"/>
            <wp:effectExtent l="0" t="0" r="6350" b="5715"/>
            <wp:docPr id="9" name="Picture 9" title="Figure 2: Absolute change from Baseline in ppFEV1 by Visit in A) F/F patients (Study 103/OL-FAS Study 105) and B) F/MF patients (Study 102/OL-FAS Study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518535"/>
                    </a:xfrm>
                    <a:prstGeom prst="rect">
                      <a:avLst/>
                    </a:prstGeom>
                    <a:noFill/>
                    <a:ln>
                      <a:noFill/>
                    </a:ln>
                  </pic:spPr>
                </pic:pic>
              </a:graphicData>
            </a:graphic>
          </wp:inline>
        </w:drawing>
      </w:r>
    </w:p>
    <w:p w:rsidR="006B6882" w:rsidRPr="005728DD" w:rsidRDefault="006B6882" w:rsidP="006B6882">
      <w:pPr>
        <w:pStyle w:val="3-BodyText"/>
        <w:numPr>
          <w:ilvl w:val="0"/>
          <w:numId w:val="0"/>
        </w:numPr>
        <w:spacing w:after="0"/>
        <w:ind w:left="720" w:hanging="720"/>
        <w:rPr>
          <w:rFonts w:ascii="Arial Narrow" w:hAnsi="Arial Narrow"/>
          <w:bCs/>
          <w:sz w:val="18"/>
          <w:szCs w:val="20"/>
        </w:rPr>
      </w:pPr>
      <w:r w:rsidRPr="005728DD">
        <w:rPr>
          <w:rFonts w:ascii="Arial Narrow" w:hAnsi="Arial Narrow"/>
          <w:bCs/>
          <w:sz w:val="18"/>
          <w:szCs w:val="20"/>
        </w:rPr>
        <w:t>Source: Figure ES.1</w:t>
      </w:r>
      <w:r w:rsidR="00900E4C">
        <w:rPr>
          <w:rFonts w:ascii="Arial Narrow" w:hAnsi="Arial Narrow"/>
          <w:bCs/>
          <w:sz w:val="18"/>
          <w:szCs w:val="20"/>
        </w:rPr>
        <w:t xml:space="preserve"> </w:t>
      </w:r>
      <w:r w:rsidRPr="005728DD">
        <w:rPr>
          <w:rFonts w:ascii="Arial Narrow" w:hAnsi="Arial Narrow"/>
          <w:bCs/>
          <w:sz w:val="18"/>
          <w:szCs w:val="20"/>
        </w:rPr>
        <w:t>of the submission</w:t>
      </w:r>
    </w:p>
    <w:p w:rsidR="008C58C8" w:rsidRPr="005728DD" w:rsidRDefault="006B6882" w:rsidP="006B6882">
      <w:pPr>
        <w:pStyle w:val="3-BodyText"/>
        <w:numPr>
          <w:ilvl w:val="0"/>
          <w:numId w:val="0"/>
        </w:numPr>
        <w:rPr>
          <w:rFonts w:ascii="Arial Narrow" w:hAnsi="Arial Narrow"/>
          <w:bCs/>
          <w:sz w:val="18"/>
          <w:szCs w:val="20"/>
        </w:rPr>
      </w:pPr>
      <w:r w:rsidRPr="005728DD">
        <w:rPr>
          <w:rFonts w:ascii="Arial Narrow" w:hAnsi="Arial Narrow"/>
          <w:bCs/>
          <w:sz w:val="18"/>
          <w:szCs w:val="20"/>
        </w:rPr>
        <w:t>Abbreviations: BL = baseline; D = day; ELX/TEZ/IVA = ele</w:t>
      </w:r>
      <w:r w:rsidR="00D669C8" w:rsidRPr="005728DD">
        <w:rPr>
          <w:rFonts w:ascii="Arial Narrow" w:hAnsi="Arial Narrow"/>
          <w:bCs/>
          <w:sz w:val="18"/>
          <w:szCs w:val="20"/>
        </w:rPr>
        <w:t>x</w:t>
      </w:r>
      <w:r w:rsidRPr="005728DD">
        <w:rPr>
          <w:rFonts w:ascii="Arial Narrow" w:hAnsi="Arial Narrow"/>
          <w:bCs/>
          <w:sz w:val="18"/>
          <w:szCs w:val="20"/>
        </w:rPr>
        <w:t>acaftor/tezacaftor/ivacaftor; FAS = Full Analysis Set; F/F = CF patient homozygous for the F508del-CFTR mutation; F/MF = CF patient heterozygous for the F508del in the CFTR gene with a minimal function mutation; MMRM = mixed-effects model for repeated measures; ppFEV1 = percent predicted forced expiratory in one second; OL, open-label; TEZ/IVA = tezacaftor/ivacaftor; W = week</w:t>
      </w:r>
    </w:p>
    <w:p w:rsidR="00B22A9D" w:rsidRPr="005728DD" w:rsidRDefault="00B22A9D" w:rsidP="001F49A3">
      <w:pPr>
        <w:pStyle w:val="3-BodyText"/>
        <w:numPr>
          <w:ilvl w:val="0"/>
          <w:numId w:val="0"/>
        </w:numPr>
        <w:rPr>
          <w:i/>
          <w:iCs/>
          <w:snapToGrid/>
        </w:rPr>
      </w:pPr>
    </w:p>
    <w:p w:rsidR="001F49A3" w:rsidRPr="005728DD" w:rsidRDefault="001F49A3" w:rsidP="005C56C0">
      <w:pPr>
        <w:jc w:val="left"/>
        <w:rPr>
          <w:color w:val="0066FF"/>
        </w:rPr>
      </w:pPr>
      <w:r w:rsidRPr="005728DD">
        <w:t>A summary of the</w:t>
      </w:r>
      <w:r w:rsidR="00FD3B70">
        <w:t xml:space="preserve"> mean treatment difference compared to the control arm for</w:t>
      </w:r>
      <w:r w:rsidRPr="005728DD">
        <w:t xml:space="preserve"> absolute change from baseline in </w:t>
      </w:r>
      <w:r w:rsidR="00B22A9D" w:rsidRPr="005728DD">
        <w:t xml:space="preserve">the </w:t>
      </w:r>
      <w:r w:rsidRPr="005728DD">
        <w:t>CFQ-R Re</w:t>
      </w:r>
      <w:r w:rsidR="00B22A9D" w:rsidRPr="005728DD">
        <w:t>s</w:t>
      </w:r>
      <w:r w:rsidRPr="005728DD">
        <w:t xml:space="preserve">piratory Domain results across the trials is presented in </w:t>
      </w:r>
      <w:r w:rsidR="005C56C0" w:rsidRPr="005728DD">
        <w:t xml:space="preserve">Table </w:t>
      </w:r>
      <w:r w:rsidR="005C56C0">
        <w:rPr>
          <w:noProof/>
        </w:rPr>
        <w:t>6</w:t>
      </w:r>
      <w:r w:rsidRPr="005728DD">
        <w:t>.</w:t>
      </w:r>
    </w:p>
    <w:p w:rsidR="006C58E3" w:rsidRPr="005728DD" w:rsidRDefault="006C58E3">
      <w:pPr>
        <w:jc w:val="left"/>
        <w:rPr>
          <w:rFonts w:ascii="Arial Narrow" w:eastAsiaTheme="majorEastAsia" w:hAnsi="Arial Narrow" w:cstheme="majorBidi"/>
          <w:b/>
          <w:bCs/>
          <w:sz w:val="20"/>
        </w:rPr>
      </w:pPr>
      <w:bookmarkStart w:id="20" w:name="_Ref64496563"/>
    </w:p>
    <w:p w:rsidR="00B14C0B" w:rsidRDefault="00B14C0B">
      <w:pPr>
        <w:jc w:val="left"/>
        <w:rPr>
          <w:rFonts w:ascii="Arial Narrow" w:eastAsiaTheme="majorEastAsia" w:hAnsi="Arial Narrow" w:cstheme="majorBidi"/>
          <w:b/>
          <w:bCs/>
          <w:sz w:val="20"/>
        </w:rPr>
      </w:pPr>
      <w:r>
        <w:br w:type="page"/>
      </w:r>
    </w:p>
    <w:p w:rsidR="00647C9A" w:rsidRPr="005728DD" w:rsidRDefault="00DE0B4E" w:rsidP="00647C9A">
      <w:pPr>
        <w:pStyle w:val="TableFigureHeading"/>
      </w:pPr>
      <w:r w:rsidRPr="005728DD">
        <w:lastRenderedPageBreak/>
        <w:t xml:space="preserve">Table </w:t>
      </w:r>
      <w:r w:rsidR="005C56C0">
        <w:rPr>
          <w:noProof/>
        </w:rPr>
        <w:t>6</w:t>
      </w:r>
      <w:bookmarkEnd w:id="20"/>
      <w:r w:rsidR="001F49A3" w:rsidRPr="005728DD">
        <w:rPr>
          <w:rStyle w:val="CommentReference"/>
          <w:b/>
          <w:szCs w:val="24"/>
        </w:rPr>
        <w:t xml:space="preserve">: Results of absolute change from baseline in CFQ-R Respiratory Domain score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714"/>
        <w:gridCol w:w="1130"/>
        <w:gridCol w:w="991"/>
        <w:gridCol w:w="707"/>
        <w:gridCol w:w="1130"/>
        <w:gridCol w:w="989"/>
        <w:gridCol w:w="1287"/>
        <w:gridCol w:w="673"/>
      </w:tblGrid>
      <w:tr w:rsidR="00647C9A" w:rsidRPr="005728DD" w:rsidTr="006B1583">
        <w:trPr>
          <w:trHeight w:val="229"/>
        </w:trPr>
        <w:tc>
          <w:tcPr>
            <w:tcW w:w="718" w:type="pct"/>
            <w:vMerge w:val="restart"/>
            <w:tcMar>
              <w:left w:w="11" w:type="dxa"/>
              <w:right w:w="11" w:type="dxa"/>
            </w:tcMar>
            <w:vAlign w:val="center"/>
          </w:tcPr>
          <w:p w:rsidR="00647C9A" w:rsidRPr="005728DD" w:rsidRDefault="00647C9A" w:rsidP="00712358">
            <w:pPr>
              <w:pStyle w:val="In-tableHeading"/>
              <w:jc w:val="center"/>
              <w:rPr>
                <w:lang w:val="en-AU"/>
              </w:rPr>
            </w:pPr>
            <w:r w:rsidRPr="005728DD">
              <w:rPr>
                <w:lang w:val="en-AU"/>
              </w:rPr>
              <w:t>Population</w:t>
            </w:r>
          </w:p>
          <w:p w:rsidR="00647C9A" w:rsidRPr="005728DD" w:rsidRDefault="00647C9A" w:rsidP="00712358">
            <w:pPr>
              <w:pStyle w:val="TableText0"/>
            </w:pPr>
            <w:r w:rsidRPr="005728DD">
              <w:t>Trial, follow-up</w:t>
            </w:r>
          </w:p>
        </w:tc>
        <w:tc>
          <w:tcPr>
            <w:tcW w:w="401" w:type="pct"/>
            <w:vMerge w:val="restart"/>
            <w:tcMar>
              <w:left w:w="11" w:type="dxa"/>
              <w:right w:w="11" w:type="dxa"/>
            </w:tcMar>
            <w:vAlign w:val="center"/>
          </w:tcPr>
          <w:p w:rsidR="00647C9A" w:rsidRPr="005728DD" w:rsidRDefault="00647C9A" w:rsidP="00712358">
            <w:pPr>
              <w:pStyle w:val="TableText0"/>
              <w:jc w:val="center"/>
            </w:pPr>
            <w:r w:rsidRPr="005728DD">
              <w:rPr>
                <w:b/>
                <w:bCs w:val="0"/>
              </w:rPr>
              <w:t>n/N</w:t>
            </w:r>
          </w:p>
        </w:tc>
        <w:tc>
          <w:tcPr>
            <w:tcW w:w="635" w:type="pct"/>
            <w:vMerge w:val="restart"/>
            <w:tcMar>
              <w:left w:w="11" w:type="dxa"/>
              <w:right w:w="11" w:type="dxa"/>
            </w:tcMar>
            <w:vAlign w:val="center"/>
          </w:tcPr>
          <w:p w:rsidR="00647C9A" w:rsidRPr="005728DD" w:rsidRDefault="00647C9A" w:rsidP="00712358">
            <w:pPr>
              <w:pStyle w:val="TableText0"/>
              <w:jc w:val="center"/>
            </w:pPr>
            <w:r w:rsidRPr="005728DD">
              <w:rPr>
                <w:b/>
                <w:bCs w:val="0"/>
              </w:rPr>
              <w:t>Mean baseline (SD)</w:t>
            </w:r>
          </w:p>
        </w:tc>
        <w:tc>
          <w:tcPr>
            <w:tcW w:w="557" w:type="pct"/>
            <w:vMerge w:val="restart"/>
            <w:tcMar>
              <w:left w:w="11" w:type="dxa"/>
              <w:right w:w="11" w:type="dxa"/>
            </w:tcMar>
            <w:vAlign w:val="center"/>
          </w:tcPr>
          <w:p w:rsidR="00647C9A" w:rsidRPr="005728DD" w:rsidRDefault="00647C9A" w:rsidP="00712358">
            <w:pPr>
              <w:pStyle w:val="TableText0"/>
              <w:jc w:val="center"/>
            </w:pPr>
            <w:r w:rsidRPr="005728DD">
              <w:rPr>
                <w:b/>
                <w:bCs w:val="0"/>
              </w:rPr>
              <w:t>Mean change (SE)</w:t>
            </w:r>
          </w:p>
        </w:tc>
        <w:tc>
          <w:tcPr>
            <w:tcW w:w="397" w:type="pct"/>
            <w:vMerge w:val="restart"/>
            <w:tcMar>
              <w:left w:w="11" w:type="dxa"/>
              <w:right w:w="11" w:type="dxa"/>
            </w:tcMar>
            <w:vAlign w:val="center"/>
          </w:tcPr>
          <w:p w:rsidR="00647C9A" w:rsidRPr="005728DD" w:rsidRDefault="00647C9A" w:rsidP="00712358">
            <w:pPr>
              <w:pStyle w:val="TableText0"/>
              <w:jc w:val="center"/>
            </w:pPr>
            <w:r w:rsidRPr="005728DD">
              <w:rPr>
                <w:b/>
                <w:bCs w:val="0"/>
              </w:rPr>
              <w:t>n/N</w:t>
            </w:r>
          </w:p>
        </w:tc>
        <w:tc>
          <w:tcPr>
            <w:tcW w:w="635" w:type="pct"/>
            <w:vMerge w:val="restart"/>
            <w:tcMar>
              <w:left w:w="11" w:type="dxa"/>
              <w:right w:w="11" w:type="dxa"/>
            </w:tcMar>
            <w:vAlign w:val="center"/>
          </w:tcPr>
          <w:p w:rsidR="00647C9A" w:rsidRPr="005728DD" w:rsidRDefault="00647C9A" w:rsidP="00712358">
            <w:pPr>
              <w:pStyle w:val="TableText0"/>
              <w:jc w:val="center"/>
            </w:pPr>
            <w:r w:rsidRPr="005728DD">
              <w:rPr>
                <w:b/>
                <w:bCs w:val="0"/>
              </w:rPr>
              <w:t>Mean baseline (SD)</w:t>
            </w:r>
          </w:p>
        </w:tc>
        <w:tc>
          <w:tcPr>
            <w:tcW w:w="556" w:type="pct"/>
            <w:vMerge w:val="restart"/>
            <w:tcMar>
              <w:left w:w="11" w:type="dxa"/>
              <w:right w:w="11" w:type="dxa"/>
            </w:tcMar>
            <w:vAlign w:val="center"/>
          </w:tcPr>
          <w:p w:rsidR="00647C9A" w:rsidRPr="005728DD" w:rsidRDefault="00647C9A" w:rsidP="00712358">
            <w:pPr>
              <w:pStyle w:val="TableText0"/>
              <w:jc w:val="center"/>
            </w:pPr>
            <w:r w:rsidRPr="005728DD">
              <w:rPr>
                <w:b/>
                <w:bCs w:val="0"/>
              </w:rPr>
              <w:t>Mean change (SE)</w:t>
            </w:r>
          </w:p>
        </w:tc>
        <w:tc>
          <w:tcPr>
            <w:tcW w:w="723" w:type="pct"/>
            <w:vMerge w:val="restart"/>
            <w:tcMar>
              <w:left w:w="11" w:type="dxa"/>
              <w:right w:w="11" w:type="dxa"/>
            </w:tcMar>
            <w:vAlign w:val="center"/>
          </w:tcPr>
          <w:p w:rsidR="00647C9A" w:rsidRPr="005728DD" w:rsidRDefault="00647C9A" w:rsidP="00712358">
            <w:pPr>
              <w:pStyle w:val="TableText0"/>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647C9A" w:rsidRPr="005728DD" w:rsidRDefault="00647C9A" w:rsidP="00712358">
            <w:pPr>
              <w:pStyle w:val="TableText0"/>
              <w:jc w:val="center"/>
              <w:rPr>
                <w:b/>
              </w:rPr>
            </w:pPr>
            <w:r w:rsidRPr="005728DD">
              <w:rPr>
                <w:b/>
              </w:rPr>
              <w:t>P-value</w:t>
            </w:r>
          </w:p>
        </w:tc>
      </w:tr>
      <w:tr w:rsidR="00647C9A" w:rsidRPr="005728DD" w:rsidTr="006B1583">
        <w:trPr>
          <w:trHeight w:val="229"/>
        </w:trPr>
        <w:tc>
          <w:tcPr>
            <w:tcW w:w="718" w:type="pct"/>
            <w:vMerge/>
            <w:tcMar>
              <w:left w:w="11" w:type="dxa"/>
              <w:right w:w="11" w:type="dxa"/>
            </w:tcMar>
            <w:vAlign w:val="center"/>
          </w:tcPr>
          <w:p w:rsidR="00647C9A" w:rsidRPr="005728DD" w:rsidRDefault="00647C9A" w:rsidP="00712358">
            <w:pPr>
              <w:pStyle w:val="TableText0"/>
            </w:pPr>
          </w:p>
        </w:tc>
        <w:tc>
          <w:tcPr>
            <w:tcW w:w="401" w:type="pct"/>
            <w:vMerge/>
            <w:tcMar>
              <w:left w:w="11" w:type="dxa"/>
              <w:right w:w="11" w:type="dxa"/>
            </w:tcMar>
            <w:vAlign w:val="center"/>
          </w:tcPr>
          <w:p w:rsidR="00647C9A" w:rsidRPr="005728DD" w:rsidRDefault="00647C9A" w:rsidP="00712358">
            <w:pPr>
              <w:pStyle w:val="TableText0"/>
              <w:jc w:val="center"/>
            </w:pPr>
          </w:p>
        </w:tc>
        <w:tc>
          <w:tcPr>
            <w:tcW w:w="635" w:type="pct"/>
            <w:vMerge/>
            <w:tcMar>
              <w:left w:w="11" w:type="dxa"/>
              <w:right w:w="11" w:type="dxa"/>
            </w:tcMar>
            <w:vAlign w:val="center"/>
          </w:tcPr>
          <w:p w:rsidR="00647C9A" w:rsidRPr="005728DD" w:rsidRDefault="00647C9A" w:rsidP="00712358">
            <w:pPr>
              <w:pStyle w:val="TableText0"/>
              <w:jc w:val="center"/>
            </w:pPr>
          </w:p>
        </w:tc>
        <w:tc>
          <w:tcPr>
            <w:tcW w:w="557" w:type="pct"/>
            <w:vMerge/>
            <w:tcMar>
              <w:left w:w="11" w:type="dxa"/>
              <w:right w:w="11" w:type="dxa"/>
            </w:tcMar>
            <w:vAlign w:val="center"/>
          </w:tcPr>
          <w:p w:rsidR="00647C9A" w:rsidRPr="005728DD" w:rsidRDefault="00647C9A" w:rsidP="00712358">
            <w:pPr>
              <w:pStyle w:val="TableText0"/>
              <w:jc w:val="center"/>
            </w:pPr>
          </w:p>
        </w:tc>
        <w:tc>
          <w:tcPr>
            <w:tcW w:w="397" w:type="pct"/>
            <w:vMerge/>
            <w:tcMar>
              <w:left w:w="11" w:type="dxa"/>
              <w:right w:w="11" w:type="dxa"/>
            </w:tcMar>
            <w:vAlign w:val="center"/>
          </w:tcPr>
          <w:p w:rsidR="00647C9A" w:rsidRPr="005728DD" w:rsidRDefault="00647C9A" w:rsidP="00712358">
            <w:pPr>
              <w:pStyle w:val="TableText0"/>
              <w:jc w:val="center"/>
            </w:pPr>
          </w:p>
        </w:tc>
        <w:tc>
          <w:tcPr>
            <w:tcW w:w="635" w:type="pct"/>
            <w:vMerge/>
            <w:tcMar>
              <w:left w:w="11" w:type="dxa"/>
              <w:right w:w="11" w:type="dxa"/>
            </w:tcMar>
            <w:vAlign w:val="center"/>
          </w:tcPr>
          <w:p w:rsidR="00647C9A" w:rsidRPr="005728DD" w:rsidRDefault="00647C9A" w:rsidP="00712358">
            <w:pPr>
              <w:pStyle w:val="TableText0"/>
              <w:jc w:val="center"/>
            </w:pPr>
          </w:p>
        </w:tc>
        <w:tc>
          <w:tcPr>
            <w:tcW w:w="556" w:type="pct"/>
            <w:vMerge/>
            <w:tcMar>
              <w:left w:w="11" w:type="dxa"/>
              <w:right w:w="11" w:type="dxa"/>
            </w:tcMar>
            <w:vAlign w:val="center"/>
          </w:tcPr>
          <w:p w:rsidR="00647C9A" w:rsidRPr="005728DD" w:rsidRDefault="00647C9A" w:rsidP="00712358">
            <w:pPr>
              <w:pStyle w:val="TableText0"/>
              <w:jc w:val="center"/>
            </w:pPr>
          </w:p>
        </w:tc>
        <w:tc>
          <w:tcPr>
            <w:tcW w:w="723" w:type="pct"/>
            <w:vMerge/>
            <w:tcMar>
              <w:left w:w="11" w:type="dxa"/>
              <w:right w:w="11" w:type="dxa"/>
            </w:tcMar>
            <w:vAlign w:val="center"/>
          </w:tcPr>
          <w:p w:rsidR="00647C9A" w:rsidRPr="005728DD" w:rsidRDefault="00647C9A" w:rsidP="00712358">
            <w:pPr>
              <w:pStyle w:val="TableText0"/>
              <w:jc w:val="center"/>
              <w:rPr>
                <w:b/>
                <w:bCs w:val="0"/>
              </w:rPr>
            </w:pPr>
          </w:p>
        </w:tc>
        <w:tc>
          <w:tcPr>
            <w:tcW w:w="378" w:type="pct"/>
            <w:vMerge/>
            <w:tcMar>
              <w:left w:w="11" w:type="dxa"/>
              <w:right w:w="11" w:type="dxa"/>
            </w:tcMar>
            <w:vAlign w:val="center"/>
          </w:tcPr>
          <w:p w:rsidR="00647C9A" w:rsidRPr="005728DD" w:rsidRDefault="00647C9A" w:rsidP="00712358">
            <w:pPr>
              <w:pStyle w:val="TableText0"/>
              <w:jc w:val="center"/>
            </w:pPr>
          </w:p>
        </w:tc>
      </w:tr>
      <w:tr w:rsidR="00647C9A" w:rsidRPr="005728DD" w:rsidTr="006B1583">
        <w:tc>
          <w:tcPr>
            <w:tcW w:w="718" w:type="pct"/>
            <w:tcMar>
              <w:left w:w="11" w:type="dxa"/>
              <w:right w:w="11" w:type="dxa"/>
            </w:tcMar>
            <w:vAlign w:val="center"/>
          </w:tcPr>
          <w:p w:rsidR="00647C9A" w:rsidRPr="005728DD" w:rsidRDefault="00647C9A" w:rsidP="00A0357E">
            <w:pPr>
              <w:pStyle w:val="TableText0"/>
              <w:numPr>
                <w:ilvl w:val="0"/>
                <w:numId w:val="22"/>
              </w:numPr>
              <w:rPr>
                <w:b/>
              </w:rPr>
            </w:pPr>
            <w:r w:rsidRPr="005728DD">
              <w:rPr>
                <w:b/>
              </w:rPr>
              <w:t>F/F</w:t>
            </w:r>
          </w:p>
        </w:tc>
        <w:tc>
          <w:tcPr>
            <w:tcW w:w="1593" w:type="pct"/>
            <w:gridSpan w:val="3"/>
            <w:tcMar>
              <w:left w:w="11" w:type="dxa"/>
              <w:right w:w="11" w:type="dxa"/>
            </w:tcMar>
            <w:vAlign w:val="center"/>
          </w:tcPr>
          <w:p w:rsidR="00647C9A" w:rsidRPr="005728DD" w:rsidRDefault="00647C9A" w:rsidP="00712358">
            <w:pPr>
              <w:pStyle w:val="TableText0"/>
              <w:jc w:val="center"/>
              <w:rPr>
                <w:b/>
              </w:rPr>
            </w:pPr>
            <w:r w:rsidRPr="005728DD">
              <w:rPr>
                <w:b/>
                <w:iCs/>
              </w:rPr>
              <w:t>ELX/TEZ/IVA</w:t>
            </w:r>
          </w:p>
        </w:tc>
        <w:tc>
          <w:tcPr>
            <w:tcW w:w="1588" w:type="pct"/>
            <w:gridSpan w:val="3"/>
            <w:tcMar>
              <w:left w:w="11" w:type="dxa"/>
              <w:right w:w="11" w:type="dxa"/>
            </w:tcMar>
            <w:vAlign w:val="center"/>
          </w:tcPr>
          <w:p w:rsidR="00647C9A" w:rsidRPr="005728DD" w:rsidRDefault="00647C9A" w:rsidP="00712358">
            <w:pPr>
              <w:pStyle w:val="TableText0"/>
              <w:jc w:val="center"/>
              <w:rPr>
                <w:b/>
              </w:rPr>
            </w:pPr>
            <w:r w:rsidRPr="005728DD">
              <w:rPr>
                <w:b/>
                <w:iCs/>
              </w:rPr>
              <w:t>TEZ/IVA</w:t>
            </w:r>
          </w:p>
        </w:tc>
        <w:tc>
          <w:tcPr>
            <w:tcW w:w="723" w:type="pct"/>
            <w:tcMar>
              <w:left w:w="11" w:type="dxa"/>
              <w:right w:w="11" w:type="dxa"/>
            </w:tcMar>
            <w:vAlign w:val="center"/>
          </w:tcPr>
          <w:p w:rsidR="00647C9A" w:rsidRPr="005728DD" w:rsidRDefault="00647C9A" w:rsidP="00712358">
            <w:pPr>
              <w:pStyle w:val="TableText0"/>
              <w:jc w:val="center"/>
              <w:rPr>
                <w:b/>
                <w:bCs w:val="0"/>
              </w:rPr>
            </w:pPr>
          </w:p>
        </w:tc>
        <w:tc>
          <w:tcPr>
            <w:tcW w:w="378" w:type="pct"/>
            <w:tcMar>
              <w:left w:w="11" w:type="dxa"/>
              <w:right w:w="11" w:type="dxa"/>
            </w:tcMar>
            <w:vAlign w:val="center"/>
          </w:tcPr>
          <w:p w:rsidR="00647C9A" w:rsidRPr="005728DD" w:rsidRDefault="00647C9A" w:rsidP="00712358">
            <w:pPr>
              <w:pStyle w:val="TableText0"/>
              <w:jc w:val="center"/>
              <w:rPr>
                <w:b/>
              </w:rPr>
            </w:pPr>
          </w:p>
        </w:tc>
      </w:tr>
      <w:tr w:rsidR="00647C9A" w:rsidRPr="005728DD" w:rsidTr="006B1583">
        <w:tc>
          <w:tcPr>
            <w:tcW w:w="718" w:type="pct"/>
            <w:tcMar>
              <w:left w:w="11" w:type="dxa"/>
              <w:right w:w="11" w:type="dxa"/>
            </w:tcMar>
            <w:vAlign w:val="center"/>
          </w:tcPr>
          <w:p w:rsidR="00647C9A" w:rsidRPr="005728DD" w:rsidRDefault="00647C9A" w:rsidP="00647C9A">
            <w:pPr>
              <w:pStyle w:val="TableText0"/>
            </w:pPr>
            <w:r w:rsidRPr="005728DD">
              <w:t>Study 103, w4</w:t>
            </w:r>
          </w:p>
        </w:tc>
        <w:tc>
          <w:tcPr>
            <w:tcW w:w="401" w:type="pct"/>
            <w:tcMar>
              <w:left w:w="11" w:type="dxa"/>
              <w:right w:w="11" w:type="dxa"/>
            </w:tcMar>
            <w:vAlign w:val="center"/>
          </w:tcPr>
          <w:p w:rsidR="00647C9A" w:rsidRPr="005728DD" w:rsidRDefault="00647C9A" w:rsidP="00647C9A">
            <w:pPr>
              <w:pStyle w:val="TableText0"/>
              <w:jc w:val="center"/>
            </w:pPr>
            <w:r w:rsidRPr="005728DD">
              <w:t>55/55</w:t>
            </w:r>
          </w:p>
        </w:tc>
        <w:tc>
          <w:tcPr>
            <w:tcW w:w="635" w:type="pct"/>
            <w:tcMar>
              <w:left w:w="11" w:type="dxa"/>
              <w:right w:w="11" w:type="dxa"/>
            </w:tcMar>
            <w:vAlign w:val="center"/>
          </w:tcPr>
          <w:p w:rsidR="00647C9A" w:rsidRPr="005728DD" w:rsidRDefault="00647C9A" w:rsidP="00647C9A">
            <w:pPr>
              <w:pStyle w:val="TableText0"/>
              <w:jc w:val="center"/>
            </w:pPr>
            <w:r w:rsidRPr="005728DD">
              <w:t>70.6 (16.2)</w:t>
            </w:r>
          </w:p>
        </w:tc>
        <w:tc>
          <w:tcPr>
            <w:tcW w:w="557" w:type="pct"/>
            <w:tcMar>
              <w:left w:w="11" w:type="dxa"/>
              <w:right w:w="11" w:type="dxa"/>
            </w:tcMar>
            <w:vAlign w:val="center"/>
          </w:tcPr>
          <w:p w:rsidR="00647C9A" w:rsidRPr="005728DD" w:rsidRDefault="00647C9A" w:rsidP="00647C9A">
            <w:pPr>
              <w:pStyle w:val="TableText0"/>
              <w:jc w:val="center"/>
            </w:pPr>
            <w:r w:rsidRPr="005728DD">
              <w:t>16.0 (2.0)</w:t>
            </w:r>
          </w:p>
        </w:tc>
        <w:tc>
          <w:tcPr>
            <w:tcW w:w="397" w:type="pct"/>
            <w:tcMar>
              <w:left w:w="11" w:type="dxa"/>
              <w:right w:w="11" w:type="dxa"/>
            </w:tcMar>
            <w:vAlign w:val="center"/>
          </w:tcPr>
          <w:p w:rsidR="00647C9A" w:rsidRPr="005728DD" w:rsidRDefault="00647C9A" w:rsidP="00647C9A">
            <w:pPr>
              <w:pStyle w:val="TableText0"/>
              <w:jc w:val="center"/>
            </w:pPr>
            <w:r w:rsidRPr="005728DD">
              <w:t>52/52</w:t>
            </w:r>
          </w:p>
        </w:tc>
        <w:tc>
          <w:tcPr>
            <w:tcW w:w="635" w:type="pct"/>
            <w:tcMar>
              <w:left w:w="11" w:type="dxa"/>
              <w:right w:w="11" w:type="dxa"/>
            </w:tcMar>
            <w:vAlign w:val="center"/>
          </w:tcPr>
          <w:p w:rsidR="00647C9A" w:rsidRPr="005728DD" w:rsidRDefault="00647C9A" w:rsidP="00647C9A">
            <w:pPr>
              <w:pStyle w:val="TableText0"/>
              <w:jc w:val="center"/>
            </w:pPr>
            <w:r w:rsidRPr="005728DD">
              <w:t>72.6 (17.9)</w:t>
            </w:r>
          </w:p>
        </w:tc>
        <w:tc>
          <w:tcPr>
            <w:tcW w:w="556" w:type="pct"/>
            <w:tcMar>
              <w:left w:w="11" w:type="dxa"/>
              <w:right w:w="11" w:type="dxa"/>
            </w:tcMar>
            <w:vAlign w:val="center"/>
          </w:tcPr>
          <w:p w:rsidR="00647C9A" w:rsidRPr="005728DD" w:rsidRDefault="00647C9A" w:rsidP="00647C9A">
            <w:pPr>
              <w:pStyle w:val="TableText0"/>
              <w:jc w:val="center"/>
            </w:pPr>
            <w:r w:rsidRPr="005728DD">
              <w:t>-1.4 (2.0)</w:t>
            </w:r>
          </w:p>
        </w:tc>
        <w:tc>
          <w:tcPr>
            <w:tcW w:w="723" w:type="pct"/>
            <w:tcMar>
              <w:left w:w="11" w:type="dxa"/>
              <w:right w:w="11" w:type="dxa"/>
            </w:tcMar>
            <w:vAlign w:val="center"/>
          </w:tcPr>
          <w:p w:rsidR="00647C9A" w:rsidRPr="005728DD" w:rsidRDefault="00647C9A" w:rsidP="00647C9A">
            <w:pPr>
              <w:pStyle w:val="TableText0"/>
              <w:jc w:val="center"/>
              <w:rPr>
                <w:b/>
                <w:bCs w:val="0"/>
              </w:rPr>
            </w:pPr>
            <w:r w:rsidRPr="005728DD">
              <w:rPr>
                <w:b/>
                <w:bCs w:val="0"/>
              </w:rPr>
              <w:t>17.4 (11.8, 23.0)</w:t>
            </w:r>
          </w:p>
        </w:tc>
        <w:tc>
          <w:tcPr>
            <w:tcW w:w="378" w:type="pct"/>
            <w:tcMar>
              <w:left w:w="11" w:type="dxa"/>
              <w:right w:w="11" w:type="dxa"/>
            </w:tcMar>
            <w:vAlign w:val="center"/>
          </w:tcPr>
          <w:p w:rsidR="00647C9A" w:rsidRPr="005728DD" w:rsidRDefault="00647C9A" w:rsidP="00647C9A">
            <w:pPr>
              <w:pStyle w:val="TableText0"/>
              <w:jc w:val="center"/>
            </w:pPr>
            <w:r w:rsidRPr="005728DD">
              <w:t>&lt;0.0001</w:t>
            </w:r>
          </w:p>
        </w:tc>
      </w:tr>
      <w:tr w:rsidR="00647C9A" w:rsidRPr="005728DD" w:rsidTr="006B1583">
        <w:tc>
          <w:tcPr>
            <w:tcW w:w="718" w:type="pct"/>
            <w:tcMar>
              <w:left w:w="11" w:type="dxa"/>
              <w:right w:w="11" w:type="dxa"/>
            </w:tcMar>
            <w:vAlign w:val="center"/>
          </w:tcPr>
          <w:p w:rsidR="00647C9A" w:rsidRPr="005728DD" w:rsidRDefault="00647C9A" w:rsidP="00647C9A">
            <w:pPr>
              <w:pStyle w:val="TableText0"/>
            </w:pPr>
            <w:r w:rsidRPr="005728DD">
              <w:t>Study 109, w24</w:t>
            </w:r>
          </w:p>
        </w:tc>
        <w:tc>
          <w:tcPr>
            <w:tcW w:w="401" w:type="pct"/>
            <w:tcMar>
              <w:left w:w="11" w:type="dxa"/>
              <w:right w:w="11" w:type="dxa"/>
            </w:tcMar>
            <w:vAlign w:val="center"/>
          </w:tcPr>
          <w:p w:rsidR="00647C9A" w:rsidRPr="005728DD" w:rsidRDefault="00647C9A" w:rsidP="00647C9A">
            <w:pPr>
              <w:pStyle w:val="TableText0"/>
              <w:jc w:val="center"/>
            </w:pPr>
            <w:r w:rsidRPr="005728DD">
              <w:t>NR/87</w:t>
            </w:r>
          </w:p>
        </w:tc>
        <w:tc>
          <w:tcPr>
            <w:tcW w:w="635" w:type="pct"/>
            <w:tcMar>
              <w:left w:w="11" w:type="dxa"/>
              <w:right w:w="11" w:type="dxa"/>
            </w:tcMar>
            <w:vAlign w:val="center"/>
          </w:tcPr>
          <w:p w:rsidR="00647C9A" w:rsidRPr="005728DD" w:rsidRDefault="00647C9A" w:rsidP="00647C9A">
            <w:pPr>
              <w:pStyle w:val="TableText0"/>
              <w:jc w:val="center"/>
            </w:pPr>
            <w:r w:rsidRPr="005728DD">
              <w:t>71.2 (19.6)</w:t>
            </w:r>
          </w:p>
        </w:tc>
        <w:tc>
          <w:tcPr>
            <w:tcW w:w="557" w:type="pct"/>
            <w:tcMar>
              <w:left w:w="11" w:type="dxa"/>
              <w:right w:w="11" w:type="dxa"/>
            </w:tcMar>
            <w:vAlign w:val="center"/>
          </w:tcPr>
          <w:p w:rsidR="00647C9A" w:rsidRPr="005728DD" w:rsidRDefault="00647C9A" w:rsidP="00647C9A">
            <w:pPr>
              <w:pStyle w:val="TableText0"/>
              <w:jc w:val="center"/>
            </w:pPr>
            <w:r w:rsidRPr="005728DD">
              <w:t>17.1 (1.5)</w:t>
            </w:r>
          </w:p>
        </w:tc>
        <w:tc>
          <w:tcPr>
            <w:tcW w:w="397" w:type="pct"/>
            <w:tcMar>
              <w:left w:w="11" w:type="dxa"/>
              <w:right w:w="11" w:type="dxa"/>
            </w:tcMar>
            <w:vAlign w:val="center"/>
          </w:tcPr>
          <w:p w:rsidR="00647C9A" w:rsidRPr="005728DD" w:rsidRDefault="00647C9A" w:rsidP="00647C9A">
            <w:pPr>
              <w:pStyle w:val="TableText0"/>
              <w:jc w:val="center"/>
            </w:pPr>
            <w:r w:rsidRPr="005728DD">
              <w:t>NR/88</w:t>
            </w:r>
          </w:p>
        </w:tc>
        <w:tc>
          <w:tcPr>
            <w:tcW w:w="635" w:type="pct"/>
            <w:tcMar>
              <w:left w:w="11" w:type="dxa"/>
              <w:right w:w="11" w:type="dxa"/>
            </w:tcMar>
            <w:vAlign w:val="center"/>
          </w:tcPr>
          <w:p w:rsidR="00647C9A" w:rsidRPr="005728DD" w:rsidRDefault="00647C9A" w:rsidP="00647C9A">
            <w:pPr>
              <w:pStyle w:val="TableText0"/>
              <w:jc w:val="center"/>
            </w:pPr>
            <w:r w:rsidRPr="005728DD">
              <w:t>73.1 (17.6)</w:t>
            </w:r>
          </w:p>
        </w:tc>
        <w:tc>
          <w:tcPr>
            <w:tcW w:w="556" w:type="pct"/>
            <w:tcMar>
              <w:left w:w="11" w:type="dxa"/>
              <w:right w:w="11" w:type="dxa"/>
            </w:tcMar>
            <w:vAlign w:val="center"/>
          </w:tcPr>
          <w:p w:rsidR="00647C9A" w:rsidRPr="005728DD" w:rsidRDefault="00647C9A" w:rsidP="00647C9A">
            <w:pPr>
              <w:pStyle w:val="TableText0"/>
              <w:jc w:val="center"/>
            </w:pPr>
            <w:r w:rsidRPr="005728DD">
              <w:t>1.2 (1.5)</w:t>
            </w:r>
          </w:p>
        </w:tc>
        <w:tc>
          <w:tcPr>
            <w:tcW w:w="723" w:type="pct"/>
            <w:tcMar>
              <w:left w:w="11" w:type="dxa"/>
              <w:right w:w="11" w:type="dxa"/>
            </w:tcMar>
            <w:vAlign w:val="center"/>
          </w:tcPr>
          <w:p w:rsidR="00647C9A" w:rsidRPr="005728DD" w:rsidRDefault="00647C9A" w:rsidP="00647C9A">
            <w:pPr>
              <w:pStyle w:val="TableText0"/>
              <w:jc w:val="center"/>
              <w:rPr>
                <w:b/>
                <w:bCs w:val="0"/>
              </w:rPr>
            </w:pPr>
            <w:r w:rsidRPr="005728DD">
              <w:rPr>
                <w:b/>
                <w:bCs w:val="0"/>
              </w:rPr>
              <w:t>15.9 (11.7, 20.1)</w:t>
            </w:r>
          </w:p>
        </w:tc>
        <w:tc>
          <w:tcPr>
            <w:tcW w:w="378" w:type="pct"/>
            <w:tcMar>
              <w:left w:w="11" w:type="dxa"/>
              <w:right w:w="11" w:type="dxa"/>
            </w:tcMar>
            <w:vAlign w:val="center"/>
          </w:tcPr>
          <w:p w:rsidR="00647C9A" w:rsidRPr="005728DD" w:rsidRDefault="00647C9A" w:rsidP="00647C9A">
            <w:pPr>
              <w:pStyle w:val="TableText0"/>
              <w:jc w:val="center"/>
            </w:pPr>
            <w:r w:rsidRPr="005728DD">
              <w:t>&lt;0.0001</w:t>
            </w:r>
          </w:p>
        </w:tc>
      </w:tr>
      <w:tr w:rsidR="00647C9A" w:rsidRPr="005728DD" w:rsidTr="006B1583">
        <w:tc>
          <w:tcPr>
            <w:tcW w:w="718" w:type="pct"/>
            <w:tcMar>
              <w:left w:w="11" w:type="dxa"/>
              <w:right w:w="11" w:type="dxa"/>
            </w:tcMar>
            <w:vAlign w:val="center"/>
          </w:tcPr>
          <w:p w:rsidR="00647C9A" w:rsidRPr="005728DD" w:rsidRDefault="00647C9A" w:rsidP="00A0357E">
            <w:pPr>
              <w:pStyle w:val="TableText0"/>
              <w:numPr>
                <w:ilvl w:val="0"/>
                <w:numId w:val="22"/>
              </w:numPr>
              <w:rPr>
                <w:b/>
              </w:rPr>
            </w:pPr>
            <w:r w:rsidRPr="005728DD">
              <w:rPr>
                <w:b/>
              </w:rPr>
              <w:t>F/RF</w:t>
            </w:r>
          </w:p>
        </w:tc>
        <w:tc>
          <w:tcPr>
            <w:tcW w:w="1593" w:type="pct"/>
            <w:gridSpan w:val="3"/>
            <w:tcMar>
              <w:left w:w="11" w:type="dxa"/>
              <w:right w:w="11" w:type="dxa"/>
            </w:tcMar>
            <w:vAlign w:val="center"/>
          </w:tcPr>
          <w:p w:rsidR="00647C9A" w:rsidRPr="005728DD" w:rsidRDefault="00647C9A" w:rsidP="00647C9A">
            <w:pPr>
              <w:pStyle w:val="TableText0"/>
              <w:jc w:val="center"/>
            </w:pPr>
            <w:r w:rsidRPr="005728DD">
              <w:rPr>
                <w:b/>
                <w:iCs/>
              </w:rPr>
              <w:t>ELX/TEZ/IVA</w:t>
            </w:r>
          </w:p>
        </w:tc>
        <w:tc>
          <w:tcPr>
            <w:tcW w:w="1588" w:type="pct"/>
            <w:gridSpan w:val="3"/>
            <w:tcMar>
              <w:left w:w="11" w:type="dxa"/>
              <w:right w:w="11" w:type="dxa"/>
            </w:tcMar>
            <w:vAlign w:val="center"/>
          </w:tcPr>
          <w:p w:rsidR="00647C9A" w:rsidRPr="005728DD" w:rsidRDefault="00647C9A" w:rsidP="00647C9A">
            <w:pPr>
              <w:pStyle w:val="TableText0"/>
              <w:jc w:val="center"/>
              <w:rPr>
                <w:b/>
              </w:rPr>
            </w:pPr>
            <w:r w:rsidRPr="005728DD">
              <w:rPr>
                <w:b/>
                <w:iCs/>
              </w:rPr>
              <w:t>TEZ/IVA</w:t>
            </w:r>
          </w:p>
        </w:tc>
        <w:tc>
          <w:tcPr>
            <w:tcW w:w="723" w:type="pct"/>
            <w:tcMar>
              <w:left w:w="11" w:type="dxa"/>
              <w:right w:w="11" w:type="dxa"/>
            </w:tcMar>
            <w:vAlign w:val="center"/>
          </w:tcPr>
          <w:p w:rsidR="00647C9A" w:rsidRPr="005728DD" w:rsidRDefault="00647C9A" w:rsidP="00647C9A">
            <w:pPr>
              <w:pStyle w:val="TableText0"/>
              <w:jc w:val="center"/>
              <w:rPr>
                <w:b/>
                <w:bCs w:val="0"/>
              </w:rPr>
            </w:pPr>
          </w:p>
        </w:tc>
        <w:tc>
          <w:tcPr>
            <w:tcW w:w="378" w:type="pct"/>
            <w:tcMar>
              <w:left w:w="11" w:type="dxa"/>
              <w:right w:w="11" w:type="dxa"/>
            </w:tcMar>
            <w:vAlign w:val="center"/>
          </w:tcPr>
          <w:p w:rsidR="00647C9A" w:rsidRPr="005728DD" w:rsidRDefault="00647C9A" w:rsidP="00647C9A">
            <w:pPr>
              <w:pStyle w:val="TableText0"/>
              <w:jc w:val="center"/>
            </w:pPr>
          </w:p>
        </w:tc>
      </w:tr>
      <w:tr w:rsidR="00647C9A" w:rsidRPr="005728DD" w:rsidTr="006B1583">
        <w:trPr>
          <w:trHeight w:val="229"/>
        </w:trPr>
        <w:tc>
          <w:tcPr>
            <w:tcW w:w="718" w:type="pct"/>
            <w:vMerge w:val="restart"/>
            <w:tcMar>
              <w:left w:w="11" w:type="dxa"/>
              <w:right w:w="11" w:type="dxa"/>
            </w:tcMar>
          </w:tcPr>
          <w:p w:rsidR="00647C9A" w:rsidRPr="005728DD" w:rsidRDefault="00647C9A" w:rsidP="00647C9A">
            <w:pPr>
              <w:pStyle w:val="TableText0"/>
            </w:pPr>
            <w:r w:rsidRPr="005728DD">
              <w:t>Study 104 (subgroup), w8</w:t>
            </w:r>
          </w:p>
        </w:tc>
        <w:tc>
          <w:tcPr>
            <w:tcW w:w="401" w:type="pct"/>
            <w:vMerge w:val="restart"/>
            <w:tcMar>
              <w:left w:w="11" w:type="dxa"/>
              <w:right w:w="11" w:type="dxa"/>
            </w:tcMar>
          </w:tcPr>
          <w:p w:rsidR="00647C9A" w:rsidRPr="005728DD" w:rsidRDefault="00647C9A" w:rsidP="00647C9A">
            <w:pPr>
              <w:pStyle w:val="TableText0"/>
              <w:jc w:val="center"/>
            </w:pPr>
            <w:r w:rsidRPr="005728DD">
              <w:t>81/82</w:t>
            </w:r>
          </w:p>
        </w:tc>
        <w:tc>
          <w:tcPr>
            <w:tcW w:w="635" w:type="pct"/>
            <w:vMerge w:val="restart"/>
            <w:tcMar>
              <w:left w:w="11" w:type="dxa"/>
              <w:right w:w="11" w:type="dxa"/>
            </w:tcMar>
          </w:tcPr>
          <w:p w:rsidR="00647C9A" w:rsidRPr="005728DD" w:rsidRDefault="00647C9A" w:rsidP="00647C9A">
            <w:pPr>
              <w:pStyle w:val="TableText0"/>
              <w:jc w:val="center"/>
            </w:pPr>
            <w:r w:rsidRPr="005728DD">
              <w:t>76.7 (16.9)</w:t>
            </w:r>
          </w:p>
        </w:tc>
        <w:tc>
          <w:tcPr>
            <w:tcW w:w="557" w:type="pct"/>
            <w:vMerge w:val="restart"/>
            <w:tcMar>
              <w:left w:w="11" w:type="dxa"/>
              <w:right w:w="11" w:type="dxa"/>
            </w:tcMar>
          </w:tcPr>
          <w:p w:rsidR="00647C9A" w:rsidRPr="005728DD" w:rsidRDefault="00647C9A" w:rsidP="00647C9A">
            <w:pPr>
              <w:pStyle w:val="TableText0"/>
              <w:jc w:val="center"/>
            </w:pPr>
            <w:r w:rsidRPr="005728DD">
              <w:t>10.4 (1.6)</w:t>
            </w:r>
          </w:p>
        </w:tc>
        <w:tc>
          <w:tcPr>
            <w:tcW w:w="397" w:type="pct"/>
            <w:vMerge w:val="restart"/>
            <w:tcMar>
              <w:left w:w="11" w:type="dxa"/>
              <w:right w:w="11" w:type="dxa"/>
            </w:tcMar>
          </w:tcPr>
          <w:p w:rsidR="00647C9A" w:rsidRPr="005728DD" w:rsidRDefault="00647C9A" w:rsidP="00647C9A">
            <w:pPr>
              <w:pStyle w:val="TableText0"/>
              <w:jc w:val="center"/>
            </w:pPr>
            <w:r w:rsidRPr="005728DD">
              <w:t>81/81</w:t>
            </w:r>
          </w:p>
        </w:tc>
        <w:tc>
          <w:tcPr>
            <w:tcW w:w="635" w:type="pct"/>
            <w:vMerge w:val="restart"/>
            <w:tcMar>
              <w:left w:w="11" w:type="dxa"/>
              <w:right w:w="11" w:type="dxa"/>
            </w:tcMar>
          </w:tcPr>
          <w:p w:rsidR="00647C9A" w:rsidRPr="005728DD" w:rsidRDefault="00647C9A" w:rsidP="00647C9A">
            <w:pPr>
              <w:pStyle w:val="TableText0"/>
              <w:jc w:val="center"/>
            </w:pPr>
            <w:r w:rsidRPr="005728DD">
              <w:t>78.1 (14.7)</w:t>
            </w:r>
          </w:p>
        </w:tc>
        <w:tc>
          <w:tcPr>
            <w:tcW w:w="556" w:type="pct"/>
            <w:vMerge w:val="restart"/>
            <w:tcMar>
              <w:left w:w="11" w:type="dxa"/>
              <w:right w:w="11" w:type="dxa"/>
            </w:tcMar>
          </w:tcPr>
          <w:p w:rsidR="00647C9A" w:rsidRPr="005728DD" w:rsidRDefault="00647C9A" w:rsidP="00647C9A">
            <w:pPr>
              <w:pStyle w:val="TableText0"/>
              <w:jc w:val="center"/>
            </w:pPr>
            <w:r w:rsidRPr="005728DD">
              <w:t>1.9 (1.6)</w:t>
            </w:r>
          </w:p>
        </w:tc>
        <w:tc>
          <w:tcPr>
            <w:tcW w:w="723" w:type="pct"/>
            <w:vMerge w:val="restart"/>
            <w:tcMar>
              <w:left w:w="11" w:type="dxa"/>
              <w:right w:w="11" w:type="dxa"/>
            </w:tcMar>
          </w:tcPr>
          <w:p w:rsidR="00647C9A" w:rsidRPr="005728DD" w:rsidRDefault="00647C9A" w:rsidP="00647C9A">
            <w:pPr>
              <w:pStyle w:val="TableText0"/>
              <w:jc w:val="center"/>
              <w:rPr>
                <w:b/>
              </w:rPr>
            </w:pPr>
            <w:r w:rsidRPr="005728DD">
              <w:rPr>
                <w:b/>
              </w:rPr>
              <w:t>8.5 (4.0, 13.1)</w:t>
            </w:r>
            <w:r w:rsidR="00B740EF" w:rsidRPr="005728DD">
              <w:rPr>
                <w:b/>
                <w:vertAlign w:val="superscript"/>
              </w:rPr>
              <w:t>a</w:t>
            </w:r>
          </w:p>
        </w:tc>
        <w:tc>
          <w:tcPr>
            <w:tcW w:w="378" w:type="pct"/>
            <w:vMerge w:val="restart"/>
            <w:tcMar>
              <w:left w:w="11" w:type="dxa"/>
              <w:right w:w="11" w:type="dxa"/>
            </w:tcMar>
          </w:tcPr>
          <w:p w:rsidR="00647C9A" w:rsidRPr="005728DD" w:rsidRDefault="00647C9A" w:rsidP="00647C9A">
            <w:pPr>
              <w:pStyle w:val="TableText0"/>
              <w:jc w:val="center"/>
            </w:pPr>
            <w:r w:rsidRPr="005728DD">
              <w:t>0.0003</w:t>
            </w:r>
          </w:p>
        </w:tc>
      </w:tr>
      <w:tr w:rsidR="00647C9A" w:rsidRPr="005728DD" w:rsidTr="006B1583">
        <w:trPr>
          <w:trHeight w:val="229"/>
        </w:trPr>
        <w:tc>
          <w:tcPr>
            <w:tcW w:w="718" w:type="pct"/>
            <w:vMerge/>
            <w:tcMar>
              <w:left w:w="11" w:type="dxa"/>
              <w:right w:w="11" w:type="dxa"/>
            </w:tcMar>
            <w:vAlign w:val="center"/>
          </w:tcPr>
          <w:p w:rsidR="00647C9A" w:rsidRPr="005728DD" w:rsidRDefault="00647C9A" w:rsidP="00647C9A">
            <w:pPr>
              <w:pStyle w:val="TableText0"/>
            </w:pPr>
          </w:p>
        </w:tc>
        <w:tc>
          <w:tcPr>
            <w:tcW w:w="401" w:type="pct"/>
            <w:vMerge/>
            <w:tcMar>
              <w:left w:w="11" w:type="dxa"/>
              <w:right w:w="11" w:type="dxa"/>
            </w:tcMar>
            <w:vAlign w:val="center"/>
          </w:tcPr>
          <w:p w:rsidR="00647C9A" w:rsidRPr="005728DD" w:rsidRDefault="00647C9A" w:rsidP="00647C9A">
            <w:pPr>
              <w:pStyle w:val="TableText0"/>
              <w:jc w:val="center"/>
            </w:pPr>
          </w:p>
        </w:tc>
        <w:tc>
          <w:tcPr>
            <w:tcW w:w="635" w:type="pct"/>
            <w:vMerge/>
            <w:tcMar>
              <w:left w:w="11" w:type="dxa"/>
              <w:right w:w="11" w:type="dxa"/>
            </w:tcMar>
            <w:vAlign w:val="center"/>
          </w:tcPr>
          <w:p w:rsidR="00647C9A" w:rsidRPr="005728DD" w:rsidRDefault="00647C9A" w:rsidP="00647C9A">
            <w:pPr>
              <w:pStyle w:val="TableText0"/>
              <w:jc w:val="center"/>
            </w:pPr>
          </w:p>
        </w:tc>
        <w:tc>
          <w:tcPr>
            <w:tcW w:w="557" w:type="pct"/>
            <w:vMerge/>
            <w:tcMar>
              <w:left w:w="11" w:type="dxa"/>
              <w:right w:w="11" w:type="dxa"/>
            </w:tcMar>
            <w:vAlign w:val="center"/>
          </w:tcPr>
          <w:p w:rsidR="00647C9A" w:rsidRPr="005728DD" w:rsidRDefault="00647C9A" w:rsidP="00647C9A">
            <w:pPr>
              <w:pStyle w:val="TableText0"/>
              <w:jc w:val="center"/>
            </w:pPr>
          </w:p>
        </w:tc>
        <w:tc>
          <w:tcPr>
            <w:tcW w:w="397" w:type="pct"/>
            <w:vMerge/>
            <w:tcMar>
              <w:left w:w="11" w:type="dxa"/>
              <w:right w:w="11" w:type="dxa"/>
            </w:tcMar>
            <w:vAlign w:val="center"/>
          </w:tcPr>
          <w:p w:rsidR="00647C9A" w:rsidRPr="005728DD" w:rsidRDefault="00647C9A" w:rsidP="00647C9A">
            <w:pPr>
              <w:pStyle w:val="TableText0"/>
              <w:jc w:val="center"/>
            </w:pPr>
          </w:p>
        </w:tc>
        <w:tc>
          <w:tcPr>
            <w:tcW w:w="635" w:type="pct"/>
            <w:vMerge/>
            <w:tcMar>
              <w:left w:w="11" w:type="dxa"/>
              <w:right w:w="11" w:type="dxa"/>
            </w:tcMar>
            <w:vAlign w:val="center"/>
          </w:tcPr>
          <w:p w:rsidR="00647C9A" w:rsidRPr="005728DD" w:rsidRDefault="00647C9A" w:rsidP="00647C9A">
            <w:pPr>
              <w:pStyle w:val="TableText0"/>
              <w:jc w:val="center"/>
            </w:pPr>
          </w:p>
        </w:tc>
        <w:tc>
          <w:tcPr>
            <w:tcW w:w="556" w:type="pct"/>
            <w:vMerge/>
            <w:tcMar>
              <w:left w:w="11" w:type="dxa"/>
              <w:right w:w="11" w:type="dxa"/>
            </w:tcMar>
            <w:vAlign w:val="center"/>
          </w:tcPr>
          <w:p w:rsidR="00647C9A" w:rsidRPr="005728DD" w:rsidRDefault="00647C9A" w:rsidP="00647C9A">
            <w:pPr>
              <w:pStyle w:val="TableText0"/>
              <w:jc w:val="center"/>
            </w:pPr>
          </w:p>
        </w:tc>
        <w:tc>
          <w:tcPr>
            <w:tcW w:w="723" w:type="pct"/>
            <w:vMerge/>
            <w:tcMar>
              <w:left w:w="11" w:type="dxa"/>
              <w:right w:w="11" w:type="dxa"/>
            </w:tcMar>
            <w:vAlign w:val="center"/>
          </w:tcPr>
          <w:p w:rsidR="00647C9A" w:rsidRPr="005728DD" w:rsidRDefault="00647C9A" w:rsidP="00647C9A">
            <w:pPr>
              <w:pStyle w:val="TableText0"/>
              <w:jc w:val="center"/>
              <w:rPr>
                <w:b/>
                <w:bCs w:val="0"/>
              </w:rPr>
            </w:pPr>
          </w:p>
        </w:tc>
        <w:tc>
          <w:tcPr>
            <w:tcW w:w="378" w:type="pct"/>
            <w:vMerge/>
            <w:tcMar>
              <w:left w:w="11" w:type="dxa"/>
              <w:right w:w="11" w:type="dxa"/>
            </w:tcMar>
            <w:vAlign w:val="center"/>
          </w:tcPr>
          <w:p w:rsidR="00647C9A" w:rsidRPr="005728DD" w:rsidRDefault="00647C9A" w:rsidP="00647C9A">
            <w:pPr>
              <w:pStyle w:val="TableText0"/>
              <w:jc w:val="center"/>
            </w:pPr>
          </w:p>
        </w:tc>
      </w:tr>
      <w:tr w:rsidR="00647C9A" w:rsidRPr="005728DD" w:rsidTr="006B1583">
        <w:tc>
          <w:tcPr>
            <w:tcW w:w="718" w:type="pct"/>
            <w:tcMar>
              <w:left w:w="11" w:type="dxa"/>
              <w:right w:w="11" w:type="dxa"/>
            </w:tcMar>
            <w:vAlign w:val="center"/>
          </w:tcPr>
          <w:p w:rsidR="00647C9A" w:rsidRPr="005728DD" w:rsidRDefault="00647C9A" w:rsidP="00A0357E">
            <w:pPr>
              <w:pStyle w:val="TableText0"/>
              <w:numPr>
                <w:ilvl w:val="0"/>
                <w:numId w:val="22"/>
              </w:numPr>
              <w:rPr>
                <w:b/>
              </w:rPr>
            </w:pPr>
            <w:r w:rsidRPr="005728DD">
              <w:rPr>
                <w:b/>
              </w:rPr>
              <w:t>F/G</w:t>
            </w:r>
          </w:p>
        </w:tc>
        <w:tc>
          <w:tcPr>
            <w:tcW w:w="1593" w:type="pct"/>
            <w:gridSpan w:val="3"/>
            <w:tcMar>
              <w:left w:w="11" w:type="dxa"/>
              <w:right w:w="11" w:type="dxa"/>
            </w:tcMar>
            <w:vAlign w:val="center"/>
          </w:tcPr>
          <w:p w:rsidR="00647C9A" w:rsidRPr="005728DD" w:rsidRDefault="00647C9A" w:rsidP="00647C9A">
            <w:pPr>
              <w:pStyle w:val="TableText0"/>
              <w:jc w:val="center"/>
            </w:pPr>
            <w:r w:rsidRPr="005728DD">
              <w:rPr>
                <w:b/>
                <w:iCs/>
              </w:rPr>
              <w:t>ELX/TEZ/IVA</w:t>
            </w:r>
          </w:p>
        </w:tc>
        <w:tc>
          <w:tcPr>
            <w:tcW w:w="1588" w:type="pct"/>
            <w:gridSpan w:val="3"/>
            <w:tcMar>
              <w:left w:w="11" w:type="dxa"/>
              <w:right w:w="11" w:type="dxa"/>
            </w:tcMar>
            <w:vAlign w:val="center"/>
          </w:tcPr>
          <w:p w:rsidR="00647C9A" w:rsidRPr="005728DD" w:rsidRDefault="00647C9A" w:rsidP="00647C9A">
            <w:pPr>
              <w:pStyle w:val="TableText0"/>
              <w:jc w:val="center"/>
              <w:rPr>
                <w:b/>
              </w:rPr>
            </w:pPr>
            <w:r w:rsidRPr="005728DD">
              <w:rPr>
                <w:b/>
                <w:iCs/>
              </w:rPr>
              <w:t>IVA</w:t>
            </w:r>
          </w:p>
        </w:tc>
        <w:tc>
          <w:tcPr>
            <w:tcW w:w="723" w:type="pct"/>
            <w:tcMar>
              <w:left w:w="11" w:type="dxa"/>
              <w:right w:w="11" w:type="dxa"/>
            </w:tcMar>
            <w:vAlign w:val="center"/>
          </w:tcPr>
          <w:p w:rsidR="00647C9A" w:rsidRPr="005728DD" w:rsidRDefault="00647C9A" w:rsidP="00647C9A">
            <w:pPr>
              <w:pStyle w:val="TableText0"/>
              <w:jc w:val="center"/>
              <w:rPr>
                <w:b/>
                <w:bCs w:val="0"/>
              </w:rPr>
            </w:pPr>
          </w:p>
        </w:tc>
        <w:tc>
          <w:tcPr>
            <w:tcW w:w="378" w:type="pct"/>
            <w:tcMar>
              <w:left w:w="11" w:type="dxa"/>
              <w:right w:w="11" w:type="dxa"/>
            </w:tcMar>
            <w:vAlign w:val="center"/>
          </w:tcPr>
          <w:p w:rsidR="00647C9A" w:rsidRPr="005728DD" w:rsidRDefault="00647C9A" w:rsidP="00647C9A">
            <w:pPr>
              <w:pStyle w:val="TableText0"/>
              <w:jc w:val="center"/>
            </w:pPr>
          </w:p>
        </w:tc>
      </w:tr>
      <w:tr w:rsidR="00647C9A" w:rsidRPr="005728DD" w:rsidTr="006B1583">
        <w:trPr>
          <w:trHeight w:val="229"/>
        </w:trPr>
        <w:tc>
          <w:tcPr>
            <w:tcW w:w="718" w:type="pct"/>
            <w:vMerge w:val="restart"/>
            <w:tcMar>
              <w:left w:w="11" w:type="dxa"/>
              <w:right w:w="11" w:type="dxa"/>
            </w:tcMar>
            <w:vAlign w:val="center"/>
          </w:tcPr>
          <w:p w:rsidR="00647C9A" w:rsidRPr="005728DD" w:rsidRDefault="00647C9A" w:rsidP="00647C9A">
            <w:pPr>
              <w:pStyle w:val="TableText0"/>
            </w:pPr>
            <w:r w:rsidRPr="005728DD">
              <w:t>Study 104 (subgroup), w8</w:t>
            </w:r>
          </w:p>
        </w:tc>
        <w:tc>
          <w:tcPr>
            <w:tcW w:w="401" w:type="pct"/>
            <w:vMerge w:val="restart"/>
            <w:tcMar>
              <w:left w:w="11" w:type="dxa"/>
              <w:right w:w="11" w:type="dxa"/>
            </w:tcMar>
            <w:vAlign w:val="center"/>
          </w:tcPr>
          <w:p w:rsidR="00647C9A" w:rsidRPr="005728DD" w:rsidRDefault="00647C9A" w:rsidP="00647C9A">
            <w:pPr>
              <w:pStyle w:val="TableText0"/>
              <w:jc w:val="center"/>
            </w:pPr>
            <w:r w:rsidRPr="005728DD">
              <w:t>49/50</w:t>
            </w:r>
          </w:p>
        </w:tc>
        <w:tc>
          <w:tcPr>
            <w:tcW w:w="635" w:type="pct"/>
            <w:vMerge w:val="restart"/>
            <w:tcMar>
              <w:left w:w="11" w:type="dxa"/>
              <w:right w:w="11" w:type="dxa"/>
            </w:tcMar>
            <w:vAlign w:val="center"/>
          </w:tcPr>
          <w:p w:rsidR="00647C9A" w:rsidRPr="005728DD" w:rsidRDefault="00647C9A" w:rsidP="00647C9A">
            <w:pPr>
              <w:pStyle w:val="TableText0"/>
              <w:jc w:val="center"/>
            </w:pPr>
            <w:r w:rsidRPr="005728DD">
              <w:t>76.3 (16.4)</w:t>
            </w:r>
          </w:p>
        </w:tc>
        <w:tc>
          <w:tcPr>
            <w:tcW w:w="557" w:type="pct"/>
            <w:vMerge w:val="restart"/>
            <w:tcMar>
              <w:left w:w="11" w:type="dxa"/>
              <w:right w:w="11" w:type="dxa"/>
            </w:tcMar>
            <w:vAlign w:val="center"/>
          </w:tcPr>
          <w:p w:rsidR="00647C9A" w:rsidRPr="005728DD" w:rsidRDefault="00647C9A" w:rsidP="00647C9A">
            <w:pPr>
              <w:pStyle w:val="TableText0"/>
              <w:jc w:val="center"/>
            </w:pPr>
            <w:r w:rsidRPr="005728DD">
              <w:t>10.2 (1.8)</w:t>
            </w:r>
          </w:p>
        </w:tc>
        <w:tc>
          <w:tcPr>
            <w:tcW w:w="397" w:type="pct"/>
            <w:vMerge w:val="restart"/>
            <w:tcMar>
              <w:left w:w="11" w:type="dxa"/>
              <w:right w:w="11" w:type="dxa"/>
            </w:tcMar>
            <w:vAlign w:val="center"/>
          </w:tcPr>
          <w:p w:rsidR="00647C9A" w:rsidRPr="005728DD" w:rsidRDefault="00647C9A" w:rsidP="00647C9A">
            <w:pPr>
              <w:pStyle w:val="TableText0"/>
              <w:jc w:val="center"/>
            </w:pPr>
            <w:r w:rsidRPr="005728DD">
              <w:t>45/45</w:t>
            </w:r>
          </w:p>
        </w:tc>
        <w:tc>
          <w:tcPr>
            <w:tcW w:w="635" w:type="pct"/>
            <w:vMerge w:val="restart"/>
            <w:tcMar>
              <w:left w:w="11" w:type="dxa"/>
              <w:right w:w="11" w:type="dxa"/>
            </w:tcMar>
            <w:vAlign w:val="center"/>
          </w:tcPr>
          <w:p w:rsidR="00647C9A" w:rsidRPr="005728DD" w:rsidRDefault="00647C9A" w:rsidP="00647C9A">
            <w:pPr>
              <w:pStyle w:val="TableText0"/>
              <w:jc w:val="center"/>
            </w:pPr>
            <w:r w:rsidRPr="005728DD">
              <w:t>75.8 (17.6)</w:t>
            </w:r>
          </w:p>
        </w:tc>
        <w:tc>
          <w:tcPr>
            <w:tcW w:w="556" w:type="pct"/>
            <w:vMerge w:val="restart"/>
            <w:tcMar>
              <w:left w:w="11" w:type="dxa"/>
              <w:right w:w="11" w:type="dxa"/>
            </w:tcMar>
            <w:vAlign w:val="center"/>
          </w:tcPr>
          <w:p w:rsidR="00647C9A" w:rsidRPr="005728DD" w:rsidRDefault="00647C9A" w:rsidP="00647C9A">
            <w:pPr>
              <w:pStyle w:val="TableText0"/>
              <w:jc w:val="center"/>
            </w:pPr>
            <w:r w:rsidRPr="005728DD">
              <w:t>1.3 (1.9)</w:t>
            </w:r>
          </w:p>
        </w:tc>
        <w:tc>
          <w:tcPr>
            <w:tcW w:w="723" w:type="pct"/>
            <w:vMerge w:val="restart"/>
            <w:tcMar>
              <w:left w:w="11" w:type="dxa"/>
              <w:right w:w="11" w:type="dxa"/>
            </w:tcMar>
            <w:vAlign w:val="center"/>
          </w:tcPr>
          <w:p w:rsidR="00647C9A" w:rsidRPr="005728DD" w:rsidRDefault="00647C9A" w:rsidP="00647C9A">
            <w:pPr>
              <w:pStyle w:val="TableText0"/>
              <w:jc w:val="center"/>
              <w:rPr>
                <w:b/>
                <w:bCs w:val="0"/>
                <w:vertAlign w:val="superscript"/>
              </w:rPr>
            </w:pPr>
            <w:r w:rsidRPr="005728DD">
              <w:rPr>
                <w:b/>
              </w:rPr>
              <w:t>8.9 (3.8, 14.0)</w:t>
            </w:r>
            <w:r w:rsidR="00B740EF" w:rsidRPr="005728DD">
              <w:rPr>
                <w:b/>
                <w:vertAlign w:val="superscript"/>
              </w:rPr>
              <w:t xml:space="preserve"> a</w:t>
            </w:r>
          </w:p>
        </w:tc>
        <w:tc>
          <w:tcPr>
            <w:tcW w:w="378" w:type="pct"/>
            <w:vMerge w:val="restart"/>
            <w:tcMar>
              <w:left w:w="11" w:type="dxa"/>
              <w:right w:w="11" w:type="dxa"/>
            </w:tcMar>
            <w:vAlign w:val="center"/>
          </w:tcPr>
          <w:p w:rsidR="00647C9A" w:rsidRPr="005728DD" w:rsidRDefault="00647C9A" w:rsidP="00647C9A">
            <w:pPr>
              <w:pStyle w:val="TableText0"/>
              <w:jc w:val="center"/>
            </w:pPr>
            <w:r w:rsidRPr="005728DD">
              <w:t>0.0008</w:t>
            </w:r>
          </w:p>
        </w:tc>
      </w:tr>
      <w:tr w:rsidR="00647C9A" w:rsidRPr="005728DD" w:rsidTr="006B1583">
        <w:trPr>
          <w:trHeight w:val="229"/>
        </w:trPr>
        <w:tc>
          <w:tcPr>
            <w:tcW w:w="718" w:type="pct"/>
            <w:vMerge/>
            <w:tcMar>
              <w:left w:w="11" w:type="dxa"/>
              <w:right w:w="11" w:type="dxa"/>
            </w:tcMar>
            <w:vAlign w:val="center"/>
          </w:tcPr>
          <w:p w:rsidR="00647C9A" w:rsidRPr="005728DD" w:rsidRDefault="00647C9A" w:rsidP="00647C9A">
            <w:pPr>
              <w:pStyle w:val="TableText0"/>
            </w:pPr>
          </w:p>
        </w:tc>
        <w:tc>
          <w:tcPr>
            <w:tcW w:w="401" w:type="pct"/>
            <w:vMerge/>
            <w:tcMar>
              <w:left w:w="11" w:type="dxa"/>
              <w:right w:w="11" w:type="dxa"/>
            </w:tcMar>
            <w:vAlign w:val="center"/>
          </w:tcPr>
          <w:p w:rsidR="00647C9A" w:rsidRPr="005728DD" w:rsidRDefault="00647C9A" w:rsidP="00647C9A">
            <w:pPr>
              <w:pStyle w:val="TableText0"/>
              <w:jc w:val="center"/>
            </w:pPr>
          </w:p>
        </w:tc>
        <w:tc>
          <w:tcPr>
            <w:tcW w:w="635" w:type="pct"/>
            <w:vMerge/>
            <w:tcMar>
              <w:left w:w="11" w:type="dxa"/>
              <w:right w:w="11" w:type="dxa"/>
            </w:tcMar>
            <w:vAlign w:val="center"/>
          </w:tcPr>
          <w:p w:rsidR="00647C9A" w:rsidRPr="005728DD" w:rsidRDefault="00647C9A" w:rsidP="00647C9A">
            <w:pPr>
              <w:pStyle w:val="TableText0"/>
              <w:jc w:val="center"/>
            </w:pPr>
          </w:p>
        </w:tc>
        <w:tc>
          <w:tcPr>
            <w:tcW w:w="557" w:type="pct"/>
            <w:vMerge/>
            <w:tcMar>
              <w:left w:w="11" w:type="dxa"/>
              <w:right w:w="11" w:type="dxa"/>
            </w:tcMar>
            <w:vAlign w:val="center"/>
          </w:tcPr>
          <w:p w:rsidR="00647C9A" w:rsidRPr="005728DD" w:rsidRDefault="00647C9A" w:rsidP="00647C9A">
            <w:pPr>
              <w:pStyle w:val="TableText0"/>
              <w:jc w:val="center"/>
            </w:pPr>
          </w:p>
        </w:tc>
        <w:tc>
          <w:tcPr>
            <w:tcW w:w="397" w:type="pct"/>
            <w:vMerge/>
            <w:tcMar>
              <w:left w:w="11" w:type="dxa"/>
              <w:right w:w="11" w:type="dxa"/>
            </w:tcMar>
            <w:vAlign w:val="center"/>
          </w:tcPr>
          <w:p w:rsidR="00647C9A" w:rsidRPr="005728DD" w:rsidRDefault="00647C9A" w:rsidP="00647C9A">
            <w:pPr>
              <w:pStyle w:val="TableText0"/>
              <w:jc w:val="center"/>
            </w:pPr>
          </w:p>
        </w:tc>
        <w:tc>
          <w:tcPr>
            <w:tcW w:w="635" w:type="pct"/>
            <w:vMerge/>
            <w:tcMar>
              <w:left w:w="11" w:type="dxa"/>
              <w:right w:w="11" w:type="dxa"/>
            </w:tcMar>
            <w:vAlign w:val="center"/>
          </w:tcPr>
          <w:p w:rsidR="00647C9A" w:rsidRPr="005728DD" w:rsidRDefault="00647C9A" w:rsidP="00647C9A">
            <w:pPr>
              <w:pStyle w:val="TableText0"/>
              <w:jc w:val="center"/>
            </w:pPr>
          </w:p>
        </w:tc>
        <w:tc>
          <w:tcPr>
            <w:tcW w:w="556" w:type="pct"/>
            <w:vMerge/>
            <w:tcMar>
              <w:left w:w="11" w:type="dxa"/>
              <w:right w:w="11" w:type="dxa"/>
            </w:tcMar>
            <w:vAlign w:val="center"/>
          </w:tcPr>
          <w:p w:rsidR="00647C9A" w:rsidRPr="005728DD" w:rsidRDefault="00647C9A" w:rsidP="00647C9A">
            <w:pPr>
              <w:pStyle w:val="TableText0"/>
              <w:jc w:val="center"/>
            </w:pPr>
          </w:p>
        </w:tc>
        <w:tc>
          <w:tcPr>
            <w:tcW w:w="723" w:type="pct"/>
            <w:vMerge/>
            <w:tcMar>
              <w:left w:w="11" w:type="dxa"/>
              <w:right w:w="11" w:type="dxa"/>
            </w:tcMar>
            <w:vAlign w:val="center"/>
          </w:tcPr>
          <w:p w:rsidR="00647C9A" w:rsidRPr="005728DD" w:rsidRDefault="00647C9A" w:rsidP="00647C9A">
            <w:pPr>
              <w:pStyle w:val="TableText0"/>
              <w:jc w:val="center"/>
              <w:rPr>
                <w:b/>
                <w:bCs w:val="0"/>
              </w:rPr>
            </w:pPr>
          </w:p>
        </w:tc>
        <w:tc>
          <w:tcPr>
            <w:tcW w:w="378" w:type="pct"/>
            <w:vMerge/>
            <w:tcMar>
              <w:left w:w="11" w:type="dxa"/>
              <w:right w:w="11" w:type="dxa"/>
            </w:tcMar>
            <w:vAlign w:val="center"/>
          </w:tcPr>
          <w:p w:rsidR="00647C9A" w:rsidRPr="005728DD" w:rsidRDefault="00647C9A" w:rsidP="00647C9A">
            <w:pPr>
              <w:pStyle w:val="TableText0"/>
              <w:jc w:val="center"/>
            </w:pPr>
          </w:p>
        </w:tc>
      </w:tr>
      <w:tr w:rsidR="00647C9A" w:rsidRPr="005728DD" w:rsidTr="006B1583">
        <w:trPr>
          <w:trHeight w:val="145"/>
        </w:trPr>
        <w:tc>
          <w:tcPr>
            <w:tcW w:w="718" w:type="pct"/>
            <w:tcMar>
              <w:left w:w="11" w:type="dxa"/>
              <w:right w:w="11" w:type="dxa"/>
            </w:tcMar>
            <w:vAlign w:val="center"/>
          </w:tcPr>
          <w:p w:rsidR="00647C9A" w:rsidRPr="005728DD" w:rsidRDefault="00647C9A" w:rsidP="00A0357E">
            <w:pPr>
              <w:pStyle w:val="TableText0"/>
              <w:numPr>
                <w:ilvl w:val="0"/>
                <w:numId w:val="22"/>
              </w:numPr>
              <w:rPr>
                <w:b/>
                <w:bCs w:val="0"/>
              </w:rPr>
            </w:pPr>
            <w:r w:rsidRPr="005728DD">
              <w:rPr>
                <w:b/>
              </w:rPr>
              <w:t>F/MF</w:t>
            </w:r>
          </w:p>
        </w:tc>
        <w:tc>
          <w:tcPr>
            <w:tcW w:w="1593" w:type="pct"/>
            <w:gridSpan w:val="3"/>
            <w:tcMar>
              <w:left w:w="11" w:type="dxa"/>
              <w:right w:w="11" w:type="dxa"/>
            </w:tcMar>
            <w:vAlign w:val="center"/>
          </w:tcPr>
          <w:p w:rsidR="00647C9A" w:rsidRPr="005728DD" w:rsidRDefault="00647C9A" w:rsidP="00647C9A">
            <w:pPr>
              <w:pStyle w:val="TableText0"/>
              <w:jc w:val="center"/>
              <w:rPr>
                <w:b/>
                <w:bCs w:val="0"/>
              </w:rPr>
            </w:pPr>
            <w:r w:rsidRPr="005728DD">
              <w:rPr>
                <w:b/>
                <w:bCs w:val="0"/>
                <w:iCs/>
              </w:rPr>
              <w:t>ELX/TEZ/IVA</w:t>
            </w:r>
          </w:p>
        </w:tc>
        <w:tc>
          <w:tcPr>
            <w:tcW w:w="1588" w:type="pct"/>
            <w:gridSpan w:val="3"/>
            <w:tcMar>
              <w:left w:w="11" w:type="dxa"/>
              <w:right w:w="11" w:type="dxa"/>
            </w:tcMar>
            <w:vAlign w:val="center"/>
          </w:tcPr>
          <w:p w:rsidR="00647C9A" w:rsidRPr="005728DD" w:rsidRDefault="00647C9A" w:rsidP="00647C9A">
            <w:pPr>
              <w:pStyle w:val="TableText0"/>
              <w:jc w:val="center"/>
              <w:rPr>
                <w:b/>
                <w:bCs w:val="0"/>
              </w:rPr>
            </w:pPr>
            <w:r w:rsidRPr="005728DD">
              <w:rPr>
                <w:b/>
                <w:bCs w:val="0"/>
              </w:rPr>
              <w:t>Placebo</w:t>
            </w:r>
          </w:p>
        </w:tc>
        <w:tc>
          <w:tcPr>
            <w:tcW w:w="723" w:type="pct"/>
            <w:tcMar>
              <w:left w:w="11" w:type="dxa"/>
              <w:right w:w="11" w:type="dxa"/>
            </w:tcMar>
            <w:vAlign w:val="center"/>
          </w:tcPr>
          <w:p w:rsidR="00647C9A" w:rsidRPr="005728DD" w:rsidRDefault="00647C9A" w:rsidP="00647C9A">
            <w:pPr>
              <w:pStyle w:val="TableText0"/>
              <w:jc w:val="center"/>
              <w:rPr>
                <w:b/>
                <w:bCs w:val="0"/>
              </w:rPr>
            </w:pPr>
          </w:p>
        </w:tc>
        <w:tc>
          <w:tcPr>
            <w:tcW w:w="378" w:type="pct"/>
            <w:tcMar>
              <w:left w:w="11" w:type="dxa"/>
              <w:right w:w="11" w:type="dxa"/>
            </w:tcMar>
            <w:vAlign w:val="center"/>
          </w:tcPr>
          <w:p w:rsidR="00647C9A" w:rsidRPr="005728DD" w:rsidRDefault="00647C9A" w:rsidP="00647C9A">
            <w:pPr>
              <w:pStyle w:val="TableText0"/>
              <w:jc w:val="center"/>
              <w:rPr>
                <w:b/>
                <w:bCs w:val="0"/>
              </w:rPr>
            </w:pPr>
          </w:p>
        </w:tc>
      </w:tr>
      <w:tr w:rsidR="00647C9A" w:rsidRPr="005728DD" w:rsidTr="006B1583">
        <w:tc>
          <w:tcPr>
            <w:tcW w:w="718" w:type="pct"/>
            <w:tcMar>
              <w:left w:w="11" w:type="dxa"/>
              <w:right w:w="11" w:type="dxa"/>
            </w:tcMar>
            <w:vAlign w:val="center"/>
          </w:tcPr>
          <w:p w:rsidR="00647C9A" w:rsidRPr="005728DD" w:rsidRDefault="00647C9A" w:rsidP="00647C9A">
            <w:pPr>
              <w:pStyle w:val="TableText0"/>
            </w:pPr>
            <w:r w:rsidRPr="005728DD">
              <w:t>Study 102, w24</w:t>
            </w:r>
          </w:p>
        </w:tc>
        <w:tc>
          <w:tcPr>
            <w:tcW w:w="401" w:type="pct"/>
            <w:tcMar>
              <w:left w:w="11" w:type="dxa"/>
              <w:right w:w="11" w:type="dxa"/>
            </w:tcMar>
            <w:vAlign w:val="center"/>
          </w:tcPr>
          <w:p w:rsidR="00647C9A" w:rsidRPr="005728DD" w:rsidRDefault="00647C9A" w:rsidP="00647C9A">
            <w:pPr>
              <w:pStyle w:val="TableText0"/>
              <w:jc w:val="center"/>
            </w:pPr>
            <w:r w:rsidRPr="005728DD">
              <w:t>200/200</w:t>
            </w:r>
          </w:p>
        </w:tc>
        <w:tc>
          <w:tcPr>
            <w:tcW w:w="635" w:type="pct"/>
            <w:tcMar>
              <w:left w:w="11" w:type="dxa"/>
              <w:right w:w="11" w:type="dxa"/>
            </w:tcMar>
            <w:vAlign w:val="center"/>
          </w:tcPr>
          <w:p w:rsidR="00647C9A" w:rsidRPr="005728DD" w:rsidRDefault="00647C9A" w:rsidP="00647C9A">
            <w:pPr>
              <w:pStyle w:val="TableText0"/>
              <w:jc w:val="center"/>
            </w:pPr>
            <w:r w:rsidRPr="005728DD">
              <w:t>68.3 (16.9)</w:t>
            </w:r>
          </w:p>
        </w:tc>
        <w:tc>
          <w:tcPr>
            <w:tcW w:w="557" w:type="pct"/>
            <w:tcMar>
              <w:left w:w="11" w:type="dxa"/>
              <w:right w:w="11" w:type="dxa"/>
            </w:tcMar>
            <w:vAlign w:val="center"/>
          </w:tcPr>
          <w:p w:rsidR="00647C9A" w:rsidRPr="005728DD" w:rsidRDefault="00647C9A" w:rsidP="00647C9A">
            <w:pPr>
              <w:pStyle w:val="TableText0"/>
              <w:jc w:val="center"/>
            </w:pPr>
            <w:r w:rsidRPr="005728DD">
              <w:t>17.5 (1.0)</w:t>
            </w:r>
          </w:p>
        </w:tc>
        <w:tc>
          <w:tcPr>
            <w:tcW w:w="397" w:type="pct"/>
            <w:tcMar>
              <w:left w:w="11" w:type="dxa"/>
              <w:right w:w="11" w:type="dxa"/>
            </w:tcMar>
            <w:vAlign w:val="center"/>
          </w:tcPr>
          <w:p w:rsidR="00647C9A" w:rsidRPr="005728DD" w:rsidRDefault="00647C9A" w:rsidP="00647C9A">
            <w:pPr>
              <w:pStyle w:val="TableText0"/>
              <w:jc w:val="center"/>
            </w:pPr>
            <w:r w:rsidRPr="005728DD">
              <w:t>203/203</w:t>
            </w:r>
          </w:p>
        </w:tc>
        <w:tc>
          <w:tcPr>
            <w:tcW w:w="635" w:type="pct"/>
            <w:tcMar>
              <w:left w:w="11" w:type="dxa"/>
              <w:right w:w="11" w:type="dxa"/>
            </w:tcMar>
            <w:vAlign w:val="center"/>
          </w:tcPr>
          <w:p w:rsidR="00647C9A" w:rsidRPr="005728DD" w:rsidRDefault="00647C9A" w:rsidP="00647C9A">
            <w:pPr>
              <w:pStyle w:val="TableText0"/>
              <w:jc w:val="center"/>
            </w:pPr>
            <w:r w:rsidRPr="005728DD">
              <w:t>70.0 (17.8)</w:t>
            </w:r>
          </w:p>
        </w:tc>
        <w:tc>
          <w:tcPr>
            <w:tcW w:w="556" w:type="pct"/>
            <w:tcMar>
              <w:left w:w="11" w:type="dxa"/>
              <w:right w:w="11" w:type="dxa"/>
            </w:tcMar>
            <w:vAlign w:val="center"/>
          </w:tcPr>
          <w:p w:rsidR="00647C9A" w:rsidRPr="005728DD" w:rsidRDefault="00647C9A" w:rsidP="00647C9A">
            <w:pPr>
              <w:pStyle w:val="TableText0"/>
              <w:jc w:val="center"/>
            </w:pPr>
            <w:r w:rsidRPr="005728DD">
              <w:t>-2.7 (1.0)</w:t>
            </w:r>
          </w:p>
        </w:tc>
        <w:tc>
          <w:tcPr>
            <w:tcW w:w="723" w:type="pct"/>
            <w:tcMar>
              <w:left w:w="11" w:type="dxa"/>
              <w:right w:w="11" w:type="dxa"/>
            </w:tcMar>
            <w:vAlign w:val="center"/>
          </w:tcPr>
          <w:p w:rsidR="00647C9A" w:rsidRPr="005728DD" w:rsidRDefault="00647C9A" w:rsidP="00647C9A">
            <w:pPr>
              <w:pStyle w:val="TableText0"/>
              <w:jc w:val="center"/>
              <w:rPr>
                <w:b/>
                <w:bCs w:val="0"/>
              </w:rPr>
            </w:pPr>
            <w:r w:rsidRPr="005728DD">
              <w:rPr>
                <w:b/>
                <w:bCs w:val="0"/>
              </w:rPr>
              <w:t>20.2 (17.5, 23.0)</w:t>
            </w:r>
          </w:p>
        </w:tc>
        <w:tc>
          <w:tcPr>
            <w:tcW w:w="378" w:type="pct"/>
            <w:tcMar>
              <w:left w:w="11" w:type="dxa"/>
              <w:right w:w="11" w:type="dxa"/>
            </w:tcMar>
            <w:vAlign w:val="center"/>
          </w:tcPr>
          <w:p w:rsidR="00647C9A" w:rsidRPr="005728DD" w:rsidRDefault="00647C9A" w:rsidP="00647C9A">
            <w:pPr>
              <w:pStyle w:val="TableText0"/>
              <w:jc w:val="center"/>
            </w:pPr>
            <w:r w:rsidRPr="005728DD">
              <w:t>&lt;0.0001</w:t>
            </w:r>
          </w:p>
        </w:tc>
      </w:tr>
    </w:tbl>
    <w:p w:rsidR="001F49A3" w:rsidRPr="005728DD" w:rsidRDefault="001F49A3" w:rsidP="001F49A3">
      <w:pPr>
        <w:pStyle w:val="TableFigureFooter"/>
        <w:rPr>
          <w:sz w:val="20"/>
        </w:rPr>
      </w:pPr>
      <w:r w:rsidRPr="005728DD">
        <w:t>Source: Table 2.3.13, p85; Table 2.3.14, p86; Table 2.4.13, p118; Table 2.5.15, p147 of the submission</w:t>
      </w:r>
    </w:p>
    <w:p w:rsidR="008746AE" w:rsidRPr="005728DD" w:rsidRDefault="001F49A3" w:rsidP="008746AE">
      <w:pPr>
        <w:pStyle w:val="TableFigureFooter"/>
        <w:spacing w:after="0"/>
      </w:pPr>
      <w:r w:rsidRPr="005728DD">
        <w:t xml:space="preserve">Abbreviations: CI = confidence interval; </w:t>
      </w:r>
      <w:r w:rsidR="008746AE" w:rsidRPr="005728DD">
        <w:rPr>
          <w:bCs/>
          <w:szCs w:val="20"/>
        </w:rPr>
        <w:t xml:space="preserve">ELX/TEZ/IVA = elexacaftor/tezacaftor/ivacaftor; </w:t>
      </w:r>
      <w:r w:rsidRPr="005728DD">
        <w:rPr>
          <w:bCs/>
          <w:szCs w:val="20"/>
        </w:rPr>
        <w:t xml:space="preserve">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008746AE" w:rsidRPr="005728DD">
        <w:rPr>
          <w:bCs/>
          <w:szCs w:val="20"/>
        </w:rPr>
        <w:t>IVA = ivacaftor;</w:t>
      </w:r>
      <w:r w:rsidR="008746AE" w:rsidRPr="005728DD">
        <w:rPr>
          <w:rFonts w:eastAsia="Calibri"/>
        </w:rPr>
        <w:t xml:space="preserve"> </w:t>
      </w:r>
      <w:r w:rsidRPr="005728DD">
        <w:rPr>
          <w:rFonts w:eastAsia="Calibri"/>
        </w:rPr>
        <w:t xml:space="preserve">n = number of patients with event; N = total patients in group; NR = not reported; </w:t>
      </w:r>
      <w:r w:rsidRPr="005728DD">
        <w:rPr>
          <w:szCs w:val="20"/>
        </w:rPr>
        <w:t>ppFEV</w:t>
      </w:r>
      <w:r w:rsidRPr="005728DD">
        <w:rPr>
          <w:szCs w:val="20"/>
          <w:vertAlign w:val="subscript"/>
        </w:rPr>
        <w:t xml:space="preserve">1 </w:t>
      </w:r>
      <w:r w:rsidRPr="005728DD">
        <w:rPr>
          <w:szCs w:val="20"/>
        </w:rPr>
        <w:t>= percent predicted forced expiratory volume in one second;</w:t>
      </w:r>
      <w:r w:rsidRPr="005728DD">
        <w:t xml:space="preserve"> SD = standard deviation; SE = standard error; w = week; Sub = subpopulation</w:t>
      </w:r>
      <w:r w:rsidR="008746AE" w:rsidRPr="005728DD">
        <w:t xml:space="preserve">; </w:t>
      </w:r>
      <w:r w:rsidR="008746AE" w:rsidRPr="005728DD">
        <w:rPr>
          <w:bCs/>
          <w:szCs w:val="20"/>
        </w:rPr>
        <w:t>TEZ/IVA = tezacaftor and ivacaftor</w:t>
      </w:r>
    </w:p>
    <w:p w:rsidR="001F49A3" w:rsidRPr="005728DD" w:rsidRDefault="001F49A3" w:rsidP="001F49A3">
      <w:pPr>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B740EF" w:rsidRPr="005728DD" w:rsidRDefault="007010F1" w:rsidP="001F49A3">
      <w:pPr>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8.7</w:t>
      </w:r>
      <w:r w:rsidR="00B740EF" w:rsidRPr="005728DD">
        <w:rPr>
          <w:rFonts w:ascii="Arial Narrow" w:eastAsia="Calibri" w:hAnsi="Arial Narrow"/>
          <w:sz w:val="18"/>
          <w:szCs w:val="18"/>
        </w:rPr>
        <w:t xml:space="preserve"> (95% C</w:t>
      </w:r>
      <w:r w:rsidRPr="005728DD">
        <w:rPr>
          <w:rFonts w:ascii="Arial Narrow" w:eastAsia="Calibri" w:hAnsi="Arial Narrow"/>
          <w:sz w:val="18"/>
          <w:szCs w:val="18"/>
        </w:rPr>
        <w:t>I: 5.3, 12.1</w:t>
      </w:r>
      <w:r w:rsidR="00B740EF" w:rsidRPr="005728DD">
        <w:rPr>
          <w:rFonts w:ascii="Arial Narrow" w:eastAsia="Calibri" w:hAnsi="Arial Narrow"/>
          <w:sz w:val="18"/>
          <w:szCs w:val="18"/>
        </w:rPr>
        <w:t>) in the ITT population</w:t>
      </w:r>
    </w:p>
    <w:p w:rsidR="001F49A3" w:rsidRPr="005728DD" w:rsidRDefault="001F49A3" w:rsidP="001F49A3">
      <w:pPr>
        <w:pStyle w:val="3-BodyText"/>
        <w:spacing w:before="240"/>
      </w:pPr>
      <w:r w:rsidRPr="005728DD">
        <w:rPr>
          <w:color w:val="000000" w:themeColor="text1"/>
        </w:rPr>
        <w:t xml:space="preserve">Results from all of the trials indicated </w:t>
      </w:r>
      <w:r w:rsidR="00FD3B70">
        <w:rPr>
          <w:color w:val="000000" w:themeColor="text1"/>
        </w:rPr>
        <w:t xml:space="preserve">the mean treatment difference compared to the control arm for the </w:t>
      </w:r>
      <w:r w:rsidRPr="005728DD">
        <w:rPr>
          <w:color w:val="000000" w:themeColor="text1"/>
        </w:rPr>
        <w:t>change from baseline in the CFQ-R Respiratory Domain score</w:t>
      </w:r>
      <w:r w:rsidR="00FD3B70">
        <w:rPr>
          <w:color w:val="000000" w:themeColor="text1"/>
        </w:rPr>
        <w:t xml:space="preserve"> was statistically signficant</w:t>
      </w:r>
      <w:r w:rsidRPr="005728DD">
        <w:rPr>
          <w:color w:val="000000" w:themeColor="text1"/>
        </w:rPr>
        <w:t xml:space="preserve"> with </w:t>
      </w:r>
      <w:r w:rsidR="007A186A" w:rsidRPr="005728DD">
        <w:rPr>
          <w:color w:val="000000" w:themeColor="text1"/>
        </w:rPr>
        <w:t>an</w:t>
      </w:r>
      <w:r w:rsidRPr="005728DD">
        <w:rPr>
          <w:color w:val="000000" w:themeColor="text1"/>
        </w:rPr>
        <w:t xml:space="preserve"> absolute change </w:t>
      </w:r>
      <w:r w:rsidR="007A186A" w:rsidRPr="005728DD">
        <w:rPr>
          <w:color w:val="000000" w:themeColor="text1"/>
        </w:rPr>
        <w:t>of</w:t>
      </w:r>
      <w:r w:rsidR="00B22A9D" w:rsidRPr="005728DD">
        <w:rPr>
          <w:color w:val="000000" w:themeColor="text1"/>
        </w:rPr>
        <w:t xml:space="preserve"> </w:t>
      </w:r>
      <w:r w:rsidR="00647C9A" w:rsidRPr="005728DD">
        <w:rPr>
          <w:color w:val="000000" w:themeColor="text1"/>
        </w:rPr>
        <w:t xml:space="preserve">(1) </w:t>
      </w:r>
      <w:r w:rsidR="00482257" w:rsidRPr="005728DD">
        <w:rPr>
          <w:color w:val="000000" w:themeColor="text1"/>
        </w:rPr>
        <w:t>17.4</w:t>
      </w:r>
      <w:r w:rsidRPr="005728DD">
        <w:rPr>
          <w:color w:val="000000" w:themeColor="text1"/>
        </w:rPr>
        <w:t xml:space="preserve"> (95% CI: </w:t>
      </w:r>
      <w:r w:rsidR="00482257" w:rsidRPr="005728DD">
        <w:rPr>
          <w:color w:val="000000" w:themeColor="text1"/>
        </w:rPr>
        <w:t>11.8, 23</w:t>
      </w:r>
      <w:r w:rsidR="00482257" w:rsidRPr="005728DD">
        <w:t>.0</w:t>
      </w:r>
      <w:r w:rsidRPr="005728DD">
        <w:t>)</w:t>
      </w:r>
      <w:r w:rsidR="007A186A" w:rsidRPr="005728DD">
        <w:t xml:space="preserve"> </w:t>
      </w:r>
      <w:r w:rsidR="006B1583" w:rsidRPr="005728DD">
        <w:t>at 4 weeks</w:t>
      </w:r>
      <w:r w:rsidR="00647C9A" w:rsidRPr="005728DD">
        <w:t xml:space="preserve"> and </w:t>
      </w:r>
      <w:r w:rsidRPr="005728DD">
        <w:t>15.9 (95% CI: 11.7, 20.1)</w:t>
      </w:r>
      <w:r w:rsidR="00647C9A" w:rsidRPr="005728DD">
        <w:t xml:space="preserve"> at 24 weeks in </w:t>
      </w:r>
      <w:r w:rsidR="008951A8" w:rsidRPr="005728DD">
        <w:t>the F/F population</w:t>
      </w:r>
      <w:r w:rsidR="006B1583" w:rsidRPr="005728DD">
        <w:t>;</w:t>
      </w:r>
      <w:r w:rsidRPr="005728DD">
        <w:t xml:space="preserve"> </w:t>
      </w:r>
      <w:r w:rsidR="00647C9A" w:rsidRPr="005728DD">
        <w:t xml:space="preserve">(2) </w:t>
      </w:r>
      <w:r w:rsidR="006B1583" w:rsidRPr="005728DD">
        <w:t xml:space="preserve">8.5 (95% CI: 4.0, 13.1) at 8 weeks in </w:t>
      </w:r>
      <w:r w:rsidR="008951A8" w:rsidRPr="005728DD">
        <w:t>the F/RF population</w:t>
      </w:r>
      <w:r w:rsidR="006B1583" w:rsidRPr="005728DD">
        <w:t xml:space="preserve">; (3) 8.9 (95 CI: 3.8, 14.0) at 8 weeks in </w:t>
      </w:r>
      <w:r w:rsidR="008951A8" w:rsidRPr="005728DD">
        <w:t xml:space="preserve">the F/G population </w:t>
      </w:r>
      <w:r w:rsidR="003F6FC3" w:rsidRPr="005728DD">
        <w:t xml:space="preserve">and </w:t>
      </w:r>
      <w:r w:rsidR="006B1583" w:rsidRPr="005728DD">
        <w:t xml:space="preserve">(4) </w:t>
      </w:r>
      <w:r w:rsidR="003F6FC3" w:rsidRPr="005728DD">
        <w:t xml:space="preserve">20.2 (95% CI: 17.5, 23.0) </w:t>
      </w:r>
      <w:r w:rsidR="006B1583" w:rsidRPr="005728DD">
        <w:t xml:space="preserve">at 24 weeks in </w:t>
      </w:r>
      <w:r w:rsidR="008951A8" w:rsidRPr="005728DD">
        <w:t>the F/MF population</w:t>
      </w:r>
      <w:r w:rsidRPr="005728DD">
        <w:t>.</w:t>
      </w:r>
      <w:r w:rsidR="00D05148" w:rsidRPr="005728DD">
        <w:rPr>
          <w:rFonts w:ascii="Calibri" w:hAnsi="Calibri"/>
          <w:snapToGrid/>
        </w:rPr>
        <w:t xml:space="preserve"> </w:t>
      </w:r>
    </w:p>
    <w:p w:rsidR="001F49A3" w:rsidRPr="005728DD" w:rsidRDefault="001F49A3" w:rsidP="001F49A3">
      <w:pPr>
        <w:pStyle w:val="3-BodyText"/>
      </w:pPr>
      <w:r w:rsidRPr="005728DD">
        <w:t xml:space="preserve">A summary of the absolute change from baseline in sweat chloride across the trials is presented in </w:t>
      </w:r>
      <w:r w:rsidR="005C56C0" w:rsidRPr="005728DD">
        <w:t xml:space="preserve">Table </w:t>
      </w:r>
      <w:r w:rsidR="005C56C0">
        <w:rPr>
          <w:noProof/>
        </w:rPr>
        <w:t>7</w:t>
      </w:r>
      <w:r w:rsidRPr="005728DD">
        <w:t>.</w:t>
      </w:r>
    </w:p>
    <w:p w:rsidR="006B1583" w:rsidRPr="005728DD" w:rsidRDefault="00DE0B4E" w:rsidP="006B1583">
      <w:pPr>
        <w:pStyle w:val="TableFigureHeading"/>
      </w:pPr>
      <w:bookmarkStart w:id="21" w:name="_Ref64496601"/>
      <w:r w:rsidRPr="005728DD">
        <w:lastRenderedPageBreak/>
        <w:t xml:space="preserve">Table </w:t>
      </w:r>
      <w:r w:rsidR="005C56C0">
        <w:rPr>
          <w:noProof/>
        </w:rPr>
        <w:t>7</w:t>
      </w:r>
      <w:bookmarkEnd w:id="21"/>
      <w:r w:rsidR="001F49A3" w:rsidRPr="005728DD">
        <w:rPr>
          <w:rStyle w:val="CommentReference"/>
          <w:b/>
          <w:szCs w:val="24"/>
        </w:rPr>
        <w:t xml:space="preserve">: Results of absolute change in sweat chloride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714"/>
        <w:gridCol w:w="1130"/>
        <w:gridCol w:w="991"/>
        <w:gridCol w:w="707"/>
        <w:gridCol w:w="1130"/>
        <w:gridCol w:w="989"/>
        <w:gridCol w:w="1287"/>
        <w:gridCol w:w="673"/>
      </w:tblGrid>
      <w:tr w:rsidR="006B1583" w:rsidRPr="005728DD" w:rsidTr="00BA1F52">
        <w:trPr>
          <w:trHeight w:val="229"/>
        </w:trPr>
        <w:tc>
          <w:tcPr>
            <w:tcW w:w="718" w:type="pct"/>
            <w:vMerge w:val="restart"/>
            <w:tcMar>
              <w:left w:w="11" w:type="dxa"/>
              <w:right w:w="11" w:type="dxa"/>
            </w:tcMar>
            <w:vAlign w:val="center"/>
          </w:tcPr>
          <w:p w:rsidR="006B1583" w:rsidRPr="005728DD" w:rsidRDefault="006B1583" w:rsidP="001369B5">
            <w:pPr>
              <w:pStyle w:val="In-tableHeading"/>
              <w:keepLines/>
              <w:jc w:val="center"/>
              <w:rPr>
                <w:lang w:val="en-AU"/>
              </w:rPr>
            </w:pPr>
            <w:r w:rsidRPr="005728DD">
              <w:rPr>
                <w:lang w:val="en-AU"/>
              </w:rPr>
              <w:t>Population</w:t>
            </w:r>
          </w:p>
          <w:p w:rsidR="006B1583" w:rsidRPr="005728DD" w:rsidRDefault="006B1583" w:rsidP="001369B5">
            <w:pPr>
              <w:pStyle w:val="TableText0"/>
              <w:keepLines/>
            </w:pPr>
            <w:r w:rsidRPr="005728DD">
              <w:t>Trial, follow-up</w:t>
            </w:r>
          </w:p>
        </w:tc>
        <w:tc>
          <w:tcPr>
            <w:tcW w:w="401"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n/N</w:t>
            </w:r>
          </w:p>
        </w:tc>
        <w:tc>
          <w:tcPr>
            <w:tcW w:w="635"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Mean baseline (SD)</w:t>
            </w:r>
          </w:p>
        </w:tc>
        <w:tc>
          <w:tcPr>
            <w:tcW w:w="557"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Mean change (SE)</w:t>
            </w:r>
          </w:p>
        </w:tc>
        <w:tc>
          <w:tcPr>
            <w:tcW w:w="397"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n/N</w:t>
            </w:r>
          </w:p>
        </w:tc>
        <w:tc>
          <w:tcPr>
            <w:tcW w:w="635"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Mean baseline (SD)</w:t>
            </w:r>
          </w:p>
        </w:tc>
        <w:tc>
          <w:tcPr>
            <w:tcW w:w="556" w:type="pct"/>
            <w:vMerge w:val="restart"/>
            <w:tcMar>
              <w:left w:w="11" w:type="dxa"/>
              <w:right w:w="11" w:type="dxa"/>
            </w:tcMar>
            <w:vAlign w:val="center"/>
          </w:tcPr>
          <w:p w:rsidR="006B1583" w:rsidRPr="005728DD" w:rsidRDefault="006B1583" w:rsidP="001369B5">
            <w:pPr>
              <w:pStyle w:val="TableText0"/>
              <w:keepLines/>
              <w:jc w:val="center"/>
            </w:pPr>
            <w:r w:rsidRPr="005728DD">
              <w:rPr>
                <w:b/>
                <w:bCs w:val="0"/>
              </w:rPr>
              <w:t>Mean change (SE)</w:t>
            </w:r>
          </w:p>
        </w:tc>
        <w:tc>
          <w:tcPr>
            <w:tcW w:w="723" w:type="pct"/>
            <w:vMerge w:val="restart"/>
            <w:tcMar>
              <w:left w:w="11" w:type="dxa"/>
              <w:right w:w="11" w:type="dxa"/>
            </w:tcMar>
            <w:vAlign w:val="center"/>
          </w:tcPr>
          <w:p w:rsidR="006B1583" w:rsidRPr="005728DD" w:rsidRDefault="006B1583" w:rsidP="001369B5">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6B1583" w:rsidRPr="005728DD" w:rsidRDefault="006B1583" w:rsidP="001369B5">
            <w:pPr>
              <w:pStyle w:val="TableText0"/>
              <w:keepLines/>
              <w:jc w:val="center"/>
              <w:rPr>
                <w:b/>
              </w:rPr>
            </w:pPr>
            <w:r w:rsidRPr="005728DD">
              <w:rPr>
                <w:b/>
              </w:rPr>
              <w:t>P-value</w:t>
            </w:r>
          </w:p>
        </w:tc>
      </w:tr>
      <w:tr w:rsidR="006B1583" w:rsidRPr="005728DD" w:rsidTr="00BA1F52">
        <w:trPr>
          <w:trHeight w:val="229"/>
        </w:trPr>
        <w:tc>
          <w:tcPr>
            <w:tcW w:w="718" w:type="pct"/>
            <w:vMerge/>
            <w:tcMar>
              <w:left w:w="11" w:type="dxa"/>
              <w:right w:w="11" w:type="dxa"/>
            </w:tcMar>
            <w:vAlign w:val="center"/>
          </w:tcPr>
          <w:p w:rsidR="006B1583" w:rsidRPr="005728DD" w:rsidRDefault="006B1583" w:rsidP="001369B5">
            <w:pPr>
              <w:pStyle w:val="TableText0"/>
              <w:keepLines/>
            </w:pPr>
          </w:p>
        </w:tc>
        <w:tc>
          <w:tcPr>
            <w:tcW w:w="401"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7" w:type="pct"/>
            <w:vMerge/>
            <w:tcMar>
              <w:left w:w="11" w:type="dxa"/>
              <w:right w:w="11" w:type="dxa"/>
            </w:tcMar>
            <w:vAlign w:val="center"/>
          </w:tcPr>
          <w:p w:rsidR="006B1583" w:rsidRPr="005728DD" w:rsidRDefault="006B1583" w:rsidP="001369B5">
            <w:pPr>
              <w:pStyle w:val="TableText0"/>
              <w:keepLines/>
              <w:jc w:val="center"/>
            </w:pPr>
          </w:p>
        </w:tc>
        <w:tc>
          <w:tcPr>
            <w:tcW w:w="397"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6" w:type="pct"/>
            <w:vMerge/>
            <w:tcMar>
              <w:left w:w="11" w:type="dxa"/>
              <w:right w:w="11" w:type="dxa"/>
            </w:tcMar>
            <w:vAlign w:val="center"/>
          </w:tcPr>
          <w:p w:rsidR="006B1583" w:rsidRPr="005728DD" w:rsidRDefault="006B1583" w:rsidP="001369B5">
            <w:pPr>
              <w:pStyle w:val="TableText0"/>
              <w:keepLines/>
              <w:jc w:val="center"/>
            </w:pPr>
          </w:p>
        </w:tc>
        <w:tc>
          <w:tcPr>
            <w:tcW w:w="723" w:type="pct"/>
            <w:vMerge/>
            <w:tcMar>
              <w:left w:w="11" w:type="dxa"/>
              <w:right w:w="11" w:type="dxa"/>
            </w:tcMar>
            <w:vAlign w:val="center"/>
          </w:tcPr>
          <w:p w:rsidR="006B1583" w:rsidRPr="005728DD" w:rsidRDefault="006B1583" w:rsidP="001369B5">
            <w:pPr>
              <w:pStyle w:val="TableText0"/>
              <w:keepLines/>
              <w:jc w:val="center"/>
              <w:rPr>
                <w:b/>
                <w:bCs w:val="0"/>
              </w:rPr>
            </w:pPr>
          </w:p>
        </w:tc>
        <w:tc>
          <w:tcPr>
            <w:tcW w:w="378" w:type="pct"/>
            <w:vMerge/>
            <w:tcMar>
              <w:left w:w="11" w:type="dxa"/>
              <w:right w:w="11" w:type="dxa"/>
            </w:tcMar>
            <w:vAlign w:val="center"/>
          </w:tcPr>
          <w:p w:rsidR="006B1583" w:rsidRPr="005728DD" w:rsidRDefault="006B1583" w:rsidP="001369B5">
            <w:pPr>
              <w:pStyle w:val="TableText0"/>
              <w:keepLines/>
              <w:jc w:val="center"/>
            </w:pPr>
          </w:p>
        </w:tc>
      </w:tr>
      <w:tr w:rsidR="006B1583" w:rsidRPr="005728DD" w:rsidTr="00BA1F52">
        <w:tc>
          <w:tcPr>
            <w:tcW w:w="718" w:type="pct"/>
            <w:tcMar>
              <w:left w:w="11" w:type="dxa"/>
              <w:right w:w="11" w:type="dxa"/>
            </w:tcMar>
            <w:vAlign w:val="center"/>
          </w:tcPr>
          <w:p w:rsidR="006B1583" w:rsidRPr="005728DD" w:rsidRDefault="006B1583" w:rsidP="00A0357E">
            <w:pPr>
              <w:pStyle w:val="TableText0"/>
              <w:keepLines/>
              <w:numPr>
                <w:ilvl w:val="0"/>
                <w:numId w:val="23"/>
              </w:numPr>
              <w:rPr>
                <w:b/>
              </w:rPr>
            </w:pPr>
            <w:r w:rsidRPr="005728DD">
              <w:rPr>
                <w:b/>
              </w:rPr>
              <w:t>F/F</w:t>
            </w:r>
          </w:p>
        </w:tc>
        <w:tc>
          <w:tcPr>
            <w:tcW w:w="1593" w:type="pct"/>
            <w:gridSpan w:val="3"/>
            <w:tcMar>
              <w:left w:w="11" w:type="dxa"/>
              <w:right w:w="11" w:type="dxa"/>
            </w:tcMar>
            <w:vAlign w:val="center"/>
          </w:tcPr>
          <w:p w:rsidR="006B1583" w:rsidRPr="005728DD" w:rsidRDefault="006B1583" w:rsidP="001369B5">
            <w:pPr>
              <w:pStyle w:val="TableText0"/>
              <w:keepLines/>
              <w:jc w:val="center"/>
              <w:rPr>
                <w:b/>
              </w:rPr>
            </w:pPr>
            <w:r w:rsidRPr="005728DD">
              <w:rPr>
                <w:b/>
                <w:iCs/>
              </w:rPr>
              <w:t>ELX/TEZ/IVA</w:t>
            </w:r>
          </w:p>
        </w:tc>
        <w:tc>
          <w:tcPr>
            <w:tcW w:w="1588" w:type="pct"/>
            <w:gridSpan w:val="3"/>
            <w:tcMar>
              <w:left w:w="11" w:type="dxa"/>
              <w:right w:w="11" w:type="dxa"/>
            </w:tcMar>
            <w:vAlign w:val="center"/>
          </w:tcPr>
          <w:p w:rsidR="006B1583" w:rsidRPr="005728DD" w:rsidRDefault="006B1583" w:rsidP="001369B5">
            <w:pPr>
              <w:pStyle w:val="TableText0"/>
              <w:keepLines/>
              <w:jc w:val="center"/>
              <w:rPr>
                <w:b/>
              </w:rPr>
            </w:pPr>
            <w:r w:rsidRPr="005728DD">
              <w:rPr>
                <w:b/>
                <w:iCs/>
              </w:rPr>
              <w:t>TEZ/IVA</w:t>
            </w:r>
          </w:p>
        </w:tc>
        <w:tc>
          <w:tcPr>
            <w:tcW w:w="723" w:type="pct"/>
            <w:tcMar>
              <w:left w:w="11" w:type="dxa"/>
              <w:right w:w="11" w:type="dxa"/>
            </w:tcMar>
            <w:vAlign w:val="center"/>
          </w:tcPr>
          <w:p w:rsidR="006B1583" w:rsidRPr="005728DD" w:rsidRDefault="006B1583" w:rsidP="001369B5">
            <w:pPr>
              <w:pStyle w:val="TableText0"/>
              <w:keepLines/>
              <w:jc w:val="center"/>
              <w:rPr>
                <w:b/>
                <w:bCs w:val="0"/>
              </w:rPr>
            </w:pPr>
          </w:p>
        </w:tc>
        <w:tc>
          <w:tcPr>
            <w:tcW w:w="378" w:type="pct"/>
            <w:tcMar>
              <w:left w:w="11" w:type="dxa"/>
              <w:right w:w="11" w:type="dxa"/>
            </w:tcMar>
            <w:vAlign w:val="center"/>
          </w:tcPr>
          <w:p w:rsidR="006B1583" w:rsidRPr="005728DD" w:rsidRDefault="006B1583" w:rsidP="001369B5">
            <w:pPr>
              <w:pStyle w:val="TableText0"/>
              <w:keepLines/>
              <w:jc w:val="center"/>
              <w:rPr>
                <w:b/>
              </w:rPr>
            </w:pPr>
          </w:p>
        </w:tc>
      </w:tr>
      <w:tr w:rsidR="006B1583" w:rsidRPr="005728DD" w:rsidTr="00BA1F52">
        <w:tc>
          <w:tcPr>
            <w:tcW w:w="718" w:type="pct"/>
            <w:tcMar>
              <w:left w:w="11" w:type="dxa"/>
              <w:right w:w="11" w:type="dxa"/>
            </w:tcMar>
            <w:vAlign w:val="center"/>
          </w:tcPr>
          <w:p w:rsidR="006B1583" w:rsidRPr="005728DD" w:rsidRDefault="006B1583" w:rsidP="001369B5">
            <w:pPr>
              <w:pStyle w:val="TableText0"/>
              <w:keepLines/>
            </w:pPr>
            <w:r w:rsidRPr="005728DD">
              <w:t>Study 103, w4</w:t>
            </w:r>
          </w:p>
        </w:tc>
        <w:tc>
          <w:tcPr>
            <w:tcW w:w="401" w:type="pct"/>
            <w:tcMar>
              <w:left w:w="11" w:type="dxa"/>
              <w:right w:w="11" w:type="dxa"/>
            </w:tcMar>
            <w:vAlign w:val="center"/>
          </w:tcPr>
          <w:p w:rsidR="006B1583" w:rsidRPr="005728DD" w:rsidRDefault="006B1583" w:rsidP="001369B5">
            <w:pPr>
              <w:pStyle w:val="TableText0"/>
              <w:keepLines/>
              <w:jc w:val="center"/>
            </w:pPr>
            <w:r w:rsidRPr="005728DD">
              <w:t>54/55</w:t>
            </w:r>
          </w:p>
        </w:tc>
        <w:tc>
          <w:tcPr>
            <w:tcW w:w="635" w:type="pct"/>
            <w:tcMar>
              <w:left w:w="11" w:type="dxa"/>
              <w:right w:w="11" w:type="dxa"/>
            </w:tcMar>
            <w:vAlign w:val="center"/>
          </w:tcPr>
          <w:p w:rsidR="006B1583" w:rsidRPr="005728DD" w:rsidRDefault="006B1583" w:rsidP="001369B5">
            <w:pPr>
              <w:pStyle w:val="TableText0"/>
              <w:keepLines/>
              <w:jc w:val="center"/>
            </w:pPr>
            <w:r w:rsidRPr="005728DD">
              <w:t>91.4 (11.0)</w:t>
            </w:r>
          </w:p>
        </w:tc>
        <w:tc>
          <w:tcPr>
            <w:tcW w:w="557" w:type="pct"/>
            <w:tcMar>
              <w:left w:w="11" w:type="dxa"/>
              <w:right w:w="11" w:type="dxa"/>
            </w:tcMar>
            <w:vAlign w:val="center"/>
          </w:tcPr>
          <w:p w:rsidR="006B1583" w:rsidRPr="005728DD" w:rsidRDefault="006B1583" w:rsidP="001369B5">
            <w:pPr>
              <w:pStyle w:val="TableText0"/>
              <w:keepLines/>
              <w:jc w:val="center"/>
            </w:pPr>
            <w:r w:rsidRPr="005728DD">
              <w:t>-43.4 (1.7)</w:t>
            </w:r>
          </w:p>
        </w:tc>
        <w:tc>
          <w:tcPr>
            <w:tcW w:w="397" w:type="pct"/>
            <w:tcMar>
              <w:left w:w="11" w:type="dxa"/>
              <w:right w:w="11" w:type="dxa"/>
            </w:tcMar>
            <w:vAlign w:val="center"/>
          </w:tcPr>
          <w:p w:rsidR="006B1583" w:rsidRPr="005728DD" w:rsidRDefault="006B1583" w:rsidP="001369B5">
            <w:pPr>
              <w:pStyle w:val="TableText0"/>
              <w:keepLines/>
              <w:jc w:val="center"/>
            </w:pPr>
            <w:r w:rsidRPr="005728DD">
              <w:t>48/52</w:t>
            </w:r>
          </w:p>
        </w:tc>
        <w:tc>
          <w:tcPr>
            <w:tcW w:w="635" w:type="pct"/>
            <w:tcMar>
              <w:left w:w="11" w:type="dxa"/>
              <w:right w:w="11" w:type="dxa"/>
            </w:tcMar>
            <w:vAlign w:val="center"/>
          </w:tcPr>
          <w:p w:rsidR="006B1583" w:rsidRPr="005728DD" w:rsidRDefault="006B1583" w:rsidP="001369B5">
            <w:pPr>
              <w:pStyle w:val="TableText0"/>
              <w:keepLines/>
              <w:jc w:val="center"/>
            </w:pPr>
            <w:r w:rsidRPr="005728DD">
              <w:t>90.0 (12.3)</w:t>
            </w:r>
          </w:p>
        </w:tc>
        <w:tc>
          <w:tcPr>
            <w:tcW w:w="556" w:type="pct"/>
            <w:tcMar>
              <w:left w:w="11" w:type="dxa"/>
              <w:right w:w="11" w:type="dxa"/>
            </w:tcMar>
            <w:vAlign w:val="center"/>
          </w:tcPr>
          <w:p w:rsidR="006B1583" w:rsidRPr="005728DD" w:rsidRDefault="006B1583" w:rsidP="001369B5">
            <w:pPr>
              <w:pStyle w:val="TableText0"/>
              <w:keepLines/>
              <w:jc w:val="center"/>
            </w:pPr>
            <w:r w:rsidRPr="005728DD">
              <w:t>1.7 (1.8)</w:t>
            </w:r>
          </w:p>
        </w:tc>
        <w:tc>
          <w:tcPr>
            <w:tcW w:w="723" w:type="pct"/>
            <w:tcMar>
              <w:left w:w="11" w:type="dxa"/>
              <w:right w:w="11" w:type="dxa"/>
            </w:tcMar>
          </w:tcPr>
          <w:p w:rsidR="00BA1F52" w:rsidRPr="005728DD" w:rsidRDefault="006B1583" w:rsidP="001369B5">
            <w:pPr>
              <w:pStyle w:val="TableText0"/>
              <w:keepLines/>
              <w:jc w:val="center"/>
              <w:rPr>
                <w:b/>
                <w:bCs w:val="0"/>
              </w:rPr>
            </w:pPr>
            <w:r w:rsidRPr="005728DD">
              <w:rPr>
                <w:b/>
                <w:bCs w:val="0"/>
              </w:rPr>
              <w:t xml:space="preserve">-45.1 </w:t>
            </w:r>
          </w:p>
          <w:p w:rsidR="006B1583" w:rsidRPr="005728DD" w:rsidRDefault="006B1583" w:rsidP="001369B5">
            <w:pPr>
              <w:pStyle w:val="TableText0"/>
              <w:keepLines/>
              <w:jc w:val="center"/>
              <w:rPr>
                <w:b/>
                <w:bCs w:val="0"/>
              </w:rPr>
            </w:pPr>
            <w:r w:rsidRPr="005728DD">
              <w:rPr>
                <w:b/>
                <w:bCs w:val="0"/>
              </w:rPr>
              <w:t>(-50.1, -40.1)</w:t>
            </w:r>
          </w:p>
        </w:tc>
        <w:tc>
          <w:tcPr>
            <w:tcW w:w="378" w:type="pct"/>
            <w:tcMar>
              <w:left w:w="11" w:type="dxa"/>
              <w:right w:w="11" w:type="dxa"/>
            </w:tcMar>
            <w:vAlign w:val="center"/>
          </w:tcPr>
          <w:p w:rsidR="006B1583" w:rsidRPr="005728DD" w:rsidRDefault="006B1583" w:rsidP="001369B5">
            <w:pPr>
              <w:pStyle w:val="TableText0"/>
              <w:keepLines/>
              <w:jc w:val="center"/>
            </w:pPr>
            <w:r w:rsidRPr="005728DD">
              <w:t>&lt;0.0001</w:t>
            </w:r>
          </w:p>
        </w:tc>
      </w:tr>
      <w:tr w:rsidR="006B1583" w:rsidRPr="005728DD" w:rsidTr="00BA1F52">
        <w:tc>
          <w:tcPr>
            <w:tcW w:w="718" w:type="pct"/>
            <w:tcMar>
              <w:left w:w="11" w:type="dxa"/>
              <w:right w:w="11" w:type="dxa"/>
            </w:tcMar>
            <w:vAlign w:val="center"/>
          </w:tcPr>
          <w:p w:rsidR="006B1583" w:rsidRPr="005728DD" w:rsidRDefault="006B1583" w:rsidP="001369B5">
            <w:pPr>
              <w:pStyle w:val="TableText0"/>
              <w:keepLines/>
            </w:pPr>
            <w:r w:rsidRPr="005728DD">
              <w:t>Study 109, w24</w:t>
            </w:r>
          </w:p>
        </w:tc>
        <w:tc>
          <w:tcPr>
            <w:tcW w:w="401" w:type="pct"/>
            <w:tcMar>
              <w:left w:w="11" w:type="dxa"/>
              <w:right w:w="11" w:type="dxa"/>
            </w:tcMar>
            <w:vAlign w:val="center"/>
          </w:tcPr>
          <w:p w:rsidR="006B1583" w:rsidRPr="005728DD" w:rsidRDefault="006B1583" w:rsidP="001369B5">
            <w:pPr>
              <w:pStyle w:val="TableText0"/>
              <w:keepLines/>
              <w:jc w:val="center"/>
            </w:pPr>
            <w:r w:rsidRPr="005728DD">
              <w:t>NR/87</w:t>
            </w:r>
          </w:p>
        </w:tc>
        <w:tc>
          <w:tcPr>
            <w:tcW w:w="635" w:type="pct"/>
            <w:tcMar>
              <w:left w:w="11" w:type="dxa"/>
              <w:right w:w="11" w:type="dxa"/>
            </w:tcMar>
          </w:tcPr>
          <w:p w:rsidR="006B1583" w:rsidRPr="005728DD" w:rsidRDefault="006B1583" w:rsidP="001369B5">
            <w:pPr>
              <w:pStyle w:val="TableText0"/>
              <w:keepLines/>
              <w:jc w:val="center"/>
            </w:pPr>
            <w:r w:rsidRPr="005728DD">
              <w:t>89.0 (12.2)</w:t>
            </w:r>
          </w:p>
        </w:tc>
        <w:tc>
          <w:tcPr>
            <w:tcW w:w="557" w:type="pct"/>
            <w:tcMar>
              <w:left w:w="11" w:type="dxa"/>
              <w:right w:w="11" w:type="dxa"/>
            </w:tcMar>
          </w:tcPr>
          <w:p w:rsidR="006B1583" w:rsidRPr="005728DD" w:rsidRDefault="006B1583" w:rsidP="001369B5">
            <w:pPr>
              <w:pStyle w:val="TableText0"/>
              <w:keepLines/>
              <w:jc w:val="center"/>
            </w:pPr>
            <w:r w:rsidRPr="005728DD">
              <w:t>-46.2 (1.3)</w:t>
            </w:r>
          </w:p>
        </w:tc>
        <w:tc>
          <w:tcPr>
            <w:tcW w:w="397" w:type="pct"/>
            <w:tcMar>
              <w:left w:w="11" w:type="dxa"/>
              <w:right w:w="11" w:type="dxa"/>
            </w:tcMar>
            <w:vAlign w:val="center"/>
          </w:tcPr>
          <w:p w:rsidR="006B1583" w:rsidRPr="005728DD" w:rsidRDefault="006B1583" w:rsidP="001369B5">
            <w:pPr>
              <w:pStyle w:val="TableText0"/>
              <w:keepLines/>
              <w:jc w:val="center"/>
            </w:pPr>
            <w:r w:rsidRPr="005728DD">
              <w:t>NR/88</w:t>
            </w:r>
          </w:p>
        </w:tc>
        <w:tc>
          <w:tcPr>
            <w:tcW w:w="635" w:type="pct"/>
            <w:tcMar>
              <w:left w:w="11" w:type="dxa"/>
              <w:right w:w="11" w:type="dxa"/>
            </w:tcMar>
          </w:tcPr>
          <w:p w:rsidR="006B1583" w:rsidRPr="005728DD" w:rsidRDefault="006B1583" w:rsidP="001369B5">
            <w:pPr>
              <w:pStyle w:val="TableText0"/>
              <w:keepLines/>
              <w:jc w:val="center"/>
            </w:pPr>
            <w:r w:rsidRPr="005728DD">
              <w:t>89.9 (11.7)</w:t>
            </w:r>
          </w:p>
        </w:tc>
        <w:tc>
          <w:tcPr>
            <w:tcW w:w="556" w:type="pct"/>
            <w:tcMar>
              <w:left w:w="11" w:type="dxa"/>
              <w:right w:w="11" w:type="dxa"/>
            </w:tcMar>
          </w:tcPr>
          <w:p w:rsidR="006B1583" w:rsidRPr="005728DD" w:rsidRDefault="006B1583" w:rsidP="001369B5">
            <w:pPr>
              <w:pStyle w:val="TableText0"/>
              <w:keepLines/>
              <w:jc w:val="center"/>
            </w:pPr>
            <w:r w:rsidRPr="005728DD">
              <w:t>-3.4 (1.2)</w:t>
            </w:r>
          </w:p>
        </w:tc>
        <w:tc>
          <w:tcPr>
            <w:tcW w:w="723" w:type="pct"/>
            <w:tcMar>
              <w:left w:w="11" w:type="dxa"/>
              <w:right w:w="11" w:type="dxa"/>
            </w:tcMar>
          </w:tcPr>
          <w:p w:rsidR="00BA1F52" w:rsidRPr="005728DD" w:rsidRDefault="006B1583" w:rsidP="001369B5">
            <w:pPr>
              <w:pStyle w:val="TableText0"/>
              <w:keepLines/>
              <w:jc w:val="center"/>
              <w:rPr>
                <w:b/>
                <w:bCs w:val="0"/>
              </w:rPr>
            </w:pPr>
            <w:r w:rsidRPr="005728DD">
              <w:rPr>
                <w:b/>
                <w:bCs w:val="0"/>
              </w:rPr>
              <w:t xml:space="preserve">-42.8 </w:t>
            </w:r>
          </w:p>
          <w:p w:rsidR="006B1583" w:rsidRPr="005728DD" w:rsidRDefault="006B1583" w:rsidP="001369B5">
            <w:pPr>
              <w:pStyle w:val="TableText0"/>
              <w:keepLines/>
              <w:jc w:val="center"/>
              <w:rPr>
                <w:b/>
                <w:bCs w:val="0"/>
              </w:rPr>
            </w:pPr>
            <w:r w:rsidRPr="005728DD">
              <w:rPr>
                <w:b/>
                <w:bCs w:val="0"/>
              </w:rPr>
              <w:t>(-46.2, -39.3)</w:t>
            </w:r>
          </w:p>
        </w:tc>
        <w:tc>
          <w:tcPr>
            <w:tcW w:w="378" w:type="pct"/>
            <w:tcMar>
              <w:left w:w="11" w:type="dxa"/>
              <w:right w:w="11" w:type="dxa"/>
            </w:tcMar>
            <w:vAlign w:val="center"/>
          </w:tcPr>
          <w:p w:rsidR="006B1583" w:rsidRPr="005728DD" w:rsidRDefault="006B1583" w:rsidP="001369B5">
            <w:pPr>
              <w:pStyle w:val="TableText0"/>
              <w:keepLines/>
              <w:jc w:val="center"/>
            </w:pPr>
            <w:r w:rsidRPr="005728DD">
              <w:t>&lt;0.0001</w:t>
            </w:r>
          </w:p>
        </w:tc>
      </w:tr>
      <w:tr w:rsidR="006B1583" w:rsidRPr="005728DD" w:rsidTr="00BA1F52">
        <w:tc>
          <w:tcPr>
            <w:tcW w:w="718" w:type="pct"/>
            <w:tcMar>
              <w:left w:w="11" w:type="dxa"/>
              <w:right w:w="11" w:type="dxa"/>
            </w:tcMar>
            <w:vAlign w:val="center"/>
          </w:tcPr>
          <w:p w:rsidR="006B1583" w:rsidRPr="005728DD" w:rsidRDefault="006B1583" w:rsidP="00A0357E">
            <w:pPr>
              <w:pStyle w:val="TableText0"/>
              <w:keepLines/>
              <w:numPr>
                <w:ilvl w:val="0"/>
                <w:numId w:val="23"/>
              </w:numPr>
              <w:rPr>
                <w:b/>
              </w:rPr>
            </w:pPr>
            <w:r w:rsidRPr="005728DD">
              <w:rPr>
                <w:b/>
              </w:rPr>
              <w:t>F/RF</w:t>
            </w:r>
          </w:p>
        </w:tc>
        <w:tc>
          <w:tcPr>
            <w:tcW w:w="1593" w:type="pct"/>
            <w:gridSpan w:val="3"/>
            <w:tcMar>
              <w:left w:w="11" w:type="dxa"/>
              <w:right w:w="11" w:type="dxa"/>
            </w:tcMar>
            <w:vAlign w:val="center"/>
          </w:tcPr>
          <w:p w:rsidR="006B1583" w:rsidRPr="005728DD" w:rsidRDefault="006B1583" w:rsidP="001369B5">
            <w:pPr>
              <w:pStyle w:val="TableText0"/>
              <w:keepLines/>
              <w:jc w:val="center"/>
            </w:pPr>
            <w:r w:rsidRPr="005728DD">
              <w:rPr>
                <w:b/>
                <w:iCs/>
              </w:rPr>
              <w:t>ELX/TEZ/IVA</w:t>
            </w:r>
          </w:p>
        </w:tc>
        <w:tc>
          <w:tcPr>
            <w:tcW w:w="1588" w:type="pct"/>
            <w:gridSpan w:val="3"/>
            <w:tcMar>
              <w:left w:w="11" w:type="dxa"/>
              <w:right w:w="11" w:type="dxa"/>
            </w:tcMar>
            <w:vAlign w:val="center"/>
          </w:tcPr>
          <w:p w:rsidR="006B1583" w:rsidRPr="005728DD" w:rsidRDefault="006B1583" w:rsidP="001369B5">
            <w:pPr>
              <w:pStyle w:val="TableText0"/>
              <w:keepLines/>
              <w:jc w:val="center"/>
              <w:rPr>
                <w:b/>
              </w:rPr>
            </w:pPr>
            <w:r w:rsidRPr="005728DD">
              <w:rPr>
                <w:b/>
                <w:iCs/>
              </w:rPr>
              <w:t>TEZ/IVA</w:t>
            </w:r>
          </w:p>
        </w:tc>
        <w:tc>
          <w:tcPr>
            <w:tcW w:w="723" w:type="pct"/>
            <w:tcMar>
              <w:left w:w="11" w:type="dxa"/>
              <w:right w:w="11" w:type="dxa"/>
            </w:tcMar>
            <w:vAlign w:val="center"/>
          </w:tcPr>
          <w:p w:rsidR="006B1583" w:rsidRPr="005728DD" w:rsidRDefault="006B1583" w:rsidP="001369B5">
            <w:pPr>
              <w:pStyle w:val="TableText0"/>
              <w:keepLines/>
              <w:jc w:val="center"/>
              <w:rPr>
                <w:b/>
                <w:bCs w:val="0"/>
              </w:rPr>
            </w:pPr>
          </w:p>
        </w:tc>
        <w:tc>
          <w:tcPr>
            <w:tcW w:w="378" w:type="pct"/>
            <w:tcMar>
              <w:left w:w="11" w:type="dxa"/>
              <w:right w:w="11" w:type="dxa"/>
            </w:tcMar>
            <w:vAlign w:val="center"/>
          </w:tcPr>
          <w:p w:rsidR="006B1583" w:rsidRPr="005728DD" w:rsidRDefault="006B1583" w:rsidP="001369B5">
            <w:pPr>
              <w:pStyle w:val="TableText0"/>
              <w:keepLines/>
              <w:jc w:val="center"/>
            </w:pPr>
          </w:p>
        </w:tc>
      </w:tr>
      <w:tr w:rsidR="006B1583" w:rsidRPr="005728DD" w:rsidTr="00BA1F52">
        <w:trPr>
          <w:trHeight w:val="229"/>
        </w:trPr>
        <w:tc>
          <w:tcPr>
            <w:tcW w:w="718" w:type="pct"/>
            <w:vMerge w:val="restart"/>
            <w:tcMar>
              <w:left w:w="11" w:type="dxa"/>
              <w:right w:w="11" w:type="dxa"/>
            </w:tcMar>
          </w:tcPr>
          <w:p w:rsidR="006B1583" w:rsidRPr="005728DD" w:rsidRDefault="006B1583" w:rsidP="001369B5">
            <w:pPr>
              <w:pStyle w:val="TableText0"/>
              <w:keepLines/>
            </w:pPr>
            <w:r w:rsidRPr="005728DD">
              <w:t>Study 104 (subgroup), w8</w:t>
            </w:r>
          </w:p>
        </w:tc>
        <w:tc>
          <w:tcPr>
            <w:tcW w:w="401" w:type="pct"/>
            <w:vMerge w:val="restart"/>
            <w:tcMar>
              <w:left w:w="11" w:type="dxa"/>
              <w:right w:w="11" w:type="dxa"/>
            </w:tcMar>
          </w:tcPr>
          <w:p w:rsidR="006B1583" w:rsidRPr="005728DD" w:rsidRDefault="006B1583" w:rsidP="001369B5">
            <w:pPr>
              <w:pStyle w:val="TableText0"/>
              <w:keepLines/>
              <w:jc w:val="center"/>
            </w:pPr>
            <w:r w:rsidRPr="005728DD">
              <w:t>72/82</w:t>
            </w:r>
          </w:p>
        </w:tc>
        <w:tc>
          <w:tcPr>
            <w:tcW w:w="635" w:type="pct"/>
            <w:vMerge w:val="restart"/>
            <w:tcMar>
              <w:left w:w="11" w:type="dxa"/>
              <w:right w:w="11" w:type="dxa"/>
            </w:tcMar>
          </w:tcPr>
          <w:p w:rsidR="006B1583" w:rsidRPr="005728DD" w:rsidRDefault="006B1583" w:rsidP="001369B5">
            <w:pPr>
              <w:pStyle w:val="TableText0"/>
              <w:keepLines/>
              <w:jc w:val="center"/>
            </w:pPr>
            <w:r w:rsidRPr="005728DD">
              <w:t>64.7 (27.9)</w:t>
            </w:r>
          </w:p>
        </w:tc>
        <w:tc>
          <w:tcPr>
            <w:tcW w:w="557" w:type="pct"/>
            <w:vMerge w:val="restart"/>
            <w:tcMar>
              <w:left w:w="11" w:type="dxa"/>
              <w:right w:w="11" w:type="dxa"/>
            </w:tcMar>
          </w:tcPr>
          <w:p w:rsidR="006B1583" w:rsidRPr="005728DD" w:rsidRDefault="006B1583" w:rsidP="001369B5">
            <w:pPr>
              <w:pStyle w:val="TableText0"/>
              <w:keepLines/>
              <w:jc w:val="center"/>
            </w:pPr>
            <w:r w:rsidRPr="005728DD">
              <w:t>-23.1 (1.3)</w:t>
            </w:r>
          </w:p>
        </w:tc>
        <w:tc>
          <w:tcPr>
            <w:tcW w:w="397" w:type="pct"/>
            <w:vMerge w:val="restart"/>
            <w:tcMar>
              <w:left w:w="11" w:type="dxa"/>
              <w:right w:w="11" w:type="dxa"/>
            </w:tcMar>
          </w:tcPr>
          <w:p w:rsidR="006B1583" w:rsidRPr="005728DD" w:rsidRDefault="006B1583" w:rsidP="001369B5">
            <w:pPr>
              <w:pStyle w:val="TableText0"/>
              <w:keepLines/>
              <w:jc w:val="center"/>
            </w:pPr>
            <w:r w:rsidRPr="005728DD">
              <w:t>75/81</w:t>
            </w:r>
          </w:p>
        </w:tc>
        <w:tc>
          <w:tcPr>
            <w:tcW w:w="635" w:type="pct"/>
            <w:vMerge w:val="restart"/>
            <w:tcMar>
              <w:left w:w="11" w:type="dxa"/>
              <w:right w:w="11" w:type="dxa"/>
            </w:tcMar>
          </w:tcPr>
          <w:p w:rsidR="006B1583" w:rsidRPr="005728DD" w:rsidRDefault="006B1583" w:rsidP="001369B5">
            <w:pPr>
              <w:pStyle w:val="TableText0"/>
              <w:keepLines/>
              <w:jc w:val="center"/>
            </w:pPr>
            <w:r w:rsidRPr="005728DD">
              <w:t>61.4 (27.3)</w:t>
            </w:r>
          </w:p>
        </w:tc>
        <w:tc>
          <w:tcPr>
            <w:tcW w:w="556" w:type="pct"/>
            <w:vMerge w:val="restart"/>
            <w:tcMar>
              <w:left w:w="11" w:type="dxa"/>
              <w:right w:w="11" w:type="dxa"/>
            </w:tcMar>
          </w:tcPr>
          <w:p w:rsidR="006B1583" w:rsidRPr="005728DD" w:rsidRDefault="006B1583" w:rsidP="001369B5">
            <w:pPr>
              <w:pStyle w:val="TableText0"/>
              <w:keepLines/>
              <w:jc w:val="center"/>
            </w:pPr>
            <w:r w:rsidRPr="005728DD">
              <w:t>1.7 (1.3)</w:t>
            </w:r>
          </w:p>
        </w:tc>
        <w:tc>
          <w:tcPr>
            <w:tcW w:w="723" w:type="pct"/>
            <w:vMerge w:val="restart"/>
            <w:tcMar>
              <w:left w:w="11" w:type="dxa"/>
              <w:right w:w="11" w:type="dxa"/>
            </w:tcMar>
          </w:tcPr>
          <w:p w:rsidR="00BA1F52" w:rsidRPr="005728DD" w:rsidRDefault="006B1583" w:rsidP="001369B5">
            <w:pPr>
              <w:pStyle w:val="TableText0"/>
              <w:keepLines/>
              <w:jc w:val="center"/>
              <w:rPr>
                <w:b/>
              </w:rPr>
            </w:pPr>
            <w:r w:rsidRPr="005728DD">
              <w:rPr>
                <w:b/>
              </w:rPr>
              <w:t>-24.8</w:t>
            </w:r>
            <w:r w:rsidR="007010F1" w:rsidRPr="005728DD">
              <w:rPr>
                <w:rFonts w:eastAsia="Calibri"/>
                <w:sz w:val="18"/>
                <w:szCs w:val="18"/>
                <w:vertAlign w:val="superscript"/>
              </w:rPr>
              <w:t xml:space="preserve"> a</w:t>
            </w:r>
            <w:r w:rsidR="008B5EF9" w:rsidRPr="005728DD">
              <w:rPr>
                <w:rFonts w:eastAsia="Calibri"/>
                <w:sz w:val="18"/>
                <w:szCs w:val="18"/>
                <w:vertAlign w:val="superscript"/>
              </w:rPr>
              <w:t xml:space="preserve"> </w:t>
            </w:r>
          </w:p>
          <w:p w:rsidR="006B1583" w:rsidRPr="005728DD" w:rsidRDefault="006B1583" w:rsidP="001369B5">
            <w:pPr>
              <w:pStyle w:val="TableText0"/>
              <w:keepLines/>
              <w:jc w:val="center"/>
              <w:rPr>
                <w:b/>
              </w:rPr>
            </w:pPr>
            <w:r w:rsidRPr="005728DD">
              <w:rPr>
                <w:b/>
              </w:rPr>
              <w:t>(-28.4, -21.2)</w:t>
            </w:r>
          </w:p>
        </w:tc>
        <w:tc>
          <w:tcPr>
            <w:tcW w:w="378" w:type="pct"/>
            <w:vMerge w:val="restart"/>
            <w:tcMar>
              <w:left w:w="11" w:type="dxa"/>
              <w:right w:w="11" w:type="dxa"/>
            </w:tcMar>
          </w:tcPr>
          <w:p w:rsidR="006B1583" w:rsidRPr="005728DD" w:rsidRDefault="006B1583" w:rsidP="001369B5">
            <w:pPr>
              <w:pStyle w:val="TableText0"/>
              <w:keepLines/>
              <w:jc w:val="center"/>
            </w:pPr>
            <w:r w:rsidRPr="005728DD">
              <w:t>&lt;0.0001</w:t>
            </w:r>
          </w:p>
        </w:tc>
      </w:tr>
      <w:tr w:rsidR="006B1583" w:rsidRPr="005728DD" w:rsidTr="00BA1F52">
        <w:trPr>
          <w:trHeight w:val="229"/>
        </w:trPr>
        <w:tc>
          <w:tcPr>
            <w:tcW w:w="718" w:type="pct"/>
            <w:vMerge/>
            <w:tcMar>
              <w:left w:w="11" w:type="dxa"/>
              <w:right w:w="11" w:type="dxa"/>
            </w:tcMar>
            <w:vAlign w:val="center"/>
          </w:tcPr>
          <w:p w:rsidR="006B1583" w:rsidRPr="005728DD" w:rsidRDefault="006B1583" w:rsidP="001369B5">
            <w:pPr>
              <w:pStyle w:val="TableText0"/>
              <w:keepLines/>
            </w:pPr>
          </w:p>
        </w:tc>
        <w:tc>
          <w:tcPr>
            <w:tcW w:w="401"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7" w:type="pct"/>
            <w:vMerge/>
            <w:tcMar>
              <w:left w:w="11" w:type="dxa"/>
              <w:right w:w="11" w:type="dxa"/>
            </w:tcMar>
            <w:vAlign w:val="center"/>
          </w:tcPr>
          <w:p w:rsidR="006B1583" w:rsidRPr="005728DD" w:rsidRDefault="006B1583" w:rsidP="001369B5">
            <w:pPr>
              <w:pStyle w:val="TableText0"/>
              <w:keepLines/>
              <w:jc w:val="center"/>
            </w:pPr>
          </w:p>
        </w:tc>
        <w:tc>
          <w:tcPr>
            <w:tcW w:w="397"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6" w:type="pct"/>
            <w:vMerge/>
            <w:tcMar>
              <w:left w:w="11" w:type="dxa"/>
              <w:right w:w="11" w:type="dxa"/>
            </w:tcMar>
            <w:vAlign w:val="center"/>
          </w:tcPr>
          <w:p w:rsidR="006B1583" w:rsidRPr="005728DD" w:rsidRDefault="006B1583" w:rsidP="001369B5">
            <w:pPr>
              <w:pStyle w:val="TableText0"/>
              <w:keepLines/>
              <w:jc w:val="center"/>
            </w:pPr>
          </w:p>
        </w:tc>
        <w:tc>
          <w:tcPr>
            <w:tcW w:w="723" w:type="pct"/>
            <w:vMerge/>
            <w:tcMar>
              <w:left w:w="11" w:type="dxa"/>
              <w:right w:w="11" w:type="dxa"/>
            </w:tcMar>
            <w:vAlign w:val="center"/>
          </w:tcPr>
          <w:p w:rsidR="006B1583" w:rsidRPr="005728DD" w:rsidRDefault="006B1583" w:rsidP="001369B5">
            <w:pPr>
              <w:pStyle w:val="TableText0"/>
              <w:keepLines/>
              <w:jc w:val="center"/>
              <w:rPr>
                <w:b/>
                <w:bCs w:val="0"/>
              </w:rPr>
            </w:pPr>
          </w:p>
        </w:tc>
        <w:tc>
          <w:tcPr>
            <w:tcW w:w="378" w:type="pct"/>
            <w:vMerge/>
            <w:tcMar>
              <w:left w:w="11" w:type="dxa"/>
              <w:right w:w="11" w:type="dxa"/>
            </w:tcMar>
            <w:vAlign w:val="center"/>
          </w:tcPr>
          <w:p w:rsidR="006B1583" w:rsidRPr="005728DD" w:rsidRDefault="006B1583" w:rsidP="001369B5">
            <w:pPr>
              <w:pStyle w:val="TableText0"/>
              <w:keepLines/>
              <w:jc w:val="center"/>
            </w:pPr>
          </w:p>
        </w:tc>
      </w:tr>
      <w:tr w:rsidR="006B1583" w:rsidRPr="005728DD" w:rsidTr="00BA1F52">
        <w:tc>
          <w:tcPr>
            <w:tcW w:w="718" w:type="pct"/>
            <w:tcMar>
              <w:left w:w="11" w:type="dxa"/>
              <w:right w:w="11" w:type="dxa"/>
            </w:tcMar>
            <w:vAlign w:val="center"/>
          </w:tcPr>
          <w:p w:rsidR="006B1583" w:rsidRPr="005728DD" w:rsidRDefault="006B1583" w:rsidP="00A0357E">
            <w:pPr>
              <w:pStyle w:val="TableText0"/>
              <w:keepLines/>
              <w:numPr>
                <w:ilvl w:val="0"/>
                <w:numId w:val="23"/>
              </w:numPr>
              <w:rPr>
                <w:b/>
              </w:rPr>
            </w:pPr>
            <w:r w:rsidRPr="005728DD">
              <w:rPr>
                <w:b/>
              </w:rPr>
              <w:t>F/G</w:t>
            </w:r>
          </w:p>
        </w:tc>
        <w:tc>
          <w:tcPr>
            <w:tcW w:w="1593" w:type="pct"/>
            <w:gridSpan w:val="3"/>
            <w:tcMar>
              <w:left w:w="11" w:type="dxa"/>
              <w:right w:w="11" w:type="dxa"/>
            </w:tcMar>
            <w:vAlign w:val="center"/>
          </w:tcPr>
          <w:p w:rsidR="006B1583" w:rsidRPr="005728DD" w:rsidRDefault="006B1583" w:rsidP="001369B5">
            <w:pPr>
              <w:pStyle w:val="TableText0"/>
              <w:keepLines/>
              <w:jc w:val="center"/>
            </w:pPr>
            <w:r w:rsidRPr="005728DD">
              <w:rPr>
                <w:b/>
                <w:iCs/>
              </w:rPr>
              <w:t>ELX/TEZ/IVA</w:t>
            </w:r>
          </w:p>
        </w:tc>
        <w:tc>
          <w:tcPr>
            <w:tcW w:w="1588" w:type="pct"/>
            <w:gridSpan w:val="3"/>
            <w:tcMar>
              <w:left w:w="11" w:type="dxa"/>
              <w:right w:w="11" w:type="dxa"/>
            </w:tcMar>
            <w:vAlign w:val="center"/>
          </w:tcPr>
          <w:p w:rsidR="006B1583" w:rsidRPr="005728DD" w:rsidRDefault="006B1583" w:rsidP="001369B5">
            <w:pPr>
              <w:pStyle w:val="TableText0"/>
              <w:keepLines/>
              <w:jc w:val="center"/>
              <w:rPr>
                <w:b/>
              </w:rPr>
            </w:pPr>
            <w:r w:rsidRPr="005728DD">
              <w:rPr>
                <w:b/>
                <w:iCs/>
              </w:rPr>
              <w:t>IVA</w:t>
            </w:r>
          </w:p>
        </w:tc>
        <w:tc>
          <w:tcPr>
            <w:tcW w:w="723" w:type="pct"/>
            <w:tcMar>
              <w:left w:w="11" w:type="dxa"/>
              <w:right w:w="11" w:type="dxa"/>
            </w:tcMar>
            <w:vAlign w:val="center"/>
          </w:tcPr>
          <w:p w:rsidR="006B1583" w:rsidRPr="005728DD" w:rsidRDefault="006B1583" w:rsidP="001369B5">
            <w:pPr>
              <w:pStyle w:val="TableText0"/>
              <w:keepLines/>
              <w:jc w:val="center"/>
              <w:rPr>
                <w:b/>
                <w:bCs w:val="0"/>
              </w:rPr>
            </w:pPr>
          </w:p>
        </w:tc>
        <w:tc>
          <w:tcPr>
            <w:tcW w:w="378" w:type="pct"/>
            <w:tcMar>
              <w:left w:w="11" w:type="dxa"/>
              <w:right w:w="11" w:type="dxa"/>
            </w:tcMar>
            <w:vAlign w:val="center"/>
          </w:tcPr>
          <w:p w:rsidR="006B1583" w:rsidRPr="005728DD" w:rsidRDefault="006B1583" w:rsidP="001369B5">
            <w:pPr>
              <w:pStyle w:val="TableText0"/>
              <w:keepLines/>
              <w:jc w:val="center"/>
            </w:pPr>
          </w:p>
        </w:tc>
      </w:tr>
      <w:tr w:rsidR="006B1583" w:rsidRPr="005728DD" w:rsidTr="00BA1F52">
        <w:trPr>
          <w:trHeight w:val="229"/>
        </w:trPr>
        <w:tc>
          <w:tcPr>
            <w:tcW w:w="718" w:type="pct"/>
            <w:vMerge w:val="restart"/>
            <w:tcMar>
              <w:left w:w="11" w:type="dxa"/>
              <w:right w:w="11" w:type="dxa"/>
            </w:tcMar>
            <w:vAlign w:val="center"/>
          </w:tcPr>
          <w:p w:rsidR="006B1583" w:rsidRPr="005728DD" w:rsidRDefault="006B1583" w:rsidP="001369B5">
            <w:pPr>
              <w:pStyle w:val="TableText0"/>
              <w:keepLines/>
            </w:pPr>
            <w:r w:rsidRPr="005728DD">
              <w:t>Study 104 (subgroup), w8</w:t>
            </w:r>
          </w:p>
        </w:tc>
        <w:tc>
          <w:tcPr>
            <w:tcW w:w="401" w:type="pct"/>
            <w:vMerge w:val="restart"/>
            <w:tcMar>
              <w:left w:w="11" w:type="dxa"/>
              <w:right w:w="11" w:type="dxa"/>
            </w:tcMar>
            <w:vAlign w:val="center"/>
          </w:tcPr>
          <w:p w:rsidR="006B1583" w:rsidRPr="005728DD" w:rsidRDefault="006B1583" w:rsidP="001369B5">
            <w:pPr>
              <w:pStyle w:val="TableText0"/>
              <w:keepLines/>
              <w:jc w:val="center"/>
            </w:pPr>
            <w:r w:rsidRPr="005728DD">
              <w:t>43/50</w:t>
            </w:r>
          </w:p>
        </w:tc>
        <w:tc>
          <w:tcPr>
            <w:tcW w:w="635" w:type="pct"/>
            <w:vMerge w:val="restart"/>
            <w:tcMar>
              <w:left w:w="11" w:type="dxa"/>
              <w:right w:w="11" w:type="dxa"/>
            </w:tcMar>
            <w:vAlign w:val="center"/>
          </w:tcPr>
          <w:p w:rsidR="006B1583" w:rsidRPr="005728DD" w:rsidRDefault="006B1583" w:rsidP="001369B5">
            <w:pPr>
              <w:pStyle w:val="TableText0"/>
              <w:keepLines/>
              <w:jc w:val="center"/>
            </w:pPr>
            <w:r w:rsidRPr="005728DD">
              <w:t>50.9 (23.3)</w:t>
            </w:r>
          </w:p>
        </w:tc>
        <w:tc>
          <w:tcPr>
            <w:tcW w:w="557" w:type="pct"/>
            <w:vMerge w:val="restart"/>
            <w:tcMar>
              <w:left w:w="11" w:type="dxa"/>
              <w:right w:w="11" w:type="dxa"/>
            </w:tcMar>
            <w:vAlign w:val="center"/>
          </w:tcPr>
          <w:p w:rsidR="006B1583" w:rsidRPr="005728DD" w:rsidRDefault="006B1583" w:rsidP="001369B5">
            <w:pPr>
              <w:pStyle w:val="TableText0"/>
              <w:keepLines/>
              <w:jc w:val="center"/>
            </w:pPr>
            <w:r w:rsidRPr="005728DD">
              <w:t>-21.8 (2.0)</w:t>
            </w:r>
          </w:p>
        </w:tc>
        <w:tc>
          <w:tcPr>
            <w:tcW w:w="397" w:type="pct"/>
            <w:vMerge w:val="restart"/>
            <w:tcMar>
              <w:left w:w="11" w:type="dxa"/>
              <w:right w:w="11" w:type="dxa"/>
            </w:tcMar>
            <w:vAlign w:val="center"/>
          </w:tcPr>
          <w:p w:rsidR="006B1583" w:rsidRPr="005728DD" w:rsidRDefault="006B1583" w:rsidP="001369B5">
            <w:pPr>
              <w:pStyle w:val="TableText0"/>
              <w:keepLines/>
              <w:jc w:val="center"/>
            </w:pPr>
            <w:r w:rsidRPr="005728DD">
              <w:t>44/45</w:t>
            </w:r>
          </w:p>
        </w:tc>
        <w:tc>
          <w:tcPr>
            <w:tcW w:w="635" w:type="pct"/>
            <w:vMerge w:val="restart"/>
            <w:tcMar>
              <w:left w:w="11" w:type="dxa"/>
              <w:right w:w="11" w:type="dxa"/>
            </w:tcMar>
            <w:vAlign w:val="center"/>
          </w:tcPr>
          <w:p w:rsidR="006B1583" w:rsidRPr="005728DD" w:rsidRDefault="00BA1F52" w:rsidP="001369B5">
            <w:pPr>
              <w:pStyle w:val="TableText0"/>
              <w:keepLines/>
              <w:jc w:val="center"/>
            </w:pPr>
            <w:r w:rsidRPr="005728DD">
              <w:t>47.6 (19.1)</w:t>
            </w:r>
          </w:p>
        </w:tc>
        <w:tc>
          <w:tcPr>
            <w:tcW w:w="556" w:type="pct"/>
            <w:vMerge w:val="restart"/>
            <w:tcMar>
              <w:left w:w="11" w:type="dxa"/>
              <w:right w:w="11" w:type="dxa"/>
            </w:tcMar>
            <w:vAlign w:val="center"/>
          </w:tcPr>
          <w:p w:rsidR="006B1583" w:rsidRPr="005728DD" w:rsidRDefault="00BA1F52" w:rsidP="001369B5">
            <w:pPr>
              <w:pStyle w:val="TableText0"/>
              <w:keepLines/>
              <w:jc w:val="center"/>
            </w:pPr>
            <w:r w:rsidRPr="005728DD">
              <w:t>-1.8 (2.0)</w:t>
            </w:r>
          </w:p>
        </w:tc>
        <w:tc>
          <w:tcPr>
            <w:tcW w:w="723" w:type="pct"/>
            <w:vMerge w:val="restart"/>
            <w:tcMar>
              <w:left w:w="11" w:type="dxa"/>
              <w:right w:w="11" w:type="dxa"/>
            </w:tcMar>
            <w:vAlign w:val="center"/>
          </w:tcPr>
          <w:p w:rsidR="00BA1F52" w:rsidRPr="005728DD" w:rsidRDefault="00BA1F52" w:rsidP="001369B5">
            <w:pPr>
              <w:pStyle w:val="TableText0"/>
              <w:keepLines/>
              <w:jc w:val="center"/>
              <w:rPr>
                <w:b/>
              </w:rPr>
            </w:pPr>
            <w:r w:rsidRPr="005728DD">
              <w:rPr>
                <w:b/>
              </w:rPr>
              <w:t>-20.0</w:t>
            </w:r>
            <w:r w:rsidR="007010F1" w:rsidRPr="005728DD">
              <w:rPr>
                <w:rFonts w:eastAsia="Calibri"/>
                <w:sz w:val="18"/>
                <w:szCs w:val="18"/>
                <w:vertAlign w:val="superscript"/>
              </w:rPr>
              <w:t>a</w:t>
            </w:r>
          </w:p>
          <w:p w:rsidR="006B1583" w:rsidRPr="005728DD" w:rsidRDefault="00BA1F52" w:rsidP="001369B5">
            <w:pPr>
              <w:pStyle w:val="TableText0"/>
              <w:keepLines/>
              <w:jc w:val="center"/>
              <w:rPr>
                <w:b/>
                <w:bCs w:val="0"/>
                <w:vertAlign w:val="superscript"/>
              </w:rPr>
            </w:pPr>
            <w:r w:rsidRPr="005728DD">
              <w:rPr>
                <w:b/>
              </w:rPr>
              <w:t>(-25.4, -14.6)</w:t>
            </w:r>
          </w:p>
        </w:tc>
        <w:tc>
          <w:tcPr>
            <w:tcW w:w="378" w:type="pct"/>
            <w:vMerge w:val="restart"/>
            <w:tcMar>
              <w:left w:w="11" w:type="dxa"/>
              <w:right w:w="11" w:type="dxa"/>
            </w:tcMar>
            <w:vAlign w:val="center"/>
          </w:tcPr>
          <w:p w:rsidR="006B1583" w:rsidRPr="005728DD" w:rsidRDefault="00BA1F52" w:rsidP="001369B5">
            <w:pPr>
              <w:pStyle w:val="TableText0"/>
              <w:keepLines/>
              <w:jc w:val="center"/>
            </w:pPr>
            <w:r w:rsidRPr="005728DD">
              <w:t>&lt;0.0001</w:t>
            </w:r>
          </w:p>
        </w:tc>
      </w:tr>
      <w:tr w:rsidR="006B1583" w:rsidRPr="005728DD" w:rsidTr="00BA1F52">
        <w:trPr>
          <w:trHeight w:val="229"/>
        </w:trPr>
        <w:tc>
          <w:tcPr>
            <w:tcW w:w="718" w:type="pct"/>
            <w:vMerge/>
            <w:tcMar>
              <w:left w:w="11" w:type="dxa"/>
              <w:right w:w="11" w:type="dxa"/>
            </w:tcMar>
            <w:vAlign w:val="center"/>
          </w:tcPr>
          <w:p w:rsidR="006B1583" w:rsidRPr="005728DD" w:rsidRDefault="006B1583" w:rsidP="001369B5">
            <w:pPr>
              <w:pStyle w:val="TableText0"/>
              <w:keepLines/>
            </w:pPr>
          </w:p>
        </w:tc>
        <w:tc>
          <w:tcPr>
            <w:tcW w:w="401"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7" w:type="pct"/>
            <w:vMerge/>
            <w:tcMar>
              <w:left w:w="11" w:type="dxa"/>
              <w:right w:w="11" w:type="dxa"/>
            </w:tcMar>
            <w:vAlign w:val="center"/>
          </w:tcPr>
          <w:p w:rsidR="006B1583" w:rsidRPr="005728DD" w:rsidRDefault="006B1583" w:rsidP="001369B5">
            <w:pPr>
              <w:pStyle w:val="TableText0"/>
              <w:keepLines/>
              <w:jc w:val="center"/>
            </w:pPr>
          </w:p>
        </w:tc>
        <w:tc>
          <w:tcPr>
            <w:tcW w:w="397" w:type="pct"/>
            <w:vMerge/>
            <w:tcMar>
              <w:left w:w="11" w:type="dxa"/>
              <w:right w:w="11" w:type="dxa"/>
            </w:tcMar>
            <w:vAlign w:val="center"/>
          </w:tcPr>
          <w:p w:rsidR="006B1583" w:rsidRPr="005728DD" w:rsidRDefault="006B1583" w:rsidP="001369B5">
            <w:pPr>
              <w:pStyle w:val="TableText0"/>
              <w:keepLines/>
              <w:jc w:val="center"/>
            </w:pPr>
          </w:p>
        </w:tc>
        <w:tc>
          <w:tcPr>
            <w:tcW w:w="635" w:type="pct"/>
            <w:vMerge/>
            <w:tcMar>
              <w:left w:w="11" w:type="dxa"/>
              <w:right w:w="11" w:type="dxa"/>
            </w:tcMar>
            <w:vAlign w:val="center"/>
          </w:tcPr>
          <w:p w:rsidR="006B1583" w:rsidRPr="005728DD" w:rsidRDefault="006B1583" w:rsidP="001369B5">
            <w:pPr>
              <w:pStyle w:val="TableText0"/>
              <w:keepLines/>
              <w:jc w:val="center"/>
            </w:pPr>
          </w:p>
        </w:tc>
        <w:tc>
          <w:tcPr>
            <w:tcW w:w="556" w:type="pct"/>
            <w:vMerge/>
            <w:tcMar>
              <w:left w:w="11" w:type="dxa"/>
              <w:right w:w="11" w:type="dxa"/>
            </w:tcMar>
            <w:vAlign w:val="center"/>
          </w:tcPr>
          <w:p w:rsidR="006B1583" w:rsidRPr="005728DD" w:rsidRDefault="006B1583" w:rsidP="001369B5">
            <w:pPr>
              <w:pStyle w:val="TableText0"/>
              <w:keepLines/>
              <w:jc w:val="center"/>
            </w:pPr>
          </w:p>
        </w:tc>
        <w:tc>
          <w:tcPr>
            <w:tcW w:w="723" w:type="pct"/>
            <w:vMerge/>
            <w:tcMar>
              <w:left w:w="11" w:type="dxa"/>
              <w:right w:w="11" w:type="dxa"/>
            </w:tcMar>
            <w:vAlign w:val="center"/>
          </w:tcPr>
          <w:p w:rsidR="006B1583" w:rsidRPr="005728DD" w:rsidRDefault="006B1583" w:rsidP="001369B5">
            <w:pPr>
              <w:pStyle w:val="TableText0"/>
              <w:keepLines/>
              <w:jc w:val="center"/>
              <w:rPr>
                <w:b/>
                <w:bCs w:val="0"/>
              </w:rPr>
            </w:pPr>
          </w:p>
        </w:tc>
        <w:tc>
          <w:tcPr>
            <w:tcW w:w="378" w:type="pct"/>
            <w:vMerge/>
            <w:tcMar>
              <w:left w:w="11" w:type="dxa"/>
              <w:right w:w="11" w:type="dxa"/>
            </w:tcMar>
            <w:vAlign w:val="center"/>
          </w:tcPr>
          <w:p w:rsidR="006B1583" w:rsidRPr="005728DD" w:rsidRDefault="006B1583" w:rsidP="001369B5">
            <w:pPr>
              <w:pStyle w:val="TableText0"/>
              <w:keepLines/>
              <w:jc w:val="center"/>
            </w:pPr>
          </w:p>
        </w:tc>
      </w:tr>
      <w:tr w:rsidR="006B1583" w:rsidRPr="005728DD" w:rsidTr="00BA1F52">
        <w:trPr>
          <w:trHeight w:val="145"/>
        </w:trPr>
        <w:tc>
          <w:tcPr>
            <w:tcW w:w="718" w:type="pct"/>
            <w:tcMar>
              <w:left w:w="11" w:type="dxa"/>
              <w:right w:w="11" w:type="dxa"/>
            </w:tcMar>
            <w:vAlign w:val="center"/>
          </w:tcPr>
          <w:p w:rsidR="006B1583" w:rsidRPr="005728DD" w:rsidRDefault="006B1583" w:rsidP="00A0357E">
            <w:pPr>
              <w:pStyle w:val="TableText0"/>
              <w:keepLines/>
              <w:numPr>
                <w:ilvl w:val="0"/>
                <w:numId w:val="23"/>
              </w:numPr>
              <w:rPr>
                <w:b/>
                <w:bCs w:val="0"/>
              </w:rPr>
            </w:pPr>
            <w:r w:rsidRPr="005728DD">
              <w:rPr>
                <w:b/>
              </w:rPr>
              <w:t>F/MF</w:t>
            </w:r>
          </w:p>
        </w:tc>
        <w:tc>
          <w:tcPr>
            <w:tcW w:w="1593" w:type="pct"/>
            <w:gridSpan w:val="3"/>
            <w:tcMar>
              <w:left w:w="11" w:type="dxa"/>
              <w:right w:w="11" w:type="dxa"/>
            </w:tcMar>
            <w:vAlign w:val="center"/>
          </w:tcPr>
          <w:p w:rsidR="006B1583" w:rsidRPr="005728DD" w:rsidRDefault="006B1583" w:rsidP="001369B5">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rsidR="006B1583" w:rsidRPr="005728DD" w:rsidRDefault="006B1583" w:rsidP="001369B5">
            <w:pPr>
              <w:pStyle w:val="TableText0"/>
              <w:keepLines/>
              <w:jc w:val="center"/>
              <w:rPr>
                <w:b/>
                <w:bCs w:val="0"/>
              </w:rPr>
            </w:pPr>
            <w:r w:rsidRPr="005728DD">
              <w:rPr>
                <w:b/>
                <w:bCs w:val="0"/>
              </w:rPr>
              <w:t>Placebo</w:t>
            </w:r>
          </w:p>
        </w:tc>
        <w:tc>
          <w:tcPr>
            <w:tcW w:w="723" w:type="pct"/>
            <w:tcMar>
              <w:left w:w="11" w:type="dxa"/>
              <w:right w:w="11" w:type="dxa"/>
            </w:tcMar>
            <w:vAlign w:val="center"/>
          </w:tcPr>
          <w:p w:rsidR="006B1583" w:rsidRPr="005728DD" w:rsidRDefault="006B1583" w:rsidP="001369B5">
            <w:pPr>
              <w:pStyle w:val="TableText0"/>
              <w:keepLines/>
              <w:jc w:val="center"/>
              <w:rPr>
                <w:b/>
                <w:bCs w:val="0"/>
              </w:rPr>
            </w:pPr>
          </w:p>
        </w:tc>
        <w:tc>
          <w:tcPr>
            <w:tcW w:w="378" w:type="pct"/>
            <w:tcMar>
              <w:left w:w="11" w:type="dxa"/>
              <w:right w:w="11" w:type="dxa"/>
            </w:tcMar>
            <w:vAlign w:val="center"/>
          </w:tcPr>
          <w:p w:rsidR="006B1583" w:rsidRPr="005728DD" w:rsidRDefault="006B1583" w:rsidP="001369B5">
            <w:pPr>
              <w:pStyle w:val="TableText0"/>
              <w:keepLines/>
              <w:jc w:val="center"/>
              <w:rPr>
                <w:b/>
                <w:bCs w:val="0"/>
              </w:rPr>
            </w:pPr>
          </w:p>
        </w:tc>
      </w:tr>
      <w:tr w:rsidR="006B1583" w:rsidRPr="005728DD" w:rsidTr="00BA1F52">
        <w:tc>
          <w:tcPr>
            <w:tcW w:w="718" w:type="pct"/>
            <w:tcMar>
              <w:left w:w="11" w:type="dxa"/>
              <w:right w:w="11" w:type="dxa"/>
            </w:tcMar>
            <w:vAlign w:val="center"/>
          </w:tcPr>
          <w:p w:rsidR="006B1583" w:rsidRPr="005728DD" w:rsidRDefault="006B1583" w:rsidP="001369B5">
            <w:pPr>
              <w:pStyle w:val="TableText0"/>
              <w:keepLines/>
            </w:pPr>
            <w:r w:rsidRPr="005728DD">
              <w:t>Study 102, w24</w:t>
            </w:r>
          </w:p>
        </w:tc>
        <w:tc>
          <w:tcPr>
            <w:tcW w:w="401" w:type="pct"/>
            <w:tcMar>
              <w:left w:w="11" w:type="dxa"/>
              <w:right w:w="11" w:type="dxa"/>
            </w:tcMar>
            <w:vAlign w:val="center"/>
          </w:tcPr>
          <w:p w:rsidR="006B1583" w:rsidRPr="005728DD" w:rsidRDefault="006B1583" w:rsidP="001369B5">
            <w:pPr>
              <w:pStyle w:val="TableText0"/>
              <w:keepLines/>
              <w:jc w:val="center"/>
            </w:pPr>
            <w:r w:rsidRPr="005728DD">
              <w:t>199/200</w:t>
            </w:r>
          </w:p>
        </w:tc>
        <w:tc>
          <w:tcPr>
            <w:tcW w:w="635" w:type="pct"/>
            <w:tcMar>
              <w:left w:w="11" w:type="dxa"/>
              <w:right w:w="11" w:type="dxa"/>
            </w:tcMar>
            <w:vAlign w:val="center"/>
          </w:tcPr>
          <w:p w:rsidR="006B1583" w:rsidRPr="005728DD" w:rsidRDefault="006B1583" w:rsidP="001369B5">
            <w:pPr>
              <w:pStyle w:val="TableText0"/>
              <w:keepLines/>
              <w:jc w:val="center"/>
            </w:pPr>
            <w:r w:rsidRPr="005728DD">
              <w:t>102.3 (11.9)</w:t>
            </w:r>
          </w:p>
        </w:tc>
        <w:tc>
          <w:tcPr>
            <w:tcW w:w="557" w:type="pct"/>
            <w:tcMar>
              <w:left w:w="11" w:type="dxa"/>
              <w:right w:w="11" w:type="dxa"/>
            </w:tcMar>
            <w:vAlign w:val="center"/>
          </w:tcPr>
          <w:p w:rsidR="006B1583" w:rsidRPr="005728DD" w:rsidRDefault="006B1583" w:rsidP="001369B5">
            <w:pPr>
              <w:pStyle w:val="TableText0"/>
              <w:keepLines/>
              <w:jc w:val="center"/>
            </w:pPr>
            <w:r w:rsidRPr="005728DD">
              <w:t>-42.2 (0.9)</w:t>
            </w:r>
          </w:p>
        </w:tc>
        <w:tc>
          <w:tcPr>
            <w:tcW w:w="397" w:type="pct"/>
            <w:tcMar>
              <w:left w:w="11" w:type="dxa"/>
              <w:right w:w="11" w:type="dxa"/>
            </w:tcMar>
            <w:vAlign w:val="center"/>
          </w:tcPr>
          <w:p w:rsidR="006B1583" w:rsidRPr="005728DD" w:rsidRDefault="006B1583" w:rsidP="001369B5">
            <w:pPr>
              <w:pStyle w:val="TableText0"/>
              <w:keepLines/>
              <w:jc w:val="center"/>
            </w:pPr>
            <w:r w:rsidRPr="005728DD">
              <w:t>201/203</w:t>
            </w:r>
          </w:p>
        </w:tc>
        <w:tc>
          <w:tcPr>
            <w:tcW w:w="635" w:type="pct"/>
            <w:tcMar>
              <w:left w:w="11" w:type="dxa"/>
              <w:right w:w="11" w:type="dxa"/>
            </w:tcMar>
            <w:vAlign w:val="center"/>
          </w:tcPr>
          <w:p w:rsidR="006B1583" w:rsidRPr="005728DD" w:rsidRDefault="006B1583" w:rsidP="001369B5">
            <w:pPr>
              <w:pStyle w:val="TableText0"/>
              <w:keepLines/>
              <w:jc w:val="center"/>
            </w:pPr>
            <w:r w:rsidRPr="005728DD">
              <w:t>102.9 (9.8)</w:t>
            </w:r>
          </w:p>
        </w:tc>
        <w:tc>
          <w:tcPr>
            <w:tcW w:w="556" w:type="pct"/>
            <w:tcMar>
              <w:left w:w="11" w:type="dxa"/>
              <w:right w:w="11" w:type="dxa"/>
            </w:tcMar>
            <w:vAlign w:val="center"/>
          </w:tcPr>
          <w:p w:rsidR="006B1583" w:rsidRPr="005728DD" w:rsidRDefault="006B1583" w:rsidP="001369B5">
            <w:pPr>
              <w:pStyle w:val="TableText0"/>
              <w:keepLines/>
              <w:jc w:val="center"/>
            </w:pPr>
            <w:r w:rsidRPr="005728DD">
              <w:t>-0.4 (0.9)</w:t>
            </w:r>
          </w:p>
        </w:tc>
        <w:tc>
          <w:tcPr>
            <w:tcW w:w="723" w:type="pct"/>
            <w:tcMar>
              <w:left w:w="11" w:type="dxa"/>
              <w:right w:w="11" w:type="dxa"/>
            </w:tcMar>
            <w:vAlign w:val="center"/>
          </w:tcPr>
          <w:p w:rsidR="00BA1F52" w:rsidRPr="005728DD" w:rsidRDefault="006B1583" w:rsidP="001369B5">
            <w:pPr>
              <w:pStyle w:val="TableText0"/>
              <w:keepLines/>
              <w:jc w:val="center"/>
              <w:rPr>
                <w:b/>
                <w:bCs w:val="0"/>
              </w:rPr>
            </w:pPr>
            <w:r w:rsidRPr="005728DD">
              <w:rPr>
                <w:b/>
                <w:bCs w:val="0"/>
              </w:rPr>
              <w:t xml:space="preserve">-41.8 </w:t>
            </w:r>
          </w:p>
          <w:p w:rsidR="006B1583" w:rsidRPr="005728DD" w:rsidRDefault="006B1583" w:rsidP="001369B5">
            <w:pPr>
              <w:pStyle w:val="TableText0"/>
              <w:keepLines/>
              <w:jc w:val="center"/>
              <w:rPr>
                <w:b/>
                <w:bCs w:val="0"/>
              </w:rPr>
            </w:pPr>
            <w:r w:rsidRPr="005728DD">
              <w:rPr>
                <w:b/>
                <w:bCs w:val="0"/>
              </w:rPr>
              <w:t>(-44.4, -39.3)</w:t>
            </w:r>
          </w:p>
        </w:tc>
        <w:tc>
          <w:tcPr>
            <w:tcW w:w="378" w:type="pct"/>
            <w:tcMar>
              <w:left w:w="11" w:type="dxa"/>
              <w:right w:w="11" w:type="dxa"/>
            </w:tcMar>
            <w:vAlign w:val="center"/>
          </w:tcPr>
          <w:p w:rsidR="006B1583" w:rsidRPr="005728DD" w:rsidRDefault="006B1583" w:rsidP="001369B5">
            <w:pPr>
              <w:pStyle w:val="TableText0"/>
              <w:keepLines/>
              <w:jc w:val="center"/>
            </w:pPr>
            <w:r w:rsidRPr="005728DD">
              <w:t>&lt;0.0001</w:t>
            </w:r>
          </w:p>
        </w:tc>
      </w:tr>
    </w:tbl>
    <w:p w:rsidR="001F49A3" w:rsidRPr="005728DD" w:rsidRDefault="001F49A3" w:rsidP="001369B5">
      <w:pPr>
        <w:pStyle w:val="TableFigureFooter"/>
        <w:keepNext/>
        <w:keepLines/>
        <w:spacing w:after="0"/>
        <w:rPr>
          <w:sz w:val="20"/>
        </w:rPr>
      </w:pPr>
      <w:r w:rsidRPr="005728DD">
        <w:t xml:space="preserve">Source: Table 2.3.17, p90; Table 2.3.18, p92; Table 2.4.16, 121; Table 2.5.16, p148 of the submission. </w:t>
      </w:r>
    </w:p>
    <w:p w:rsidR="001F49A3" w:rsidRPr="005728DD" w:rsidRDefault="001F49A3" w:rsidP="001369B5">
      <w:pPr>
        <w:pStyle w:val="TableFigureFooter"/>
        <w:keepNext/>
        <w:keepLines/>
        <w:spacing w:after="0"/>
      </w:pPr>
      <w:r w:rsidRPr="005728DD">
        <w:rPr>
          <w:rFonts w:eastAsiaTheme="minorHAnsi"/>
        </w:rPr>
        <w:t xml:space="preserve">Abbreviations: CI = confidence interval; 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n = number of patients with event; N = total patients in group; NR = not reported; </w:t>
      </w:r>
      <w:r w:rsidRPr="005728DD">
        <w:t>SD = standard deviation; SE = standard error</w:t>
      </w:r>
      <w:r w:rsidRPr="005728DD">
        <w:rPr>
          <w:rFonts w:eastAsiaTheme="minorHAnsi"/>
        </w:rPr>
        <w:t xml:space="preserve">; w = week; </w:t>
      </w:r>
      <w:r w:rsidRPr="005728DD">
        <w:t>Sub = subpopulation</w:t>
      </w:r>
    </w:p>
    <w:p w:rsidR="001F49A3" w:rsidRPr="005728DD" w:rsidRDefault="001F49A3" w:rsidP="001369B5">
      <w:pPr>
        <w:keepNext/>
        <w:keepLines/>
        <w:rPr>
          <w:rFonts w:ascii="Arial Narrow" w:eastAsia="Calibri" w:hAnsi="Arial Narrow"/>
          <w:sz w:val="18"/>
          <w:szCs w:val="18"/>
        </w:rPr>
      </w:pPr>
      <w:r w:rsidRPr="005728DD">
        <w:rPr>
          <w:rFonts w:ascii="Arial Narrow" w:eastAsia="Calibri" w:hAnsi="Arial Narrow"/>
          <w:sz w:val="18"/>
          <w:szCs w:val="18"/>
        </w:rPr>
        <w:t>Bold indicates statistically significant difference</w:t>
      </w:r>
    </w:p>
    <w:p w:rsidR="007010F1" w:rsidRPr="005728DD" w:rsidRDefault="007010F1" w:rsidP="001369B5">
      <w:pPr>
        <w:keepNext/>
        <w:keepLines/>
        <w:rPr>
          <w:rFonts w:ascii="Arial Narrow" w:hAnsi="Arial Narrow"/>
          <w:sz w:val="18"/>
          <w:szCs w:val="18"/>
        </w:rPr>
      </w:pPr>
      <w:r w:rsidRPr="005728DD">
        <w:rPr>
          <w:rFonts w:ascii="Arial Narrow" w:eastAsia="Calibri" w:hAnsi="Arial Narrow"/>
          <w:sz w:val="18"/>
          <w:szCs w:val="18"/>
          <w:vertAlign w:val="superscript"/>
        </w:rPr>
        <w:t xml:space="preserve">a </w:t>
      </w:r>
      <w:r w:rsidRPr="005728DD">
        <w:rPr>
          <w:rFonts w:ascii="Arial Narrow" w:eastAsia="Calibri" w:hAnsi="Arial Narrow"/>
          <w:sz w:val="18"/>
          <w:szCs w:val="18"/>
        </w:rPr>
        <w:t>-23.1 (95% CI: -26.1, -20.1) in the ITT population</w:t>
      </w:r>
    </w:p>
    <w:p w:rsidR="007010F1" w:rsidRPr="005728DD" w:rsidRDefault="007010F1" w:rsidP="001F49A3">
      <w:pPr>
        <w:rPr>
          <w:rFonts w:ascii="Arial Narrow" w:hAnsi="Arial Narrow"/>
          <w:sz w:val="18"/>
          <w:szCs w:val="18"/>
        </w:rPr>
      </w:pPr>
    </w:p>
    <w:p w:rsidR="001F49A3" w:rsidRPr="005728DD" w:rsidRDefault="001F49A3" w:rsidP="00BA1F52">
      <w:pPr>
        <w:pStyle w:val="3-BodyText"/>
        <w:rPr>
          <w:color w:val="000000" w:themeColor="text1"/>
        </w:rPr>
      </w:pPr>
      <w:r w:rsidRPr="005728DD">
        <w:t xml:space="preserve">Results from all of the trials indicated a statistically significant improvement in the absolute change from baseline in sweat chloride, with </w:t>
      </w:r>
      <w:r w:rsidR="003F6FC3" w:rsidRPr="005728DD">
        <w:t>an absolute change of</w:t>
      </w:r>
      <w:r w:rsidR="00BA1F52" w:rsidRPr="005728DD">
        <w:t xml:space="preserve"> (1)</w:t>
      </w:r>
      <w:r w:rsidR="00B22A9D" w:rsidRPr="005728DD">
        <w:t xml:space="preserve"> </w:t>
      </w:r>
      <w:r w:rsidRPr="005728DD">
        <w:t xml:space="preserve">-45.1 (95% CI: -50.1, -40.1) </w:t>
      </w:r>
      <w:r w:rsidR="00BA1F52" w:rsidRPr="005728DD">
        <w:t>at 4 weeks</w:t>
      </w:r>
      <w:r w:rsidR="003F6FC3" w:rsidRPr="005728DD">
        <w:t xml:space="preserve">, </w:t>
      </w:r>
      <w:r w:rsidRPr="005728DD">
        <w:t>-42.8 (95% CI: -46.2, -39.3)</w:t>
      </w:r>
      <w:r w:rsidR="00BA1F52" w:rsidRPr="005728DD">
        <w:t xml:space="preserve"> at 24 weeks in </w:t>
      </w:r>
      <w:r w:rsidR="008951A8" w:rsidRPr="005728DD">
        <w:t xml:space="preserve">the </w:t>
      </w:r>
      <w:r w:rsidR="00BA1F52" w:rsidRPr="005728DD">
        <w:t>F/F</w:t>
      </w:r>
      <w:r w:rsidR="008951A8" w:rsidRPr="005728DD">
        <w:t xml:space="preserve"> population</w:t>
      </w:r>
      <w:r w:rsidR="00BA1F52" w:rsidRPr="005728DD">
        <w:t>; (2)</w:t>
      </w:r>
      <w:r w:rsidR="008B5EF9" w:rsidRPr="005728DD">
        <w:t xml:space="preserve"> </w:t>
      </w:r>
      <w:r w:rsidR="00BA1F52" w:rsidRPr="005728DD">
        <w:rPr>
          <w:color w:val="000000" w:themeColor="text1"/>
        </w:rPr>
        <w:t>-24.8 (-28.4, -21.2)</w:t>
      </w:r>
      <w:r w:rsidR="003F6FC3" w:rsidRPr="005728DD">
        <w:rPr>
          <w:rFonts w:ascii="Calibri" w:hAnsi="Calibri"/>
          <w:snapToGrid/>
        </w:rPr>
        <w:t xml:space="preserve"> </w:t>
      </w:r>
      <w:r w:rsidR="00BA1F52" w:rsidRPr="005728DD">
        <w:rPr>
          <w:rFonts w:ascii="Calibri" w:hAnsi="Calibri"/>
          <w:snapToGrid/>
        </w:rPr>
        <w:t xml:space="preserve">at 8 weeks in </w:t>
      </w:r>
      <w:r w:rsidR="000B5AD8" w:rsidRPr="005728DD">
        <w:rPr>
          <w:rFonts w:ascii="Calibri" w:hAnsi="Calibri"/>
          <w:snapToGrid/>
        </w:rPr>
        <w:t xml:space="preserve">the </w:t>
      </w:r>
      <w:r w:rsidR="00BA1F52" w:rsidRPr="005728DD">
        <w:rPr>
          <w:rFonts w:ascii="Calibri" w:hAnsi="Calibri"/>
          <w:snapToGrid/>
        </w:rPr>
        <w:t>F/RF</w:t>
      </w:r>
      <w:r w:rsidR="000B5AD8" w:rsidRPr="005728DD">
        <w:rPr>
          <w:rFonts w:ascii="Calibri" w:hAnsi="Calibri"/>
          <w:snapToGrid/>
        </w:rPr>
        <w:t xml:space="preserve"> population</w:t>
      </w:r>
      <w:r w:rsidR="00BA1F52" w:rsidRPr="005728DD">
        <w:rPr>
          <w:rFonts w:ascii="Calibri" w:hAnsi="Calibri"/>
          <w:snapToGrid/>
        </w:rPr>
        <w:t>; (3)</w:t>
      </w:r>
      <w:r w:rsidR="008B5EF9" w:rsidRPr="005728DD">
        <w:rPr>
          <w:rFonts w:ascii="Calibri" w:hAnsi="Calibri"/>
          <w:snapToGrid/>
        </w:rPr>
        <w:t xml:space="preserve"> </w:t>
      </w:r>
      <w:r w:rsidR="00F91D20" w:rsidRPr="005728DD">
        <w:rPr>
          <w:rFonts w:ascii="Calibri" w:hAnsi="Calibri"/>
          <w:snapToGrid/>
        </w:rPr>
        <w:br/>
      </w:r>
      <w:r w:rsidR="003F6FC3" w:rsidRPr="005728DD">
        <w:rPr>
          <w:rFonts w:ascii="Calibri" w:hAnsi="Calibri"/>
          <w:snapToGrid/>
        </w:rPr>
        <w:t>-2</w:t>
      </w:r>
      <w:r w:rsidR="00BA1F52" w:rsidRPr="005728DD">
        <w:rPr>
          <w:rFonts w:ascii="Calibri" w:hAnsi="Calibri"/>
          <w:snapToGrid/>
        </w:rPr>
        <w:t>0.0</w:t>
      </w:r>
      <w:r w:rsidR="003F6FC3" w:rsidRPr="005728DD">
        <w:rPr>
          <w:rFonts w:ascii="Calibri" w:hAnsi="Calibri"/>
          <w:snapToGrid/>
        </w:rPr>
        <w:t xml:space="preserve"> (95% CI: -2</w:t>
      </w:r>
      <w:r w:rsidR="00BA1F52" w:rsidRPr="005728DD">
        <w:rPr>
          <w:rFonts w:ascii="Calibri" w:hAnsi="Calibri"/>
          <w:snapToGrid/>
        </w:rPr>
        <w:t>5.4</w:t>
      </w:r>
      <w:r w:rsidR="003F6FC3" w:rsidRPr="005728DD">
        <w:rPr>
          <w:rFonts w:ascii="Calibri" w:hAnsi="Calibri"/>
          <w:snapToGrid/>
        </w:rPr>
        <w:t>, -</w:t>
      </w:r>
      <w:r w:rsidR="00BA1F52" w:rsidRPr="005728DD">
        <w:rPr>
          <w:rFonts w:ascii="Calibri" w:hAnsi="Calibri"/>
          <w:snapToGrid/>
        </w:rPr>
        <w:t>14.6</w:t>
      </w:r>
      <w:r w:rsidR="003F6FC3" w:rsidRPr="005728DD">
        <w:rPr>
          <w:rFonts w:ascii="Calibri" w:hAnsi="Calibri"/>
          <w:snapToGrid/>
        </w:rPr>
        <w:t xml:space="preserve">) </w:t>
      </w:r>
      <w:r w:rsidR="00BA1F52" w:rsidRPr="005728DD">
        <w:rPr>
          <w:rFonts w:ascii="Calibri" w:hAnsi="Calibri"/>
          <w:snapToGrid/>
        </w:rPr>
        <w:t xml:space="preserve">at 8 weeks in </w:t>
      </w:r>
      <w:r w:rsidR="008951A8" w:rsidRPr="005728DD">
        <w:rPr>
          <w:rFonts w:ascii="Calibri" w:hAnsi="Calibri"/>
          <w:snapToGrid/>
        </w:rPr>
        <w:t xml:space="preserve">the </w:t>
      </w:r>
      <w:r w:rsidR="00BA1F52" w:rsidRPr="005728DD">
        <w:rPr>
          <w:rFonts w:ascii="Calibri" w:hAnsi="Calibri"/>
          <w:snapToGrid/>
        </w:rPr>
        <w:t xml:space="preserve">F/G </w:t>
      </w:r>
      <w:r w:rsidR="008951A8" w:rsidRPr="005728DD">
        <w:rPr>
          <w:rFonts w:ascii="Calibri" w:hAnsi="Calibri"/>
          <w:snapToGrid/>
        </w:rPr>
        <w:t>population</w:t>
      </w:r>
      <w:r w:rsidR="000B5AD8" w:rsidRPr="005728DD">
        <w:rPr>
          <w:rFonts w:ascii="Calibri" w:hAnsi="Calibri"/>
          <w:snapToGrid/>
        </w:rPr>
        <w:t xml:space="preserve"> </w:t>
      </w:r>
      <w:r w:rsidR="003F6FC3" w:rsidRPr="005728DD">
        <w:rPr>
          <w:rFonts w:ascii="Calibri" w:hAnsi="Calibri"/>
          <w:snapToGrid/>
        </w:rPr>
        <w:t>and</w:t>
      </w:r>
      <w:r w:rsidR="00BA1F52" w:rsidRPr="005728DD">
        <w:rPr>
          <w:rFonts w:ascii="Calibri" w:hAnsi="Calibri"/>
          <w:snapToGrid/>
        </w:rPr>
        <w:t xml:space="preserve"> (4)</w:t>
      </w:r>
      <w:r w:rsidR="008B5EF9" w:rsidRPr="005728DD">
        <w:rPr>
          <w:rFonts w:ascii="Calibri" w:hAnsi="Calibri"/>
          <w:snapToGrid/>
        </w:rPr>
        <w:t xml:space="preserve"> </w:t>
      </w:r>
      <w:r w:rsidRPr="005728DD">
        <w:t xml:space="preserve">-41.8 (95% CI: </w:t>
      </w:r>
      <w:r w:rsidR="00F91D20" w:rsidRPr="005728DD">
        <w:br/>
      </w:r>
      <w:r w:rsidRPr="005728DD">
        <w:t>-44.4, -39.3)</w:t>
      </w:r>
      <w:r w:rsidR="00BA1F52" w:rsidRPr="005728DD">
        <w:t xml:space="preserve"> at 24 weeks in </w:t>
      </w:r>
      <w:r w:rsidR="008951A8" w:rsidRPr="005728DD">
        <w:t>the F/MF population</w:t>
      </w:r>
      <w:r w:rsidRPr="005728DD">
        <w:t xml:space="preserve">. </w:t>
      </w:r>
    </w:p>
    <w:p w:rsidR="001F49A3" w:rsidRPr="005728DD" w:rsidRDefault="001F49A3" w:rsidP="001F49A3">
      <w:pPr>
        <w:pStyle w:val="3-BodyText"/>
      </w:pPr>
      <w:r w:rsidRPr="005728DD">
        <w:t xml:space="preserve">Study 103 </w:t>
      </w:r>
      <w:r w:rsidR="008951A8" w:rsidRPr="005728DD">
        <w:t>(F/F population</w:t>
      </w:r>
      <w:r w:rsidR="00BA1F52" w:rsidRPr="005728DD">
        <w:t xml:space="preserve">) </w:t>
      </w:r>
      <w:r w:rsidRPr="005728DD">
        <w:t xml:space="preserve">and Study 102 </w:t>
      </w:r>
      <w:r w:rsidR="008951A8" w:rsidRPr="005728DD">
        <w:t>(F/MF population</w:t>
      </w:r>
      <w:r w:rsidR="00BA1F52" w:rsidRPr="005728DD">
        <w:t xml:space="preserve">) </w:t>
      </w:r>
      <w:r w:rsidRPr="005728DD">
        <w:t>reported improvement in body mass index (BMI) outcome</w:t>
      </w:r>
      <w:r w:rsidR="00B22A9D" w:rsidRPr="005728DD">
        <w:t>s</w:t>
      </w:r>
      <w:r w:rsidR="006208C1" w:rsidRPr="005728DD">
        <w:t xml:space="preserve"> (</w:t>
      </w:r>
      <w:r w:rsidR="005C56C0" w:rsidRPr="005728DD">
        <w:t xml:space="preserve">Table </w:t>
      </w:r>
      <w:r w:rsidR="005C56C0">
        <w:rPr>
          <w:noProof/>
        </w:rPr>
        <w:t>8</w:t>
      </w:r>
      <w:r w:rsidR="00147761" w:rsidRPr="005728DD">
        <w:t>)</w:t>
      </w:r>
      <w:r w:rsidRPr="005728DD">
        <w:t xml:space="preserve">. Both trials indicated a statistically significant improvement in the absolute change in BMI from baseline, with </w:t>
      </w:r>
      <w:r w:rsidR="00147761" w:rsidRPr="005728DD">
        <w:t xml:space="preserve">a change of 0.60 (95% CI: 0.41, 0.79) in the F/F population through Week 4 and </w:t>
      </w:r>
      <w:r w:rsidR="00BA1F52" w:rsidRPr="005728DD">
        <w:t xml:space="preserve">a </w:t>
      </w:r>
      <w:r w:rsidR="00B22A9D" w:rsidRPr="005728DD">
        <w:t xml:space="preserve">change </w:t>
      </w:r>
      <w:r w:rsidRPr="005728DD">
        <w:t xml:space="preserve">of 1.04 (95% CI: 0.85, 1.23) </w:t>
      </w:r>
      <w:r w:rsidR="00783E00" w:rsidRPr="005728DD">
        <w:t>in</w:t>
      </w:r>
      <w:r w:rsidR="008951A8" w:rsidRPr="005728DD">
        <w:t xml:space="preserve"> the</w:t>
      </w:r>
      <w:r w:rsidR="00783E00" w:rsidRPr="005728DD">
        <w:t xml:space="preserve"> F/MF </w:t>
      </w:r>
      <w:r w:rsidR="008951A8" w:rsidRPr="005728DD">
        <w:t xml:space="preserve">population </w:t>
      </w:r>
      <w:r w:rsidR="00BF1F28" w:rsidRPr="005728DD">
        <w:t>through Week 24</w:t>
      </w:r>
      <w:r w:rsidR="00147761" w:rsidRPr="005728DD">
        <w:t xml:space="preserve">. </w:t>
      </w:r>
      <w:r w:rsidR="00482257" w:rsidRPr="005728DD">
        <w:rPr>
          <w:iCs/>
        </w:rPr>
        <w:t>T</w:t>
      </w:r>
      <w:r w:rsidRPr="005728DD">
        <w:rPr>
          <w:iCs/>
        </w:rPr>
        <w:t>he PBAC</w:t>
      </w:r>
      <w:r w:rsidR="00482257" w:rsidRPr="005728DD">
        <w:rPr>
          <w:iCs/>
        </w:rPr>
        <w:t xml:space="preserve"> previously</w:t>
      </w:r>
      <w:r w:rsidRPr="005728DD">
        <w:rPr>
          <w:iCs/>
        </w:rPr>
        <w:t xml:space="preserve"> noted that changes in BMI observed over short durations (e.g. 8 weeks) might not indicate an improvement in nutritional status (paragraph 6.13,</w:t>
      </w:r>
      <w:r w:rsidR="001369B5" w:rsidRPr="005728DD">
        <w:rPr>
          <w:iCs/>
        </w:rPr>
        <w:t xml:space="preserve"> TEZ/IVA</w:t>
      </w:r>
      <w:r w:rsidRPr="005728DD">
        <w:rPr>
          <w:iCs/>
        </w:rPr>
        <w:t xml:space="preserve"> PSD, March 2019 PBAC meeting; RF) but that improvements beyond 24 weeks may indicate clinical effectiveness (paragraph 7.6, </w:t>
      </w:r>
      <w:r w:rsidR="001369B5" w:rsidRPr="005728DD">
        <w:rPr>
          <w:iCs/>
        </w:rPr>
        <w:t>LUM/IVA</w:t>
      </w:r>
      <w:r w:rsidRPr="005728DD">
        <w:rPr>
          <w:iCs/>
        </w:rPr>
        <w:t xml:space="preserve"> PSD, July 2017 PBAC meeting). </w:t>
      </w:r>
    </w:p>
    <w:p w:rsidR="006208C1" w:rsidRPr="005728DD" w:rsidRDefault="006208C1" w:rsidP="001369B5">
      <w:pPr>
        <w:pStyle w:val="TableFigureHeading"/>
        <w:keepLines/>
        <w:rPr>
          <w:rStyle w:val="CommentReference"/>
          <w:b/>
          <w:szCs w:val="24"/>
        </w:rPr>
      </w:pPr>
      <w:bookmarkStart w:id="22" w:name="_Ref64621230"/>
      <w:r w:rsidRPr="005728DD">
        <w:lastRenderedPageBreak/>
        <w:t xml:space="preserve">Table </w:t>
      </w:r>
      <w:r w:rsidR="005C56C0">
        <w:rPr>
          <w:noProof/>
        </w:rPr>
        <w:t>8</w:t>
      </w:r>
      <w:bookmarkEnd w:id="22"/>
      <w:r w:rsidRPr="005728DD">
        <w:rPr>
          <w:rStyle w:val="CommentReference"/>
          <w:b/>
          <w:szCs w:val="24"/>
        </w:rPr>
        <w:t xml:space="preserve">: Results of absolute change in BMI from baseline across the trials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7"/>
        <w:gridCol w:w="714"/>
        <w:gridCol w:w="1130"/>
        <w:gridCol w:w="991"/>
        <w:gridCol w:w="707"/>
        <w:gridCol w:w="1130"/>
        <w:gridCol w:w="989"/>
        <w:gridCol w:w="1287"/>
        <w:gridCol w:w="673"/>
      </w:tblGrid>
      <w:tr w:rsidR="006208C1" w:rsidRPr="005728DD" w:rsidTr="00F32F12">
        <w:trPr>
          <w:trHeight w:val="229"/>
        </w:trPr>
        <w:tc>
          <w:tcPr>
            <w:tcW w:w="718" w:type="pct"/>
            <w:vMerge w:val="restart"/>
            <w:tcMar>
              <w:left w:w="11" w:type="dxa"/>
              <w:right w:w="11" w:type="dxa"/>
            </w:tcMar>
            <w:vAlign w:val="center"/>
          </w:tcPr>
          <w:p w:rsidR="006208C1" w:rsidRPr="005728DD" w:rsidRDefault="006208C1" w:rsidP="001369B5">
            <w:pPr>
              <w:pStyle w:val="In-tableHeading"/>
              <w:keepLines/>
              <w:jc w:val="center"/>
              <w:rPr>
                <w:lang w:val="en-AU"/>
              </w:rPr>
            </w:pPr>
            <w:r w:rsidRPr="005728DD">
              <w:rPr>
                <w:lang w:val="en-AU"/>
              </w:rPr>
              <w:t>Population</w:t>
            </w:r>
          </w:p>
          <w:p w:rsidR="006208C1" w:rsidRPr="005728DD" w:rsidRDefault="006208C1" w:rsidP="001369B5">
            <w:pPr>
              <w:pStyle w:val="TableText0"/>
              <w:keepLines/>
            </w:pPr>
            <w:r w:rsidRPr="005728DD">
              <w:t>Trial, follow-up</w:t>
            </w:r>
          </w:p>
        </w:tc>
        <w:tc>
          <w:tcPr>
            <w:tcW w:w="401"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n/N</w:t>
            </w:r>
          </w:p>
        </w:tc>
        <w:tc>
          <w:tcPr>
            <w:tcW w:w="635"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Mean baseline (SD)</w:t>
            </w:r>
          </w:p>
        </w:tc>
        <w:tc>
          <w:tcPr>
            <w:tcW w:w="557"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Mean change (SE)</w:t>
            </w:r>
          </w:p>
        </w:tc>
        <w:tc>
          <w:tcPr>
            <w:tcW w:w="397"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n/N</w:t>
            </w:r>
          </w:p>
        </w:tc>
        <w:tc>
          <w:tcPr>
            <w:tcW w:w="635"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Mean baseline (SD)</w:t>
            </w:r>
          </w:p>
        </w:tc>
        <w:tc>
          <w:tcPr>
            <w:tcW w:w="556" w:type="pct"/>
            <w:vMerge w:val="restart"/>
            <w:tcMar>
              <w:left w:w="11" w:type="dxa"/>
              <w:right w:w="11" w:type="dxa"/>
            </w:tcMar>
            <w:vAlign w:val="center"/>
          </w:tcPr>
          <w:p w:rsidR="006208C1" w:rsidRPr="005728DD" w:rsidRDefault="006208C1" w:rsidP="001369B5">
            <w:pPr>
              <w:pStyle w:val="TableText0"/>
              <w:keepLines/>
              <w:jc w:val="center"/>
            </w:pPr>
            <w:r w:rsidRPr="005728DD">
              <w:rPr>
                <w:b/>
                <w:bCs w:val="0"/>
              </w:rPr>
              <w:t>Mean change (SE)</w:t>
            </w:r>
          </w:p>
        </w:tc>
        <w:tc>
          <w:tcPr>
            <w:tcW w:w="723" w:type="pct"/>
            <w:vMerge w:val="restart"/>
            <w:tcMar>
              <w:left w:w="11" w:type="dxa"/>
              <w:right w:w="11" w:type="dxa"/>
            </w:tcMar>
            <w:vAlign w:val="center"/>
          </w:tcPr>
          <w:p w:rsidR="006208C1" w:rsidRPr="005728DD" w:rsidRDefault="006208C1" w:rsidP="001369B5">
            <w:pPr>
              <w:pStyle w:val="TableText0"/>
              <w:keepLines/>
              <w:jc w:val="center"/>
              <w:rPr>
                <w:b/>
                <w:bCs w:val="0"/>
                <w:vertAlign w:val="superscript"/>
              </w:rPr>
            </w:pPr>
            <w:r w:rsidRPr="005728DD">
              <w:rPr>
                <w:b/>
                <w:iCs/>
              </w:rPr>
              <w:t>Mean difference (95% CI)</w:t>
            </w:r>
          </w:p>
        </w:tc>
        <w:tc>
          <w:tcPr>
            <w:tcW w:w="378" w:type="pct"/>
            <w:vMerge w:val="restart"/>
            <w:tcMar>
              <w:left w:w="11" w:type="dxa"/>
              <w:right w:w="11" w:type="dxa"/>
            </w:tcMar>
            <w:vAlign w:val="center"/>
          </w:tcPr>
          <w:p w:rsidR="006208C1" w:rsidRPr="005728DD" w:rsidRDefault="006208C1" w:rsidP="001369B5">
            <w:pPr>
              <w:pStyle w:val="TableText0"/>
              <w:keepLines/>
              <w:jc w:val="center"/>
              <w:rPr>
                <w:b/>
              </w:rPr>
            </w:pPr>
            <w:r w:rsidRPr="005728DD">
              <w:rPr>
                <w:b/>
              </w:rPr>
              <w:t>P-value</w:t>
            </w:r>
          </w:p>
        </w:tc>
      </w:tr>
      <w:tr w:rsidR="006208C1" w:rsidRPr="005728DD" w:rsidTr="00F32F12">
        <w:trPr>
          <w:trHeight w:val="229"/>
        </w:trPr>
        <w:tc>
          <w:tcPr>
            <w:tcW w:w="718" w:type="pct"/>
            <w:vMerge/>
            <w:tcMar>
              <w:left w:w="11" w:type="dxa"/>
              <w:right w:w="11" w:type="dxa"/>
            </w:tcMar>
            <w:vAlign w:val="center"/>
          </w:tcPr>
          <w:p w:rsidR="006208C1" w:rsidRPr="005728DD" w:rsidRDefault="006208C1" w:rsidP="001369B5">
            <w:pPr>
              <w:pStyle w:val="TableText0"/>
              <w:keepLines/>
            </w:pPr>
          </w:p>
        </w:tc>
        <w:tc>
          <w:tcPr>
            <w:tcW w:w="401" w:type="pct"/>
            <w:vMerge/>
            <w:tcMar>
              <w:left w:w="11" w:type="dxa"/>
              <w:right w:w="11" w:type="dxa"/>
            </w:tcMar>
            <w:vAlign w:val="center"/>
          </w:tcPr>
          <w:p w:rsidR="006208C1" w:rsidRPr="005728DD" w:rsidRDefault="006208C1" w:rsidP="001369B5">
            <w:pPr>
              <w:pStyle w:val="TableText0"/>
              <w:keepLines/>
              <w:jc w:val="center"/>
            </w:pPr>
          </w:p>
        </w:tc>
        <w:tc>
          <w:tcPr>
            <w:tcW w:w="635" w:type="pct"/>
            <w:vMerge/>
            <w:tcMar>
              <w:left w:w="11" w:type="dxa"/>
              <w:right w:w="11" w:type="dxa"/>
            </w:tcMar>
            <w:vAlign w:val="center"/>
          </w:tcPr>
          <w:p w:rsidR="006208C1" w:rsidRPr="005728DD" w:rsidRDefault="006208C1" w:rsidP="001369B5">
            <w:pPr>
              <w:pStyle w:val="TableText0"/>
              <w:keepLines/>
              <w:jc w:val="center"/>
            </w:pPr>
          </w:p>
        </w:tc>
        <w:tc>
          <w:tcPr>
            <w:tcW w:w="557" w:type="pct"/>
            <w:vMerge/>
            <w:tcMar>
              <w:left w:w="11" w:type="dxa"/>
              <w:right w:w="11" w:type="dxa"/>
            </w:tcMar>
            <w:vAlign w:val="center"/>
          </w:tcPr>
          <w:p w:rsidR="006208C1" w:rsidRPr="005728DD" w:rsidRDefault="006208C1" w:rsidP="001369B5">
            <w:pPr>
              <w:pStyle w:val="TableText0"/>
              <w:keepLines/>
              <w:jc w:val="center"/>
            </w:pPr>
          </w:p>
        </w:tc>
        <w:tc>
          <w:tcPr>
            <w:tcW w:w="397" w:type="pct"/>
            <w:vMerge/>
            <w:tcMar>
              <w:left w:w="11" w:type="dxa"/>
              <w:right w:w="11" w:type="dxa"/>
            </w:tcMar>
            <w:vAlign w:val="center"/>
          </w:tcPr>
          <w:p w:rsidR="006208C1" w:rsidRPr="005728DD" w:rsidRDefault="006208C1" w:rsidP="001369B5">
            <w:pPr>
              <w:pStyle w:val="TableText0"/>
              <w:keepLines/>
              <w:jc w:val="center"/>
            </w:pPr>
          </w:p>
        </w:tc>
        <w:tc>
          <w:tcPr>
            <w:tcW w:w="635" w:type="pct"/>
            <w:vMerge/>
            <w:tcMar>
              <w:left w:w="11" w:type="dxa"/>
              <w:right w:w="11" w:type="dxa"/>
            </w:tcMar>
            <w:vAlign w:val="center"/>
          </w:tcPr>
          <w:p w:rsidR="006208C1" w:rsidRPr="005728DD" w:rsidRDefault="006208C1" w:rsidP="001369B5">
            <w:pPr>
              <w:pStyle w:val="TableText0"/>
              <w:keepLines/>
              <w:jc w:val="center"/>
            </w:pPr>
          </w:p>
        </w:tc>
        <w:tc>
          <w:tcPr>
            <w:tcW w:w="556" w:type="pct"/>
            <w:vMerge/>
            <w:tcMar>
              <w:left w:w="11" w:type="dxa"/>
              <w:right w:w="11" w:type="dxa"/>
            </w:tcMar>
            <w:vAlign w:val="center"/>
          </w:tcPr>
          <w:p w:rsidR="006208C1" w:rsidRPr="005728DD" w:rsidRDefault="006208C1" w:rsidP="001369B5">
            <w:pPr>
              <w:pStyle w:val="TableText0"/>
              <w:keepLines/>
              <w:jc w:val="center"/>
            </w:pPr>
          </w:p>
        </w:tc>
        <w:tc>
          <w:tcPr>
            <w:tcW w:w="723" w:type="pct"/>
            <w:vMerge/>
            <w:tcMar>
              <w:left w:w="11" w:type="dxa"/>
              <w:right w:w="11" w:type="dxa"/>
            </w:tcMar>
            <w:vAlign w:val="center"/>
          </w:tcPr>
          <w:p w:rsidR="006208C1" w:rsidRPr="005728DD" w:rsidRDefault="006208C1" w:rsidP="001369B5">
            <w:pPr>
              <w:pStyle w:val="TableText0"/>
              <w:keepLines/>
              <w:jc w:val="center"/>
              <w:rPr>
                <w:b/>
                <w:bCs w:val="0"/>
              </w:rPr>
            </w:pPr>
          </w:p>
        </w:tc>
        <w:tc>
          <w:tcPr>
            <w:tcW w:w="378" w:type="pct"/>
            <w:vMerge/>
            <w:tcMar>
              <w:left w:w="11" w:type="dxa"/>
              <w:right w:w="11" w:type="dxa"/>
            </w:tcMar>
            <w:vAlign w:val="center"/>
          </w:tcPr>
          <w:p w:rsidR="006208C1" w:rsidRPr="005728DD" w:rsidRDefault="006208C1" w:rsidP="001369B5">
            <w:pPr>
              <w:pStyle w:val="TableText0"/>
              <w:keepLines/>
              <w:jc w:val="center"/>
            </w:pPr>
          </w:p>
        </w:tc>
      </w:tr>
      <w:tr w:rsidR="006208C1" w:rsidRPr="005728DD" w:rsidTr="00F32F12">
        <w:tc>
          <w:tcPr>
            <w:tcW w:w="718" w:type="pct"/>
            <w:tcMar>
              <w:left w:w="11" w:type="dxa"/>
              <w:right w:w="11" w:type="dxa"/>
            </w:tcMar>
            <w:vAlign w:val="center"/>
          </w:tcPr>
          <w:p w:rsidR="006208C1" w:rsidRPr="005728DD" w:rsidRDefault="006208C1" w:rsidP="001369B5">
            <w:pPr>
              <w:pStyle w:val="TableText0"/>
              <w:keepLines/>
              <w:rPr>
                <w:b/>
              </w:rPr>
            </w:pPr>
            <w:r w:rsidRPr="005728DD">
              <w:rPr>
                <w:b/>
              </w:rPr>
              <w:t>F/F</w:t>
            </w:r>
          </w:p>
        </w:tc>
        <w:tc>
          <w:tcPr>
            <w:tcW w:w="1593" w:type="pct"/>
            <w:gridSpan w:val="3"/>
            <w:tcMar>
              <w:left w:w="11" w:type="dxa"/>
              <w:right w:w="11" w:type="dxa"/>
            </w:tcMar>
            <w:vAlign w:val="center"/>
          </w:tcPr>
          <w:p w:rsidR="006208C1" w:rsidRPr="005728DD" w:rsidRDefault="006208C1" w:rsidP="001369B5">
            <w:pPr>
              <w:pStyle w:val="TableText0"/>
              <w:keepLines/>
              <w:jc w:val="center"/>
              <w:rPr>
                <w:b/>
              </w:rPr>
            </w:pPr>
            <w:r w:rsidRPr="005728DD">
              <w:rPr>
                <w:b/>
                <w:iCs/>
              </w:rPr>
              <w:t>ELX/TEZ/IVA</w:t>
            </w:r>
          </w:p>
        </w:tc>
        <w:tc>
          <w:tcPr>
            <w:tcW w:w="1588" w:type="pct"/>
            <w:gridSpan w:val="3"/>
            <w:tcMar>
              <w:left w:w="11" w:type="dxa"/>
              <w:right w:w="11" w:type="dxa"/>
            </w:tcMar>
            <w:vAlign w:val="center"/>
          </w:tcPr>
          <w:p w:rsidR="006208C1" w:rsidRPr="005728DD" w:rsidRDefault="006208C1" w:rsidP="001369B5">
            <w:pPr>
              <w:pStyle w:val="TableText0"/>
              <w:keepLines/>
              <w:jc w:val="center"/>
              <w:rPr>
                <w:b/>
              </w:rPr>
            </w:pPr>
            <w:r w:rsidRPr="005728DD">
              <w:rPr>
                <w:b/>
                <w:iCs/>
              </w:rPr>
              <w:t>TEZ/IVA</w:t>
            </w:r>
          </w:p>
        </w:tc>
        <w:tc>
          <w:tcPr>
            <w:tcW w:w="723" w:type="pct"/>
            <w:tcMar>
              <w:left w:w="11" w:type="dxa"/>
              <w:right w:w="11" w:type="dxa"/>
            </w:tcMar>
            <w:vAlign w:val="center"/>
          </w:tcPr>
          <w:p w:rsidR="006208C1" w:rsidRPr="005728DD" w:rsidRDefault="006208C1" w:rsidP="001369B5">
            <w:pPr>
              <w:pStyle w:val="TableText0"/>
              <w:keepLines/>
              <w:jc w:val="center"/>
              <w:rPr>
                <w:b/>
                <w:bCs w:val="0"/>
              </w:rPr>
            </w:pPr>
          </w:p>
        </w:tc>
        <w:tc>
          <w:tcPr>
            <w:tcW w:w="378" w:type="pct"/>
            <w:tcMar>
              <w:left w:w="11" w:type="dxa"/>
              <w:right w:w="11" w:type="dxa"/>
            </w:tcMar>
            <w:vAlign w:val="center"/>
          </w:tcPr>
          <w:p w:rsidR="006208C1" w:rsidRPr="005728DD" w:rsidRDefault="006208C1" w:rsidP="001369B5">
            <w:pPr>
              <w:pStyle w:val="TableText0"/>
              <w:keepLines/>
              <w:jc w:val="center"/>
              <w:rPr>
                <w:b/>
              </w:rPr>
            </w:pPr>
          </w:p>
        </w:tc>
      </w:tr>
      <w:tr w:rsidR="006208C1" w:rsidRPr="005728DD" w:rsidTr="006208C1">
        <w:tc>
          <w:tcPr>
            <w:tcW w:w="718" w:type="pct"/>
            <w:tcMar>
              <w:left w:w="11" w:type="dxa"/>
              <w:right w:w="11" w:type="dxa"/>
            </w:tcMar>
            <w:vAlign w:val="center"/>
          </w:tcPr>
          <w:p w:rsidR="006208C1" w:rsidRPr="005728DD" w:rsidRDefault="006208C1" w:rsidP="001369B5">
            <w:pPr>
              <w:pStyle w:val="TableText0"/>
              <w:keepLines/>
            </w:pPr>
            <w:r w:rsidRPr="005728DD">
              <w:t>Study 103, w4</w:t>
            </w:r>
          </w:p>
        </w:tc>
        <w:tc>
          <w:tcPr>
            <w:tcW w:w="401" w:type="pct"/>
            <w:tcMar>
              <w:left w:w="11" w:type="dxa"/>
              <w:right w:w="11" w:type="dxa"/>
            </w:tcMar>
            <w:vAlign w:val="center"/>
          </w:tcPr>
          <w:p w:rsidR="006208C1" w:rsidRPr="005728DD" w:rsidRDefault="006208C1" w:rsidP="001369B5">
            <w:pPr>
              <w:pStyle w:val="TableText0"/>
              <w:keepLines/>
              <w:jc w:val="center"/>
            </w:pPr>
            <w:r w:rsidRPr="005728DD">
              <w:t>55/55</w:t>
            </w:r>
          </w:p>
        </w:tc>
        <w:tc>
          <w:tcPr>
            <w:tcW w:w="635" w:type="pct"/>
            <w:tcMar>
              <w:left w:w="11" w:type="dxa"/>
              <w:right w:w="11" w:type="dxa"/>
            </w:tcMar>
            <w:vAlign w:val="center"/>
          </w:tcPr>
          <w:p w:rsidR="006208C1" w:rsidRPr="005728DD" w:rsidRDefault="006208C1" w:rsidP="001369B5">
            <w:pPr>
              <w:pStyle w:val="TableText0"/>
              <w:keepLines/>
              <w:jc w:val="center"/>
            </w:pPr>
            <w:r w:rsidRPr="005728DD">
              <w:t>21.75 (3.19)</w:t>
            </w:r>
          </w:p>
        </w:tc>
        <w:tc>
          <w:tcPr>
            <w:tcW w:w="557" w:type="pct"/>
            <w:tcMar>
              <w:left w:w="11" w:type="dxa"/>
              <w:right w:w="11" w:type="dxa"/>
            </w:tcMar>
            <w:vAlign w:val="center"/>
          </w:tcPr>
          <w:p w:rsidR="006208C1" w:rsidRPr="005728DD" w:rsidRDefault="006208C1" w:rsidP="001369B5">
            <w:pPr>
              <w:pStyle w:val="TableText0"/>
              <w:keepLines/>
              <w:jc w:val="center"/>
            </w:pPr>
            <w:r w:rsidRPr="005728DD">
              <w:t>0.53 (0.07)</w:t>
            </w:r>
          </w:p>
        </w:tc>
        <w:tc>
          <w:tcPr>
            <w:tcW w:w="397" w:type="pct"/>
            <w:tcMar>
              <w:left w:w="11" w:type="dxa"/>
              <w:right w:w="11" w:type="dxa"/>
            </w:tcMar>
            <w:vAlign w:val="center"/>
          </w:tcPr>
          <w:p w:rsidR="006208C1" w:rsidRPr="005728DD" w:rsidRDefault="006208C1" w:rsidP="001369B5">
            <w:pPr>
              <w:pStyle w:val="TableText0"/>
              <w:keepLines/>
              <w:jc w:val="center"/>
            </w:pPr>
            <w:r w:rsidRPr="005728DD">
              <w:t>52/52</w:t>
            </w:r>
          </w:p>
        </w:tc>
        <w:tc>
          <w:tcPr>
            <w:tcW w:w="635" w:type="pct"/>
            <w:tcMar>
              <w:left w:w="11" w:type="dxa"/>
              <w:right w:w="11" w:type="dxa"/>
            </w:tcMar>
          </w:tcPr>
          <w:p w:rsidR="006208C1" w:rsidRPr="005728DD" w:rsidRDefault="006208C1" w:rsidP="001369B5">
            <w:pPr>
              <w:pStyle w:val="TableText0"/>
              <w:keepLines/>
              <w:jc w:val="center"/>
            </w:pPr>
            <w:r w:rsidRPr="005728DD">
              <w:t>21.88 (4.12)</w:t>
            </w:r>
          </w:p>
        </w:tc>
        <w:tc>
          <w:tcPr>
            <w:tcW w:w="556" w:type="pct"/>
            <w:tcMar>
              <w:left w:w="11" w:type="dxa"/>
              <w:right w:w="11" w:type="dxa"/>
            </w:tcMar>
          </w:tcPr>
          <w:p w:rsidR="006208C1" w:rsidRPr="005728DD" w:rsidRDefault="006208C1" w:rsidP="001369B5">
            <w:pPr>
              <w:pStyle w:val="TableText0"/>
              <w:keepLines/>
              <w:jc w:val="center"/>
            </w:pPr>
            <w:r w:rsidRPr="005728DD">
              <w:t>-0.07 (0.07)</w:t>
            </w:r>
          </w:p>
        </w:tc>
        <w:tc>
          <w:tcPr>
            <w:tcW w:w="723" w:type="pct"/>
            <w:tcMar>
              <w:left w:w="11" w:type="dxa"/>
              <w:right w:w="11" w:type="dxa"/>
            </w:tcMar>
          </w:tcPr>
          <w:p w:rsidR="006208C1" w:rsidRPr="005728DD" w:rsidRDefault="006208C1" w:rsidP="001369B5">
            <w:pPr>
              <w:pStyle w:val="TableText0"/>
              <w:keepLines/>
              <w:jc w:val="center"/>
              <w:rPr>
                <w:b/>
                <w:bCs w:val="0"/>
              </w:rPr>
            </w:pPr>
            <w:r w:rsidRPr="005728DD">
              <w:rPr>
                <w:b/>
                <w:bCs w:val="0"/>
              </w:rPr>
              <w:t>0.60 (0.41, 0.79)</w:t>
            </w:r>
          </w:p>
        </w:tc>
        <w:tc>
          <w:tcPr>
            <w:tcW w:w="378" w:type="pct"/>
            <w:tcMar>
              <w:left w:w="11" w:type="dxa"/>
              <w:right w:w="11" w:type="dxa"/>
            </w:tcMar>
            <w:vAlign w:val="center"/>
          </w:tcPr>
          <w:p w:rsidR="006208C1" w:rsidRPr="005728DD" w:rsidRDefault="006208C1" w:rsidP="001369B5">
            <w:pPr>
              <w:pStyle w:val="TableText0"/>
              <w:keepLines/>
              <w:jc w:val="center"/>
            </w:pPr>
            <w:r w:rsidRPr="005728DD">
              <w:t>&lt;0.0001</w:t>
            </w:r>
          </w:p>
        </w:tc>
      </w:tr>
      <w:tr w:rsidR="006208C1" w:rsidRPr="005728DD" w:rsidTr="00F32F12">
        <w:trPr>
          <w:trHeight w:val="145"/>
        </w:trPr>
        <w:tc>
          <w:tcPr>
            <w:tcW w:w="718" w:type="pct"/>
            <w:tcMar>
              <w:left w:w="11" w:type="dxa"/>
              <w:right w:w="11" w:type="dxa"/>
            </w:tcMar>
            <w:vAlign w:val="center"/>
          </w:tcPr>
          <w:p w:rsidR="006208C1" w:rsidRPr="005728DD" w:rsidRDefault="006208C1" w:rsidP="001369B5">
            <w:pPr>
              <w:pStyle w:val="TableText0"/>
              <w:keepLines/>
              <w:rPr>
                <w:b/>
                <w:bCs w:val="0"/>
              </w:rPr>
            </w:pPr>
            <w:r w:rsidRPr="005728DD">
              <w:rPr>
                <w:b/>
              </w:rPr>
              <w:t>F/MF</w:t>
            </w:r>
          </w:p>
        </w:tc>
        <w:tc>
          <w:tcPr>
            <w:tcW w:w="1593" w:type="pct"/>
            <w:gridSpan w:val="3"/>
            <w:tcMar>
              <w:left w:w="11" w:type="dxa"/>
              <w:right w:w="11" w:type="dxa"/>
            </w:tcMar>
            <w:vAlign w:val="center"/>
          </w:tcPr>
          <w:p w:rsidR="006208C1" w:rsidRPr="005728DD" w:rsidRDefault="006208C1" w:rsidP="001369B5">
            <w:pPr>
              <w:pStyle w:val="TableText0"/>
              <w:keepLines/>
              <w:jc w:val="center"/>
              <w:rPr>
                <w:b/>
                <w:bCs w:val="0"/>
              </w:rPr>
            </w:pPr>
            <w:r w:rsidRPr="005728DD">
              <w:rPr>
                <w:b/>
                <w:bCs w:val="0"/>
                <w:iCs/>
              </w:rPr>
              <w:t>ELX/TEZ/IVA</w:t>
            </w:r>
          </w:p>
        </w:tc>
        <w:tc>
          <w:tcPr>
            <w:tcW w:w="1588" w:type="pct"/>
            <w:gridSpan w:val="3"/>
            <w:tcMar>
              <w:left w:w="11" w:type="dxa"/>
              <w:right w:w="11" w:type="dxa"/>
            </w:tcMar>
            <w:vAlign w:val="center"/>
          </w:tcPr>
          <w:p w:rsidR="006208C1" w:rsidRPr="005728DD" w:rsidRDefault="006208C1" w:rsidP="001369B5">
            <w:pPr>
              <w:pStyle w:val="TableText0"/>
              <w:keepLines/>
              <w:jc w:val="center"/>
              <w:rPr>
                <w:b/>
                <w:bCs w:val="0"/>
              </w:rPr>
            </w:pPr>
            <w:r w:rsidRPr="005728DD">
              <w:rPr>
                <w:b/>
                <w:bCs w:val="0"/>
              </w:rPr>
              <w:t>Placebo</w:t>
            </w:r>
          </w:p>
        </w:tc>
        <w:tc>
          <w:tcPr>
            <w:tcW w:w="723" w:type="pct"/>
            <w:tcMar>
              <w:left w:w="11" w:type="dxa"/>
              <w:right w:w="11" w:type="dxa"/>
            </w:tcMar>
            <w:vAlign w:val="center"/>
          </w:tcPr>
          <w:p w:rsidR="006208C1" w:rsidRPr="005728DD" w:rsidRDefault="006208C1" w:rsidP="001369B5">
            <w:pPr>
              <w:pStyle w:val="TableText0"/>
              <w:keepLines/>
              <w:jc w:val="center"/>
              <w:rPr>
                <w:b/>
                <w:bCs w:val="0"/>
              </w:rPr>
            </w:pPr>
          </w:p>
        </w:tc>
        <w:tc>
          <w:tcPr>
            <w:tcW w:w="378" w:type="pct"/>
            <w:tcMar>
              <w:left w:w="11" w:type="dxa"/>
              <w:right w:w="11" w:type="dxa"/>
            </w:tcMar>
            <w:vAlign w:val="center"/>
          </w:tcPr>
          <w:p w:rsidR="006208C1" w:rsidRPr="005728DD" w:rsidRDefault="006208C1" w:rsidP="001369B5">
            <w:pPr>
              <w:pStyle w:val="TableText0"/>
              <w:keepLines/>
              <w:jc w:val="center"/>
              <w:rPr>
                <w:b/>
                <w:bCs w:val="0"/>
              </w:rPr>
            </w:pPr>
          </w:p>
        </w:tc>
      </w:tr>
      <w:tr w:rsidR="006208C1" w:rsidRPr="005728DD" w:rsidTr="006208C1">
        <w:tc>
          <w:tcPr>
            <w:tcW w:w="718" w:type="pct"/>
            <w:tcMar>
              <w:left w:w="11" w:type="dxa"/>
              <w:right w:w="11" w:type="dxa"/>
            </w:tcMar>
            <w:vAlign w:val="center"/>
          </w:tcPr>
          <w:p w:rsidR="006208C1" w:rsidRPr="005728DD" w:rsidRDefault="006208C1" w:rsidP="001369B5">
            <w:pPr>
              <w:pStyle w:val="TableText0"/>
              <w:keepLines/>
            </w:pPr>
            <w:r w:rsidRPr="005728DD">
              <w:t>Study 102, w24</w:t>
            </w:r>
          </w:p>
        </w:tc>
        <w:tc>
          <w:tcPr>
            <w:tcW w:w="401" w:type="pct"/>
            <w:tcMar>
              <w:left w:w="11" w:type="dxa"/>
              <w:right w:w="11" w:type="dxa"/>
            </w:tcMar>
            <w:vAlign w:val="center"/>
          </w:tcPr>
          <w:p w:rsidR="006208C1" w:rsidRPr="005728DD" w:rsidRDefault="006208C1" w:rsidP="001369B5">
            <w:pPr>
              <w:pStyle w:val="TableText0"/>
              <w:keepLines/>
              <w:jc w:val="center"/>
            </w:pPr>
            <w:r w:rsidRPr="005728DD">
              <w:t>198/200</w:t>
            </w:r>
          </w:p>
        </w:tc>
        <w:tc>
          <w:tcPr>
            <w:tcW w:w="635" w:type="pct"/>
            <w:tcMar>
              <w:left w:w="11" w:type="dxa"/>
              <w:right w:w="11" w:type="dxa"/>
            </w:tcMar>
            <w:vAlign w:val="center"/>
          </w:tcPr>
          <w:p w:rsidR="006208C1" w:rsidRPr="005728DD" w:rsidRDefault="006208C1" w:rsidP="001369B5">
            <w:pPr>
              <w:pStyle w:val="TableText0"/>
              <w:keepLines/>
              <w:jc w:val="center"/>
            </w:pPr>
            <w:r w:rsidRPr="005728DD">
              <w:t>21.49 (3.07)</w:t>
            </w:r>
          </w:p>
        </w:tc>
        <w:tc>
          <w:tcPr>
            <w:tcW w:w="557" w:type="pct"/>
            <w:tcMar>
              <w:left w:w="11" w:type="dxa"/>
              <w:right w:w="11" w:type="dxa"/>
            </w:tcMar>
            <w:vAlign w:val="center"/>
          </w:tcPr>
          <w:p w:rsidR="006208C1" w:rsidRPr="005728DD" w:rsidRDefault="006208C1" w:rsidP="001369B5">
            <w:pPr>
              <w:pStyle w:val="TableText0"/>
              <w:keepLines/>
              <w:jc w:val="center"/>
            </w:pPr>
            <w:r w:rsidRPr="005728DD">
              <w:t>1.13 (0.07)</w:t>
            </w:r>
          </w:p>
        </w:tc>
        <w:tc>
          <w:tcPr>
            <w:tcW w:w="397" w:type="pct"/>
            <w:tcMar>
              <w:left w:w="11" w:type="dxa"/>
              <w:right w:w="11" w:type="dxa"/>
            </w:tcMar>
            <w:vAlign w:val="center"/>
          </w:tcPr>
          <w:p w:rsidR="006208C1" w:rsidRPr="005728DD" w:rsidRDefault="006208C1" w:rsidP="001369B5">
            <w:pPr>
              <w:pStyle w:val="TableText0"/>
              <w:keepLines/>
              <w:jc w:val="center"/>
            </w:pPr>
            <w:r w:rsidRPr="005728DD">
              <w:t>202/203</w:t>
            </w:r>
          </w:p>
        </w:tc>
        <w:tc>
          <w:tcPr>
            <w:tcW w:w="635" w:type="pct"/>
            <w:tcMar>
              <w:left w:w="11" w:type="dxa"/>
              <w:right w:w="11" w:type="dxa"/>
            </w:tcMar>
            <w:vAlign w:val="center"/>
          </w:tcPr>
          <w:p w:rsidR="006208C1" w:rsidRPr="005728DD" w:rsidRDefault="006208C1" w:rsidP="001369B5">
            <w:pPr>
              <w:pStyle w:val="TableText0"/>
              <w:keepLines/>
              <w:jc w:val="center"/>
            </w:pPr>
            <w:r w:rsidRPr="005728DD">
              <w:t>21.13 (3.14)</w:t>
            </w:r>
          </w:p>
        </w:tc>
        <w:tc>
          <w:tcPr>
            <w:tcW w:w="556" w:type="pct"/>
            <w:tcMar>
              <w:left w:w="11" w:type="dxa"/>
              <w:right w:w="11" w:type="dxa"/>
            </w:tcMar>
            <w:vAlign w:val="center"/>
          </w:tcPr>
          <w:p w:rsidR="006208C1" w:rsidRPr="005728DD" w:rsidRDefault="006208C1" w:rsidP="001369B5">
            <w:pPr>
              <w:pStyle w:val="TableText0"/>
              <w:keepLines/>
              <w:jc w:val="center"/>
            </w:pPr>
            <w:r w:rsidRPr="005728DD">
              <w:t>0.09 (0.07)</w:t>
            </w:r>
          </w:p>
        </w:tc>
        <w:tc>
          <w:tcPr>
            <w:tcW w:w="723" w:type="pct"/>
            <w:tcMar>
              <w:left w:w="11" w:type="dxa"/>
              <w:right w:w="11" w:type="dxa"/>
            </w:tcMar>
            <w:vAlign w:val="center"/>
          </w:tcPr>
          <w:p w:rsidR="006208C1" w:rsidRPr="005728DD" w:rsidRDefault="006208C1" w:rsidP="001369B5">
            <w:pPr>
              <w:pStyle w:val="TableText0"/>
              <w:keepLines/>
              <w:jc w:val="center"/>
              <w:rPr>
                <w:b/>
                <w:bCs w:val="0"/>
              </w:rPr>
            </w:pPr>
            <w:r w:rsidRPr="005728DD">
              <w:rPr>
                <w:b/>
                <w:bCs w:val="0"/>
              </w:rPr>
              <w:t>1.04 (0.85, 1.23)</w:t>
            </w:r>
          </w:p>
        </w:tc>
        <w:tc>
          <w:tcPr>
            <w:tcW w:w="378" w:type="pct"/>
            <w:tcMar>
              <w:left w:w="11" w:type="dxa"/>
              <w:right w:w="11" w:type="dxa"/>
            </w:tcMar>
            <w:vAlign w:val="center"/>
          </w:tcPr>
          <w:p w:rsidR="006208C1" w:rsidRPr="005728DD" w:rsidRDefault="006208C1" w:rsidP="001369B5">
            <w:pPr>
              <w:pStyle w:val="TableText0"/>
              <w:keepLines/>
              <w:jc w:val="center"/>
            </w:pPr>
            <w:r w:rsidRPr="005728DD">
              <w:t>&lt;0.0001</w:t>
            </w:r>
          </w:p>
        </w:tc>
      </w:tr>
    </w:tbl>
    <w:p w:rsidR="006208C1" w:rsidRPr="005728DD" w:rsidRDefault="006208C1" w:rsidP="001369B5">
      <w:pPr>
        <w:pStyle w:val="TableFigureFooter"/>
        <w:keepNext/>
        <w:keepLines/>
        <w:rPr>
          <w:sz w:val="20"/>
        </w:rPr>
      </w:pPr>
      <w:r w:rsidRPr="005728DD">
        <w:t>Source: Developed during the evaluation based on Table 2.3.13, p85; Table 2.3.14, p86; Table 2.4.13, p118; Table 2.5.15, p147 of the submission</w:t>
      </w:r>
    </w:p>
    <w:p w:rsidR="006208C1" w:rsidRPr="005728DD" w:rsidRDefault="006208C1" w:rsidP="001369B5">
      <w:pPr>
        <w:pStyle w:val="TableFigureFooter"/>
        <w:keepNext/>
        <w:keepLines/>
        <w:spacing w:after="0"/>
      </w:pPr>
      <w:r w:rsidRPr="005728DD">
        <w:t xml:space="preserve">Abbreviations: BMI = body mass index; CI = confidence interval; </w:t>
      </w:r>
      <w:r w:rsidRPr="005728DD">
        <w:rPr>
          <w:bCs/>
          <w:szCs w:val="20"/>
        </w:rPr>
        <w:t xml:space="preserve">F/F = CF patient homozygous for the F508del-CFTR mutation; F/MF = CF patient heterozygous for the F508del in the CFTR gene with a minimal function mutation; </w:t>
      </w:r>
      <w:r w:rsidRPr="005728DD">
        <w:rPr>
          <w:rFonts w:eastAsia="Calibri"/>
        </w:rPr>
        <w:t>N = total patients in group</w:t>
      </w:r>
      <w:r w:rsidR="001369B5" w:rsidRPr="005728DD">
        <w:rPr>
          <w:rFonts w:eastAsia="Calibri"/>
        </w:rPr>
        <w:t xml:space="preserve"> </w:t>
      </w:r>
      <w:r w:rsidRPr="005728DD">
        <w:t xml:space="preserve">SD = standard deviation; SE = standard error; w = week </w:t>
      </w:r>
    </w:p>
    <w:p w:rsidR="006208C1" w:rsidRPr="005728DD" w:rsidRDefault="006208C1" w:rsidP="001369B5">
      <w:pPr>
        <w:keepNext/>
        <w:keepLines/>
        <w:rPr>
          <w:rFonts w:ascii="Arial Narrow" w:hAnsi="Arial Narrow"/>
          <w:sz w:val="18"/>
          <w:szCs w:val="18"/>
        </w:rPr>
      </w:pPr>
      <w:r w:rsidRPr="005728DD">
        <w:rPr>
          <w:rFonts w:ascii="Arial Narrow" w:eastAsia="Calibri" w:hAnsi="Arial Narrow"/>
          <w:sz w:val="18"/>
          <w:szCs w:val="18"/>
        </w:rPr>
        <w:t>Bold indicates statistically significant difference</w:t>
      </w:r>
    </w:p>
    <w:p w:rsidR="006208C1" w:rsidRPr="005728DD" w:rsidRDefault="006208C1" w:rsidP="006208C1">
      <w:pPr>
        <w:pStyle w:val="3-BodyText"/>
        <w:numPr>
          <w:ilvl w:val="0"/>
          <w:numId w:val="0"/>
        </w:numPr>
      </w:pPr>
    </w:p>
    <w:p w:rsidR="001F49A3" w:rsidRPr="005728DD" w:rsidRDefault="001F49A3" w:rsidP="008461C6">
      <w:pPr>
        <w:pStyle w:val="3-BodyText"/>
        <w:rPr>
          <w:i/>
        </w:rPr>
      </w:pPr>
      <w:r w:rsidRPr="005728DD">
        <w:t xml:space="preserve">Only Study 102 </w:t>
      </w:r>
      <w:r w:rsidR="00BA1F52" w:rsidRPr="005728DD">
        <w:t>(F/MF</w:t>
      </w:r>
      <w:r w:rsidR="008951A8" w:rsidRPr="005728DD">
        <w:t xml:space="preserve"> population</w:t>
      </w:r>
      <w:r w:rsidR="00BA1F52" w:rsidRPr="005728DD">
        <w:t xml:space="preserve">) </w:t>
      </w:r>
      <w:r w:rsidRPr="005728DD">
        <w:t>reported pulmonary exacerbation</w:t>
      </w:r>
      <w:r w:rsidR="00B22A9D" w:rsidRPr="005728DD">
        <w:t>s</w:t>
      </w:r>
      <w:r w:rsidRPr="005728DD">
        <w:t xml:space="preserve"> (PEx) </w:t>
      </w:r>
      <w:r w:rsidR="00B22A9D" w:rsidRPr="005728DD">
        <w:t xml:space="preserve">as an efficacy </w:t>
      </w:r>
      <w:r w:rsidRPr="005728DD">
        <w:t>outcome</w:t>
      </w:r>
      <w:r w:rsidR="00147761" w:rsidRPr="005728DD">
        <w:t xml:space="preserve"> (</w:t>
      </w:r>
      <w:r w:rsidR="005C56C0" w:rsidRPr="005728DD">
        <w:t xml:space="preserve">Table </w:t>
      </w:r>
      <w:r w:rsidR="005C56C0">
        <w:rPr>
          <w:noProof/>
        </w:rPr>
        <w:t>9</w:t>
      </w:r>
      <w:r w:rsidR="00147761" w:rsidRPr="005728DD">
        <w:t>)</w:t>
      </w:r>
      <w:r w:rsidRPr="005728DD">
        <w:t xml:space="preserve">. </w:t>
      </w:r>
      <w:r w:rsidR="00A05F76" w:rsidRPr="005728DD">
        <w:t xml:space="preserve">The results </w:t>
      </w:r>
      <w:r w:rsidR="00D22238" w:rsidRPr="005728DD">
        <w:t>from</w:t>
      </w:r>
      <w:r w:rsidR="00A05F76" w:rsidRPr="005728DD">
        <w:t xml:space="preserve"> the trial indicated that ELX/TEZ/IVA resulted in a statistically significant reduction in PEx through Week 24, with a PEx rate that was 63% lower in the ELX/TEZ/IVA group than the placebo group (rate ratio = 0.37; 95% CI: 0.25, 0.55; P&lt;0.0001). </w:t>
      </w:r>
      <w:r w:rsidR="0033673B" w:rsidRPr="005728DD">
        <w:t xml:space="preserve">No </w:t>
      </w:r>
      <w:r w:rsidR="002271B4" w:rsidRPr="005728DD">
        <w:t xml:space="preserve">evidence </w:t>
      </w:r>
      <w:r w:rsidR="0033673B" w:rsidRPr="005728DD">
        <w:t xml:space="preserve">was presented </w:t>
      </w:r>
      <w:r w:rsidR="002271B4" w:rsidRPr="005728DD">
        <w:t>comparing ELX/TEZ/IVA with TEZ/IVA</w:t>
      </w:r>
      <w:r w:rsidR="008951A8" w:rsidRPr="005728DD">
        <w:t xml:space="preserve"> (for the F/F and F/RF population</w:t>
      </w:r>
      <w:r w:rsidR="00BA1F52" w:rsidRPr="005728DD">
        <w:t xml:space="preserve">s) or with IVA (for </w:t>
      </w:r>
      <w:r w:rsidR="008951A8" w:rsidRPr="005728DD">
        <w:t>the F/G populations</w:t>
      </w:r>
      <w:r w:rsidR="00BA1F52" w:rsidRPr="005728DD">
        <w:t>)</w:t>
      </w:r>
      <w:r w:rsidR="002271B4" w:rsidRPr="005728DD">
        <w:t xml:space="preserve"> for </w:t>
      </w:r>
      <w:r w:rsidR="008951A8" w:rsidRPr="005728DD">
        <w:t xml:space="preserve">the </w:t>
      </w:r>
      <w:r w:rsidR="002271B4" w:rsidRPr="005728DD">
        <w:t>PEx outcome</w:t>
      </w:r>
      <w:r w:rsidR="00D22482" w:rsidRPr="005728DD">
        <w:t xml:space="preserve"> (infective PEx as an adverse </w:t>
      </w:r>
      <w:r w:rsidR="004239D3" w:rsidRPr="005728DD">
        <w:t xml:space="preserve">event is discussed in </w:t>
      </w:r>
      <w:r w:rsidR="004239D3" w:rsidRPr="00C04D0B">
        <w:t>paragraphs 6.2</w:t>
      </w:r>
      <w:r w:rsidR="006770EA" w:rsidRPr="00C04D0B">
        <w:t>1</w:t>
      </w:r>
      <w:r w:rsidR="004239D3" w:rsidRPr="00C04D0B">
        <w:t xml:space="preserve"> and 6.2</w:t>
      </w:r>
      <w:r w:rsidR="006770EA" w:rsidRPr="00C04D0B">
        <w:t>2</w:t>
      </w:r>
      <w:r w:rsidR="00D22482" w:rsidRPr="00C04D0B">
        <w:t>)</w:t>
      </w:r>
      <w:r w:rsidR="002C6F97" w:rsidRPr="00C04D0B">
        <w:t>.</w:t>
      </w:r>
      <w:r w:rsidR="00F3526F" w:rsidRPr="005728DD">
        <w:t xml:space="preserve"> The ESC recalled the sponsor had previously stated that </w:t>
      </w:r>
      <w:r w:rsidR="008461C6" w:rsidRPr="005728DD">
        <w:t xml:space="preserve">PEx are the primary cause of morbidity in CF and associated with a permanent decline in lung function </w:t>
      </w:r>
      <w:r w:rsidR="00F3526F" w:rsidRPr="005728DD">
        <w:t xml:space="preserve">(paragraph 6.17, LUM/IVA </w:t>
      </w:r>
      <w:r w:rsidR="008461C6" w:rsidRPr="005728DD">
        <w:t>PSD, July 2018 PBAC meeting). The PBAC acknowledged that a reduction in PEx is an important clinical outcome for CF patients; however, the PBAC considered that there was still uncertainty around the longer term impact of LUM/IVA on PEx (beyond 96 weeks) (paragraph 6.17, LUM/IVA PSD, July 2018 PBAC meeting).</w:t>
      </w:r>
    </w:p>
    <w:p w:rsidR="00147761" w:rsidRPr="005728DD" w:rsidRDefault="00147761" w:rsidP="00147761">
      <w:pPr>
        <w:pStyle w:val="TableFigureHeading"/>
        <w:rPr>
          <w:rStyle w:val="CommentReference"/>
          <w:b/>
          <w:szCs w:val="24"/>
        </w:rPr>
      </w:pPr>
      <w:bookmarkStart w:id="23" w:name="_Ref64621836"/>
      <w:r w:rsidRPr="005728DD">
        <w:t xml:space="preserve">Table </w:t>
      </w:r>
      <w:r w:rsidR="005C56C0">
        <w:rPr>
          <w:noProof/>
        </w:rPr>
        <w:t>9</w:t>
      </w:r>
      <w:bookmarkEnd w:id="23"/>
      <w:r w:rsidRPr="005728DD">
        <w:t xml:space="preserve">: </w:t>
      </w:r>
      <w:r w:rsidRPr="005728DD">
        <w:rPr>
          <w:rStyle w:val="CommentReference"/>
          <w:b/>
          <w:szCs w:val="24"/>
        </w:rPr>
        <w:t>Results of estimated event rate per year for PEx in</w:t>
      </w:r>
      <w:r w:rsidR="008454D7" w:rsidRPr="005728DD">
        <w:rPr>
          <w:rStyle w:val="CommentReference"/>
          <w:b/>
          <w:szCs w:val="24"/>
        </w:rPr>
        <w:t xml:space="preserve"> Study 102 (F/MF population)</w:t>
      </w:r>
      <w:r w:rsidRPr="005728DD">
        <w:rPr>
          <w:rStyle w:val="CommentReference"/>
          <w:b/>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63"/>
        <w:gridCol w:w="1714"/>
        <w:gridCol w:w="1806"/>
        <w:gridCol w:w="1776"/>
        <w:gridCol w:w="1739"/>
      </w:tblGrid>
      <w:tr w:rsidR="008454D7" w:rsidRPr="005728DD" w:rsidTr="008454D7">
        <w:trPr>
          <w:tblHeader/>
        </w:trPr>
        <w:tc>
          <w:tcPr>
            <w:tcW w:w="1047" w:type="pct"/>
            <w:vAlign w:val="center"/>
          </w:tcPr>
          <w:p w:rsidR="008454D7" w:rsidRPr="005728DD" w:rsidRDefault="008454D7" w:rsidP="00147761">
            <w:pPr>
              <w:pStyle w:val="In-tableHeading"/>
              <w:rPr>
                <w:lang w:val="en-AU"/>
              </w:rPr>
            </w:pPr>
            <w:r w:rsidRPr="005728DD">
              <w:rPr>
                <w:lang w:val="en-AU"/>
              </w:rPr>
              <w:t>Population</w:t>
            </w:r>
          </w:p>
          <w:p w:rsidR="008454D7" w:rsidRPr="005728DD" w:rsidRDefault="008454D7" w:rsidP="00147761">
            <w:pPr>
              <w:pStyle w:val="In-tableHeading"/>
              <w:rPr>
                <w:b w:val="0"/>
                <w:lang w:val="en-AU"/>
              </w:rPr>
            </w:pPr>
            <w:r w:rsidRPr="005728DD">
              <w:rPr>
                <w:b w:val="0"/>
                <w:lang w:val="en-AU"/>
              </w:rPr>
              <w:t>Trial, follow-up</w:t>
            </w:r>
          </w:p>
        </w:tc>
        <w:tc>
          <w:tcPr>
            <w:tcW w:w="1978" w:type="pct"/>
            <w:gridSpan w:val="2"/>
            <w:vAlign w:val="center"/>
          </w:tcPr>
          <w:p w:rsidR="008454D7" w:rsidRPr="005728DD" w:rsidRDefault="008454D7" w:rsidP="00F32F12">
            <w:pPr>
              <w:pStyle w:val="In-tableHeading"/>
              <w:jc w:val="center"/>
              <w:rPr>
                <w:lang w:val="en-AU"/>
              </w:rPr>
            </w:pPr>
            <w:r w:rsidRPr="005728DD">
              <w:rPr>
                <w:lang w:val="en-AU"/>
              </w:rPr>
              <w:t>Event rate per year</w:t>
            </w:r>
          </w:p>
        </w:tc>
        <w:tc>
          <w:tcPr>
            <w:tcW w:w="998" w:type="pct"/>
            <w:vAlign w:val="center"/>
          </w:tcPr>
          <w:p w:rsidR="008454D7" w:rsidRPr="005728DD" w:rsidRDefault="008454D7" w:rsidP="00F32F12">
            <w:pPr>
              <w:pStyle w:val="In-tableHeading"/>
              <w:jc w:val="center"/>
              <w:rPr>
                <w:lang w:val="en-AU"/>
              </w:rPr>
            </w:pPr>
            <w:r w:rsidRPr="005728DD">
              <w:rPr>
                <w:lang w:val="en-AU"/>
              </w:rPr>
              <w:t>Rate ratio (95% CI)</w:t>
            </w:r>
          </w:p>
        </w:tc>
        <w:tc>
          <w:tcPr>
            <w:tcW w:w="977" w:type="pct"/>
            <w:vAlign w:val="center"/>
          </w:tcPr>
          <w:p w:rsidR="008454D7" w:rsidRPr="005728DD" w:rsidRDefault="008454D7" w:rsidP="00F32F12">
            <w:pPr>
              <w:pStyle w:val="In-tableHeading"/>
              <w:jc w:val="center"/>
              <w:rPr>
                <w:lang w:val="en-AU"/>
              </w:rPr>
            </w:pPr>
            <w:r w:rsidRPr="005728DD">
              <w:rPr>
                <w:lang w:val="en-AU"/>
              </w:rPr>
              <w:t>P-value</w:t>
            </w:r>
          </w:p>
        </w:tc>
      </w:tr>
      <w:tr w:rsidR="002B2590" w:rsidRPr="005728DD" w:rsidTr="008454D7">
        <w:tc>
          <w:tcPr>
            <w:tcW w:w="1047" w:type="pct"/>
            <w:vAlign w:val="center"/>
          </w:tcPr>
          <w:p w:rsidR="002B2590" w:rsidRPr="005728DD" w:rsidRDefault="002B2590" w:rsidP="008454D7">
            <w:pPr>
              <w:pStyle w:val="TableText0"/>
              <w:rPr>
                <w:b/>
              </w:rPr>
            </w:pPr>
            <w:r w:rsidRPr="005728DD">
              <w:rPr>
                <w:b/>
              </w:rPr>
              <w:t>F/MF</w:t>
            </w:r>
          </w:p>
        </w:tc>
        <w:tc>
          <w:tcPr>
            <w:tcW w:w="963" w:type="pct"/>
            <w:vAlign w:val="center"/>
          </w:tcPr>
          <w:p w:rsidR="002B2590" w:rsidRPr="005728DD" w:rsidRDefault="002B2590" w:rsidP="002B2590">
            <w:pPr>
              <w:pStyle w:val="TableText0"/>
              <w:jc w:val="center"/>
              <w:rPr>
                <w:b/>
              </w:rPr>
            </w:pPr>
            <w:r w:rsidRPr="005728DD">
              <w:rPr>
                <w:b/>
              </w:rPr>
              <w:t>ELX/TEZ/IVA</w:t>
            </w:r>
          </w:p>
        </w:tc>
        <w:tc>
          <w:tcPr>
            <w:tcW w:w="1015" w:type="pct"/>
            <w:vAlign w:val="center"/>
          </w:tcPr>
          <w:p w:rsidR="002B2590" w:rsidRPr="005728DD" w:rsidRDefault="002B2590" w:rsidP="002B2590">
            <w:pPr>
              <w:pStyle w:val="TableText0"/>
              <w:jc w:val="center"/>
              <w:rPr>
                <w:b/>
              </w:rPr>
            </w:pPr>
            <w:r w:rsidRPr="005728DD">
              <w:rPr>
                <w:b/>
              </w:rPr>
              <w:t>BSC</w:t>
            </w:r>
          </w:p>
        </w:tc>
        <w:tc>
          <w:tcPr>
            <w:tcW w:w="998" w:type="pct"/>
            <w:vAlign w:val="center"/>
          </w:tcPr>
          <w:p w:rsidR="002B2590" w:rsidRPr="005728DD" w:rsidRDefault="002B2590" w:rsidP="002B2590">
            <w:pPr>
              <w:pStyle w:val="TableText0"/>
              <w:jc w:val="center"/>
            </w:pPr>
          </w:p>
        </w:tc>
        <w:tc>
          <w:tcPr>
            <w:tcW w:w="977" w:type="pct"/>
            <w:vAlign w:val="center"/>
          </w:tcPr>
          <w:p w:rsidR="002B2590" w:rsidRPr="005728DD" w:rsidRDefault="002B2590" w:rsidP="002B2590">
            <w:pPr>
              <w:pStyle w:val="TableText0"/>
              <w:jc w:val="center"/>
            </w:pPr>
          </w:p>
        </w:tc>
      </w:tr>
      <w:tr w:rsidR="002B2590" w:rsidRPr="005728DD" w:rsidTr="008454D7">
        <w:tc>
          <w:tcPr>
            <w:tcW w:w="1047" w:type="pct"/>
            <w:vAlign w:val="center"/>
          </w:tcPr>
          <w:p w:rsidR="002B2590" w:rsidRPr="005728DD" w:rsidRDefault="002B2590" w:rsidP="002B2590">
            <w:pPr>
              <w:pStyle w:val="TableText0"/>
            </w:pPr>
            <w:r w:rsidRPr="005728DD">
              <w:t>Study 102</w:t>
            </w:r>
            <w:r w:rsidR="00C610DF" w:rsidRPr="005728DD">
              <w:t>, w24</w:t>
            </w:r>
          </w:p>
        </w:tc>
        <w:tc>
          <w:tcPr>
            <w:tcW w:w="963" w:type="pct"/>
            <w:vAlign w:val="center"/>
          </w:tcPr>
          <w:p w:rsidR="002B2590" w:rsidRPr="005728DD" w:rsidRDefault="002B2590" w:rsidP="002B2590">
            <w:pPr>
              <w:pStyle w:val="TableText0"/>
              <w:jc w:val="center"/>
            </w:pPr>
            <w:r w:rsidRPr="005728DD">
              <w:t>0.37</w:t>
            </w:r>
          </w:p>
        </w:tc>
        <w:tc>
          <w:tcPr>
            <w:tcW w:w="1015" w:type="pct"/>
            <w:vAlign w:val="center"/>
          </w:tcPr>
          <w:p w:rsidR="002B2590" w:rsidRPr="005728DD" w:rsidRDefault="002B2590" w:rsidP="002B2590">
            <w:pPr>
              <w:pStyle w:val="TableText0"/>
              <w:jc w:val="center"/>
            </w:pPr>
            <w:r w:rsidRPr="005728DD">
              <w:t>0.98</w:t>
            </w:r>
          </w:p>
        </w:tc>
        <w:tc>
          <w:tcPr>
            <w:tcW w:w="998" w:type="pct"/>
            <w:vAlign w:val="center"/>
          </w:tcPr>
          <w:p w:rsidR="002B2590" w:rsidRPr="005728DD" w:rsidRDefault="002B2590" w:rsidP="002B2590">
            <w:pPr>
              <w:pStyle w:val="TableText0"/>
              <w:jc w:val="center"/>
              <w:rPr>
                <w:b/>
                <w:bCs w:val="0"/>
              </w:rPr>
            </w:pPr>
            <w:r w:rsidRPr="005728DD">
              <w:rPr>
                <w:b/>
                <w:bCs w:val="0"/>
              </w:rPr>
              <w:t>0.37 (0.25, 0.55)</w:t>
            </w:r>
          </w:p>
        </w:tc>
        <w:tc>
          <w:tcPr>
            <w:tcW w:w="977" w:type="pct"/>
            <w:vAlign w:val="center"/>
          </w:tcPr>
          <w:p w:rsidR="002B2590" w:rsidRPr="005728DD" w:rsidRDefault="002B2590" w:rsidP="002B2590">
            <w:pPr>
              <w:pStyle w:val="TableText0"/>
              <w:jc w:val="center"/>
            </w:pPr>
            <w:r w:rsidRPr="005728DD">
              <w:t>&lt;0.0001</w:t>
            </w:r>
          </w:p>
        </w:tc>
      </w:tr>
    </w:tbl>
    <w:p w:rsidR="00147761" w:rsidRPr="005728DD" w:rsidRDefault="00147761" w:rsidP="00147761">
      <w:pPr>
        <w:pStyle w:val="TableFigureFooter"/>
        <w:spacing w:after="0"/>
        <w:rPr>
          <w:sz w:val="20"/>
        </w:rPr>
      </w:pPr>
      <w:r w:rsidRPr="005728DD">
        <w:t>Source: Developed during the evaluation based on Table 2.4.15, 119 of the submission</w:t>
      </w:r>
    </w:p>
    <w:p w:rsidR="00147761" w:rsidRPr="005728DD" w:rsidRDefault="00147761" w:rsidP="00147761">
      <w:pPr>
        <w:pStyle w:val="TableFigNotes0"/>
        <w:rPr>
          <w:rFonts w:ascii="Arial Narrow" w:eastAsiaTheme="minorHAnsi" w:hAnsi="Arial Narrow"/>
          <w:sz w:val="18"/>
          <w:lang w:val="en-AU"/>
        </w:rPr>
      </w:pPr>
      <w:r w:rsidRPr="005728DD">
        <w:rPr>
          <w:rFonts w:ascii="Arial Narrow" w:eastAsiaTheme="minorHAnsi" w:hAnsi="Arial Narrow"/>
          <w:sz w:val="18"/>
          <w:lang w:val="en-AU"/>
        </w:rPr>
        <w:t>Abbreviations: CI = confidence interval; F/MF = CF patient heterozygous for the F508del in the CFTR gene with a minimal function mutation; PEx = pulmonary exacerbation; w = week</w:t>
      </w:r>
    </w:p>
    <w:p w:rsidR="00147761" w:rsidRPr="005728DD" w:rsidRDefault="00147761" w:rsidP="00147761">
      <w:pPr>
        <w:rPr>
          <w:rFonts w:ascii="Arial Narrow" w:eastAsia="Calibri" w:hAnsi="Arial Narrow"/>
          <w:sz w:val="18"/>
          <w:szCs w:val="18"/>
        </w:rPr>
      </w:pPr>
      <w:r w:rsidRPr="005728DD">
        <w:rPr>
          <w:rFonts w:ascii="Arial Narrow" w:eastAsiaTheme="minorHAnsi" w:hAnsi="Arial Narrow"/>
          <w:sz w:val="18"/>
        </w:rPr>
        <w:t>Notes: PEx was defined as any new or change in antibiotic therapy (IV, inhaled, or oral) for ≥4 sinopulmonary signs/symptoms. PEx analysis period duration in years as the offset. The event rate was calculated based on 336 days (48 weeks) in a year;</w:t>
      </w:r>
      <w:r w:rsidRPr="005728DD">
        <w:rPr>
          <w:rFonts w:ascii="Arial Narrow" w:eastAsia="Calibri" w:hAnsi="Arial Narrow"/>
          <w:sz w:val="18"/>
          <w:szCs w:val="18"/>
        </w:rPr>
        <w:t xml:space="preserve"> Bold indicates statistically significant difference</w:t>
      </w:r>
    </w:p>
    <w:p w:rsidR="00DC2FCD" w:rsidRPr="005728DD" w:rsidRDefault="00DC2FCD" w:rsidP="00147761">
      <w:pPr>
        <w:rPr>
          <w:rFonts w:ascii="Arial Narrow" w:hAnsi="Arial Narrow"/>
          <w:sz w:val="18"/>
          <w:szCs w:val="18"/>
        </w:rPr>
      </w:pPr>
    </w:p>
    <w:p w:rsidR="00A67821" w:rsidRPr="005728DD" w:rsidRDefault="00CA174A" w:rsidP="000B5AD8">
      <w:pPr>
        <w:pStyle w:val="3-BodyText"/>
        <w:rPr>
          <w:iCs/>
        </w:rPr>
      </w:pPr>
      <w:r w:rsidRPr="005728DD">
        <w:rPr>
          <w:iCs/>
        </w:rPr>
        <w:t xml:space="preserve">In addition to the lack of </w:t>
      </w:r>
      <w:r w:rsidR="008173AE" w:rsidRPr="005728DD">
        <w:rPr>
          <w:iCs/>
        </w:rPr>
        <w:t xml:space="preserve">efficacy </w:t>
      </w:r>
      <w:r w:rsidRPr="005728DD">
        <w:rPr>
          <w:iCs/>
        </w:rPr>
        <w:t>data for BMI and PEx, t</w:t>
      </w:r>
      <w:r w:rsidR="005147B7" w:rsidRPr="005728DD">
        <w:rPr>
          <w:iCs/>
        </w:rPr>
        <w:t>he</w:t>
      </w:r>
      <w:r w:rsidR="001F49A3" w:rsidRPr="005728DD">
        <w:rPr>
          <w:iCs/>
        </w:rPr>
        <w:t xml:space="preserve"> </w:t>
      </w:r>
      <w:r w:rsidR="00000370" w:rsidRPr="005728DD">
        <w:rPr>
          <w:iCs/>
        </w:rPr>
        <w:t xml:space="preserve">main </w:t>
      </w:r>
      <w:r w:rsidR="001F49A3" w:rsidRPr="005728DD">
        <w:rPr>
          <w:iCs/>
        </w:rPr>
        <w:t xml:space="preserve">issue for the clinical </w:t>
      </w:r>
      <w:r w:rsidR="00B22A9D" w:rsidRPr="005728DD">
        <w:rPr>
          <w:iCs/>
        </w:rPr>
        <w:t xml:space="preserve">efficacy data </w:t>
      </w:r>
      <w:r w:rsidR="001F49A3" w:rsidRPr="005728DD">
        <w:rPr>
          <w:iCs/>
        </w:rPr>
        <w:t xml:space="preserve">is that </w:t>
      </w:r>
      <w:r w:rsidR="00B22A9D" w:rsidRPr="005728DD">
        <w:rPr>
          <w:iCs/>
        </w:rPr>
        <w:t>they were</w:t>
      </w:r>
      <w:r w:rsidR="001F49A3" w:rsidRPr="005728DD">
        <w:rPr>
          <w:iCs/>
        </w:rPr>
        <w:t xml:space="preserve"> based on </w:t>
      </w:r>
      <w:r w:rsidR="00B22A9D" w:rsidRPr="005728DD">
        <w:rPr>
          <w:iCs/>
        </w:rPr>
        <w:t xml:space="preserve">a </w:t>
      </w:r>
      <w:r w:rsidR="001F49A3" w:rsidRPr="005728DD">
        <w:rPr>
          <w:iCs/>
        </w:rPr>
        <w:t>short duration of follow-up</w:t>
      </w:r>
      <w:r w:rsidR="000B5AD8" w:rsidRPr="005728DD">
        <w:rPr>
          <w:iCs/>
        </w:rPr>
        <w:t xml:space="preserve"> (4 and 24 weeks for F/F population, 8 weeks for F/RF and F/G populations and 24 weeks for the F/MF population)</w:t>
      </w:r>
      <w:r w:rsidR="00A67821" w:rsidRPr="005728DD">
        <w:rPr>
          <w:iCs/>
        </w:rPr>
        <w:t>.</w:t>
      </w:r>
    </w:p>
    <w:p w:rsidR="001F49A3" w:rsidRPr="005728DD" w:rsidRDefault="001F49A3" w:rsidP="000B5AD8">
      <w:pPr>
        <w:pStyle w:val="3-BodyText"/>
        <w:rPr>
          <w:iCs/>
        </w:rPr>
      </w:pPr>
      <w:r w:rsidRPr="005728DD">
        <w:rPr>
          <w:iCs/>
        </w:rPr>
        <w:t xml:space="preserve">The PBAC has </w:t>
      </w:r>
      <w:r w:rsidR="00236441" w:rsidRPr="005728DD">
        <w:rPr>
          <w:iCs/>
        </w:rPr>
        <w:t xml:space="preserve">previously </w:t>
      </w:r>
      <w:r w:rsidR="00F91D20" w:rsidRPr="005728DD">
        <w:rPr>
          <w:iCs/>
        </w:rPr>
        <w:t xml:space="preserve">considered </w:t>
      </w:r>
      <w:r w:rsidRPr="005728DD">
        <w:rPr>
          <w:iCs/>
        </w:rPr>
        <w:t xml:space="preserve">submissions presenting </w:t>
      </w:r>
      <w:r w:rsidR="003B1A99" w:rsidRPr="005728DD">
        <w:rPr>
          <w:iCs/>
        </w:rPr>
        <w:t xml:space="preserve">comparative </w:t>
      </w:r>
      <w:r w:rsidRPr="005728DD">
        <w:rPr>
          <w:iCs/>
        </w:rPr>
        <w:t>evidence based on 8 to 24 weeks in duration in the same setting and considered these to be of a short duration of follow-up</w:t>
      </w:r>
      <w:r w:rsidR="003C0324" w:rsidRPr="005728DD">
        <w:rPr>
          <w:iCs/>
        </w:rPr>
        <w:t xml:space="preserve"> and that it was unknown whether such treatment effect in improvement of ppFEV</w:t>
      </w:r>
      <w:r w:rsidR="003C0324" w:rsidRPr="005728DD">
        <w:rPr>
          <w:iCs/>
          <w:vertAlign w:val="subscript"/>
        </w:rPr>
        <w:t>1</w:t>
      </w:r>
      <w:r w:rsidR="003C0324" w:rsidRPr="005728DD">
        <w:rPr>
          <w:iCs/>
        </w:rPr>
        <w:t xml:space="preserve"> would be maintained longer term or whether the </w:t>
      </w:r>
      <w:r w:rsidR="003C0324" w:rsidRPr="005728DD">
        <w:rPr>
          <w:iCs/>
        </w:rPr>
        <w:lastRenderedPageBreak/>
        <w:t>treatment effect would translate to a gain in life expectancy</w:t>
      </w:r>
      <w:r w:rsidR="00366DFE" w:rsidRPr="005728DD">
        <w:rPr>
          <w:iCs/>
        </w:rPr>
        <w:t xml:space="preserve"> (paragraph 7.5, </w:t>
      </w:r>
      <w:r w:rsidR="00D22482" w:rsidRPr="005728DD">
        <w:rPr>
          <w:iCs/>
        </w:rPr>
        <w:t>TEZ/IVA</w:t>
      </w:r>
      <w:r w:rsidR="008173AE" w:rsidRPr="005728DD">
        <w:rPr>
          <w:iCs/>
        </w:rPr>
        <w:t xml:space="preserve"> </w:t>
      </w:r>
      <w:r w:rsidR="00366DFE" w:rsidRPr="005728DD">
        <w:rPr>
          <w:iCs/>
        </w:rPr>
        <w:t>PSD, March 2019 PBAC meeting</w:t>
      </w:r>
      <w:r w:rsidR="00DF5244" w:rsidRPr="005728DD">
        <w:rPr>
          <w:iCs/>
        </w:rPr>
        <w:t>; RF</w:t>
      </w:r>
      <w:r w:rsidR="00366DFE" w:rsidRPr="005728DD">
        <w:rPr>
          <w:iCs/>
        </w:rPr>
        <w:t>)</w:t>
      </w:r>
      <w:r w:rsidR="0033673B" w:rsidRPr="005728DD">
        <w:rPr>
          <w:iCs/>
        </w:rPr>
        <w:t>.</w:t>
      </w:r>
      <w:r w:rsidR="008B5EF9" w:rsidRPr="005728DD">
        <w:rPr>
          <w:iCs/>
        </w:rPr>
        <w:t xml:space="preserve"> </w:t>
      </w:r>
    </w:p>
    <w:p w:rsidR="00C94130" w:rsidRPr="005728DD" w:rsidRDefault="00125CD2" w:rsidP="00900E4C">
      <w:pPr>
        <w:pStyle w:val="3-BodyText"/>
      </w:pPr>
      <w:r w:rsidRPr="005728DD">
        <w:t xml:space="preserve"> </w:t>
      </w:r>
      <w:r w:rsidR="00D22482" w:rsidRPr="005728DD">
        <w:t>T</w:t>
      </w:r>
      <w:r w:rsidRPr="005728DD">
        <w:t xml:space="preserve">he </w:t>
      </w:r>
      <w:r w:rsidR="00D22482" w:rsidRPr="005728DD">
        <w:t xml:space="preserve">patients included in the clinical </w:t>
      </w:r>
      <w:r w:rsidRPr="005728DD">
        <w:t>trials had mild or moderate lung dysfunction (ppFEV</w:t>
      </w:r>
      <w:r w:rsidRPr="005728DD">
        <w:rPr>
          <w:vertAlign w:val="subscript"/>
        </w:rPr>
        <w:t>1</w:t>
      </w:r>
      <w:r w:rsidRPr="005728DD">
        <w:t xml:space="preserve"> 40 to 90%)</w:t>
      </w:r>
      <w:r w:rsidR="00122136" w:rsidRPr="005728DD">
        <w:t xml:space="preserve">. Compared with the trials, CF patients aged 12 years and older in Australia </w:t>
      </w:r>
      <w:r w:rsidR="00A414D4" w:rsidRPr="005728DD">
        <w:t xml:space="preserve">appear to have </w:t>
      </w:r>
      <w:r w:rsidR="00AC6553" w:rsidRPr="005728DD">
        <w:t xml:space="preserve">better </w:t>
      </w:r>
      <w:r w:rsidR="00A414D4" w:rsidRPr="005728DD">
        <w:t>lung function (ACFDR 2019 report</w:t>
      </w:r>
      <w:r w:rsidR="00433B6A" w:rsidRPr="005728DD">
        <w:t>; 2017 data</w:t>
      </w:r>
      <w:r w:rsidR="00A414D4" w:rsidRPr="005728DD">
        <w:t>)</w:t>
      </w:r>
      <w:r w:rsidR="00AC6553" w:rsidRPr="005728DD">
        <w:t xml:space="preserve">; </w:t>
      </w:r>
      <w:r w:rsidR="004777F4" w:rsidRPr="005728DD">
        <w:t xml:space="preserve">mean </w:t>
      </w:r>
      <w:r w:rsidR="00122136" w:rsidRPr="005728DD">
        <w:t>ppFEV</w:t>
      </w:r>
      <w:r w:rsidR="00122136" w:rsidRPr="005728DD">
        <w:rPr>
          <w:vertAlign w:val="subscript"/>
        </w:rPr>
        <w:t>1</w:t>
      </w:r>
      <w:r w:rsidR="00122136" w:rsidRPr="005728DD">
        <w:t xml:space="preserve"> </w:t>
      </w:r>
      <w:r w:rsidR="00AC6553" w:rsidRPr="005728DD">
        <w:t xml:space="preserve">in Australian CF patients </w:t>
      </w:r>
      <w:r w:rsidR="00940DBF" w:rsidRPr="005728DD">
        <w:t>rang</w:t>
      </w:r>
      <w:r w:rsidR="00AC6553" w:rsidRPr="005728DD">
        <w:t xml:space="preserve">es </w:t>
      </w:r>
      <w:r w:rsidR="00940DBF" w:rsidRPr="005728DD">
        <w:t>from 74.2 to 80.1</w:t>
      </w:r>
      <w:r w:rsidR="00AC6553" w:rsidRPr="005728DD">
        <w:t>%</w:t>
      </w:r>
      <w:r w:rsidR="00940DBF" w:rsidRPr="005728DD">
        <w:t xml:space="preserve"> </w:t>
      </w:r>
      <w:r w:rsidR="00433B6A" w:rsidRPr="005728DD">
        <w:t>(</w:t>
      </w:r>
      <w:r w:rsidR="00697C93" w:rsidRPr="005728DD">
        <w:t xml:space="preserve">depending on </w:t>
      </w:r>
      <w:r w:rsidR="00AC6553" w:rsidRPr="005728DD">
        <w:t xml:space="preserve">the </w:t>
      </w:r>
      <w:r w:rsidR="00697C93" w:rsidRPr="005728DD">
        <w:t>population</w:t>
      </w:r>
      <w:r w:rsidR="00433B6A" w:rsidRPr="005728DD">
        <w:t>)</w:t>
      </w:r>
      <w:r w:rsidR="00697C93" w:rsidRPr="005728DD">
        <w:t xml:space="preserve"> </w:t>
      </w:r>
      <w:r w:rsidR="00E77567" w:rsidRPr="005728DD">
        <w:t>versus 60.9 to</w:t>
      </w:r>
      <w:r w:rsidR="006056CD" w:rsidRPr="005728DD">
        <w:t xml:space="preserve"> </w:t>
      </w:r>
      <w:r w:rsidR="00E77567" w:rsidRPr="005728DD">
        <w:t>67.9</w:t>
      </w:r>
      <w:r w:rsidR="00F908EC" w:rsidRPr="005728DD">
        <w:t>%</w:t>
      </w:r>
      <w:r w:rsidR="006056CD" w:rsidRPr="005728DD">
        <w:t xml:space="preserve"> in the trials</w:t>
      </w:r>
      <w:r w:rsidR="002544BE" w:rsidRPr="005728DD">
        <w:t xml:space="preserve">. The ESC noted </w:t>
      </w:r>
      <w:r w:rsidR="00940DBF" w:rsidRPr="005728DD">
        <w:t>28% of Australian patients</w:t>
      </w:r>
      <w:r w:rsidR="00203278" w:rsidRPr="005728DD">
        <w:t xml:space="preserve"> </w:t>
      </w:r>
      <w:r w:rsidR="00B65B44" w:rsidRPr="005728DD">
        <w:t xml:space="preserve">were </w:t>
      </w:r>
      <w:r w:rsidR="00940DBF" w:rsidRPr="005728DD">
        <w:t>classified as having a normal lung function (ppFEV</w:t>
      </w:r>
      <w:r w:rsidR="00940DBF" w:rsidRPr="005728DD">
        <w:rPr>
          <w:vertAlign w:val="subscript"/>
        </w:rPr>
        <w:t>1</w:t>
      </w:r>
      <w:r w:rsidR="00940DBF" w:rsidRPr="005728DD">
        <w:t xml:space="preserve"> </w:t>
      </w:r>
      <w:r w:rsidR="00B57262" w:rsidRPr="005728DD">
        <w:t>≥</w:t>
      </w:r>
      <w:r w:rsidR="00940DBF" w:rsidRPr="005728DD">
        <w:t xml:space="preserve"> 90)</w:t>
      </w:r>
      <w:r w:rsidR="0025021D" w:rsidRPr="005728DD">
        <w:t xml:space="preserve"> versus 3% in the trials</w:t>
      </w:r>
      <w:r w:rsidR="003B1A99" w:rsidRPr="005728DD">
        <w:t xml:space="preserve"> (</w:t>
      </w:r>
      <w:r w:rsidR="005C56C0" w:rsidRPr="005C56C0">
        <w:t>Table 10</w:t>
      </w:r>
      <w:r w:rsidR="003B1A99" w:rsidRPr="005728DD">
        <w:t>)</w:t>
      </w:r>
      <w:r w:rsidR="00E77567" w:rsidRPr="005728DD">
        <w:t>.</w:t>
      </w:r>
      <w:r w:rsidR="0064297C" w:rsidRPr="005728DD">
        <w:t xml:space="preserve"> </w:t>
      </w:r>
      <w:r w:rsidR="002544BE" w:rsidRPr="005728DD">
        <w:t xml:space="preserve">The </w:t>
      </w:r>
      <w:r w:rsidR="00900E4C" w:rsidRPr="00900E4C">
        <w:t xml:space="preserve">Pre-Sub-Committee Response </w:t>
      </w:r>
      <w:r w:rsidR="00900E4C">
        <w:t>(</w:t>
      </w:r>
      <w:r w:rsidR="002544BE" w:rsidRPr="005728DD">
        <w:t>PSCR</w:t>
      </w:r>
      <w:r w:rsidR="00900E4C">
        <w:t>)</w:t>
      </w:r>
      <w:r w:rsidR="002544BE" w:rsidRPr="005728DD">
        <w:t xml:space="preserve">  stated that </w:t>
      </w:r>
      <w:r w:rsidR="002544BE" w:rsidRPr="005728DD">
        <w:rPr>
          <w:iCs/>
        </w:rPr>
        <w:t>for CF patients with normal lung function (ppFEV</w:t>
      </w:r>
      <w:r w:rsidR="002544BE" w:rsidRPr="005728DD">
        <w:rPr>
          <w:iCs/>
          <w:vertAlign w:val="subscript"/>
        </w:rPr>
        <w:t>1</w:t>
      </w:r>
      <w:r w:rsidR="002544BE" w:rsidRPr="005728DD">
        <w:rPr>
          <w:iCs/>
        </w:rPr>
        <w:t xml:space="preserve"> &gt; 90%), other manifestations of CF disease will be present such as pancreatic insufficiency and structural lung damage, and in these patients, pulmonary exacerbations and severe lung infections will lead to reduction in lung function. </w:t>
      </w:r>
      <w:r w:rsidR="002544BE" w:rsidRPr="005728DD">
        <w:t>The ESC noted there was no clinical evidence</w:t>
      </w:r>
      <w:r w:rsidR="002C217D" w:rsidRPr="005728DD">
        <w:t xml:space="preserve"> presented</w:t>
      </w:r>
      <w:r w:rsidR="002544BE" w:rsidRPr="005728DD">
        <w:t xml:space="preserve"> in patient</w:t>
      </w:r>
      <w:r w:rsidR="002C217D" w:rsidRPr="005728DD">
        <w:t>s</w:t>
      </w:r>
      <w:r w:rsidR="002544BE" w:rsidRPr="005728DD">
        <w:t xml:space="preserve"> with normal lung function</w:t>
      </w:r>
      <w:r w:rsidR="006F4954" w:rsidRPr="005728DD">
        <w:t xml:space="preserve">. </w:t>
      </w:r>
      <w:r w:rsidR="00CA174A" w:rsidRPr="005728DD">
        <w:t>T</w:t>
      </w:r>
      <w:r w:rsidR="007C6ADF" w:rsidRPr="005728DD">
        <w:t>he</w:t>
      </w:r>
      <w:r w:rsidR="00CA174A" w:rsidRPr="005728DD">
        <w:t xml:space="preserve"> ESC noted </w:t>
      </w:r>
      <w:r w:rsidR="006200F2" w:rsidRPr="005728DD">
        <w:t xml:space="preserve">results from a subgroup analysis from Study 103 </w:t>
      </w:r>
      <w:r w:rsidR="00122136" w:rsidRPr="005728DD">
        <w:t>suggest that those with higher ppFEV</w:t>
      </w:r>
      <w:r w:rsidR="00122136" w:rsidRPr="005728DD">
        <w:rPr>
          <w:vertAlign w:val="subscript"/>
        </w:rPr>
        <w:t>1</w:t>
      </w:r>
      <w:r w:rsidR="00122136" w:rsidRPr="005728DD">
        <w:t xml:space="preserve"> at baseline may experience less benefit</w:t>
      </w:r>
      <w:r w:rsidR="00890620" w:rsidRPr="005728DD">
        <w:t xml:space="preserve"> in improving ppFEV</w:t>
      </w:r>
      <w:r w:rsidR="00890620" w:rsidRPr="005728DD">
        <w:rPr>
          <w:vertAlign w:val="subscript"/>
        </w:rPr>
        <w:t>1</w:t>
      </w:r>
      <w:r w:rsidR="00122136" w:rsidRPr="005728DD">
        <w:t xml:space="preserve"> from treatment</w:t>
      </w:r>
      <w:r w:rsidR="004D0183" w:rsidRPr="005728DD">
        <w:t xml:space="preserve"> (6.3; 95% CI: 2.3, 10.4</w:t>
      </w:r>
      <w:r w:rsidR="00F072F7" w:rsidRPr="005728DD">
        <w:t xml:space="preserve"> in ppFEV</w:t>
      </w:r>
      <w:r w:rsidR="00F072F7" w:rsidRPr="005728DD">
        <w:rPr>
          <w:vertAlign w:val="subscript"/>
        </w:rPr>
        <w:t>1</w:t>
      </w:r>
      <w:r w:rsidR="00F072F7" w:rsidRPr="005728DD">
        <w:t xml:space="preserve"> </w:t>
      </w:r>
      <w:r w:rsidR="00F072F7" w:rsidRPr="005728DD">
        <w:rPr>
          <w:rFonts w:cstheme="minorHAnsi"/>
        </w:rPr>
        <w:t>≥</w:t>
      </w:r>
      <w:r w:rsidR="00F072F7" w:rsidRPr="005728DD">
        <w:t xml:space="preserve"> 70 versus </w:t>
      </w:r>
      <w:r w:rsidR="004D0183" w:rsidRPr="005728DD">
        <w:t>11.2; 95% CI: 8.0, 14.4</w:t>
      </w:r>
      <w:r w:rsidR="00F072F7" w:rsidRPr="005728DD">
        <w:t xml:space="preserve"> in ppFEV</w:t>
      </w:r>
      <w:r w:rsidR="00F072F7" w:rsidRPr="005728DD">
        <w:rPr>
          <w:vertAlign w:val="subscript"/>
        </w:rPr>
        <w:t>1</w:t>
      </w:r>
      <w:r w:rsidR="00F072F7" w:rsidRPr="005728DD">
        <w:t xml:space="preserve"> </w:t>
      </w:r>
      <w:r w:rsidR="00F072F7" w:rsidRPr="005728DD">
        <w:rPr>
          <w:rFonts w:cstheme="minorHAnsi"/>
        </w:rPr>
        <w:t>&lt;</w:t>
      </w:r>
      <w:r w:rsidR="00F072F7" w:rsidRPr="005728DD">
        <w:t xml:space="preserve"> 70 based on Study 103</w:t>
      </w:r>
      <w:r w:rsidR="004D0183" w:rsidRPr="005728DD">
        <w:t xml:space="preserve">). </w:t>
      </w:r>
      <w:r w:rsidR="006F4954" w:rsidRPr="005728DD">
        <w:t>The ESC further noted it was unknown if treatment with ELX/TEZ/IVA resulted in improved outcomes compared with TEZ/IVA in patients with normal lung function.</w:t>
      </w:r>
    </w:p>
    <w:p w:rsidR="00C527DC" w:rsidRPr="005728DD" w:rsidRDefault="00C527DC" w:rsidP="00C527DC">
      <w:pPr>
        <w:keepNext/>
        <w:keepLines/>
        <w:rPr>
          <w:rFonts w:ascii="Arial Narrow" w:hAnsi="Arial Narrow"/>
          <w:b/>
          <w:bCs/>
          <w:sz w:val="20"/>
          <w:szCs w:val="20"/>
        </w:rPr>
      </w:pPr>
      <w:bookmarkStart w:id="24" w:name="_Ref64717312"/>
      <w:r w:rsidRPr="005728DD">
        <w:rPr>
          <w:rFonts w:ascii="Arial Narrow" w:hAnsi="Arial Narrow"/>
          <w:b/>
          <w:bCs/>
          <w:sz w:val="20"/>
          <w:szCs w:val="20"/>
        </w:rPr>
        <w:t xml:space="preserve">Table </w:t>
      </w:r>
      <w:r w:rsidR="005C56C0">
        <w:rPr>
          <w:rFonts w:ascii="Arial Narrow" w:hAnsi="Arial Narrow"/>
          <w:b/>
          <w:bCs/>
          <w:noProof/>
          <w:sz w:val="20"/>
          <w:szCs w:val="20"/>
        </w:rPr>
        <w:t>10</w:t>
      </w:r>
      <w:bookmarkEnd w:id="24"/>
      <w:r w:rsidRPr="005728DD">
        <w:rPr>
          <w:rFonts w:ascii="Arial Narrow" w:hAnsi="Arial Narrow"/>
          <w:b/>
          <w:bCs/>
          <w:sz w:val="20"/>
          <w:szCs w:val="20"/>
        </w:rPr>
        <w:t>: Comparing generated baseline ppFEV</w:t>
      </w:r>
      <w:r w:rsidRPr="005728DD">
        <w:rPr>
          <w:rFonts w:ascii="Arial Narrow" w:hAnsi="Arial Narrow"/>
          <w:b/>
          <w:bCs/>
          <w:sz w:val="20"/>
          <w:szCs w:val="20"/>
          <w:vertAlign w:val="subscript"/>
        </w:rPr>
        <w:t>1</w:t>
      </w:r>
      <w:r w:rsidRPr="005728DD">
        <w:rPr>
          <w:rFonts w:ascii="Arial Narrow" w:hAnsi="Arial Narrow"/>
          <w:b/>
          <w:bCs/>
          <w:sz w:val="20"/>
          <w:szCs w:val="20"/>
        </w:rPr>
        <w:t xml:space="preserve"> distribution by age groups in the model to Australian data</w:t>
      </w:r>
    </w:p>
    <w:tbl>
      <w:tblPr>
        <w:tblStyle w:val="TableGrid"/>
        <w:tblW w:w="5000" w:type="pct"/>
        <w:tblLook w:val="04A0" w:firstRow="1" w:lastRow="0" w:firstColumn="1" w:lastColumn="0" w:noHBand="0" w:noVBand="1"/>
        <w:tblCaption w:val="Table 10: Comparing generated baseline ppFEV1 distribution by age groups in the model to Australian data"/>
      </w:tblPr>
      <w:tblGrid>
        <w:gridCol w:w="823"/>
        <w:gridCol w:w="861"/>
        <w:gridCol w:w="1107"/>
        <w:gridCol w:w="861"/>
        <w:gridCol w:w="1107"/>
        <w:gridCol w:w="861"/>
        <w:gridCol w:w="1107"/>
        <w:gridCol w:w="1052"/>
        <w:gridCol w:w="1119"/>
      </w:tblGrid>
      <w:tr w:rsidR="00C527DC" w:rsidRPr="005728DD" w:rsidTr="005C66A3">
        <w:trPr>
          <w:tblHeader/>
        </w:trPr>
        <w:tc>
          <w:tcPr>
            <w:tcW w:w="462" w:type="pct"/>
            <w:tcBorders>
              <w:top w:val="single" w:sz="4" w:space="0" w:color="auto"/>
              <w:left w:val="single" w:sz="4" w:space="0" w:color="auto"/>
              <w:bottom w:val="single" w:sz="4" w:space="0" w:color="auto"/>
              <w:right w:val="single" w:sz="4" w:space="0" w:color="auto"/>
            </w:tcBorders>
          </w:tcPr>
          <w:p w:rsidR="00C527DC" w:rsidRPr="005728DD" w:rsidRDefault="00C527DC" w:rsidP="00C527DC">
            <w:pPr>
              <w:keepNext/>
              <w:keepLines/>
              <w:rPr>
                <w:rFonts w:ascii="Arial Narrow" w:hAnsi="Arial Narrow"/>
                <w:sz w:val="20"/>
                <w:szCs w:val="20"/>
              </w:rPr>
            </w:pP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&lt;40%</w:t>
            </w:r>
          </w:p>
          <w:p w:rsidR="00C527DC" w:rsidRPr="005728DD" w:rsidRDefault="00C527DC" w:rsidP="00C527DC">
            <w:pPr>
              <w:keepNext/>
              <w:keepLines/>
              <w:jc w:val="center"/>
              <w:rPr>
                <w:rFonts w:ascii="Arial Narrow" w:hAnsi="Arial Narrow"/>
                <w:b/>
                <w:bCs/>
                <w:sz w:val="20"/>
                <w:szCs w:val="20"/>
              </w:rPr>
            </w:pPr>
            <w:r w:rsidRPr="005728DD">
              <w:rPr>
                <w:rFonts w:ascii="Arial Narrow" w:hAnsi="Arial Narrow" w:cs="Calibri"/>
                <w:b/>
                <w:bCs/>
                <w:color w:val="000000"/>
                <w:sz w:val="20"/>
                <w:szCs w:val="20"/>
              </w:rPr>
              <w:t>(Severe)</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≥40%-70%</w:t>
            </w:r>
          </w:p>
          <w:p w:rsidR="00C527DC" w:rsidRPr="005728DD" w:rsidRDefault="00C527DC" w:rsidP="00C527DC">
            <w:pPr>
              <w:keepNext/>
              <w:keepLines/>
              <w:jc w:val="center"/>
              <w:rPr>
                <w:rFonts w:ascii="Arial Narrow" w:hAnsi="Arial Narrow"/>
                <w:b/>
                <w:bCs/>
                <w:sz w:val="20"/>
                <w:szCs w:val="20"/>
              </w:rPr>
            </w:pPr>
            <w:r w:rsidRPr="005728DD">
              <w:rPr>
                <w:rFonts w:ascii="Arial Narrow" w:hAnsi="Arial Narrow" w:cs="Calibri"/>
                <w:b/>
                <w:bCs/>
                <w:color w:val="000000"/>
                <w:sz w:val="20"/>
                <w:szCs w:val="20"/>
              </w:rPr>
              <w:t xml:space="preserve">(Moderate) </w:t>
            </w:r>
          </w:p>
        </w:tc>
        <w:tc>
          <w:tcPr>
            <w:tcW w:w="1106" w:type="pct"/>
            <w:gridSpan w:val="2"/>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≥70%-90%</w:t>
            </w:r>
          </w:p>
          <w:p w:rsidR="00C527DC" w:rsidRPr="005728DD" w:rsidRDefault="00C527DC" w:rsidP="00C527DC">
            <w:pPr>
              <w:keepNext/>
              <w:keepLines/>
              <w:jc w:val="center"/>
              <w:rPr>
                <w:rFonts w:ascii="Arial Narrow" w:hAnsi="Arial Narrow"/>
                <w:b/>
                <w:bCs/>
                <w:sz w:val="20"/>
                <w:szCs w:val="20"/>
              </w:rPr>
            </w:pPr>
            <w:r w:rsidRPr="005728DD">
              <w:rPr>
                <w:rFonts w:ascii="Arial Narrow" w:hAnsi="Arial Narrow"/>
                <w:b/>
                <w:bCs/>
                <w:sz w:val="20"/>
                <w:szCs w:val="20"/>
              </w:rPr>
              <w:t>(Mild)</w:t>
            </w:r>
          </w:p>
        </w:tc>
        <w:tc>
          <w:tcPr>
            <w:tcW w:w="1221" w:type="pct"/>
            <w:gridSpan w:val="2"/>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≥90%</w:t>
            </w:r>
          </w:p>
          <w:p w:rsidR="00C527DC" w:rsidRPr="005728DD" w:rsidRDefault="00C527DC" w:rsidP="00C527DC">
            <w:pPr>
              <w:keepNext/>
              <w:keepLines/>
              <w:jc w:val="center"/>
              <w:rPr>
                <w:rFonts w:ascii="Arial Narrow" w:hAnsi="Arial Narrow"/>
                <w:b/>
                <w:bCs/>
                <w:sz w:val="20"/>
                <w:szCs w:val="20"/>
              </w:rPr>
            </w:pPr>
            <w:r w:rsidRPr="005728DD">
              <w:rPr>
                <w:rFonts w:ascii="Arial Narrow" w:hAnsi="Arial Narrow" w:cs="Calibri"/>
                <w:b/>
                <w:bCs/>
                <w:color w:val="000000"/>
                <w:sz w:val="20"/>
                <w:szCs w:val="20"/>
              </w:rPr>
              <w:t>(Normal)</w:t>
            </w:r>
          </w:p>
        </w:tc>
      </w:tr>
      <w:tr w:rsidR="00C527DC" w:rsidRPr="005728DD" w:rsidTr="005C66A3">
        <w:tc>
          <w:tcPr>
            <w:tcW w:w="462" w:type="pct"/>
            <w:tcBorders>
              <w:top w:val="single" w:sz="4" w:space="0" w:color="auto"/>
              <w:left w:val="single" w:sz="4" w:space="0" w:color="auto"/>
              <w:bottom w:val="single" w:sz="4" w:space="0" w:color="auto"/>
              <w:right w:val="single" w:sz="4" w:space="0" w:color="auto"/>
            </w:tcBorders>
            <w:vAlign w:val="bottom"/>
          </w:tcPr>
          <w:p w:rsidR="00C527DC" w:rsidRPr="005728DD" w:rsidRDefault="00C527DC" w:rsidP="00C527DC">
            <w:pPr>
              <w:keepNext/>
              <w:keepLines/>
              <w:rPr>
                <w:rFonts w:ascii="Arial Narrow" w:hAnsi="Arial Narrow" w:cs="Calibri"/>
                <w:color w:val="000000"/>
                <w:sz w:val="20"/>
                <w:szCs w:val="20"/>
              </w:rPr>
            </w:pPr>
          </w:p>
        </w:tc>
        <w:tc>
          <w:tcPr>
            <w:tcW w:w="484"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484"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b/>
                <w:bCs/>
                <w:sz w:val="20"/>
                <w:szCs w:val="20"/>
              </w:rPr>
            </w:pPr>
            <w:r w:rsidRPr="005728DD">
              <w:rPr>
                <w:rFonts w:ascii="Arial Narrow" w:hAnsi="Arial Narrow"/>
                <w:b/>
                <w:bCs/>
                <w:sz w:val="20"/>
                <w:szCs w:val="20"/>
              </w:rPr>
              <w:t>Australia</w:t>
            </w:r>
          </w:p>
        </w:tc>
        <w:tc>
          <w:tcPr>
            <w:tcW w:w="591"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cs="Calibri"/>
                <w:b/>
                <w:bCs/>
                <w:color w:val="000000"/>
                <w:sz w:val="20"/>
                <w:szCs w:val="20"/>
              </w:rPr>
            </w:pPr>
            <w:r w:rsidRPr="005728DD">
              <w:rPr>
                <w:rFonts w:ascii="Arial Narrow" w:hAnsi="Arial Narrow" w:cs="Calibri"/>
                <w:b/>
                <w:bCs/>
                <w:color w:val="000000"/>
                <w:sz w:val="20"/>
                <w:szCs w:val="20"/>
              </w:rPr>
              <w:t>Model</w:t>
            </w:r>
          </w:p>
        </w:tc>
        <w:tc>
          <w:tcPr>
            <w:tcW w:w="626"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jc w:val="center"/>
              <w:rPr>
                <w:rFonts w:ascii="Arial Narrow" w:hAnsi="Arial Narrow"/>
                <w:b/>
                <w:bCs/>
                <w:sz w:val="20"/>
                <w:szCs w:val="20"/>
              </w:rPr>
            </w:pPr>
            <w:r w:rsidRPr="005728DD">
              <w:rPr>
                <w:rFonts w:ascii="Arial Narrow" w:hAnsi="Arial Narrow"/>
                <w:b/>
                <w:bCs/>
                <w:sz w:val="20"/>
                <w:szCs w:val="20"/>
              </w:rPr>
              <w:t>Australia</w:t>
            </w:r>
          </w:p>
        </w:tc>
      </w:tr>
      <w:tr w:rsidR="00C527DC" w:rsidRPr="005728DD" w:rsidTr="005C66A3">
        <w:tc>
          <w:tcPr>
            <w:tcW w:w="46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rPr>
                <w:rFonts w:ascii="Arial Narrow" w:hAnsi="Arial Narrow"/>
                <w:sz w:val="20"/>
                <w:szCs w:val="20"/>
              </w:rPr>
            </w:pPr>
            <w:r w:rsidRPr="005728DD">
              <w:rPr>
                <w:rFonts w:ascii="Arial Narrow" w:hAnsi="Arial Narrow" w:cs="Calibri"/>
                <w:color w:val="000000"/>
                <w:sz w:val="20"/>
                <w:szCs w:val="20"/>
              </w:rPr>
              <w:t>12-17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5%</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46%</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16%</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45%</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4%</w:t>
            </w:r>
          </w:p>
        </w:tc>
        <w:tc>
          <w:tcPr>
            <w:tcW w:w="626"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52%</w:t>
            </w:r>
          </w:p>
        </w:tc>
      </w:tr>
      <w:tr w:rsidR="00C527DC" w:rsidRPr="005728DD" w:rsidTr="005C66A3">
        <w:tc>
          <w:tcPr>
            <w:tcW w:w="46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rPr>
                <w:rFonts w:ascii="Arial Narrow" w:hAnsi="Arial Narrow"/>
                <w:sz w:val="20"/>
                <w:szCs w:val="20"/>
              </w:rPr>
            </w:pPr>
            <w:r w:rsidRPr="005728DD">
              <w:rPr>
                <w:rFonts w:ascii="Arial Narrow" w:hAnsi="Arial Narrow" w:cs="Calibri"/>
                <w:color w:val="000000"/>
                <w:sz w:val="20"/>
                <w:szCs w:val="20"/>
              </w:rPr>
              <w:t>18-29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64%</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34%</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27%</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32%</w:t>
            </w:r>
          </w:p>
        </w:tc>
        <w:tc>
          <w:tcPr>
            <w:tcW w:w="591"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sz w:val="20"/>
                <w:szCs w:val="20"/>
              </w:rPr>
              <w:t>26%</w:t>
            </w:r>
          </w:p>
        </w:tc>
      </w:tr>
      <w:tr w:rsidR="00C527DC" w:rsidRPr="005728DD" w:rsidTr="005C66A3">
        <w:tc>
          <w:tcPr>
            <w:tcW w:w="46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rPr>
                <w:rFonts w:ascii="Arial Narrow" w:hAnsi="Arial Narrow"/>
                <w:sz w:val="20"/>
                <w:szCs w:val="20"/>
              </w:rPr>
            </w:pPr>
            <w:r w:rsidRPr="005728DD">
              <w:rPr>
                <w:rFonts w:ascii="Arial Narrow" w:hAnsi="Arial Narrow" w:cs="Calibri"/>
                <w:color w:val="000000"/>
                <w:sz w:val="20"/>
                <w:szCs w:val="20"/>
              </w:rPr>
              <w:t>30+ years</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15%</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71%</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44%</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18%</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29%</w:t>
            </w:r>
          </w:p>
        </w:tc>
        <w:tc>
          <w:tcPr>
            <w:tcW w:w="591"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1%</w:t>
            </w:r>
          </w:p>
        </w:tc>
        <w:tc>
          <w:tcPr>
            <w:tcW w:w="626"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11%</w:t>
            </w:r>
          </w:p>
        </w:tc>
      </w:tr>
      <w:tr w:rsidR="00C527DC" w:rsidRPr="005728DD" w:rsidTr="005C66A3">
        <w:tc>
          <w:tcPr>
            <w:tcW w:w="462" w:type="pct"/>
            <w:tcBorders>
              <w:top w:val="single" w:sz="4" w:space="0" w:color="auto"/>
              <w:left w:val="single" w:sz="4" w:space="0" w:color="auto"/>
              <w:bottom w:val="single" w:sz="4" w:space="0" w:color="auto"/>
              <w:right w:val="single" w:sz="4" w:space="0" w:color="auto"/>
            </w:tcBorders>
            <w:vAlign w:val="bottom"/>
            <w:hideMark/>
          </w:tcPr>
          <w:p w:rsidR="00C527DC" w:rsidRPr="005728DD" w:rsidRDefault="00C527DC" w:rsidP="00C527DC">
            <w:pPr>
              <w:keepNext/>
              <w:keepLines/>
              <w:rPr>
                <w:rFonts w:ascii="Arial Narrow" w:hAnsi="Arial Narrow"/>
                <w:sz w:val="20"/>
                <w:szCs w:val="20"/>
              </w:rPr>
            </w:pPr>
            <w:r w:rsidRPr="005728DD">
              <w:rPr>
                <w:rFonts w:ascii="Arial Narrow" w:hAnsi="Arial Narrow" w:cs="Calibri"/>
                <w:color w:val="000000"/>
                <w:sz w:val="20"/>
                <w:szCs w:val="20"/>
              </w:rPr>
              <w:t>Total</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8%</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9%</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62%</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32%</w:t>
            </w:r>
          </w:p>
        </w:tc>
        <w:tc>
          <w:tcPr>
            <w:tcW w:w="484"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c>
          <w:tcPr>
            <w:tcW w:w="622"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30%</w:t>
            </w:r>
          </w:p>
        </w:tc>
        <w:tc>
          <w:tcPr>
            <w:tcW w:w="591"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2%</w:t>
            </w:r>
          </w:p>
        </w:tc>
        <w:tc>
          <w:tcPr>
            <w:tcW w:w="626" w:type="pct"/>
            <w:tcBorders>
              <w:top w:val="single" w:sz="4" w:space="0" w:color="auto"/>
              <w:left w:val="single" w:sz="4" w:space="0" w:color="auto"/>
              <w:bottom w:val="single" w:sz="4" w:space="0" w:color="auto"/>
              <w:right w:val="single" w:sz="4" w:space="0" w:color="auto"/>
            </w:tcBorders>
            <w:vAlign w:val="center"/>
            <w:hideMark/>
          </w:tcPr>
          <w:p w:rsidR="00C527DC" w:rsidRPr="005728DD" w:rsidRDefault="00C527DC" w:rsidP="00C527DC">
            <w:pPr>
              <w:keepNext/>
              <w:keepLines/>
              <w:jc w:val="center"/>
              <w:rPr>
                <w:rFonts w:ascii="Arial Narrow" w:hAnsi="Arial Narrow"/>
                <w:iCs/>
                <w:sz w:val="20"/>
                <w:szCs w:val="20"/>
              </w:rPr>
            </w:pPr>
            <w:r w:rsidRPr="005728DD">
              <w:rPr>
                <w:rFonts w:ascii="Arial Narrow" w:hAnsi="Arial Narrow" w:cs="Calibri"/>
                <w:iCs/>
                <w:color w:val="000000"/>
                <w:sz w:val="20"/>
                <w:szCs w:val="20"/>
              </w:rPr>
              <w:t>28%</w:t>
            </w:r>
          </w:p>
        </w:tc>
      </w:tr>
    </w:tbl>
    <w:p w:rsidR="00C527DC" w:rsidRPr="005728DD" w:rsidRDefault="00C527DC" w:rsidP="00C527DC">
      <w:pPr>
        <w:pStyle w:val="TableFigureFooter"/>
        <w:keepNext/>
        <w:keepLines/>
      </w:pPr>
      <w:r w:rsidRPr="005728DD">
        <w:t>Source: Developed during the evaluation based on ‘PatientProfiles’ in the economic model worksheet; Table 3.5, p21 of ACFDR 2017</w:t>
      </w:r>
    </w:p>
    <w:p w:rsidR="00C527DC" w:rsidRPr="005728DD" w:rsidRDefault="00C527DC" w:rsidP="00C527DC">
      <w:pPr>
        <w:pStyle w:val="TableFigureFooter"/>
        <w:keepNext/>
        <w:keepLines/>
        <w:rPr>
          <w:szCs w:val="20"/>
        </w:rPr>
      </w:pPr>
      <w:r w:rsidRPr="005728DD">
        <w:rPr>
          <w:szCs w:val="20"/>
        </w:rPr>
        <w:t>Abbreviations: ppFEV</w:t>
      </w:r>
      <w:r w:rsidRPr="005728DD">
        <w:rPr>
          <w:szCs w:val="20"/>
          <w:vertAlign w:val="subscript"/>
        </w:rPr>
        <w:t xml:space="preserve">1 </w:t>
      </w:r>
      <w:r w:rsidRPr="005728DD">
        <w:rPr>
          <w:szCs w:val="20"/>
        </w:rPr>
        <w:t>= percent predicted forced expiratory volume in one second</w:t>
      </w:r>
    </w:p>
    <w:p w:rsidR="00B60939" w:rsidRPr="005728DD" w:rsidRDefault="00B60939" w:rsidP="00D86231">
      <w:pPr>
        <w:pStyle w:val="4-SubsectionHeading"/>
      </w:pPr>
      <w:bookmarkStart w:id="25" w:name="_Toc62035731"/>
      <w:r w:rsidRPr="005728DD">
        <w:t>Comparative harms</w:t>
      </w:r>
      <w:bookmarkEnd w:id="2"/>
      <w:bookmarkEnd w:id="25"/>
    </w:p>
    <w:p w:rsidR="00721DC1" w:rsidRPr="005728DD" w:rsidRDefault="008F47ED" w:rsidP="00F91D20">
      <w:pPr>
        <w:pStyle w:val="3-BodyText"/>
      </w:pPr>
      <w:r w:rsidRPr="005728DD">
        <w:t>A summary of the adverse events for ELX/TEZ/IVA versus TEZ/IVA</w:t>
      </w:r>
      <w:r w:rsidR="00677FE3" w:rsidRPr="005728DD">
        <w:t xml:space="preserve"> </w:t>
      </w:r>
      <w:r w:rsidR="00FB505A" w:rsidRPr="005728DD">
        <w:t xml:space="preserve">for </w:t>
      </w:r>
      <w:r w:rsidR="008951A8" w:rsidRPr="005728DD">
        <w:t xml:space="preserve">the </w:t>
      </w:r>
      <w:r w:rsidR="00FB505A" w:rsidRPr="005728DD">
        <w:t>F/F</w:t>
      </w:r>
      <w:r w:rsidR="008951A8" w:rsidRPr="005728DD">
        <w:t xml:space="preserve"> population </w:t>
      </w:r>
      <w:r w:rsidR="00FB505A" w:rsidRPr="005728DD">
        <w:t xml:space="preserve">in </w:t>
      </w:r>
      <w:r w:rsidR="00677FE3" w:rsidRPr="005728DD">
        <w:t>Study 103 and Study 109</w:t>
      </w:r>
      <w:r w:rsidRPr="005728DD">
        <w:t xml:space="preserve"> is presented in </w:t>
      </w:r>
      <w:r w:rsidR="005C56C0" w:rsidRPr="005C56C0">
        <w:t>Table 11</w:t>
      </w:r>
      <w:r w:rsidRPr="005728DD">
        <w:t>.</w:t>
      </w:r>
      <w:r w:rsidR="0082036E" w:rsidRPr="005728DD">
        <w:t xml:space="preserve"> </w:t>
      </w:r>
      <w:r w:rsidR="00274C0B" w:rsidRPr="005728DD">
        <w:t>The pre-PBAC response reported infective PEx adverse events occurred less frequently in the ELX/TEZ/IVA group than the TEZ/IVA group (1.8% vs 11.5% in Study 103</w:t>
      </w:r>
      <w:r w:rsidR="00F91D20" w:rsidRPr="005728DD">
        <w:t>;</w:t>
      </w:r>
      <w:r w:rsidR="00274C0B" w:rsidRPr="005728DD">
        <w:t xml:space="preserve"> 11.5% vs 40.9% in Study 109). </w:t>
      </w:r>
    </w:p>
    <w:p w:rsidR="00721DC1" w:rsidRPr="005728DD" w:rsidRDefault="00721DC1" w:rsidP="003A506A">
      <w:pPr>
        <w:jc w:val="left"/>
        <w:rPr>
          <w:rFonts w:asciiTheme="minorHAnsi" w:hAnsiTheme="minorHAnsi"/>
          <w:snapToGrid w:val="0"/>
        </w:rPr>
      </w:pPr>
      <w:r w:rsidRPr="005728DD">
        <w:br w:type="page"/>
      </w:r>
    </w:p>
    <w:p w:rsidR="00A717B5" w:rsidRPr="005728DD" w:rsidRDefault="00DE0B4E" w:rsidP="00A717B5">
      <w:pPr>
        <w:pStyle w:val="3-BodyText"/>
        <w:numPr>
          <w:ilvl w:val="0"/>
          <w:numId w:val="0"/>
        </w:numPr>
        <w:spacing w:after="0"/>
        <w:rPr>
          <w:rFonts w:ascii="Arial Narrow" w:hAnsi="Arial Narrow"/>
          <w:b/>
          <w:bCs/>
          <w:sz w:val="20"/>
          <w:szCs w:val="20"/>
        </w:rPr>
      </w:pPr>
      <w:bookmarkStart w:id="26" w:name="_Ref64496646"/>
      <w:r w:rsidRPr="005728DD">
        <w:rPr>
          <w:rFonts w:ascii="Arial Narrow" w:hAnsi="Arial Narrow"/>
          <w:b/>
          <w:bCs/>
          <w:sz w:val="20"/>
          <w:szCs w:val="20"/>
        </w:rPr>
        <w:lastRenderedPageBreak/>
        <w:t xml:space="preserve">Table </w:t>
      </w:r>
      <w:r w:rsidR="005C56C0">
        <w:rPr>
          <w:rFonts w:ascii="Arial Narrow" w:hAnsi="Arial Narrow"/>
          <w:b/>
          <w:bCs/>
          <w:noProof/>
          <w:sz w:val="20"/>
          <w:szCs w:val="20"/>
        </w:rPr>
        <w:t>11</w:t>
      </w:r>
      <w:bookmarkEnd w:id="26"/>
      <w:r w:rsidR="00A717B5" w:rsidRPr="005728DD">
        <w:rPr>
          <w:rFonts w:ascii="Arial Narrow" w:hAnsi="Arial Narrow"/>
          <w:b/>
          <w:bCs/>
          <w:sz w:val="20"/>
          <w:szCs w:val="20"/>
        </w:rPr>
        <w:t>: Overview of AEs in Study 103</w:t>
      </w:r>
      <w:r w:rsidR="00201E82" w:rsidRPr="005728DD">
        <w:rPr>
          <w:rFonts w:ascii="Arial Narrow" w:hAnsi="Arial Narrow"/>
          <w:b/>
          <w:bCs/>
          <w:sz w:val="20"/>
          <w:szCs w:val="20"/>
        </w:rPr>
        <w:t xml:space="preserve"> </w:t>
      </w:r>
      <w:r w:rsidR="00FB505A" w:rsidRPr="005728DD">
        <w:rPr>
          <w:rFonts w:ascii="Arial Narrow" w:hAnsi="Arial Narrow"/>
          <w:b/>
          <w:bCs/>
          <w:sz w:val="20"/>
          <w:szCs w:val="20"/>
        </w:rPr>
        <w:t xml:space="preserve">(4 weeks) </w:t>
      </w:r>
      <w:r w:rsidR="00201E82" w:rsidRPr="005728DD">
        <w:rPr>
          <w:rFonts w:ascii="Arial Narrow" w:hAnsi="Arial Narrow"/>
          <w:b/>
          <w:bCs/>
          <w:sz w:val="20"/>
          <w:szCs w:val="20"/>
        </w:rPr>
        <w:t>and Study 109</w:t>
      </w:r>
      <w:r w:rsidR="00FB505A" w:rsidRPr="005728DD">
        <w:rPr>
          <w:rFonts w:ascii="Arial Narrow" w:hAnsi="Arial Narrow"/>
          <w:b/>
          <w:bCs/>
          <w:sz w:val="20"/>
          <w:szCs w:val="20"/>
        </w:rPr>
        <w:t xml:space="preserve"> (24 weeks)</w:t>
      </w:r>
      <w:r w:rsidR="00A717B5" w:rsidRPr="005728DD">
        <w:rPr>
          <w:rFonts w:ascii="Arial Narrow" w:hAnsi="Arial Narrow"/>
          <w:b/>
          <w:bCs/>
          <w:sz w:val="20"/>
          <w:szCs w:val="20"/>
        </w:rPr>
        <w:t>, Safety Set</w:t>
      </w:r>
    </w:p>
    <w:tbl>
      <w:tblPr>
        <w:tblStyle w:val="HTATableshaded"/>
        <w:tblW w:w="5000" w:type="pct"/>
        <w:tblLayout w:type="fixed"/>
        <w:tblLook w:val="04A0" w:firstRow="1" w:lastRow="0" w:firstColumn="1" w:lastColumn="0" w:noHBand="0" w:noVBand="1"/>
        <w:tblCaption w:val="Table 11: Overview of AEs in Study 103 (4 weeks) and Study 109 (24 weeks), Safety Set"/>
      </w:tblPr>
      <w:tblGrid>
        <w:gridCol w:w="1674"/>
        <w:gridCol w:w="1118"/>
        <w:gridCol w:w="842"/>
        <w:gridCol w:w="1538"/>
        <w:gridCol w:w="1119"/>
        <w:gridCol w:w="840"/>
        <w:gridCol w:w="1767"/>
      </w:tblGrid>
      <w:tr w:rsidR="00101B9F" w:rsidRPr="005728DD" w:rsidTr="001A55BA">
        <w:trPr>
          <w:cnfStyle w:val="100000000000" w:firstRow="1" w:lastRow="0" w:firstColumn="0" w:lastColumn="0" w:oddVBand="0" w:evenVBand="0" w:oddHBand="0" w:evenHBand="0" w:firstRowFirstColumn="0" w:firstRowLastColumn="0" w:lastRowFirstColumn="0" w:lastRowLastColumn="0"/>
          <w:trHeight w:val="278"/>
          <w:tblHeader/>
        </w:trPr>
        <w:tc>
          <w:tcPr>
            <w:tcW w:w="941" w:type="pct"/>
            <w:vMerge w:val="restart"/>
            <w:tcMar>
              <w:left w:w="28" w:type="dxa"/>
              <w:right w:w="28" w:type="dxa"/>
            </w:tcMar>
            <w:vAlign w:val="center"/>
            <w:hideMark/>
          </w:tcPr>
          <w:p w:rsidR="00101B9F" w:rsidRPr="005728DD" w:rsidRDefault="00101B9F" w:rsidP="007846A7">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hideMark/>
          </w:tcPr>
          <w:p w:rsidR="00125CD2"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Study 103</w:t>
            </w:r>
            <w:r w:rsidR="00FB505A" w:rsidRPr="005728DD">
              <w:rPr>
                <w:rFonts w:ascii="Arial Narrow" w:hAnsi="Arial Narrow"/>
                <w:sz w:val="20"/>
                <w:szCs w:val="20"/>
                <w:lang w:val="en-AU"/>
              </w:rPr>
              <w:t xml:space="preserve"> </w:t>
            </w:r>
          </w:p>
          <w:p w:rsidR="00101B9F" w:rsidRPr="005728DD" w:rsidRDefault="00FB505A"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864" w:type="pct"/>
            <w:vMerge w:val="restart"/>
            <w:tcMar>
              <w:left w:w="28" w:type="dxa"/>
              <w:right w:w="28" w:type="dxa"/>
            </w:tcMar>
            <w:vAlign w:val="center"/>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rsidR="00125CD2"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Study 109</w:t>
            </w:r>
            <w:r w:rsidR="00FB505A" w:rsidRPr="005728DD">
              <w:rPr>
                <w:rFonts w:ascii="Arial Narrow" w:hAnsi="Arial Narrow"/>
                <w:sz w:val="20"/>
                <w:szCs w:val="20"/>
                <w:lang w:val="en-AU"/>
              </w:rPr>
              <w:t xml:space="preserve"> </w:t>
            </w:r>
          </w:p>
          <w:p w:rsidR="00101B9F" w:rsidRPr="005728DD" w:rsidRDefault="00FB505A"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(F/F population)</w:t>
            </w:r>
          </w:p>
        </w:tc>
        <w:tc>
          <w:tcPr>
            <w:tcW w:w="993" w:type="pct"/>
            <w:vMerge w:val="restart"/>
            <w:tcMar>
              <w:left w:w="28" w:type="dxa"/>
              <w:right w:w="28" w:type="dxa"/>
            </w:tcMar>
            <w:vAlign w:val="center"/>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101B9F" w:rsidRPr="005728DD" w:rsidTr="001A55BA">
        <w:trPr>
          <w:cnfStyle w:val="100000000000" w:firstRow="1" w:lastRow="0" w:firstColumn="0" w:lastColumn="0" w:oddVBand="0" w:evenVBand="0" w:oddHBand="0" w:evenHBand="0" w:firstRowFirstColumn="0" w:firstRowLastColumn="0" w:lastRowFirstColumn="0" w:lastRowLastColumn="0"/>
          <w:trHeight w:val="277"/>
          <w:tblHeader/>
        </w:trPr>
        <w:tc>
          <w:tcPr>
            <w:tcW w:w="941" w:type="pct"/>
            <w:vMerge/>
            <w:tcMar>
              <w:left w:w="28" w:type="dxa"/>
              <w:right w:w="28" w:type="dxa"/>
            </w:tcMar>
            <w:vAlign w:val="center"/>
            <w:hideMark/>
          </w:tcPr>
          <w:p w:rsidR="00101B9F" w:rsidRPr="005728DD" w:rsidRDefault="00101B9F" w:rsidP="007846A7">
            <w:pPr>
              <w:spacing w:before="0" w:after="0"/>
              <w:jc w:val="left"/>
              <w:rPr>
                <w:rFonts w:asciiTheme="minorHAnsi" w:eastAsiaTheme="minorHAnsi" w:hAnsiTheme="minorHAnsi" w:cs="Tahoma"/>
                <w:b/>
                <w:sz w:val="18"/>
                <w:szCs w:val="20"/>
                <w:lang w:eastAsia="en-US"/>
              </w:rPr>
            </w:pPr>
          </w:p>
        </w:tc>
        <w:tc>
          <w:tcPr>
            <w:tcW w:w="628" w:type="pct"/>
            <w:tcMar>
              <w:left w:w="28" w:type="dxa"/>
              <w:right w:w="28" w:type="dxa"/>
            </w:tcMar>
            <w:vAlign w:val="center"/>
            <w:hideMark/>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N=55</w:t>
            </w:r>
          </w:p>
        </w:tc>
        <w:tc>
          <w:tcPr>
            <w:tcW w:w="473" w:type="pct"/>
            <w:tcMar>
              <w:left w:w="28" w:type="dxa"/>
              <w:right w:w="28" w:type="dxa"/>
            </w:tcMar>
            <w:vAlign w:val="center"/>
            <w:hideMark/>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N=52</w:t>
            </w:r>
          </w:p>
        </w:tc>
        <w:tc>
          <w:tcPr>
            <w:tcW w:w="864" w:type="pct"/>
            <w:vMerge/>
            <w:tcMar>
              <w:left w:w="28" w:type="dxa"/>
              <w:right w:w="28" w:type="dxa"/>
            </w:tcMar>
            <w:vAlign w:val="center"/>
          </w:tcPr>
          <w:p w:rsidR="00101B9F" w:rsidRPr="005728DD" w:rsidRDefault="00101B9F" w:rsidP="007846A7">
            <w:pPr>
              <w:pStyle w:val="Tableheadingcent"/>
              <w:spacing w:before="0" w:after="0"/>
              <w:rPr>
                <w:rFonts w:ascii="Arial Narrow" w:hAnsi="Arial Narrow"/>
                <w:sz w:val="20"/>
                <w:szCs w:val="20"/>
                <w:lang w:val="en-AU"/>
              </w:rPr>
            </w:pPr>
          </w:p>
        </w:tc>
        <w:tc>
          <w:tcPr>
            <w:tcW w:w="629" w:type="pct"/>
            <w:tcMar>
              <w:left w:w="28" w:type="dxa"/>
              <w:right w:w="28" w:type="dxa"/>
            </w:tcMar>
            <w:vAlign w:val="center"/>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N=87</w:t>
            </w:r>
          </w:p>
        </w:tc>
        <w:tc>
          <w:tcPr>
            <w:tcW w:w="472" w:type="pct"/>
            <w:tcMar>
              <w:left w:w="28" w:type="dxa"/>
              <w:right w:w="28" w:type="dxa"/>
            </w:tcMar>
            <w:vAlign w:val="center"/>
          </w:tcPr>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TEZ/IVA</w:t>
            </w:r>
          </w:p>
          <w:p w:rsidR="00101B9F" w:rsidRPr="005728DD" w:rsidRDefault="00101B9F"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N=88</w:t>
            </w:r>
          </w:p>
        </w:tc>
        <w:tc>
          <w:tcPr>
            <w:tcW w:w="993" w:type="pct"/>
            <w:vMerge/>
            <w:tcMar>
              <w:left w:w="28" w:type="dxa"/>
              <w:right w:w="28" w:type="dxa"/>
            </w:tcMar>
          </w:tcPr>
          <w:p w:rsidR="00101B9F" w:rsidRPr="005728DD" w:rsidRDefault="00101B9F" w:rsidP="007846A7">
            <w:pPr>
              <w:pStyle w:val="Tableheadingcent"/>
              <w:spacing w:before="0" w:after="0"/>
              <w:rPr>
                <w:rFonts w:ascii="Arial Narrow" w:hAnsi="Arial Narrow"/>
                <w:sz w:val="20"/>
                <w:szCs w:val="20"/>
                <w:lang w:val="en-AU"/>
              </w:rPr>
            </w:pP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32 (58.2)</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33 (63.5)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(-0.24, 0.13)</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77 (88.5)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81 (92.0)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-0.04 (-0.12, 0.05)</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16 (29.1)</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19 (36.5)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-0.09 (</w:t>
            </w:r>
            <w:r w:rsidRPr="005728DD">
              <w:rPr>
                <w:rFonts w:ascii="Arial Narrow" w:hAnsi="Arial Narrow" w:cs="Calibri"/>
                <w:i/>
                <w:iCs/>
                <w:sz w:val="20"/>
                <w:lang w:val="en-AU"/>
              </w:rPr>
              <w:t>-0.27, 0.08)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20 (23.0)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 xml:space="preserve">27 </w:t>
            </w:r>
            <w:r w:rsidR="00397D0C" w:rsidRPr="005728DD">
              <w:rPr>
                <w:rFonts w:ascii="Arial Narrow" w:hAnsi="Arial Narrow"/>
                <w:bCs/>
                <w:sz w:val="20"/>
                <w:lang w:val="en-AU"/>
              </w:rPr>
              <w:t>(</w:t>
            </w:r>
            <w:r w:rsidRPr="005728DD">
              <w:rPr>
                <w:rFonts w:ascii="Arial Narrow" w:hAnsi="Arial Narrow"/>
                <w:bCs/>
                <w:sz w:val="20"/>
                <w:lang w:val="en-AU"/>
              </w:rPr>
              <w:t>30.7)</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-0.08 (-0.21, 0.05)</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4 (7.3)</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5 (9.6)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-0.13, 0.08)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(21.8)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29 (33.0)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-0.11 (-0.24, 0.02)</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11 (20.0)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8 (15.4)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-0.10, 0.19)</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30 (34.5)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24 (27.3)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(-0.06, 0.21)</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-0.05, 0.05)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23 (41.8)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21 (40.4)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0.01 (</w:t>
            </w:r>
            <w:r w:rsidRPr="005728DD">
              <w:rPr>
                <w:rFonts w:ascii="Arial Narrow" w:hAnsi="Arial Narrow" w:cs="Calibri"/>
                <w:i/>
                <w:iCs/>
                <w:sz w:val="20"/>
                <w:lang w:val="en-AU"/>
              </w:rPr>
              <w:t>-0.17, 0.20)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48 (55.2)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46 (52.3)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0.03 (-0.12, 0.18)</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9 (16.4)</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11 (21.2)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w:t>
            </w:r>
            <w:r w:rsidRPr="005728DD">
              <w:rPr>
                <w:rFonts w:ascii="Arial Narrow" w:hAnsi="Arial Narrow" w:cs="Calibri"/>
                <w:i/>
                <w:iCs/>
                <w:sz w:val="20"/>
                <w:lang w:val="en-AU"/>
              </w:rPr>
              <w:t>-0.20, 0.10)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22 (25.3)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28 (31.8)</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-0.07 (-0.20, 0.07)</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w:t>
            </w:r>
            <w:r w:rsidRPr="005728DD">
              <w:rPr>
                <w:rFonts w:ascii="Arial Narrow" w:hAnsi="Arial Narrow" w:cs="Calibri"/>
                <w:i/>
                <w:iCs/>
                <w:sz w:val="20"/>
                <w:lang w:val="en-AU"/>
              </w:rPr>
              <w:t>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eastAsia="MS Mincho" w:hAnsi="Arial Narrow" w:cstheme="majorHAnsi"/>
                <w:sz w:val="20"/>
                <w:lang w:val="en-AU"/>
              </w:rPr>
              <w:t>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(0.00, 0.00)</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(-0.05, 0.03)</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 xml:space="preserve">0 </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0.01 (-0.03, 0.05)</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r w:rsidR="00FB76EB" w:rsidRPr="005728DD">
              <w:rPr>
                <w:rFonts w:ascii="Arial Narrow" w:hAnsi="Arial Narrow"/>
                <w:bCs/>
                <w:sz w:val="20"/>
                <w:lang w:val="en-AU"/>
              </w:rPr>
              <w:t xml:space="preserve"> (0.0)</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(-0.06,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7 (8.0)</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(-0.08, 0.08)</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12 (21.8)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9 (17.3)</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0.05 (-0.11, 0.20)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 (9.2)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(1.1)</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b/>
                <w:bCs/>
                <w:i/>
                <w:iCs/>
                <w:color w:val="000000"/>
                <w:sz w:val="20"/>
                <w:lang w:val="en-AU"/>
              </w:rPr>
            </w:pPr>
            <w:r w:rsidRPr="005728DD">
              <w:rPr>
                <w:rFonts w:ascii="Arial Narrow" w:hAnsi="Arial Narrow" w:cs="Calibri"/>
                <w:b/>
                <w:bCs/>
                <w:i/>
                <w:iCs/>
                <w:color w:val="000000"/>
                <w:sz w:val="20"/>
                <w:lang w:val="en-AU"/>
              </w:rPr>
              <w:t>0.08 (0.02, 0.15)</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2 (3.6)</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w:t>
            </w:r>
            <w:r w:rsidRPr="005728DD">
              <w:rPr>
                <w:rFonts w:ascii="Arial Narrow" w:hAnsi="Arial Narrow" w:cs="Calibri"/>
                <w:i/>
                <w:iCs/>
                <w:sz w:val="20"/>
                <w:lang w:val="en-AU"/>
              </w:rPr>
              <w:t>-0.05, 0.08)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 (5.7)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(15.9)</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b/>
                <w:bCs/>
                <w:i/>
                <w:iCs/>
                <w:color w:val="000000"/>
                <w:sz w:val="20"/>
                <w:lang w:val="en-AU"/>
              </w:rPr>
              <w:t>-0.10 (-0.19, -0.01)</w:t>
            </w:r>
          </w:p>
        </w:tc>
      </w:tr>
      <w:tr w:rsidR="004A0FC9" w:rsidRPr="005728DD" w:rsidTr="004A0FC9">
        <w:tc>
          <w:tcPr>
            <w:tcW w:w="941"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101B9F" w:rsidRPr="005728DD" w:rsidRDefault="00101B9F" w:rsidP="007846A7">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8"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1 (1.8)</w:t>
            </w:r>
          </w:p>
        </w:tc>
        <w:tc>
          <w:tcPr>
            <w:tcW w:w="47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bCs/>
                <w:sz w:val="20"/>
                <w:lang w:val="en-AU"/>
              </w:rPr>
            </w:pPr>
            <w:r w:rsidRPr="005728DD">
              <w:rPr>
                <w:rFonts w:ascii="Arial Narrow" w:hAnsi="Arial Narrow" w:cs="Calibri"/>
                <w:i/>
                <w:iCs/>
                <w:color w:val="000000"/>
                <w:sz w:val="20"/>
                <w:lang w:val="en-AU"/>
              </w:rPr>
              <w:t>0.02 (-0.02,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(2.3)</w:t>
            </w:r>
          </w:p>
        </w:tc>
        <w:tc>
          <w:tcPr>
            <w:tcW w:w="99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01B9F" w:rsidRPr="005728DD" w:rsidRDefault="00101B9F" w:rsidP="007846A7">
            <w:pPr>
              <w:pStyle w:val="Tabletextcent"/>
              <w:spacing w:before="0" w:after="0"/>
              <w:rPr>
                <w:rFonts w:ascii="Arial Narrow" w:hAnsi="Arial Narrow" w:cs="Calibri"/>
                <w:i/>
                <w:iCs/>
                <w:color w:val="000000"/>
                <w:sz w:val="20"/>
                <w:lang w:val="en-AU"/>
              </w:rPr>
            </w:pPr>
            <w:r w:rsidRPr="005728DD">
              <w:rPr>
                <w:rFonts w:ascii="Arial Narrow" w:hAnsi="Arial Narrow" w:cs="Calibri"/>
                <w:i/>
                <w:iCs/>
                <w:color w:val="000000"/>
                <w:sz w:val="20"/>
                <w:lang w:val="en-AU"/>
              </w:rPr>
              <w:t>0.00 (-0.04, 0.04)</w:t>
            </w:r>
          </w:p>
        </w:tc>
      </w:tr>
    </w:tbl>
    <w:p w:rsidR="00D15F05" w:rsidRPr="005728DD" w:rsidRDefault="00D15F05" w:rsidP="00D15F05">
      <w:pPr>
        <w:pStyle w:val="TableFigNotes0"/>
        <w:rPr>
          <w:rFonts w:ascii="Arial Narrow" w:hAnsi="Arial Narrow"/>
          <w:sz w:val="18"/>
          <w:lang w:val="en-AU"/>
        </w:rPr>
      </w:pPr>
      <w:r w:rsidRPr="005728DD">
        <w:rPr>
          <w:rFonts w:ascii="Arial Narrow" w:hAnsi="Arial Narrow"/>
          <w:sz w:val="18"/>
          <w:lang w:val="en-AU"/>
        </w:rPr>
        <w:t xml:space="preserve">Source: </w:t>
      </w:r>
      <w:r w:rsidR="00DD66EF" w:rsidRPr="005728DD">
        <w:rPr>
          <w:rFonts w:ascii="Arial Narrow" w:hAnsi="Arial Narrow"/>
          <w:bCs/>
          <w:iCs/>
          <w:sz w:val="18"/>
          <w:lang w:val="en-AU"/>
        </w:rPr>
        <w:t>Developed during the evaluation based on Table</w:t>
      </w:r>
      <w:r w:rsidR="00DD66EF" w:rsidRPr="005728DD">
        <w:rPr>
          <w:bCs/>
          <w:iCs/>
          <w:lang w:val="en-AU"/>
        </w:rPr>
        <w:t xml:space="preserve"> </w:t>
      </w:r>
      <w:r w:rsidRPr="005728DD">
        <w:rPr>
          <w:rFonts w:ascii="Arial Narrow" w:hAnsi="Arial Narrow"/>
          <w:sz w:val="18"/>
          <w:lang w:val="en-AU"/>
        </w:rPr>
        <w:t>2.3.22, p99-100 of the submission</w:t>
      </w:r>
    </w:p>
    <w:p w:rsidR="00D15F05" w:rsidRPr="005728DD" w:rsidRDefault="00D15F05" w:rsidP="00D15F05">
      <w:pPr>
        <w:pStyle w:val="TableFigNotes0"/>
        <w:rPr>
          <w:rFonts w:ascii="Arial Narrow" w:hAnsi="Arial Narrow"/>
          <w:sz w:val="18"/>
          <w:lang w:val="en-AU"/>
        </w:rPr>
      </w:pPr>
      <w:r w:rsidRPr="005728DD">
        <w:rPr>
          <w:rFonts w:ascii="Arial Narrow" w:hAnsi="Arial Narrow"/>
          <w:sz w:val="18"/>
          <w:lang w:val="en-AU"/>
        </w:rPr>
        <w:t xml:space="preserve">Abbreviations: AE = adverse event; CI = confidence interval; </w:t>
      </w:r>
      <w:r w:rsidR="00EC5EC4" w:rsidRPr="005728DD">
        <w:rPr>
          <w:rFonts w:ascii="Arial Narrow" w:hAnsi="Arial Narrow"/>
          <w:sz w:val="18"/>
          <w:lang w:val="en-AU"/>
        </w:rPr>
        <w:t>ELX/TEZ/IVA = elexacaftor/tezacaftor/ivacaftor</w:t>
      </w:r>
      <w:r w:rsidRPr="005728DD">
        <w:rPr>
          <w:rFonts w:ascii="Arial Narrow" w:hAnsi="Arial Narrow"/>
          <w:sz w:val="18"/>
          <w:lang w:val="en-AU"/>
        </w:rPr>
        <w:t xml:space="preserve">; RD = risk difference; SAE = serious adverse event; </w:t>
      </w:r>
      <w:r w:rsidR="00EC5EC4" w:rsidRPr="005728DD">
        <w:rPr>
          <w:rFonts w:ascii="Arial Narrow" w:hAnsi="Arial Narrow"/>
          <w:sz w:val="18"/>
          <w:lang w:val="en-AU"/>
        </w:rPr>
        <w:t>TEZ/IVA = tezacaftor/ivacaftor</w:t>
      </w:r>
      <w:r w:rsidR="00EC5EC4" w:rsidRPr="005728DD" w:rsidDel="00EC5EC4">
        <w:rPr>
          <w:rFonts w:ascii="Arial Narrow" w:hAnsi="Arial Narrow"/>
          <w:sz w:val="18"/>
          <w:lang w:val="en-AU"/>
        </w:rPr>
        <w:t xml:space="preserve"> </w:t>
      </w:r>
    </w:p>
    <w:p w:rsidR="006200F2" w:rsidRPr="005728DD" w:rsidRDefault="00D15F05" w:rsidP="00D15F05">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rsidR="006200F2" w:rsidRPr="005728DD" w:rsidRDefault="00D15F05" w:rsidP="006200F2">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006200F2" w:rsidRPr="005728DD">
        <w:rPr>
          <w:rFonts w:ascii="Arial Narrow" w:hAnsi="Arial Narrow"/>
          <w:sz w:val="18"/>
        </w:rPr>
        <w:br/>
        <w:t>Bold indicates statistical significance.</w:t>
      </w:r>
    </w:p>
    <w:p w:rsidR="00274C0B" w:rsidRPr="005728DD" w:rsidRDefault="00D15F05" w:rsidP="00274C0B">
      <w:pPr>
        <w:pStyle w:val="3-BodyText"/>
      </w:pPr>
      <w:r w:rsidRPr="005728DD">
        <w:t>A summary of the adverse events for ELX/TEZ/IVA versus TEZ/IVA</w:t>
      </w:r>
      <w:r w:rsidR="008951A8" w:rsidRPr="005728DD">
        <w:t xml:space="preserve"> in the</w:t>
      </w:r>
      <w:r w:rsidR="00FB505A" w:rsidRPr="005728DD">
        <w:t xml:space="preserve"> </w:t>
      </w:r>
      <w:r w:rsidR="008951A8" w:rsidRPr="005728DD">
        <w:t>F/</w:t>
      </w:r>
      <w:r w:rsidR="00FB505A" w:rsidRPr="005728DD">
        <w:t xml:space="preserve">RF </w:t>
      </w:r>
      <w:r w:rsidR="008951A8" w:rsidRPr="005728DD">
        <w:t xml:space="preserve">population </w:t>
      </w:r>
      <w:r w:rsidR="00FB505A" w:rsidRPr="005728DD">
        <w:t xml:space="preserve">and </w:t>
      </w:r>
      <w:r w:rsidR="008951A8" w:rsidRPr="005728DD">
        <w:t>IVA in</w:t>
      </w:r>
      <w:r w:rsidR="00FB505A" w:rsidRPr="005728DD">
        <w:t xml:space="preserve"> </w:t>
      </w:r>
      <w:r w:rsidR="008951A8" w:rsidRPr="005728DD">
        <w:t xml:space="preserve">the </w:t>
      </w:r>
      <w:r w:rsidR="005826F4" w:rsidRPr="005728DD">
        <w:t>F/G</w:t>
      </w:r>
      <w:r w:rsidR="008951A8" w:rsidRPr="005728DD">
        <w:t xml:space="preserve"> population</w:t>
      </w:r>
      <w:r w:rsidR="005826F4" w:rsidRPr="005728DD">
        <w:t xml:space="preserve"> </w:t>
      </w:r>
      <w:r w:rsidRPr="005728DD">
        <w:t>in Study 10</w:t>
      </w:r>
      <w:r w:rsidR="000334A6" w:rsidRPr="005728DD">
        <w:t>4</w:t>
      </w:r>
      <w:r w:rsidRPr="005728DD">
        <w:t xml:space="preserve"> and </w:t>
      </w:r>
      <w:r w:rsidR="000334A6" w:rsidRPr="005728DD">
        <w:t xml:space="preserve">ELX/TEZ/IVA versus </w:t>
      </w:r>
      <w:r w:rsidR="00094229" w:rsidRPr="005728DD">
        <w:t>placebo</w:t>
      </w:r>
      <w:r w:rsidR="000334A6" w:rsidRPr="005728DD">
        <w:t xml:space="preserve"> in</w:t>
      </w:r>
      <w:r w:rsidR="00FB505A" w:rsidRPr="005728DD">
        <w:t xml:space="preserve"> </w:t>
      </w:r>
      <w:r w:rsidR="008951A8" w:rsidRPr="005728DD">
        <w:t xml:space="preserve">the </w:t>
      </w:r>
      <w:r w:rsidR="00FB505A" w:rsidRPr="005728DD">
        <w:t xml:space="preserve">F/MF </w:t>
      </w:r>
      <w:r w:rsidR="008951A8" w:rsidRPr="005728DD">
        <w:t xml:space="preserve">population </w:t>
      </w:r>
      <w:r w:rsidR="00FB505A" w:rsidRPr="005728DD">
        <w:t xml:space="preserve">in </w:t>
      </w:r>
      <w:r w:rsidRPr="005728DD">
        <w:t>Study 10</w:t>
      </w:r>
      <w:r w:rsidR="006B0FAD" w:rsidRPr="005728DD">
        <w:t>2</w:t>
      </w:r>
      <w:r w:rsidRPr="005728DD">
        <w:t xml:space="preserve"> </w:t>
      </w:r>
      <w:r w:rsidR="0082036E" w:rsidRPr="005728DD">
        <w:t xml:space="preserve">are </w:t>
      </w:r>
      <w:r w:rsidRPr="005728DD">
        <w:t xml:space="preserve">presented in </w:t>
      </w:r>
      <w:r w:rsidR="005C56C0" w:rsidRPr="005C56C0">
        <w:t>Table 12</w:t>
      </w:r>
      <w:r w:rsidRPr="005728DD">
        <w:t>.</w:t>
      </w:r>
      <w:r w:rsidR="008B5EF9" w:rsidRPr="005728DD">
        <w:t xml:space="preserve"> </w:t>
      </w:r>
      <w:r w:rsidR="00274C0B" w:rsidRPr="005728DD">
        <w:t>The pre-PBAC response reported infective PEx adverse events occurred less frequently in the ELX/TEZ/IVA group compared to the TEZ/IVA or IVA group (2.3% vs 10.3% in Study 104).</w:t>
      </w:r>
    </w:p>
    <w:p w:rsidR="00721DC1" w:rsidRPr="005728DD" w:rsidRDefault="00721DC1" w:rsidP="00274C0B">
      <w:pPr>
        <w:pStyle w:val="3-BodyText"/>
        <w:numPr>
          <w:ilvl w:val="0"/>
          <w:numId w:val="0"/>
        </w:numPr>
      </w:pPr>
    </w:p>
    <w:p w:rsidR="00721DC1" w:rsidRPr="005728DD" w:rsidRDefault="00721DC1">
      <w:pPr>
        <w:jc w:val="left"/>
        <w:rPr>
          <w:rFonts w:asciiTheme="minorHAnsi" w:hAnsiTheme="minorHAnsi"/>
          <w:snapToGrid w:val="0"/>
        </w:rPr>
      </w:pPr>
      <w:r w:rsidRPr="005728DD">
        <w:br w:type="page"/>
      </w:r>
    </w:p>
    <w:p w:rsidR="009E2F25" w:rsidRPr="005728DD" w:rsidRDefault="00DE0B4E" w:rsidP="009E2F25">
      <w:pPr>
        <w:pStyle w:val="3-BodyText"/>
        <w:numPr>
          <w:ilvl w:val="0"/>
          <w:numId w:val="0"/>
        </w:numPr>
        <w:spacing w:after="0"/>
        <w:rPr>
          <w:rFonts w:ascii="Arial Narrow" w:hAnsi="Arial Narrow"/>
          <w:b/>
          <w:bCs/>
          <w:sz w:val="20"/>
          <w:szCs w:val="20"/>
        </w:rPr>
      </w:pPr>
      <w:bookmarkStart w:id="27" w:name="_Ref64496683"/>
      <w:r w:rsidRPr="005728DD">
        <w:rPr>
          <w:rFonts w:ascii="Arial Narrow" w:hAnsi="Arial Narrow"/>
          <w:b/>
          <w:bCs/>
          <w:sz w:val="20"/>
          <w:szCs w:val="20"/>
        </w:rPr>
        <w:lastRenderedPageBreak/>
        <w:t xml:space="preserve">Table </w:t>
      </w:r>
      <w:r w:rsidR="005C56C0">
        <w:rPr>
          <w:rFonts w:ascii="Arial Narrow" w:hAnsi="Arial Narrow"/>
          <w:b/>
          <w:bCs/>
          <w:noProof/>
          <w:sz w:val="20"/>
          <w:szCs w:val="20"/>
        </w:rPr>
        <w:t>12</w:t>
      </w:r>
      <w:bookmarkEnd w:id="27"/>
      <w:r w:rsidR="009E2F25" w:rsidRPr="005728DD">
        <w:rPr>
          <w:rFonts w:ascii="Arial Narrow" w:hAnsi="Arial Narrow"/>
          <w:b/>
          <w:bCs/>
          <w:sz w:val="20"/>
          <w:szCs w:val="20"/>
        </w:rPr>
        <w:t>: Overview of AEs in Study 10</w:t>
      </w:r>
      <w:r w:rsidR="00094229" w:rsidRPr="005728DD">
        <w:rPr>
          <w:rFonts w:ascii="Arial Narrow" w:hAnsi="Arial Narrow"/>
          <w:b/>
          <w:bCs/>
          <w:sz w:val="20"/>
          <w:szCs w:val="20"/>
        </w:rPr>
        <w:t>4</w:t>
      </w:r>
      <w:r w:rsidR="009E2F25" w:rsidRPr="005728DD">
        <w:rPr>
          <w:rFonts w:ascii="Arial Narrow" w:hAnsi="Arial Narrow"/>
          <w:b/>
          <w:bCs/>
          <w:sz w:val="20"/>
          <w:szCs w:val="20"/>
        </w:rPr>
        <w:t xml:space="preserve"> and Study 10</w:t>
      </w:r>
      <w:r w:rsidR="00094229" w:rsidRPr="005728DD">
        <w:rPr>
          <w:rFonts w:ascii="Arial Narrow" w:hAnsi="Arial Narrow"/>
          <w:b/>
          <w:bCs/>
          <w:sz w:val="20"/>
          <w:szCs w:val="20"/>
        </w:rPr>
        <w:t>2</w:t>
      </w:r>
      <w:r w:rsidR="009E2F25" w:rsidRPr="005728DD">
        <w:rPr>
          <w:rFonts w:ascii="Arial Narrow" w:hAnsi="Arial Narrow"/>
          <w:b/>
          <w:bCs/>
          <w:sz w:val="20"/>
          <w:szCs w:val="20"/>
        </w:rPr>
        <w:t>, Safety Set</w:t>
      </w:r>
    </w:p>
    <w:tbl>
      <w:tblPr>
        <w:tblStyle w:val="HTATableshaded"/>
        <w:tblW w:w="5000" w:type="pct"/>
        <w:tblLayout w:type="fixed"/>
        <w:tblLook w:val="04A0" w:firstRow="1" w:lastRow="0" w:firstColumn="1" w:lastColumn="0" w:noHBand="0" w:noVBand="1"/>
        <w:tblCaption w:val="Table 12: Overview of AEs in Study 104 and Study 102, Safety Set"/>
      </w:tblPr>
      <w:tblGrid>
        <w:gridCol w:w="1678"/>
        <w:gridCol w:w="1119"/>
        <w:gridCol w:w="840"/>
        <w:gridCol w:w="1538"/>
        <w:gridCol w:w="1119"/>
        <w:gridCol w:w="840"/>
        <w:gridCol w:w="1764"/>
      </w:tblGrid>
      <w:tr w:rsidR="009E2F25" w:rsidRPr="005728DD" w:rsidTr="005C66A3">
        <w:trPr>
          <w:cnfStyle w:val="100000000000" w:firstRow="1" w:lastRow="0" w:firstColumn="0" w:lastColumn="0" w:oddVBand="0" w:evenVBand="0" w:oddHBand="0" w:evenHBand="0" w:firstRowFirstColumn="0" w:firstRowLastColumn="0" w:lastRowFirstColumn="0" w:lastRowLastColumn="0"/>
          <w:trHeight w:val="278"/>
          <w:tblHeader/>
        </w:trPr>
        <w:tc>
          <w:tcPr>
            <w:tcW w:w="943" w:type="pct"/>
            <w:vMerge w:val="restart"/>
            <w:tcMar>
              <w:left w:w="28" w:type="dxa"/>
              <w:right w:w="28" w:type="dxa"/>
            </w:tcMar>
            <w:vAlign w:val="center"/>
            <w:hideMark/>
          </w:tcPr>
          <w:p w:rsidR="009E2F25" w:rsidRPr="005728DD" w:rsidRDefault="009E2F25" w:rsidP="007846A7">
            <w:pPr>
              <w:pStyle w:val="TableHeadingleft"/>
              <w:spacing w:before="0" w:after="0"/>
              <w:rPr>
                <w:szCs w:val="20"/>
                <w:lang w:val="en-AU"/>
              </w:rPr>
            </w:pPr>
            <w:r w:rsidRPr="005728DD">
              <w:rPr>
                <w:rFonts w:ascii="Arial Narrow" w:hAnsi="Arial Narrow"/>
                <w:sz w:val="20"/>
                <w:szCs w:val="20"/>
                <w:lang w:val="en-AU"/>
              </w:rPr>
              <w:t>Category, n (%)</w:t>
            </w:r>
          </w:p>
        </w:tc>
        <w:tc>
          <w:tcPr>
            <w:tcW w:w="1101" w:type="pct"/>
            <w:gridSpan w:val="2"/>
            <w:tcMar>
              <w:left w:w="28" w:type="dxa"/>
              <w:right w:w="28" w:type="dxa"/>
            </w:tcMar>
            <w:vAlign w:val="center"/>
          </w:tcPr>
          <w:p w:rsidR="00661B38" w:rsidRPr="005728DD" w:rsidRDefault="00094229"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Study 104</w:t>
            </w:r>
            <w:r w:rsidR="00661B38" w:rsidRPr="005728DD">
              <w:rPr>
                <w:rFonts w:ascii="Arial Narrow" w:hAnsi="Arial Narrow"/>
                <w:sz w:val="20"/>
                <w:szCs w:val="20"/>
                <w:lang w:val="en-AU"/>
              </w:rPr>
              <w:t xml:space="preserve"> </w:t>
            </w:r>
          </w:p>
          <w:p w:rsidR="009E2F25" w:rsidRPr="005728DD" w:rsidRDefault="00661B38"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(F/RF and F/G</w:t>
            </w:r>
            <w:r w:rsidR="00125CD2" w:rsidRPr="005728DD">
              <w:rPr>
                <w:rFonts w:ascii="Arial Narrow" w:hAnsi="Arial Narrow"/>
                <w:sz w:val="20"/>
                <w:szCs w:val="20"/>
                <w:lang w:val="en-AU"/>
              </w:rPr>
              <w:t xml:space="preserve"> population</w:t>
            </w:r>
            <w:r w:rsidRPr="005728DD">
              <w:rPr>
                <w:rFonts w:ascii="Arial Narrow" w:hAnsi="Arial Narrow"/>
                <w:sz w:val="20"/>
                <w:szCs w:val="20"/>
                <w:lang w:val="en-AU"/>
              </w:rPr>
              <w:t>)</w:t>
            </w:r>
          </w:p>
          <w:p w:rsidR="00FB505A" w:rsidRPr="005728DD" w:rsidRDefault="00FB505A" w:rsidP="00FB505A">
            <w:pPr>
              <w:pStyle w:val="Tableheadingcent"/>
              <w:spacing w:before="0" w:after="0"/>
              <w:rPr>
                <w:rFonts w:ascii="Arial Narrow" w:hAnsi="Arial Narrow"/>
                <w:sz w:val="20"/>
                <w:szCs w:val="20"/>
                <w:lang w:val="en-AU"/>
              </w:rPr>
            </w:pPr>
            <w:r w:rsidRPr="005728DD">
              <w:rPr>
                <w:rFonts w:ascii="Arial Narrow" w:hAnsi="Arial Narrow"/>
                <w:sz w:val="20"/>
                <w:szCs w:val="20"/>
                <w:lang w:val="en-AU"/>
              </w:rPr>
              <w:t xml:space="preserve"> </w:t>
            </w:r>
          </w:p>
        </w:tc>
        <w:tc>
          <w:tcPr>
            <w:tcW w:w="864" w:type="pct"/>
            <w:vMerge w:val="restart"/>
            <w:tcMar>
              <w:left w:w="28" w:type="dxa"/>
              <w:right w:w="28" w:type="dxa"/>
            </w:tcMar>
            <w:vAlign w:val="center"/>
          </w:tcPr>
          <w:p w:rsidR="009E2F25" w:rsidRPr="005728DD" w:rsidRDefault="009E2F25"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c>
          <w:tcPr>
            <w:tcW w:w="1101" w:type="pct"/>
            <w:gridSpan w:val="2"/>
            <w:tcMar>
              <w:left w:w="28" w:type="dxa"/>
              <w:right w:w="28" w:type="dxa"/>
            </w:tcMar>
            <w:vAlign w:val="center"/>
          </w:tcPr>
          <w:p w:rsidR="00661B38" w:rsidRPr="005728DD" w:rsidRDefault="00094229" w:rsidP="00661B38">
            <w:pPr>
              <w:pStyle w:val="Tableheadingcent"/>
              <w:spacing w:before="0" w:after="0"/>
              <w:rPr>
                <w:rFonts w:ascii="Arial Narrow" w:hAnsi="Arial Narrow"/>
                <w:sz w:val="20"/>
                <w:szCs w:val="20"/>
                <w:lang w:val="en-AU"/>
              </w:rPr>
            </w:pPr>
            <w:r w:rsidRPr="005728DD">
              <w:rPr>
                <w:rFonts w:ascii="Arial Narrow" w:hAnsi="Arial Narrow"/>
                <w:sz w:val="20"/>
                <w:szCs w:val="20"/>
                <w:lang w:val="en-AU"/>
              </w:rPr>
              <w:t>Study 102</w:t>
            </w:r>
            <w:r w:rsidR="00661B38" w:rsidRPr="005728DD">
              <w:rPr>
                <w:rFonts w:ascii="Arial Narrow" w:hAnsi="Arial Narrow"/>
                <w:sz w:val="20"/>
                <w:szCs w:val="20"/>
                <w:lang w:val="en-AU"/>
              </w:rPr>
              <w:t xml:space="preserve"> </w:t>
            </w:r>
          </w:p>
          <w:p w:rsidR="009E2F25" w:rsidRPr="005728DD" w:rsidRDefault="00661B38" w:rsidP="00661B38">
            <w:pPr>
              <w:pStyle w:val="Tableheadingcent"/>
              <w:spacing w:before="0" w:after="0"/>
              <w:rPr>
                <w:rFonts w:ascii="Arial Narrow" w:hAnsi="Arial Narrow"/>
                <w:sz w:val="20"/>
                <w:szCs w:val="20"/>
                <w:lang w:val="en-AU"/>
              </w:rPr>
            </w:pPr>
            <w:r w:rsidRPr="005728DD">
              <w:rPr>
                <w:rFonts w:ascii="Arial Narrow" w:hAnsi="Arial Narrow"/>
                <w:sz w:val="20"/>
                <w:szCs w:val="20"/>
                <w:lang w:val="en-AU"/>
              </w:rPr>
              <w:t>(F/MF</w:t>
            </w:r>
            <w:r w:rsidR="00125CD2" w:rsidRPr="005728DD">
              <w:rPr>
                <w:rFonts w:ascii="Arial Narrow" w:hAnsi="Arial Narrow"/>
                <w:sz w:val="20"/>
                <w:szCs w:val="20"/>
                <w:lang w:val="en-AU"/>
              </w:rPr>
              <w:t xml:space="preserve"> population</w:t>
            </w:r>
            <w:r w:rsidRPr="005728DD">
              <w:rPr>
                <w:rFonts w:ascii="Arial Narrow" w:hAnsi="Arial Narrow"/>
                <w:sz w:val="20"/>
                <w:szCs w:val="20"/>
                <w:lang w:val="en-AU"/>
              </w:rPr>
              <w:t>)</w:t>
            </w:r>
          </w:p>
        </w:tc>
        <w:tc>
          <w:tcPr>
            <w:tcW w:w="992" w:type="pct"/>
            <w:vMerge w:val="restart"/>
            <w:tcMar>
              <w:left w:w="28" w:type="dxa"/>
              <w:right w:w="28" w:type="dxa"/>
            </w:tcMar>
            <w:vAlign w:val="center"/>
          </w:tcPr>
          <w:p w:rsidR="009E2F25" w:rsidRPr="005728DD" w:rsidRDefault="009E2F25" w:rsidP="007846A7">
            <w:pPr>
              <w:pStyle w:val="Tableheadingcent"/>
              <w:spacing w:before="0" w:after="0"/>
              <w:rPr>
                <w:rFonts w:ascii="Arial Narrow" w:hAnsi="Arial Narrow"/>
                <w:sz w:val="20"/>
                <w:szCs w:val="20"/>
                <w:lang w:val="en-AU"/>
              </w:rPr>
            </w:pPr>
            <w:r w:rsidRPr="005728DD">
              <w:rPr>
                <w:rFonts w:ascii="Arial Narrow" w:hAnsi="Arial Narrow"/>
                <w:sz w:val="20"/>
                <w:szCs w:val="20"/>
                <w:lang w:val="en-AU"/>
              </w:rPr>
              <w:t>RD (95% CI)</w:t>
            </w:r>
          </w:p>
        </w:tc>
      </w:tr>
      <w:tr w:rsidR="00094229" w:rsidRPr="005728DD" w:rsidTr="005C66A3">
        <w:trPr>
          <w:cnfStyle w:val="100000000000" w:firstRow="1" w:lastRow="0" w:firstColumn="0" w:lastColumn="0" w:oddVBand="0" w:evenVBand="0" w:oddHBand="0" w:evenHBand="0" w:firstRowFirstColumn="0" w:firstRowLastColumn="0" w:lastRowFirstColumn="0" w:lastRowLastColumn="0"/>
          <w:trHeight w:val="277"/>
          <w:tblHeader/>
        </w:trPr>
        <w:tc>
          <w:tcPr>
            <w:tcW w:w="943" w:type="pct"/>
            <w:vMerge/>
            <w:tcMar>
              <w:left w:w="28" w:type="dxa"/>
              <w:right w:w="28" w:type="dxa"/>
            </w:tcMar>
            <w:vAlign w:val="center"/>
            <w:hideMark/>
          </w:tcPr>
          <w:p w:rsidR="00094229" w:rsidRPr="005728DD" w:rsidRDefault="00094229" w:rsidP="00094229">
            <w:pPr>
              <w:spacing w:before="0" w:after="0"/>
              <w:jc w:val="left"/>
              <w:rPr>
                <w:rFonts w:asciiTheme="minorHAnsi" w:eastAsiaTheme="minorHAnsi" w:hAnsiTheme="minorHAnsi" w:cs="Tahoma"/>
                <w:b/>
                <w:sz w:val="18"/>
                <w:szCs w:val="20"/>
                <w:lang w:eastAsia="en-US"/>
              </w:rPr>
            </w:pPr>
          </w:p>
        </w:tc>
        <w:tc>
          <w:tcPr>
            <w:tcW w:w="629" w:type="pct"/>
            <w:tcMar>
              <w:left w:w="28" w:type="dxa"/>
              <w:right w:w="28" w:type="dxa"/>
            </w:tcMar>
          </w:tcPr>
          <w:p w:rsidR="00094229" w:rsidRPr="005728DD" w:rsidRDefault="00094229" w:rsidP="00094229">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ELX/TEZ/IVA</w:t>
            </w:r>
          </w:p>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N=132</w:t>
            </w:r>
          </w:p>
        </w:tc>
        <w:tc>
          <w:tcPr>
            <w:tcW w:w="472" w:type="pct"/>
            <w:tcMar>
              <w:left w:w="28" w:type="dxa"/>
              <w:right w:w="28" w:type="dxa"/>
            </w:tcMar>
          </w:tcPr>
          <w:p w:rsidR="00094229" w:rsidRPr="005728DD" w:rsidRDefault="00094229" w:rsidP="00094229">
            <w:pPr>
              <w:pStyle w:val="Tableheadingcent"/>
              <w:keepNext/>
              <w:spacing w:before="0" w:after="0"/>
              <w:rPr>
                <w:rFonts w:ascii="Arial Narrow" w:hAnsi="Arial Narrow"/>
                <w:sz w:val="20"/>
                <w:szCs w:val="20"/>
                <w:lang w:val="en-AU"/>
              </w:rPr>
            </w:pPr>
            <w:r w:rsidRPr="005728DD">
              <w:rPr>
                <w:rFonts w:ascii="Arial Narrow" w:hAnsi="Arial Narrow"/>
                <w:sz w:val="20"/>
                <w:szCs w:val="20"/>
                <w:lang w:val="en-AU"/>
              </w:rPr>
              <w:t>Control</w:t>
            </w:r>
          </w:p>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N=126</w:t>
            </w:r>
          </w:p>
        </w:tc>
        <w:tc>
          <w:tcPr>
            <w:tcW w:w="864" w:type="pct"/>
            <w:vMerge/>
            <w:tcMar>
              <w:left w:w="28" w:type="dxa"/>
              <w:right w:w="28" w:type="dxa"/>
            </w:tcMar>
            <w:vAlign w:val="center"/>
          </w:tcPr>
          <w:p w:rsidR="00094229" w:rsidRPr="005728DD" w:rsidRDefault="00094229" w:rsidP="00094229">
            <w:pPr>
              <w:pStyle w:val="Tableheadingcent"/>
              <w:spacing w:before="0" w:after="0"/>
              <w:rPr>
                <w:rFonts w:ascii="Arial Narrow" w:hAnsi="Arial Narrow"/>
                <w:sz w:val="20"/>
                <w:szCs w:val="20"/>
                <w:lang w:val="en-AU"/>
              </w:rPr>
            </w:pPr>
          </w:p>
        </w:tc>
        <w:tc>
          <w:tcPr>
            <w:tcW w:w="629" w:type="pct"/>
            <w:tcMar>
              <w:left w:w="28" w:type="dxa"/>
              <w:right w:w="28" w:type="dxa"/>
            </w:tcMar>
          </w:tcPr>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ELX/TEZ/IVA</w:t>
            </w:r>
          </w:p>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N=202</w:t>
            </w:r>
          </w:p>
        </w:tc>
        <w:tc>
          <w:tcPr>
            <w:tcW w:w="472" w:type="pct"/>
            <w:tcMar>
              <w:left w:w="28" w:type="dxa"/>
              <w:right w:w="28" w:type="dxa"/>
            </w:tcMar>
          </w:tcPr>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Placebo</w:t>
            </w:r>
          </w:p>
          <w:p w:rsidR="00094229" w:rsidRPr="005728DD" w:rsidRDefault="00094229" w:rsidP="00094229">
            <w:pPr>
              <w:pStyle w:val="Tableheadingcent"/>
              <w:spacing w:before="0" w:after="0"/>
              <w:rPr>
                <w:rFonts w:ascii="Arial Narrow" w:hAnsi="Arial Narrow"/>
                <w:sz w:val="20"/>
                <w:szCs w:val="20"/>
                <w:lang w:val="en-AU"/>
              </w:rPr>
            </w:pPr>
            <w:r w:rsidRPr="005728DD">
              <w:rPr>
                <w:rFonts w:ascii="Arial Narrow" w:hAnsi="Arial Narrow"/>
                <w:sz w:val="20"/>
                <w:szCs w:val="20"/>
                <w:lang w:val="en-AU"/>
              </w:rPr>
              <w:t>N=201</w:t>
            </w:r>
          </w:p>
        </w:tc>
        <w:tc>
          <w:tcPr>
            <w:tcW w:w="992" w:type="pct"/>
            <w:vMerge/>
            <w:tcMar>
              <w:left w:w="28" w:type="dxa"/>
              <w:right w:w="28" w:type="dxa"/>
            </w:tcMar>
          </w:tcPr>
          <w:p w:rsidR="00094229" w:rsidRPr="005728DD" w:rsidRDefault="00094229" w:rsidP="00094229">
            <w:pPr>
              <w:pStyle w:val="Tableheadingcent"/>
              <w:spacing w:before="0" w:after="0"/>
              <w:rPr>
                <w:rFonts w:ascii="Arial Narrow" w:hAnsi="Arial Narrow"/>
                <w:sz w:val="20"/>
                <w:szCs w:val="20"/>
                <w:lang w:val="en-AU"/>
              </w:rPr>
            </w:pP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
                <w:sz w:val="20"/>
              </w:rPr>
            </w:pPr>
            <w:r w:rsidRPr="005728DD">
              <w:rPr>
                <w:rFonts w:ascii="Arial Narrow" w:hAnsi="Arial Narrow"/>
                <w:b/>
                <w:sz w:val="20"/>
              </w:rPr>
              <w:t xml:space="preserve">Any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88 (66.7)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83 (65.9)</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0.01 (-0.11,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188 (93.1)</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193 (96.0)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-0.03 (</w:t>
            </w:r>
            <w:r w:rsidRPr="005728DD">
              <w:rPr>
                <w:rFonts w:ascii="Arial Narrow" w:hAnsi="Arial Narrow" w:cs="Calibri"/>
                <w:color w:val="000000"/>
                <w:sz w:val="20"/>
                <w:lang w:val="en-AU"/>
              </w:rPr>
              <w:t>-0.07, 0.01)</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
                <w:sz w:val="20"/>
              </w:rPr>
            </w:pPr>
            <w:r w:rsidRPr="005728DD">
              <w:rPr>
                <w:rFonts w:ascii="Arial Narrow" w:hAnsi="Arial Narrow"/>
                <w:b/>
                <w:sz w:val="20"/>
              </w:rPr>
              <w:t>AEs by strongest relationship</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Not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35 (26.5)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45 (35.7)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-0.09 (-0.20,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83 (41.3)</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-0.15 (</w:t>
            </w:r>
            <w:r w:rsidRPr="005728DD">
              <w:rPr>
                <w:rFonts w:ascii="Arial Narrow" w:hAnsi="Arial Narrow" w:cs="Calibri"/>
                <w:b/>
                <w:bCs/>
                <w:color w:val="000000"/>
                <w:sz w:val="20"/>
                <w:lang w:val="en-AU"/>
              </w:rPr>
              <w:t>-0.24, -0.06)</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Unlikely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21 (15.9)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16 (12.7)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0.03 (-0.05, 0.12)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39 (19.3)</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58 (28.9)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-0.10 (</w:t>
            </w:r>
            <w:r w:rsidRPr="005728DD">
              <w:rPr>
                <w:rFonts w:ascii="Arial Narrow" w:hAnsi="Arial Narrow" w:cs="Calibri"/>
                <w:b/>
                <w:bCs/>
                <w:color w:val="000000"/>
                <w:sz w:val="20"/>
                <w:lang w:val="en-AU"/>
              </w:rPr>
              <w:t>-0.18 -0.01)</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Possibly 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30 (22.7)</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0.05 (-0.05, 0.15)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86 (42.6)</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46 (22.9)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0.20 (</w:t>
            </w:r>
            <w:r w:rsidRPr="005728DD">
              <w:rPr>
                <w:rFonts w:ascii="Arial Narrow" w:hAnsi="Arial Narrow" w:cs="Calibri"/>
                <w:b/>
                <w:bCs/>
                <w:color w:val="000000"/>
                <w:sz w:val="20"/>
                <w:lang w:val="en-AU"/>
              </w:rPr>
              <w:t>0.11, 0.29)</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Related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 (1.5)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0.02 (-0.01, 0.04)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-0.02, 0.06)</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AEs by maximum severity</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Mild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58 (43.9)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50 (39.7)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-0.08 (</w:t>
            </w:r>
            <w:r w:rsidRPr="005728DD">
              <w:rPr>
                <w:rFonts w:ascii="Arial Narrow" w:hAnsi="Arial Narrow" w:cs="Calibri"/>
                <w:iCs/>
                <w:color w:val="000000"/>
                <w:sz w:val="20"/>
                <w:lang w:val="en-AU"/>
              </w:rPr>
              <w:t>-0.08, 0.16)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67 (33.2)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53 (26.4)</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-0.02, 0.16)</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Moderate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25 (18.9)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29 (23.0)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-0.14 (</w:t>
            </w:r>
            <w:r w:rsidRPr="005728DD">
              <w:rPr>
                <w:rFonts w:ascii="Arial Narrow" w:hAnsi="Arial Narrow" w:cs="Calibri"/>
                <w:iCs/>
                <w:color w:val="000000"/>
                <w:sz w:val="20"/>
                <w:lang w:val="en-AU"/>
              </w:rPr>
              <w:t>-0.14, 0.06)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102 (50.5)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125 (62.2)</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-0.12 (</w:t>
            </w:r>
            <w:r w:rsidRPr="005728DD">
              <w:rPr>
                <w:rFonts w:ascii="Arial Narrow" w:hAnsi="Arial Narrow" w:cs="Calibri"/>
                <w:b/>
                <w:bCs/>
                <w:color w:val="000000"/>
                <w:sz w:val="20"/>
                <w:lang w:val="en-AU"/>
              </w:rPr>
              <w:t>-0.21, -0.02)</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Severe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14 (7.0)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-0.03, 0.08)</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ind w:left="175"/>
              <w:rPr>
                <w:rFonts w:ascii="Arial Narrow" w:hAnsi="Arial Narrow"/>
                <w:sz w:val="20"/>
              </w:rPr>
            </w:pPr>
            <w:r w:rsidRPr="005728DD">
              <w:rPr>
                <w:rFonts w:ascii="Arial Narrow" w:hAnsi="Arial Narrow"/>
                <w:sz w:val="20"/>
              </w:rPr>
              <w:t xml:space="preserve">Life-threatening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color w:val="000000"/>
                <w:sz w:val="20"/>
                <w:lang w:val="en-AU"/>
              </w:rPr>
              <w:t>0.00 (0.00, 0.00)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 (0.5)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0.00 (</w:t>
            </w:r>
            <w:r w:rsidRPr="005728DD">
              <w:rPr>
                <w:rFonts w:ascii="Arial Narrow" w:hAnsi="Arial Narrow" w:cs="Calibri"/>
                <w:color w:val="000000"/>
                <w:sz w:val="20"/>
                <w:lang w:val="en-AU"/>
              </w:rPr>
              <w:t>-0.01, 0.00)</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 xml:space="preserve">AEs leading to study drug discontinuation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1 (0.8)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-0.03, 0.02)</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0.01 (</w:t>
            </w:r>
            <w:r w:rsidRPr="005728DD">
              <w:rPr>
                <w:rFonts w:ascii="Arial Narrow" w:hAnsi="Arial Narrow" w:cs="Calibri"/>
                <w:color w:val="000000"/>
                <w:sz w:val="20"/>
                <w:lang w:val="en-AU"/>
              </w:rPr>
              <w:t>0.00, 0.02)</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 xml:space="preserve">AEs leading to study drug interruption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3 (2.4)</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-0.03, 0.06)</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10 (5.0)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0.04 (</w:t>
            </w:r>
            <w:r w:rsidRPr="005728DD">
              <w:rPr>
                <w:rFonts w:ascii="Arial Narrow" w:hAnsi="Arial Narrow" w:cs="Calibri"/>
                <w:color w:val="000000"/>
                <w:sz w:val="20"/>
                <w:lang w:val="en-AU"/>
              </w:rPr>
              <w:t>-0.01, 0.09)</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 xml:space="preserve">Grade 3/4 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4 (3.2)</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-0.04, 0.05)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19 (9.4)</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15 (7.5)</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-0.03, 0.07)</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Related 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32 (24.2)</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22 (17.5)</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-0.03 (</w:t>
            </w:r>
            <w:r w:rsidRPr="005728DD">
              <w:rPr>
                <w:rFonts w:ascii="Arial Narrow" w:hAnsi="Arial Narrow" w:cs="Calibri"/>
                <w:iCs/>
                <w:color w:val="000000"/>
                <w:sz w:val="20"/>
                <w:lang w:val="en-AU"/>
              </w:rPr>
              <w:t>-0.03, 0.17)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96 (47.5)</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52 (25.9)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b/>
                <w:bCs/>
                <w:iCs/>
                <w:color w:val="000000"/>
                <w:sz w:val="20"/>
                <w:lang w:val="en-AU"/>
              </w:rPr>
            </w:pPr>
            <w:r w:rsidRPr="005728DD">
              <w:rPr>
                <w:rFonts w:ascii="Arial Narrow" w:hAnsi="Arial Narrow" w:cs="Calibri"/>
                <w:b/>
                <w:bCs/>
                <w:iCs/>
                <w:color w:val="000000"/>
                <w:sz w:val="20"/>
                <w:lang w:val="en-AU"/>
              </w:rPr>
              <w:t>0.22 (</w:t>
            </w:r>
            <w:r w:rsidRPr="005728DD">
              <w:rPr>
                <w:rFonts w:ascii="Arial Narrow" w:hAnsi="Arial Narrow" w:cs="Calibri"/>
                <w:b/>
                <w:bCs/>
                <w:color w:val="000000"/>
                <w:sz w:val="20"/>
                <w:lang w:val="en-AU"/>
              </w:rPr>
              <w:t>0.12, 0.31)</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 xml:space="preserve">SAEs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5 (3.8)</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11 (8.7)</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-0.11 (</w:t>
            </w:r>
            <w:r w:rsidRPr="005728DD">
              <w:rPr>
                <w:rFonts w:ascii="Arial Narrow" w:hAnsi="Arial Narrow" w:cs="Calibri"/>
                <w:iCs/>
                <w:color w:val="000000"/>
                <w:sz w:val="20"/>
                <w:lang w:val="en-AU"/>
              </w:rPr>
              <w:t>-0.11, 0.01)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28 (13.9)</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42 (20.9)</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-0.07 (</w:t>
            </w:r>
            <w:r w:rsidRPr="005728DD">
              <w:rPr>
                <w:rFonts w:ascii="Arial Narrow" w:hAnsi="Arial Narrow" w:cs="Calibri"/>
                <w:color w:val="000000"/>
                <w:sz w:val="20"/>
                <w:lang w:val="en-AU"/>
              </w:rPr>
              <w:t>-0.14, 0.00)</w:t>
            </w:r>
          </w:p>
        </w:tc>
      </w:tr>
      <w:tr w:rsidR="00D065F3" w:rsidRPr="005728DD" w:rsidTr="005C66A3">
        <w:tc>
          <w:tcPr>
            <w:tcW w:w="943" w:type="pct"/>
            <w:tcBorders>
              <w:top w:val="single" w:sz="4" w:space="0" w:color="auto"/>
              <w:left w:val="single" w:sz="4" w:space="0" w:color="auto"/>
              <w:bottom w:val="single" w:sz="4" w:space="0" w:color="auto"/>
              <w:right w:val="single" w:sz="4" w:space="0" w:color="auto"/>
            </w:tcBorders>
            <w:tcMar>
              <w:left w:w="28" w:type="dxa"/>
              <w:right w:w="28" w:type="dxa"/>
            </w:tcMar>
            <w:hideMark/>
          </w:tcPr>
          <w:p w:rsidR="00D065F3" w:rsidRPr="005728DD" w:rsidRDefault="00D065F3" w:rsidP="00D065F3">
            <w:pPr>
              <w:pStyle w:val="Tabletextleft"/>
              <w:spacing w:before="0" w:after="0"/>
              <w:rPr>
                <w:rFonts w:ascii="Arial Narrow" w:hAnsi="Arial Narrow"/>
                <w:bCs/>
                <w:sz w:val="20"/>
              </w:rPr>
            </w:pPr>
            <w:r w:rsidRPr="005728DD">
              <w:rPr>
                <w:rFonts w:ascii="Arial Narrow" w:hAnsi="Arial Narrow"/>
                <w:b/>
                <w:sz w:val="20"/>
              </w:rPr>
              <w:t>Related SAEs</w:t>
            </w:r>
            <w:r w:rsidRPr="005728DD">
              <w:rPr>
                <w:rFonts w:ascii="Arial Narrow" w:hAnsi="Arial Narrow"/>
                <w:b/>
                <w:sz w:val="20"/>
                <w:vertAlign w:val="superscript"/>
              </w:rPr>
              <w:t>a</w:t>
            </w:r>
            <w:r w:rsidRPr="005728DD">
              <w:rPr>
                <w:rFonts w:ascii="Arial Narrow" w:hAnsi="Arial Narrow"/>
                <w:b/>
                <w:sz w:val="20"/>
              </w:rPr>
              <w:t xml:space="preserve"> </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bCs/>
                <w:sz w:val="20"/>
                <w:lang w:val="en-AU"/>
              </w:rPr>
              <w:t>2 (1.6)</w:t>
            </w:r>
          </w:p>
        </w:tc>
        <w:tc>
          <w:tcPr>
            <w:tcW w:w="86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bCs/>
                <w:sz w:val="20"/>
                <w:lang w:val="en-AU"/>
              </w:rPr>
            </w:pPr>
            <w:r w:rsidRPr="005728DD">
              <w:rPr>
                <w:rFonts w:ascii="Arial Narrow" w:hAnsi="Arial Narrow" w:cs="Calibri"/>
                <w:iCs/>
                <w:sz w:val="20"/>
                <w:lang w:val="en-AU"/>
              </w:rPr>
              <w:t>-0.04 (</w:t>
            </w:r>
            <w:r w:rsidRPr="005728DD">
              <w:rPr>
                <w:rFonts w:ascii="Arial Narrow" w:hAnsi="Arial Narrow" w:cs="Calibri"/>
                <w:iCs/>
                <w:color w:val="000000"/>
                <w:sz w:val="20"/>
                <w:lang w:val="en-AU"/>
              </w:rPr>
              <w:t>-0.04</w:t>
            </w:r>
            <w:r w:rsidR="00FF738F" w:rsidRPr="005728DD">
              <w:rPr>
                <w:rFonts w:ascii="Arial Narrow" w:hAnsi="Arial Narrow" w:cs="Calibri"/>
                <w:iCs/>
                <w:color w:val="000000"/>
                <w:sz w:val="20"/>
                <w:lang w:val="en-AU"/>
              </w:rPr>
              <w:t>,</w:t>
            </w:r>
            <w:r w:rsidRPr="005728DD">
              <w:rPr>
                <w:rFonts w:ascii="Arial Narrow" w:hAnsi="Arial Narrow" w:cs="Calibri"/>
                <w:iCs/>
                <w:color w:val="000000"/>
                <w:sz w:val="20"/>
                <w:lang w:val="en-AU"/>
              </w:rPr>
              <w:t xml:space="preserve"> 0.01)</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6 (3.0)</w:t>
            </w:r>
          </w:p>
        </w:tc>
        <w:tc>
          <w:tcPr>
            <w:tcW w:w="4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
                <w:iCs/>
                <w:color w:val="000000"/>
                <w:sz w:val="20"/>
                <w:lang w:val="en-AU"/>
              </w:rPr>
            </w:pPr>
            <w:r w:rsidRPr="005728DD">
              <w:rPr>
                <w:rFonts w:ascii="Arial Narrow" w:hAnsi="Arial Narrow"/>
                <w:bCs/>
                <w:sz w:val="20"/>
                <w:lang w:val="en-AU"/>
              </w:rPr>
              <w:t>2 (1.0)</w:t>
            </w:r>
          </w:p>
        </w:tc>
        <w:tc>
          <w:tcPr>
            <w:tcW w:w="99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065F3" w:rsidRPr="005728DD" w:rsidRDefault="00D065F3" w:rsidP="00D065F3">
            <w:pPr>
              <w:pStyle w:val="Tabletextcent"/>
              <w:spacing w:before="0" w:after="0"/>
              <w:rPr>
                <w:rFonts w:ascii="Arial Narrow" w:hAnsi="Arial Narrow" w:cs="Calibri"/>
                <w:iCs/>
                <w:color w:val="000000"/>
                <w:sz w:val="20"/>
                <w:lang w:val="en-AU"/>
              </w:rPr>
            </w:pPr>
            <w:r w:rsidRPr="005728DD">
              <w:rPr>
                <w:rFonts w:ascii="Arial Narrow" w:hAnsi="Arial Narrow" w:cs="Calibri"/>
                <w:iCs/>
                <w:color w:val="000000"/>
                <w:sz w:val="20"/>
                <w:lang w:val="en-AU"/>
              </w:rPr>
              <w:t>0.02 (</w:t>
            </w:r>
            <w:r w:rsidRPr="005728DD">
              <w:rPr>
                <w:rFonts w:ascii="Arial Narrow" w:hAnsi="Arial Narrow" w:cs="Calibri"/>
                <w:color w:val="000000"/>
                <w:sz w:val="20"/>
                <w:lang w:val="en-AU"/>
              </w:rPr>
              <w:t>-0.01, 0.05)</w:t>
            </w:r>
          </w:p>
        </w:tc>
      </w:tr>
    </w:tbl>
    <w:p w:rsidR="004A0FC9" w:rsidRPr="005728DD" w:rsidRDefault="009E2F25" w:rsidP="004A0FC9">
      <w:pPr>
        <w:pStyle w:val="TableFigNotes0"/>
        <w:rPr>
          <w:rFonts w:ascii="Arial Narrow" w:hAnsi="Arial Narrow"/>
          <w:sz w:val="18"/>
          <w:lang w:val="en-AU"/>
        </w:rPr>
      </w:pPr>
      <w:r w:rsidRPr="005728DD">
        <w:rPr>
          <w:rFonts w:ascii="Arial Narrow" w:hAnsi="Arial Narrow"/>
          <w:sz w:val="18"/>
          <w:lang w:val="en-AU"/>
        </w:rPr>
        <w:t>Source:</w:t>
      </w:r>
      <w:r w:rsidR="004A0FC9" w:rsidRPr="005728DD">
        <w:rPr>
          <w:rFonts w:ascii="Arial Narrow" w:hAnsi="Arial Narrow"/>
          <w:sz w:val="18"/>
          <w:lang w:val="en-AU"/>
        </w:rPr>
        <w:t xml:space="preserve"> </w:t>
      </w:r>
      <w:r w:rsidR="00DD66EF" w:rsidRPr="005728DD">
        <w:rPr>
          <w:rFonts w:ascii="Arial Narrow" w:hAnsi="Arial Narrow"/>
          <w:bCs/>
          <w:iCs/>
          <w:sz w:val="18"/>
          <w:lang w:val="en-AU"/>
        </w:rPr>
        <w:t>Developed during the evaluation based on</w:t>
      </w:r>
      <w:r w:rsidR="00DD66EF" w:rsidRPr="005728DD">
        <w:rPr>
          <w:rFonts w:ascii="Arial Narrow" w:hAnsi="Arial Narrow"/>
          <w:sz w:val="18"/>
          <w:lang w:val="en-AU"/>
        </w:rPr>
        <w:t xml:space="preserve"> </w:t>
      </w:r>
      <w:r w:rsidR="004A0FC9" w:rsidRPr="005728DD">
        <w:rPr>
          <w:rFonts w:ascii="Arial Narrow" w:hAnsi="Arial Narrow"/>
          <w:sz w:val="18"/>
          <w:lang w:val="en-AU"/>
        </w:rPr>
        <w:t>Table 2.5.20, p154; Table 2.4.20, p127-128 of the submission</w:t>
      </w:r>
    </w:p>
    <w:p w:rsidR="009E2F25" w:rsidRPr="005728DD" w:rsidRDefault="009E2F25" w:rsidP="009E2F25">
      <w:pPr>
        <w:pStyle w:val="TableFigNotes0"/>
        <w:rPr>
          <w:rFonts w:ascii="Arial Narrow" w:hAnsi="Arial Narrow"/>
          <w:sz w:val="18"/>
          <w:lang w:val="en-AU"/>
        </w:rPr>
      </w:pPr>
      <w:r w:rsidRPr="005728DD">
        <w:rPr>
          <w:rFonts w:ascii="Arial Narrow" w:hAnsi="Arial Narrow"/>
          <w:sz w:val="18"/>
          <w:lang w:val="en-AU"/>
        </w:rPr>
        <w:t xml:space="preserve">Abbreviations: AE = adverse event; CI = confidence interval; </w:t>
      </w:r>
      <w:r w:rsidR="00EC5EC4" w:rsidRPr="005728DD">
        <w:rPr>
          <w:rFonts w:ascii="Arial Narrow" w:hAnsi="Arial Narrow"/>
          <w:sz w:val="18"/>
          <w:lang w:val="en-AU"/>
        </w:rPr>
        <w:t>ELX/TEZ/IVA = elexacaftor/tezacaftor/ivacaftor</w:t>
      </w:r>
      <w:r w:rsidRPr="005728DD">
        <w:rPr>
          <w:rFonts w:ascii="Arial Narrow" w:hAnsi="Arial Narrow"/>
          <w:sz w:val="18"/>
          <w:lang w:val="en-AU"/>
        </w:rPr>
        <w:t>; RD = risk difference; SAE = serious adverse event</w:t>
      </w:r>
    </w:p>
    <w:p w:rsidR="009E2F25" w:rsidRPr="005728DD" w:rsidRDefault="009E2F25" w:rsidP="009E2F25">
      <w:pPr>
        <w:pStyle w:val="TableFigNotes0"/>
        <w:rPr>
          <w:rFonts w:ascii="Arial Narrow" w:hAnsi="Arial Narrow"/>
          <w:sz w:val="18"/>
          <w:lang w:val="en-AU"/>
        </w:rPr>
      </w:pPr>
      <w:r w:rsidRPr="005728DD">
        <w:rPr>
          <w:rFonts w:ascii="Arial Narrow" w:hAnsi="Arial Narrow"/>
          <w:sz w:val="18"/>
          <w:lang w:val="en-AU"/>
        </w:rPr>
        <w:t>Notes: AEs were coded using MedDRA version 21.1. When summarising number of events = a subject with multiple events within a category was counted multiple times in that category. When summarising number and percentage of subjects = a subject with multiple events within a category was counted only once in that category.</w:t>
      </w:r>
    </w:p>
    <w:p w:rsidR="009E2F25" w:rsidRPr="005728DD" w:rsidRDefault="009E2F25" w:rsidP="006200F2">
      <w:pPr>
        <w:pStyle w:val="TableFigNotes18"/>
        <w:rPr>
          <w:rFonts w:ascii="Arial Narrow" w:hAnsi="Arial Narrow"/>
          <w:sz w:val="18"/>
        </w:rPr>
      </w:pPr>
      <w:r w:rsidRPr="005728DD">
        <w:rPr>
          <w:rFonts w:ascii="Arial Narrow" w:hAnsi="Arial Narrow"/>
          <w:sz w:val="18"/>
          <w:vertAlign w:val="superscript"/>
        </w:rPr>
        <w:t>a</w:t>
      </w:r>
      <w:r w:rsidRPr="005728DD">
        <w:rPr>
          <w:rFonts w:ascii="Arial Narrow" w:hAnsi="Arial Narrow"/>
          <w:sz w:val="18"/>
        </w:rPr>
        <w:t xml:space="preserve"> When summarising number of subjects with related (serious) AEs, AEs with relationship of related, possibly related, and missing were counted.</w:t>
      </w:r>
      <w:r w:rsidR="006200F2" w:rsidRPr="005728DD">
        <w:rPr>
          <w:rFonts w:ascii="Arial Narrow" w:hAnsi="Arial Narrow"/>
          <w:sz w:val="18"/>
        </w:rPr>
        <w:br/>
        <w:t>Bold indicates statistical significance.</w:t>
      </w:r>
    </w:p>
    <w:p w:rsidR="00FF738F" w:rsidRPr="005728DD" w:rsidRDefault="00B44042" w:rsidP="00586BCB">
      <w:pPr>
        <w:pStyle w:val="3-BodyText"/>
      </w:pPr>
      <w:r w:rsidRPr="005728DD">
        <w:t xml:space="preserve">The </w:t>
      </w:r>
      <w:r w:rsidR="00783998" w:rsidRPr="005728DD">
        <w:t xml:space="preserve">safety data from the </w:t>
      </w:r>
      <w:r w:rsidRPr="005728DD">
        <w:t xml:space="preserve">trials indicated that </w:t>
      </w:r>
      <w:r w:rsidR="00D6024F" w:rsidRPr="005728DD">
        <w:t>ELX/TEZ/IVA</w:t>
      </w:r>
      <w:r w:rsidR="007F5220" w:rsidRPr="005728DD">
        <w:t xml:space="preserve"> appeared to be generally well tolerated with a comparable side-effect profile to the comparators throughout the trial period.</w:t>
      </w:r>
      <w:r w:rsidR="008F2BAB" w:rsidRPr="005728DD">
        <w:t xml:space="preserve"> </w:t>
      </w:r>
    </w:p>
    <w:p w:rsidR="007F1017" w:rsidRPr="005728DD" w:rsidRDefault="007F1017" w:rsidP="000102F8">
      <w:pPr>
        <w:pStyle w:val="4-SubsectionHeading"/>
      </w:pPr>
      <w:bookmarkStart w:id="28" w:name="_Toc22897643"/>
      <w:bookmarkStart w:id="29" w:name="_Toc62035732"/>
      <w:r w:rsidRPr="005728DD">
        <w:t>Benefits/harms</w:t>
      </w:r>
      <w:bookmarkEnd w:id="28"/>
      <w:bookmarkEnd w:id="29"/>
    </w:p>
    <w:p w:rsidR="008A5C20" w:rsidRPr="005728DD" w:rsidRDefault="008A5C20" w:rsidP="00721DC1">
      <w:pPr>
        <w:pStyle w:val="3-BodyText"/>
      </w:pPr>
      <w:r w:rsidRPr="005728DD">
        <w:t xml:space="preserve">A summary of the comparative benefits and harms for </w:t>
      </w:r>
      <w:r w:rsidR="00964473" w:rsidRPr="005728DD">
        <w:rPr>
          <w:snapToGrid/>
        </w:rPr>
        <w:t xml:space="preserve">ELX/TEZ/IVA </w:t>
      </w:r>
      <w:r w:rsidRPr="005728DD">
        <w:t xml:space="preserve">versus </w:t>
      </w:r>
      <w:r w:rsidR="00964473" w:rsidRPr="005728DD">
        <w:t>the comparators</w:t>
      </w:r>
      <w:r w:rsidRPr="005728DD">
        <w:t xml:space="preserve"> is presented in </w:t>
      </w:r>
      <w:r w:rsidR="005C56C0" w:rsidRPr="005C56C0">
        <w:t>Table 13</w:t>
      </w:r>
      <w:r w:rsidRPr="005728DD">
        <w:t>.</w:t>
      </w:r>
      <w:r w:rsidR="006A1893" w:rsidRPr="005728DD">
        <w:t xml:space="preserve"> Results for the F/F population are </w:t>
      </w:r>
      <w:r w:rsidR="00CE320E" w:rsidRPr="005728DD">
        <w:t xml:space="preserve">from </w:t>
      </w:r>
      <w:r w:rsidR="006A1893" w:rsidRPr="005728DD">
        <w:t>Study 109 which presents results following 24 weeks</w:t>
      </w:r>
      <w:r w:rsidR="00CE320E" w:rsidRPr="005728DD">
        <w:t xml:space="preserve"> of treatment</w:t>
      </w:r>
      <w:r w:rsidR="006A1893" w:rsidRPr="005728DD">
        <w:t>; Study 103 reported 4-week results only.</w:t>
      </w:r>
    </w:p>
    <w:p w:rsidR="001A55BA" w:rsidRPr="005728DD" w:rsidRDefault="001A55BA">
      <w:pPr>
        <w:jc w:val="left"/>
        <w:rPr>
          <w:rFonts w:asciiTheme="minorHAnsi" w:hAnsiTheme="minorHAnsi"/>
          <w:snapToGrid w:val="0"/>
        </w:rPr>
      </w:pPr>
      <w:r w:rsidRPr="005728DD">
        <w:br w:type="page"/>
      </w:r>
    </w:p>
    <w:p w:rsidR="00A64206" w:rsidRPr="005728DD" w:rsidRDefault="00DE0B4E" w:rsidP="00A64206">
      <w:pPr>
        <w:pStyle w:val="3-BodyText"/>
        <w:numPr>
          <w:ilvl w:val="0"/>
          <w:numId w:val="0"/>
        </w:numPr>
        <w:spacing w:after="0"/>
        <w:rPr>
          <w:rFonts w:ascii="Arial Narrow" w:hAnsi="Arial Narrow"/>
          <w:b/>
          <w:sz w:val="20"/>
          <w:szCs w:val="16"/>
        </w:rPr>
      </w:pPr>
      <w:bookmarkStart w:id="30" w:name="_Ref64496734"/>
      <w:r w:rsidRPr="005728DD">
        <w:rPr>
          <w:rFonts w:ascii="Arial Narrow" w:hAnsi="Arial Narrow"/>
          <w:b/>
          <w:sz w:val="20"/>
          <w:szCs w:val="16"/>
        </w:rPr>
        <w:lastRenderedPageBreak/>
        <w:t xml:space="preserve">Table </w:t>
      </w:r>
      <w:r w:rsidR="005C56C0">
        <w:rPr>
          <w:rFonts w:ascii="Arial Narrow" w:hAnsi="Arial Narrow"/>
          <w:b/>
          <w:noProof/>
          <w:sz w:val="20"/>
          <w:szCs w:val="16"/>
        </w:rPr>
        <w:t>13</w:t>
      </w:r>
      <w:bookmarkEnd w:id="30"/>
      <w:r w:rsidR="00A64206" w:rsidRPr="005728DD">
        <w:rPr>
          <w:rFonts w:ascii="Arial Narrow" w:hAnsi="Arial Narrow"/>
          <w:b/>
          <w:sz w:val="20"/>
          <w:szCs w:val="16"/>
        </w:rPr>
        <w:t>: Summary of comparative benefits and harms for ELX/TEZ/IVA versus comparators</w:t>
      </w:r>
    </w:p>
    <w:tbl>
      <w:tblPr>
        <w:tblW w:w="5004" w:type="pct"/>
        <w:tblLayout w:type="fixed"/>
        <w:tblCellMar>
          <w:left w:w="28" w:type="dxa"/>
          <w:right w:w="28" w:type="dxa"/>
        </w:tblCellMar>
        <w:tblLook w:val="04A0" w:firstRow="1" w:lastRow="0" w:firstColumn="1" w:lastColumn="0" w:noHBand="0" w:noVBand="1"/>
      </w:tblPr>
      <w:tblGrid>
        <w:gridCol w:w="1255"/>
        <w:gridCol w:w="568"/>
        <w:gridCol w:w="436"/>
        <w:gridCol w:w="9"/>
        <w:gridCol w:w="663"/>
        <w:gridCol w:w="77"/>
        <w:gridCol w:w="522"/>
        <w:gridCol w:w="663"/>
        <w:gridCol w:w="426"/>
        <w:gridCol w:w="445"/>
        <w:gridCol w:w="810"/>
        <w:gridCol w:w="306"/>
        <w:gridCol w:w="951"/>
        <w:gridCol w:w="394"/>
        <w:gridCol w:w="1380"/>
      </w:tblGrid>
      <w:tr w:rsidR="0065281E" w:rsidRPr="005728DD" w:rsidTr="0065281E">
        <w:trPr>
          <w:cantSplit/>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4046E1">
            <w:pPr>
              <w:pStyle w:val="Default"/>
              <w:rPr>
                <w:rFonts w:ascii="Arial Narrow" w:hAnsi="Arial Narrow"/>
                <w:sz w:val="20"/>
                <w:szCs w:val="20"/>
                <w:lang w:val="en-AU"/>
              </w:rPr>
            </w:pPr>
            <w:r w:rsidRPr="005728DD">
              <w:rPr>
                <w:rFonts w:ascii="Arial Narrow" w:hAnsi="Arial Narrow"/>
                <w:b/>
                <w:bCs/>
                <w:sz w:val="20"/>
                <w:szCs w:val="20"/>
                <w:lang w:val="en-AU"/>
              </w:rPr>
              <w:t>Benefits: Change from baseline in absolute change in ppFEV</w:t>
            </w:r>
            <w:r w:rsidRPr="005728DD">
              <w:rPr>
                <w:rFonts w:ascii="Arial Narrow" w:hAnsi="Arial Narrow"/>
                <w:b/>
                <w:bCs/>
                <w:sz w:val="20"/>
                <w:szCs w:val="20"/>
                <w:vertAlign w:val="subscript"/>
                <w:lang w:val="en-AU"/>
              </w:rPr>
              <w:t>1</w:t>
            </w:r>
            <w:r w:rsidRPr="005728DD">
              <w:rPr>
                <w:rFonts w:ascii="Arial Narrow" w:hAnsi="Arial Narrow"/>
                <w:b/>
                <w:bCs/>
                <w:sz w:val="20"/>
                <w:szCs w:val="20"/>
                <w:lang w:val="en-AU"/>
              </w:rPr>
              <w:t xml:space="preserve"> </w:t>
            </w:r>
          </w:p>
        </w:tc>
      </w:tr>
      <w:tr w:rsidR="0065281E" w:rsidRPr="005728DD" w:rsidTr="0065281E">
        <w:trPr>
          <w:cantSplit/>
          <w:trHeight w:val="225"/>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4046E1">
            <w:pPr>
              <w:pStyle w:val="TableText0"/>
              <w:rPr>
                <w:b/>
              </w:rPr>
            </w:pPr>
            <w:r w:rsidRPr="005728DD">
              <w:rPr>
                <w:b/>
              </w:rPr>
              <w:t>Population</w:t>
            </w:r>
          </w:p>
          <w:p w:rsidR="0065281E" w:rsidRPr="005728DD" w:rsidRDefault="0065281E" w:rsidP="004046E1">
            <w:pPr>
              <w:pStyle w:val="TableText0"/>
            </w:pPr>
            <w:r w:rsidRPr="005728DD">
              <w:t>Trial, follow up</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Treatment</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Comparator</w:t>
            </w:r>
          </w:p>
        </w:tc>
        <w:tc>
          <w:tcPr>
            <w:tcW w:w="996" w:type="pct"/>
            <w:gridSpan w:val="2"/>
            <w:vMerge w:val="restar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szCs w:val="18"/>
                <w:lang w:val="en-AU"/>
              </w:rPr>
            </w:pPr>
            <w:r w:rsidRPr="005728DD">
              <w:rPr>
                <w:iCs/>
                <w:lang w:val="en-AU"/>
              </w:rPr>
              <w:t>Mean difference (95% CI)</w:t>
            </w:r>
          </w:p>
        </w:tc>
      </w:tr>
      <w:tr w:rsidR="0065281E" w:rsidRPr="005728DD" w:rsidTr="0065281E">
        <w:trPr>
          <w:cantSplit/>
          <w:trHeight w:val="22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4046E1">
            <w:pPr>
              <w:keepNext/>
              <w:keepLines/>
              <w:rPr>
                <w:rFonts w:ascii="Arial Narrow" w:hAnsi="Arial Narrow"/>
                <w:color w:val="000000"/>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N</w:t>
            </w:r>
          </w:p>
        </w:tc>
        <w:tc>
          <w:tcPr>
            <w:tcW w:w="665" w:type="pct"/>
            <w:gridSpan w:val="4"/>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 xml:space="preserve">Mean change </w:t>
            </w:r>
          </w:p>
        </w:tc>
        <w:tc>
          <w:tcPr>
            <w:tcW w:w="66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SE</w:t>
            </w:r>
          </w:p>
        </w:tc>
        <w:tc>
          <w:tcPr>
            <w:tcW w:w="23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N</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Mean change</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In-tableHeading"/>
              <w:jc w:val="center"/>
              <w:rPr>
                <w:lang w:val="en-AU"/>
              </w:rPr>
            </w:pPr>
            <w:r w:rsidRPr="005728DD">
              <w:rPr>
                <w:lang w:val="en-AU"/>
              </w:rPr>
              <w:t>SE</w:t>
            </w:r>
          </w:p>
        </w:tc>
        <w:tc>
          <w:tcPr>
            <w:tcW w:w="996" w:type="pct"/>
            <w:gridSpan w:val="2"/>
            <w:vMerge/>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keepNext/>
              <w:keepLines/>
              <w:jc w:val="center"/>
              <w:rPr>
                <w:rFonts w:ascii="Arial Narrow" w:hAnsi="Arial Narrow"/>
                <w:b/>
                <w:sz w:val="20"/>
                <w:szCs w:val="18"/>
              </w:rPr>
            </w:pP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4046E1">
            <w:pPr>
              <w:pStyle w:val="TableText0"/>
              <w:rPr>
                <w:b/>
              </w:rPr>
            </w:pPr>
            <w:r w:rsidRPr="005728DD">
              <w:rPr>
                <w:b/>
              </w:rPr>
              <w:t>F/F</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rPr>
                <w:b/>
              </w:rP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rPr>
                <w:b/>
              </w:rP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rPr>
                <w:b/>
                <w:bCs w:val="0"/>
              </w:rPr>
            </w:pP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12358">
            <w:pPr>
              <w:pStyle w:val="TableText0"/>
            </w:pPr>
            <w:r w:rsidRPr="005728DD">
              <w:t>Study 109, w24</w:t>
            </w:r>
          </w:p>
        </w:tc>
        <w:tc>
          <w:tcPr>
            <w:tcW w:w="31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87</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11.2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0.7</w:t>
            </w:r>
          </w:p>
        </w:tc>
        <w:tc>
          <w:tcPr>
            <w:tcW w:w="23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88</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1.0</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t>0.7</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rPr>
                <w:b/>
                <w:bCs w:val="0"/>
              </w:rPr>
              <w:t>10.2 (8.2, 12.1)</w:t>
            </w: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4046E1">
            <w:pPr>
              <w:pStyle w:val="TableText0"/>
              <w:rPr>
                <w:b/>
              </w:rPr>
            </w:pPr>
            <w:r w:rsidRPr="005728DD">
              <w:rPr>
                <w:b/>
              </w:rPr>
              <w:t>F/RF</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pPr>
            <w:r w:rsidRPr="005728DD">
              <w:rPr>
                <w:b/>
              </w:rPr>
              <w:t>TEZ/IVA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4046E1">
            <w:pPr>
              <w:pStyle w:val="TableText0"/>
              <w:jc w:val="center"/>
              <w:rPr>
                <w:b/>
                <w:bCs w:val="0"/>
              </w:rPr>
            </w:pP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pPr>
            <w:r w:rsidRPr="005728DD">
              <w:t>Study 104 (subgroup), w8</w:t>
            </w:r>
          </w:p>
        </w:tc>
        <w:tc>
          <w:tcPr>
            <w:tcW w:w="31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82</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 xml:space="preserve">2.5 </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0.5</w:t>
            </w:r>
          </w:p>
        </w:tc>
        <w:tc>
          <w:tcPr>
            <w:tcW w:w="23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82</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 xml:space="preserve">0.5 </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0.5</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r w:rsidRPr="005728DD">
              <w:rPr>
                <w:b/>
              </w:rPr>
              <w:t>2.0 (0.5, 3.4)</w:t>
            </w: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rPr>
                <w:b/>
              </w:rPr>
            </w:pPr>
            <w:r w:rsidRPr="005728DD">
              <w:rPr>
                <w:b/>
              </w:rPr>
              <w:t>F/G</w:t>
            </w:r>
          </w:p>
        </w:tc>
        <w:tc>
          <w:tcPr>
            <w:tcW w:w="1649" w:type="pct"/>
            <w:gridSpan w:val="7"/>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
              </w:rPr>
              <w:t>ELX/TEZ/IVA</w:t>
            </w:r>
          </w:p>
        </w:tc>
        <w:tc>
          <w:tcPr>
            <w:tcW w:w="1650" w:type="pct"/>
            <w:gridSpan w:val="5"/>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rPr>
            </w:pPr>
            <w:r w:rsidRPr="005728DD">
              <w:rPr>
                <w:b/>
              </w:rPr>
              <w:t>IVA</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p>
        </w:tc>
      </w:tr>
      <w:tr w:rsidR="0065281E" w:rsidRPr="005728DD" w:rsidTr="0065281E">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pPr>
            <w:r w:rsidRPr="005728DD">
              <w:t xml:space="preserve">Study 104 (subgroup), w8 </w:t>
            </w:r>
          </w:p>
        </w:tc>
        <w:tc>
          <w:tcPr>
            <w:tcW w:w="31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50</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5.8</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0.8</w:t>
            </w:r>
          </w:p>
        </w:tc>
        <w:tc>
          <w:tcPr>
            <w:tcW w:w="239"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45</w:t>
            </w:r>
          </w:p>
        </w:tc>
        <w:tc>
          <w:tcPr>
            <w:tcW w:w="70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 xml:space="preserve">0.1 </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t>0.9</w:t>
            </w:r>
          </w:p>
        </w:tc>
        <w:tc>
          <w:tcPr>
            <w:tcW w:w="996"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
              </w:rPr>
              <w:t>5.8 (3.5, 8.0)</w:t>
            </w:r>
          </w:p>
        </w:tc>
      </w:tr>
      <w:tr w:rsidR="0065281E" w:rsidRPr="005728DD" w:rsidTr="0065281E">
        <w:trPr>
          <w:cantSplit/>
        </w:trPr>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rsidR="0065281E" w:rsidRPr="005728DD" w:rsidRDefault="0065281E" w:rsidP="00A67821">
            <w:pPr>
              <w:pStyle w:val="TableText0"/>
              <w:rPr>
                <w:b/>
              </w:rPr>
            </w:pPr>
            <w:r w:rsidRPr="005728DD">
              <w:rPr>
                <w:b/>
              </w:rPr>
              <w:t>F/MF</w:t>
            </w:r>
          </w:p>
        </w:tc>
        <w:tc>
          <w:tcPr>
            <w:tcW w:w="1649" w:type="pct"/>
            <w:gridSpan w:val="7"/>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rPr>
                <w:b/>
              </w:rPr>
              <w:t>ELX/TEZ/IVA</w:t>
            </w:r>
          </w:p>
        </w:tc>
        <w:tc>
          <w:tcPr>
            <w:tcW w:w="1650" w:type="pct"/>
            <w:gridSpan w:val="5"/>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rPr>
                <w:b/>
              </w:rPr>
            </w:pPr>
            <w:r w:rsidRPr="005728DD">
              <w:rPr>
                <w:b/>
              </w:rPr>
              <w:t>BSC</w:t>
            </w:r>
          </w:p>
        </w:tc>
        <w:tc>
          <w:tcPr>
            <w:tcW w:w="996" w:type="pct"/>
            <w:gridSpan w:val="2"/>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rPr>
                <w:b/>
                <w:bCs w:val="0"/>
              </w:rPr>
            </w:pPr>
          </w:p>
        </w:tc>
      </w:tr>
      <w:tr w:rsidR="0065281E" w:rsidRPr="005728DD" w:rsidTr="0065281E">
        <w:trPr>
          <w:cantSplit/>
        </w:trPr>
        <w:tc>
          <w:tcPr>
            <w:tcW w:w="705" w:type="pct"/>
            <w:tcBorders>
              <w:top w:val="single" w:sz="4" w:space="0" w:color="auto"/>
              <w:left w:val="single" w:sz="4" w:space="0" w:color="auto"/>
              <w:bottom w:val="double" w:sz="4" w:space="0" w:color="auto"/>
              <w:right w:val="single" w:sz="4" w:space="0" w:color="auto"/>
            </w:tcBorders>
            <w:shd w:val="clear" w:color="auto" w:fill="auto"/>
            <w:vAlign w:val="center"/>
          </w:tcPr>
          <w:p w:rsidR="0065281E" w:rsidRPr="005728DD" w:rsidRDefault="0065281E" w:rsidP="00A67821">
            <w:pPr>
              <w:pStyle w:val="TableText0"/>
            </w:pPr>
            <w:r w:rsidRPr="005728DD">
              <w:t>Study 102, w24</w:t>
            </w:r>
          </w:p>
        </w:tc>
        <w:tc>
          <w:tcPr>
            <w:tcW w:w="319" w:type="pct"/>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200</w:t>
            </w:r>
          </w:p>
        </w:tc>
        <w:tc>
          <w:tcPr>
            <w:tcW w:w="622" w:type="pct"/>
            <w:gridSpan w:val="3"/>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13.9</w:t>
            </w:r>
          </w:p>
        </w:tc>
        <w:tc>
          <w:tcPr>
            <w:tcW w:w="708" w:type="pct"/>
            <w:gridSpan w:val="3"/>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0.6</w:t>
            </w:r>
          </w:p>
        </w:tc>
        <w:tc>
          <w:tcPr>
            <w:tcW w:w="239" w:type="pct"/>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203</w:t>
            </w:r>
          </w:p>
        </w:tc>
        <w:tc>
          <w:tcPr>
            <w:tcW w:w="705" w:type="pct"/>
            <w:gridSpan w:val="2"/>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-0.4</w:t>
            </w:r>
          </w:p>
        </w:tc>
        <w:tc>
          <w:tcPr>
            <w:tcW w:w="706" w:type="pct"/>
            <w:gridSpan w:val="2"/>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t>0.5</w:t>
            </w:r>
          </w:p>
        </w:tc>
        <w:tc>
          <w:tcPr>
            <w:tcW w:w="996" w:type="pct"/>
            <w:gridSpan w:val="2"/>
            <w:tcBorders>
              <w:top w:val="single" w:sz="4" w:space="0" w:color="auto"/>
              <w:left w:val="single" w:sz="4" w:space="0" w:color="auto"/>
              <w:bottom w:val="double" w:sz="4" w:space="0" w:color="auto"/>
              <w:right w:val="single" w:sz="4" w:space="0" w:color="auto"/>
            </w:tcBorders>
            <w:vAlign w:val="center"/>
          </w:tcPr>
          <w:p w:rsidR="0065281E" w:rsidRPr="005728DD" w:rsidRDefault="0065281E" w:rsidP="00A67821">
            <w:pPr>
              <w:pStyle w:val="TableText0"/>
              <w:jc w:val="center"/>
            </w:pPr>
            <w:r w:rsidRPr="005728DD">
              <w:rPr>
                <w:b/>
                <w:bCs w:val="0"/>
              </w:rPr>
              <w:t>14.3 (12.7, 15.8)</w:t>
            </w:r>
          </w:p>
        </w:tc>
      </w:tr>
      <w:tr w:rsidR="0065281E" w:rsidRPr="005728DD" w:rsidTr="0065281E">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Default"/>
              <w:rPr>
                <w:rFonts w:ascii="Arial Narrow" w:hAnsi="Arial Narrow"/>
                <w:lang w:val="en-AU"/>
              </w:rPr>
            </w:pPr>
            <w:r w:rsidRPr="005728DD">
              <w:rPr>
                <w:rFonts w:ascii="Arial Narrow" w:hAnsi="Arial Narrow"/>
                <w:b/>
                <w:bCs/>
                <w:sz w:val="20"/>
                <w:szCs w:val="20"/>
                <w:lang w:val="en-AU"/>
              </w:rPr>
              <w:t>Harms</w:t>
            </w:r>
          </w:p>
        </w:tc>
      </w:tr>
      <w:tr w:rsidR="0065281E" w:rsidRPr="005728DD" w:rsidTr="0065281E">
        <w:trPr>
          <w:trHeight w:val="70"/>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In-tableHeading"/>
              <w:rPr>
                <w:lang w:val="en-AU"/>
              </w:rPr>
            </w:pPr>
          </w:p>
        </w:tc>
        <w:tc>
          <w:tcPr>
            <w:tcW w:w="564" w:type="pct"/>
            <w:gridSpan w:val="2"/>
            <w:vMerge w:val="restar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Treatment</w:t>
            </w:r>
          </w:p>
        </w:tc>
        <w:tc>
          <w:tcPr>
            <w:tcW w:w="713" w:type="pct"/>
            <w:gridSpan w:val="4"/>
            <w:vMerge w:val="restar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Comparator</w:t>
            </w:r>
          </w:p>
        </w:tc>
        <w:tc>
          <w:tcPr>
            <w:tcW w:w="861" w:type="pct"/>
            <w:gridSpan w:val="3"/>
            <w:vMerge w:val="restar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RR</w:t>
            </w:r>
          </w:p>
          <w:p w:rsidR="0065281E" w:rsidRPr="005728DD" w:rsidRDefault="0065281E" w:rsidP="00A67821">
            <w:pPr>
              <w:pStyle w:val="In-tableHeading"/>
              <w:jc w:val="center"/>
              <w:rPr>
                <w:lang w:val="en-AU"/>
              </w:rPr>
            </w:pPr>
            <w:r w:rsidRPr="005728DD">
              <w:rPr>
                <w:lang w:val="en-AU"/>
              </w:rPr>
              <w:t>(95% CI)</w:t>
            </w:r>
          </w:p>
        </w:tc>
        <w:tc>
          <w:tcPr>
            <w:tcW w:w="1382" w:type="pct"/>
            <w:gridSpan w:val="4"/>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Event rate/100 patients</w:t>
            </w:r>
          </w:p>
        </w:tc>
        <w:tc>
          <w:tcPr>
            <w:tcW w:w="775" w:type="pct"/>
            <w:vMerge w:val="restar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RD</w:t>
            </w:r>
          </w:p>
          <w:p w:rsidR="0065281E" w:rsidRPr="005728DD" w:rsidRDefault="0065281E" w:rsidP="00A67821">
            <w:pPr>
              <w:pStyle w:val="In-tableHeading"/>
              <w:jc w:val="center"/>
              <w:rPr>
                <w:lang w:val="en-AU"/>
              </w:rPr>
            </w:pPr>
            <w:r w:rsidRPr="005728DD">
              <w:rPr>
                <w:lang w:val="en-AU"/>
              </w:rPr>
              <w:t>(95% CI)</w:t>
            </w:r>
          </w:p>
        </w:tc>
      </w:tr>
      <w:tr w:rsidR="0065281E" w:rsidRPr="005728DD" w:rsidTr="0065281E">
        <w:trPr>
          <w:trHeight w:val="390"/>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In-tableHeading"/>
              <w:rPr>
                <w:lang w:val="en-AU"/>
              </w:rPr>
            </w:pPr>
          </w:p>
        </w:tc>
        <w:tc>
          <w:tcPr>
            <w:tcW w:w="564" w:type="pct"/>
            <w:gridSpan w:val="2"/>
            <w:vMerge/>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rPr>
                <w:lang w:val="en-AU"/>
              </w:rPr>
            </w:pPr>
          </w:p>
        </w:tc>
        <w:tc>
          <w:tcPr>
            <w:tcW w:w="713" w:type="pct"/>
            <w:gridSpan w:val="4"/>
            <w:vMerge/>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rPr>
                <w:lang w:val="en-AU"/>
              </w:rPr>
            </w:pPr>
          </w:p>
        </w:tc>
        <w:tc>
          <w:tcPr>
            <w:tcW w:w="861" w:type="pct"/>
            <w:gridSpan w:val="3"/>
            <w:vMerge/>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rPr>
                <w:lang w:val="en-AU"/>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jc w:val="center"/>
              <w:rPr>
                <w:lang w:val="en-AU"/>
              </w:rPr>
            </w:pPr>
            <w:r w:rsidRPr="005728DD">
              <w:rPr>
                <w:lang w:val="en-AU"/>
              </w:rPr>
              <w:t>Comparators</w:t>
            </w:r>
          </w:p>
        </w:tc>
        <w:tc>
          <w:tcPr>
            <w:tcW w:w="775" w:type="pct"/>
            <w:vMerge/>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In-tableHeading"/>
              <w:rPr>
                <w:lang w:val="en-AU"/>
              </w:rPr>
            </w:pPr>
          </w:p>
        </w:tc>
      </w:tr>
      <w:tr w:rsidR="0065281E" w:rsidRPr="005728DD" w:rsidTr="0065281E">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Default"/>
              <w:jc w:val="both"/>
              <w:rPr>
                <w:rFonts w:ascii="Arial Narrow" w:hAnsi="Arial Narrow"/>
                <w:b/>
                <w:bCs/>
                <w:lang w:val="en-AU"/>
              </w:rPr>
            </w:pPr>
            <w:r w:rsidRPr="005728DD">
              <w:rPr>
                <w:rFonts w:ascii="Arial Narrow" w:hAnsi="Arial Narrow"/>
                <w:b/>
                <w:bCs/>
                <w:sz w:val="20"/>
                <w:szCs w:val="20"/>
                <w:lang w:val="en-AU"/>
              </w:rPr>
              <w:t xml:space="preserve">Patients with Grade 3 or Grade 4 AE </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i/>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i/>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i/>
                <w:iCs/>
              </w:rP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rFonts w:cs="Calibri"/>
                <w:i/>
                <w:iCs/>
                <w:color w:val="000000"/>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pPr>
            <w:r w:rsidRPr="005728DD">
              <w:t>Study 109,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7/87</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7/88</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1.01 (0.37, 2.76)</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8.0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8.0</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rFonts w:cs="Calibri"/>
                <w:iCs/>
                <w:color w:val="000000"/>
              </w:rPr>
              <w:t>0.00 (-0.08, 0.08)</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rPr>
                <w:b/>
              </w:rPr>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iCs/>
              </w:rP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rFonts w:cs="Calibri"/>
                <w:iCs/>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pPr>
            <w:r w:rsidRPr="005728DD">
              <w:t>Study 104, w8</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5/132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4/126</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1.19 (0.33, 4.34)</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3.8</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3.2</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rFonts w:cs="Calibri"/>
                <w:iCs/>
              </w:rPr>
              <w:t>-0.04 (</w:t>
            </w:r>
            <w:r w:rsidRPr="005728DD">
              <w:rPr>
                <w:rFonts w:cs="Calibri"/>
                <w:iCs/>
                <w:color w:val="000000"/>
              </w:rPr>
              <w:t>-0.04, 0.05)</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iCs/>
              </w:rP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b/>
                <w:iCs/>
              </w:rP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rFonts w:cs="Calibri"/>
                <w:iCs/>
                <w:color w:val="000000"/>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TableText0"/>
            </w:pPr>
            <w:r w:rsidRPr="005728DD">
              <w:t xml:space="preserve">Study 102,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19/202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pPr>
            <w:r w:rsidRPr="005728DD">
              <w:rPr>
                <w:bCs w:val="0"/>
              </w:rPr>
              <w:t>15/201</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1.26 (0.66, 2.41)</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9.4</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iCs/>
              </w:rPr>
              <w:t>7.5</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A67821">
            <w:pPr>
              <w:pStyle w:val="TableText0"/>
              <w:jc w:val="center"/>
              <w:rPr>
                <w:iCs/>
              </w:rPr>
            </w:pPr>
            <w:r w:rsidRPr="005728DD">
              <w:rPr>
                <w:rFonts w:cs="Calibri"/>
                <w:iCs/>
                <w:color w:val="000000"/>
              </w:rPr>
              <w:t>0.02 (</w:t>
            </w:r>
            <w:r w:rsidRPr="005728DD">
              <w:rPr>
                <w:rFonts w:cs="Calibri"/>
                <w:color w:val="000000"/>
              </w:rPr>
              <w:t>-0.03, 0.07)</w:t>
            </w:r>
          </w:p>
        </w:tc>
      </w:tr>
      <w:tr w:rsidR="0065281E" w:rsidRPr="005728DD" w:rsidTr="0065281E">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A67821">
            <w:pPr>
              <w:pStyle w:val="In-tableHeading"/>
              <w:jc w:val="both"/>
              <w:rPr>
                <w:lang w:val="en-AU"/>
              </w:rPr>
            </w:pPr>
            <w:r w:rsidRPr="005728DD">
              <w:rPr>
                <w:lang w:val="en-AU"/>
              </w:rPr>
              <w:t xml:space="preserve">Related AE </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rPr>
                <w:b/>
              </w:rPr>
            </w:pPr>
            <w:r w:rsidRPr="005728DD">
              <w:rPr>
                <w:b/>
              </w:rPr>
              <w:t>F/F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Cs w:val="0"/>
              </w:rPr>
            </w:pPr>
            <w:r w:rsidRPr="005728DD">
              <w:rPr>
                <w:b/>
                <w:bCs w:val="0"/>
              </w:rPr>
              <w:t>TEZ/IVA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bCs w:val="0"/>
              </w:rPr>
              <w:t>TEZ/IVA</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rFonts w:cs="Calibri"/>
                <w:b/>
                <w:bCs w:val="0"/>
                <w:iCs/>
                <w:color w:val="000000"/>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pPr>
            <w:r w:rsidRPr="005728DD">
              <w:t xml:space="preserve">Study 109, w24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8/87</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1/88</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iCs/>
              </w:rPr>
            </w:pPr>
            <w:r w:rsidRPr="005728DD">
              <w:rPr>
                <w:b/>
                <w:bCs w:val="0"/>
                <w:iCs/>
              </w:rPr>
              <w:t>8.09 (1.03, 63.34)</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9.2</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1.1</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rPr>
            </w:pPr>
            <w:r w:rsidRPr="005728DD">
              <w:rPr>
                <w:rFonts w:cs="Calibri"/>
                <w:b/>
                <w:bCs w:val="0"/>
                <w:iCs/>
                <w:color w:val="000000"/>
              </w:rPr>
              <w:t>0.08 (0.02, 0.15)</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pPr>
            <w:r w:rsidRPr="005728DD">
              <w:rPr>
                <w:b/>
              </w:rPr>
              <w:t>F/RF and F/G</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Cs w:val="0"/>
              </w:rPr>
            </w:pPr>
            <w:r w:rsidRPr="005728DD">
              <w:rPr>
                <w:b/>
                <w:bCs w:val="0"/>
              </w:rPr>
              <w:t>TEZ/IVA and IVA</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bCs w:val="0"/>
              </w:rPr>
              <w:t>TEZ/IVA and IVA</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rFonts w:cs="Calibri"/>
                <w:b/>
                <w:bCs w:val="0"/>
                <w:iCs/>
                <w:color w:val="000000"/>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pPr>
            <w:r w:rsidRPr="005728DD">
              <w:t xml:space="preserve">Study 104, w8 </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0/132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2/126</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iCs/>
              </w:rPr>
            </w:pPr>
            <w:r w:rsidRPr="005728DD">
              <w:rPr>
                <w:iCs/>
              </w:rPr>
              <w:t>NA</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0.0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1.6</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rFonts w:cs="Calibri"/>
                <w:iCs/>
              </w:rPr>
              <w:t>-0.04 (</w:t>
            </w:r>
            <w:r w:rsidRPr="005728DD">
              <w:rPr>
                <w:rFonts w:cs="Calibri"/>
                <w:iCs/>
                <w:color w:val="000000"/>
              </w:rPr>
              <w:t>-0.04, 0.01)</w:t>
            </w: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rPr>
                <w:b/>
              </w:rPr>
            </w:pPr>
            <w:r w:rsidRPr="005728DD">
              <w:rPr>
                <w:b/>
              </w:rPr>
              <w:t>F/MF</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Cs w:val="0"/>
              </w:rPr>
            </w:pPr>
            <w:r w:rsidRPr="005728DD">
              <w:rPr>
                <w:b/>
              </w:rPr>
              <w:t>ELX/TEZ/IVA</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b/>
                <w:bCs w:val="0"/>
              </w:rPr>
            </w:pPr>
            <w:r w:rsidRPr="005728DD">
              <w:rPr>
                <w:b/>
                <w:bCs w:val="0"/>
              </w:rPr>
              <w:t>BSC</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iCs/>
              </w:rPr>
            </w:pP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rPr>
              <w:t>ELX/TEZ/IVA</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
                <w:bCs w:val="0"/>
              </w:rPr>
              <w:t>BSC</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rFonts w:cs="Calibri"/>
                <w:iCs/>
                <w:color w:val="000000"/>
              </w:rPr>
            </w:pPr>
          </w:p>
        </w:tc>
      </w:tr>
      <w:tr w:rsidR="0065281E" w:rsidRPr="005728DD" w:rsidTr="0065281E">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65281E" w:rsidRPr="005728DD" w:rsidRDefault="0065281E" w:rsidP="007010F1">
            <w:pPr>
              <w:pStyle w:val="TableText0"/>
            </w:pPr>
            <w:r w:rsidRPr="005728DD">
              <w:t>Study 102, w24</w:t>
            </w:r>
          </w:p>
        </w:tc>
        <w:tc>
          <w:tcPr>
            <w:tcW w:w="569"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6/202</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bCs w:val="0"/>
              </w:rPr>
              <w:t>2/201</w:t>
            </w:r>
          </w:p>
        </w:tc>
        <w:tc>
          <w:tcPr>
            <w:tcW w:w="861" w:type="pct"/>
            <w:gridSpan w:val="3"/>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rPr>
                <w:iCs/>
              </w:rPr>
            </w:pPr>
            <w:r w:rsidRPr="005728DD">
              <w:rPr>
                <w:iCs/>
              </w:rPr>
              <w:t>2.99 (0.61, 14.61)</w:t>
            </w:r>
          </w:p>
        </w:tc>
        <w:tc>
          <w:tcPr>
            <w:tcW w:w="627"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3.0</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t>1.0</w:t>
            </w:r>
          </w:p>
        </w:tc>
        <w:tc>
          <w:tcPr>
            <w:tcW w:w="775" w:type="pct"/>
            <w:tcBorders>
              <w:top w:val="single" w:sz="4" w:space="0" w:color="auto"/>
              <w:left w:val="single" w:sz="4" w:space="0" w:color="auto"/>
              <w:bottom w:val="single" w:sz="4" w:space="0" w:color="auto"/>
              <w:right w:val="single" w:sz="4" w:space="0" w:color="auto"/>
            </w:tcBorders>
            <w:vAlign w:val="center"/>
          </w:tcPr>
          <w:p w:rsidR="0065281E" w:rsidRPr="005728DD" w:rsidRDefault="0065281E" w:rsidP="007010F1">
            <w:pPr>
              <w:pStyle w:val="TableText0"/>
              <w:jc w:val="center"/>
            </w:pPr>
            <w:r w:rsidRPr="005728DD">
              <w:rPr>
                <w:rFonts w:cs="Calibri"/>
                <w:iCs/>
                <w:color w:val="000000"/>
              </w:rPr>
              <w:t>0.02 (</w:t>
            </w:r>
            <w:r w:rsidRPr="005728DD">
              <w:rPr>
                <w:rFonts w:cs="Calibri"/>
                <w:color w:val="000000"/>
              </w:rPr>
              <w:t>-0.01, 0.05)</w:t>
            </w:r>
          </w:p>
        </w:tc>
      </w:tr>
    </w:tbl>
    <w:p w:rsidR="004046E1" w:rsidRPr="005728DD" w:rsidRDefault="004046E1" w:rsidP="004046E1">
      <w:pPr>
        <w:pStyle w:val="TableFigNotes0"/>
        <w:rPr>
          <w:rFonts w:ascii="Arial Narrow" w:hAnsi="Arial Narrow"/>
          <w:sz w:val="18"/>
          <w:lang w:val="en-AU"/>
        </w:rPr>
      </w:pPr>
      <w:r w:rsidRPr="005728DD">
        <w:rPr>
          <w:rFonts w:ascii="Arial Narrow" w:hAnsi="Arial Narrow"/>
          <w:sz w:val="18"/>
          <w:lang w:val="en-AU"/>
        </w:rPr>
        <w:t xml:space="preserve">Source: </w:t>
      </w:r>
      <w:r w:rsidRPr="005728DD">
        <w:rPr>
          <w:rFonts w:ascii="Arial Narrow" w:hAnsi="Arial Narrow"/>
          <w:bCs/>
          <w:iCs/>
          <w:sz w:val="18"/>
          <w:lang w:val="en-AU"/>
        </w:rPr>
        <w:t xml:space="preserve">Developed during the evaluation based on Table </w:t>
      </w:r>
      <w:r w:rsidRPr="005728DD">
        <w:rPr>
          <w:rFonts w:ascii="Arial Narrow" w:hAnsi="Arial Narrow"/>
          <w:sz w:val="18"/>
          <w:lang w:val="en-AU"/>
        </w:rPr>
        <w:t>2.3.22, p99-100; Table 2.5.20, p154; Table 2.4.20, p127-128; Table 2.4.15, 119 of the submission</w:t>
      </w:r>
    </w:p>
    <w:p w:rsidR="004046E1" w:rsidRPr="005728DD" w:rsidRDefault="004046E1" w:rsidP="004046E1">
      <w:pPr>
        <w:pStyle w:val="TableFigNotes0"/>
        <w:rPr>
          <w:rFonts w:ascii="Arial Narrow" w:hAnsi="Arial Narrow"/>
          <w:sz w:val="18"/>
          <w:lang w:val="en-AU"/>
        </w:rPr>
      </w:pPr>
      <w:r w:rsidRPr="005728DD">
        <w:rPr>
          <w:rFonts w:ascii="Arial Narrow" w:hAnsi="Arial Narrow"/>
          <w:sz w:val="18"/>
          <w:lang w:val="en-AU"/>
        </w:rPr>
        <w:t>Abbreviations: AE = adverse event; CI = confidence interval; ELX</w:t>
      </w:r>
      <w:r w:rsidR="005A5E7E" w:rsidRPr="005728DD">
        <w:rPr>
          <w:rFonts w:ascii="Arial Narrow" w:hAnsi="Arial Narrow"/>
          <w:sz w:val="18"/>
          <w:lang w:val="en-AU"/>
        </w:rPr>
        <w:t>/TEZ/IVA</w:t>
      </w:r>
      <w:r w:rsidRPr="005728DD">
        <w:rPr>
          <w:rFonts w:ascii="Arial Narrow" w:hAnsi="Arial Narrow"/>
          <w:sz w:val="18"/>
          <w:lang w:val="en-AU"/>
        </w:rPr>
        <w:t xml:space="preserve"> = elexacaftor</w:t>
      </w:r>
      <w:r w:rsidR="005A5E7E" w:rsidRPr="005728DD">
        <w:rPr>
          <w:rFonts w:ascii="Arial Narrow" w:hAnsi="Arial Narrow"/>
          <w:sz w:val="18"/>
          <w:lang w:val="en-AU"/>
        </w:rPr>
        <w:t>/tezacaftor/ivacaftor</w:t>
      </w:r>
      <w:r w:rsidRPr="005728DD">
        <w:rPr>
          <w:rFonts w:ascii="Arial Narrow" w:hAnsi="Arial Narrow"/>
          <w:sz w:val="18"/>
          <w:lang w:val="en-AU"/>
        </w:rPr>
        <w:t xml:space="preserve">; </w:t>
      </w:r>
      <w:r w:rsidR="00EC5EC4" w:rsidRPr="005728DD">
        <w:rPr>
          <w:rFonts w:ascii="Arial Narrow" w:eastAsiaTheme="minorHAnsi" w:hAnsi="Arial Narrow"/>
          <w:sz w:val="18"/>
          <w:lang w:val="en-AU"/>
        </w:rPr>
        <w:t xml:space="preserve">F/F = CF patient homozygous for the F508del-CFTR mutation; F/G = CF patient heterozygous for the F508del in the CFTR gene with a gating mutation; F/MF = CF patient heterozygous for the F508del in the CFTR gene with a minimal function mutation; F/RF = CF patient heterozygous for the F508del in the CFTR gene with a residual function mutation; </w:t>
      </w:r>
      <w:r w:rsidRPr="005728DD">
        <w:rPr>
          <w:rFonts w:ascii="Arial Narrow" w:hAnsi="Arial Narrow"/>
          <w:sz w:val="18"/>
          <w:lang w:val="en-AU"/>
        </w:rPr>
        <w:t xml:space="preserve">RD = risk difference; </w:t>
      </w:r>
      <w:r w:rsidR="005A5E7E" w:rsidRPr="005728DD">
        <w:rPr>
          <w:rFonts w:ascii="Arial Narrow" w:hAnsi="Arial Narrow"/>
          <w:sz w:val="18"/>
          <w:lang w:val="en-AU"/>
        </w:rPr>
        <w:t>RR = relative risk; SE = standard error</w:t>
      </w:r>
    </w:p>
    <w:p w:rsidR="004046E1" w:rsidRPr="005728DD" w:rsidRDefault="006200F2" w:rsidP="004046E1">
      <w:pPr>
        <w:pStyle w:val="TableFigNotes0"/>
        <w:rPr>
          <w:rFonts w:ascii="Arial Narrow" w:hAnsi="Arial Narrow"/>
          <w:sz w:val="18"/>
          <w:lang w:val="en-AU"/>
        </w:rPr>
      </w:pPr>
      <w:r w:rsidRPr="005728DD">
        <w:rPr>
          <w:rFonts w:ascii="Arial Narrow" w:hAnsi="Arial Narrow"/>
          <w:sz w:val="18"/>
          <w:lang w:val="en-AU"/>
        </w:rPr>
        <w:t>Note: Bold indicates statistical significance</w:t>
      </w:r>
      <w:r w:rsidR="00AE0B0C" w:rsidRPr="005728DD">
        <w:rPr>
          <w:rFonts w:ascii="Arial Narrow" w:hAnsi="Arial Narrow"/>
          <w:sz w:val="18"/>
          <w:lang w:val="en-AU"/>
        </w:rPr>
        <w:t>, w=weeks</w:t>
      </w:r>
      <w:r w:rsidRPr="005728DD">
        <w:rPr>
          <w:rFonts w:ascii="Arial Narrow" w:hAnsi="Arial Narrow"/>
          <w:sz w:val="18"/>
          <w:lang w:val="en-AU"/>
        </w:rPr>
        <w:t xml:space="preserve">. </w:t>
      </w:r>
    </w:p>
    <w:p w:rsidR="006B36F4" w:rsidRPr="005728DD" w:rsidRDefault="006B36F4" w:rsidP="006B36F4">
      <w:pPr>
        <w:pStyle w:val="3-BodyText"/>
        <w:numPr>
          <w:ilvl w:val="0"/>
          <w:numId w:val="0"/>
        </w:numPr>
      </w:pPr>
    </w:p>
    <w:p w:rsidR="006A1893" w:rsidRPr="005728DD" w:rsidRDefault="00900B32" w:rsidP="006D41FC">
      <w:pPr>
        <w:pStyle w:val="3-BodyText"/>
      </w:pPr>
      <w:r w:rsidRPr="005728DD">
        <w:rPr>
          <w:snapToGrid/>
        </w:rPr>
        <w:t xml:space="preserve">On </w:t>
      </w:r>
      <w:r w:rsidR="0052115B" w:rsidRPr="005728DD">
        <w:rPr>
          <w:snapToGrid/>
        </w:rPr>
        <w:t xml:space="preserve">the </w:t>
      </w:r>
      <w:r w:rsidRPr="005728DD">
        <w:rPr>
          <w:snapToGrid/>
        </w:rPr>
        <w:t>basis of direct evidence from trials presented in the submission</w:t>
      </w:r>
      <w:r w:rsidR="006A1893" w:rsidRPr="005728DD">
        <w:rPr>
          <w:snapToGrid/>
        </w:rPr>
        <w:t>:</w:t>
      </w:r>
    </w:p>
    <w:p w:rsidR="006A1893" w:rsidRPr="005728DD" w:rsidRDefault="008951A8" w:rsidP="006A1893">
      <w:pPr>
        <w:pStyle w:val="3-BodyText"/>
        <w:numPr>
          <w:ilvl w:val="3"/>
          <w:numId w:val="1"/>
        </w:numPr>
        <w:ind w:left="1134"/>
      </w:pPr>
      <w:r w:rsidRPr="005728DD">
        <w:rPr>
          <w:snapToGrid/>
        </w:rPr>
        <w:t xml:space="preserve">The </w:t>
      </w:r>
      <w:r w:rsidR="00DB0725" w:rsidRPr="005728DD">
        <w:rPr>
          <w:snapToGrid/>
        </w:rPr>
        <w:t xml:space="preserve">F/F </w:t>
      </w:r>
      <w:r w:rsidRPr="005728DD">
        <w:rPr>
          <w:snapToGrid/>
        </w:rPr>
        <w:t xml:space="preserve">population </w:t>
      </w:r>
      <w:r w:rsidR="00DB0725" w:rsidRPr="005728DD">
        <w:rPr>
          <w:snapToGrid/>
        </w:rPr>
        <w:t xml:space="preserve">treated with </w:t>
      </w:r>
      <w:r w:rsidR="00900B32" w:rsidRPr="005728DD">
        <w:rPr>
          <w:snapToGrid/>
        </w:rPr>
        <w:t xml:space="preserve">ELX/TEZ/IVA </w:t>
      </w:r>
      <w:r w:rsidR="002B1302" w:rsidRPr="005728DD">
        <w:rPr>
          <w:snapToGrid/>
        </w:rPr>
        <w:t>achieved</w:t>
      </w:r>
      <w:r w:rsidR="008B4BA1" w:rsidRPr="005728DD">
        <w:t xml:space="preserve"> </w:t>
      </w:r>
      <w:r w:rsidR="00EB6062" w:rsidRPr="005728DD">
        <w:t xml:space="preserve">approximately 10.2% increase in </w:t>
      </w:r>
      <w:r w:rsidR="008B4BA1" w:rsidRPr="005728DD">
        <w:t>lung capacity (as measured by ppFEV</w:t>
      </w:r>
      <w:r w:rsidR="008B4BA1" w:rsidRPr="005728DD">
        <w:rPr>
          <w:vertAlign w:val="subscript"/>
        </w:rPr>
        <w:t>1</w:t>
      </w:r>
      <w:r w:rsidR="00B70C40" w:rsidRPr="005728DD">
        <w:t xml:space="preserve">) </w:t>
      </w:r>
      <w:r w:rsidR="00EB6062" w:rsidRPr="005728DD">
        <w:t xml:space="preserve">compared with </w:t>
      </w:r>
      <w:r w:rsidR="00EB6062" w:rsidRPr="005728DD">
        <w:rPr>
          <w:snapToGrid/>
        </w:rPr>
        <w:t>TEZ/IVA</w:t>
      </w:r>
      <w:r w:rsidR="00956A31" w:rsidRPr="005728DD">
        <w:rPr>
          <w:snapToGrid/>
        </w:rPr>
        <w:t xml:space="preserve"> </w:t>
      </w:r>
      <w:r w:rsidR="005E5FA3" w:rsidRPr="005728DD">
        <w:rPr>
          <w:snapToGrid/>
        </w:rPr>
        <w:t xml:space="preserve">at </w:t>
      </w:r>
      <w:r w:rsidR="00956A31" w:rsidRPr="005728DD">
        <w:rPr>
          <w:snapToGrid/>
        </w:rPr>
        <w:t xml:space="preserve">24 weeks. </w:t>
      </w:r>
    </w:p>
    <w:p w:rsidR="006A1893" w:rsidRPr="005728DD" w:rsidRDefault="008951A8" w:rsidP="006A1893">
      <w:pPr>
        <w:pStyle w:val="3-BodyText"/>
        <w:numPr>
          <w:ilvl w:val="3"/>
          <w:numId w:val="1"/>
        </w:numPr>
        <w:ind w:left="1134"/>
      </w:pPr>
      <w:r w:rsidRPr="005728DD">
        <w:rPr>
          <w:snapToGrid/>
        </w:rPr>
        <w:t xml:space="preserve">The </w:t>
      </w:r>
      <w:r w:rsidR="00C47675" w:rsidRPr="005728DD">
        <w:rPr>
          <w:snapToGrid/>
        </w:rPr>
        <w:t xml:space="preserve">F/RF </w:t>
      </w:r>
      <w:r w:rsidRPr="005728DD">
        <w:rPr>
          <w:snapToGrid/>
        </w:rPr>
        <w:t xml:space="preserve">population </w:t>
      </w:r>
      <w:r w:rsidR="00C47675" w:rsidRPr="005728DD">
        <w:rPr>
          <w:snapToGrid/>
        </w:rPr>
        <w:t xml:space="preserve">treated with ELX/TEZ/IVA </w:t>
      </w:r>
      <w:r w:rsidR="002D6423" w:rsidRPr="005728DD">
        <w:rPr>
          <w:snapToGrid/>
        </w:rPr>
        <w:t>achieved</w:t>
      </w:r>
      <w:r w:rsidR="00C47675" w:rsidRPr="005728DD">
        <w:t xml:space="preserve"> approximately </w:t>
      </w:r>
      <w:r w:rsidR="00712358" w:rsidRPr="005728DD">
        <w:t>2</w:t>
      </w:r>
      <w:r w:rsidR="00C47675" w:rsidRPr="005728DD">
        <w:t>% increase in lung capacity (as measured by ppFEV</w:t>
      </w:r>
      <w:r w:rsidR="00C47675" w:rsidRPr="005728DD">
        <w:rPr>
          <w:vertAlign w:val="subscript"/>
        </w:rPr>
        <w:t>1</w:t>
      </w:r>
      <w:r w:rsidR="00C47675" w:rsidRPr="005728DD">
        <w:t xml:space="preserve">) compared with </w:t>
      </w:r>
      <w:r w:rsidR="00C47675" w:rsidRPr="005728DD">
        <w:rPr>
          <w:snapToGrid/>
        </w:rPr>
        <w:t>TEZ/IVA</w:t>
      </w:r>
      <w:r w:rsidR="000E6D52" w:rsidRPr="005728DD">
        <w:rPr>
          <w:snapToGrid/>
        </w:rPr>
        <w:t xml:space="preserve"> </w:t>
      </w:r>
      <w:r w:rsidR="005E5FA3" w:rsidRPr="005728DD">
        <w:rPr>
          <w:snapToGrid/>
        </w:rPr>
        <w:t xml:space="preserve">at </w:t>
      </w:r>
      <w:r w:rsidR="000E6D52" w:rsidRPr="005728DD">
        <w:rPr>
          <w:snapToGrid/>
        </w:rPr>
        <w:t>8</w:t>
      </w:r>
      <w:r w:rsidR="00C47675" w:rsidRPr="005728DD">
        <w:rPr>
          <w:snapToGrid/>
        </w:rPr>
        <w:t xml:space="preserve"> </w:t>
      </w:r>
      <w:r w:rsidR="00C47675" w:rsidRPr="005728DD">
        <w:rPr>
          <w:snapToGrid/>
        </w:rPr>
        <w:lastRenderedPageBreak/>
        <w:t xml:space="preserve">weeks. </w:t>
      </w:r>
      <w:r w:rsidR="00C610DF" w:rsidRPr="005728DD">
        <w:rPr>
          <w:snapToGrid/>
        </w:rPr>
        <w:t>This is less than the increase in lung capacity that the PBAC has previously considered to be clinically meaningful (i.e., MCID of 10%).</w:t>
      </w:r>
      <w:r w:rsidR="00C610DF" w:rsidRPr="005728DD">
        <w:rPr>
          <w:i/>
          <w:snapToGrid/>
        </w:rPr>
        <w:t xml:space="preserve"> </w:t>
      </w:r>
    </w:p>
    <w:p w:rsidR="00010809" w:rsidRPr="005728DD" w:rsidRDefault="008951A8" w:rsidP="00010809">
      <w:pPr>
        <w:pStyle w:val="3-BodyText"/>
        <w:numPr>
          <w:ilvl w:val="3"/>
          <w:numId w:val="1"/>
        </w:numPr>
        <w:ind w:left="1134"/>
      </w:pPr>
      <w:r w:rsidRPr="005728DD">
        <w:rPr>
          <w:snapToGrid/>
        </w:rPr>
        <w:t xml:space="preserve">The </w:t>
      </w:r>
      <w:r w:rsidR="00010809" w:rsidRPr="005728DD">
        <w:rPr>
          <w:snapToGrid/>
        </w:rPr>
        <w:t xml:space="preserve">F/G </w:t>
      </w:r>
      <w:r w:rsidRPr="005728DD">
        <w:rPr>
          <w:snapToGrid/>
        </w:rPr>
        <w:t xml:space="preserve">population </w:t>
      </w:r>
      <w:r w:rsidR="00010809" w:rsidRPr="005728DD">
        <w:rPr>
          <w:snapToGrid/>
        </w:rPr>
        <w:t>treated with ELX/TEZ/IVA achieved</w:t>
      </w:r>
      <w:r w:rsidR="00010809" w:rsidRPr="005728DD">
        <w:t xml:space="preserve"> approximately </w:t>
      </w:r>
      <w:r w:rsidR="00712358" w:rsidRPr="005728DD">
        <w:t>5.8</w:t>
      </w:r>
      <w:r w:rsidR="00010809" w:rsidRPr="005728DD">
        <w:t>% increase in lung capacity (as measured by ppFEV</w:t>
      </w:r>
      <w:r w:rsidR="00010809" w:rsidRPr="005728DD">
        <w:rPr>
          <w:vertAlign w:val="subscript"/>
        </w:rPr>
        <w:t>1</w:t>
      </w:r>
      <w:r w:rsidR="00010809" w:rsidRPr="005728DD">
        <w:t>) compared with</w:t>
      </w:r>
      <w:r w:rsidR="00010809" w:rsidRPr="005728DD">
        <w:rPr>
          <w:snapToGrid/>
        </w:rPr>
        <w:t xml:space="preserve"> </w:t>
      </w:r>
      <w:r w:rsidRPr="005728DD">
        <w:rPr>
          <w:snapToGrid/>
        </w:rPr>
        <w:t xml:space="preserve">IVA </w:t>
      </w:r>
      <w:r w:rsidR="00010809" w:rsidRPr="005728DD">
        <w:rPr>
          <w:snapToGrid/>
        </w:rPr>
        <w:t>at 8 weeks.</w:t>
      </w:r>
      <w:r w:rsidR="008B5EF9" w:rsidRPr="005728DD">
        <w:rPr>
          <w:snapToGrid/>
        </w:rPr>
        <w:t xml:space="preserve"> </w:t>
      </w:r>
      <w:r w:rsidR="00C610DF" w:rsidRPr="005728DD">
        <w:rPr>
          <w:snapToGrid/>
        </w:rPr>
        <w:t>This is less than the increase in lung capacity that the PBAC has previously considered to be clinically meaningful (i.e., MCID of 10%).</w:t>
      </w:r>
    </w:p>
    <w:p w:rsidR="00C47675" w:rsidRPr="005728DD" w:rsidRDefault="00C47675" w:rsidP="006A1893">
      <w:pPr>
        <w:pStyle w:val="3-BodyText"/>
        <w:numPr>
          <w:ilvl w:val="3"/>
          <w:numId w:val="1"/>
        </w:numPr>
        <w:ind w:left="1134"/>
      </w:pPr>
      <w:r w:rsidRPr="005728DD">
        <w:rPr>
          <w:snapToGrid/>
        </w:rPr>
        <w:t>F/</w:t>
      </w:r>
      <w:r w:rsidR="00143FA5" w:rsidRPr="005728DD">
        <w:rPr>
          <w:snapToGrid/>
        </w:rPr>
        <w:t>M</w:t>
      </w:r>
      <w:r w:rsidRPr="005728DD">
        <w:rPr>
          <w:snapToGrid/>
        </w:rPr>
        <w:t xml:space="preserve">F patients treated with ELX/TEZ/IVA </w:t>
      </w:r>
      <w:r w:rsidR="00CC4174" w:rsidRPr="005728DD">
        <w:rPr>
          <w:snapToGrid/>
        </w:rPr>
        <w:t>achieved</w:t>
      </w:r>
      <w:r w:rsidRPr="005728DD">
        <w:t xml:space="preserve"> approximately </w:t>
      </w:r>
      <w:r w:rsidR="000E6D52" w:rsidRPr="005728DD">
        <w:t>14.3</w:t>
      </w:r>
      <w:r w:rsidRPr="005728DD">
        <w:t>% increase in lung capacity (as measured by ppFEV</w:t>
      </w:r>
      <w:r w:rsidRPr="005728DD">
        <w:rPr>
          <w:vertAlign w:val="subscript"/>
        </w:rPr>
        <w:t>1</w:t>
      </w:r>
      <w:r w:rsidRPr="005728DD">
        <w:t xml:space="preserve">) compared with </w:t>
      </w:r>
      <w:r w:rsidR="00A47C6E" w:rsidRPr="005728DD">
        <w:rPr>
          <w:snapToGrid/>
        </w:rPr>
        <w:t>BSC</w:t>
      </w:r>
      <w:r w:rsidRPr="005728DD">
        <w:rPr>
          <w:snapToGrid/>
        </w:rPr>
        <w:t xml:space="preserve"> </w:t>
      </w:r>
      <w:r w:rsidR="005E5FA3" w:rsidRPr="005728DD">
        <w:rPr>
          <w:snapToGrid/>
        </w:rPr>
        <w:t xml:space="preserve">at </w:t>
      </w:r>
      <w:r w:rsidRPr="005728DD">
        <w:rPr>
          <w:snapToGrid/>
        </w:rPr>
        <w:t xml:space="preserve">24 weeks. </w:t>
      </w:r>
    </w:p>
    <w:p w:rsidR="00A81B55" w:rsidRPr="005728DD" w:rsidRDefault="00E66AF4" w:rsidP="00A81B55">
      <w:pPr>
        <w:pStyle w:val="3-BodyText"/>
      </w:pPr>
      <w:r w:rsidRPr="005728DD">
        <w:rPr>
          <w:snapToGrid/>
        </w:rPr>
        <w:t xml:space="preserve">On </w:t>
      </w:r>
      <w:r w:rsidR="00CC4174" w:rsidRPr="005728DD">
        <w:rPr>
          <w:snapToGrid/>
        </w:rPr>
        <w:t xml:space="preserve">the </w:t>
      </w:r>
      <w:r w:rsidRPr="005728DD">
        <w:rPr>
          <w:snapToGrid/>
        </w:rPr>
        <w:t>basis of direct evidence from trials presented in the submission</w:t>
      </w:r>
      <w:r w:rsidRPr="005728DD">
        <w:t xml:space="preserve">, patients treated with </w:t>
      </w:r>
      <w:r w:rsidRPr="005728DD">
        <w:rPr>
          <w:snapToGrid/>
        </w:rPr>
        <w:t>ELX/TEZ/IVA have no</w:t>
      </w:r>
      <w:r w:rsidRPr="005728DD">
        <w:t xml:space="preserve"> </w:t>
      </w:r>
      <w:r w:rsidR="003E659D" w:rsidRPr="005728DD">
        <w:t xml:space="preserve">increase </w:t>
      </w:r>
      <w:r w:rsidRPr="005728DD">
        <w:t xml:space="preserve">in the </w:t>
      </w:r>
      <w:r w:rsidR="006A1893" w:rsidRPr="005728DD">
        <w:t xml:space="preserve">overall </w:t>
      </w:r>
      <w:r w:rsidRPr="005728DD">
        <w:t xml:space="preserve">likelihood of harm compared with TEZ/IVA, </w:t>
      </w:r>
      <w:r w:rsidR="00274C0B" w:rsidRPr="005728DD">
        <w:t>IVA</w:t>
      </w:r>
      <w:r w:rsidRPr="005728DD">
        <w:t>, or BSC</w:t>
      </w:r>
      <w:r w:rsidR="00274C0B" w:rsidRPr="005728DD">
        <w:t xml:space="preserve"> over a period of up to 24 weeks</w:t>
      </w:r>
      <w:r w:rsidRPr="005728DD">
        <w:t>.</w:t>
      </w:r>
      <w:r w:rsidR="008B5EF9" w:rsidRPr="005728DD">
        <w:t xml:space="preserve"> </w:t>
      </w:r>
    </w:p>
    <w:p w:rsidR="00B60939" w:rsidRPr="005728DD" w:rsidRDefault="00B60939" w:rsidP="00E9094A">
      <w:pPr>
        <w:pStyle w:val="4-SubsectionHeading"/>
      </w:pPr>
      <w:bookmarkStart w:id="31" w:name="_Toc22897644"/>
      <w:bookmarkStart w:id="32" w:name="_Toc62035733"/>
      <w:r w:rsidRPr="005728DD">
        <w:t>Clinical claim</w:t>
      </w:r>
      <w:bookmarkEnd w:id="31"/>
      <w:bookmarkEnd w:id="32"/>
    </w:p>
    <w:p w:rsidR="00221399" w:rsidRPr="005728DD" w:rsidRDefault="00125CD2" w:rsidP="00481A2E">
      <w:pPr>
        <w:pStyle w:val="3-BodyText"/>
        <w:rPr>
          <w:i/>
          <w:snapToGrid/>
        </w:rPr>
      </w:pPr>
      <w:r w:rsidRPr="005728DD">
        <w:rPr>
          <w:iCs/>
        </w:rPr>
        <w:t xml:space="preserve">For the F/F population, the submission described ELX/TEZ/IVA </w:t>
      </w:r>
      <w:r w:rsidRPr="005728DD">
        <w:t xml:space="preserve">as superior in terms of effectiveness compared </w:t>
      </w:r>
      <w:r w:rsidR="002453A0" w:rsidRPr="005728DD">
        <w:t xml:space="preserve">to </w:t>
      </w:r>
      <w:r w:rsidRPr="005728DD">
        <w:t>TEZ/IVA.</w:t>
      </w:r>
      <w:r w:rsidRPr="005728DD">
        <w:rPr>
          <w:iCs/>
        </w:rPr>
        <w:t xml:space="preserve"> T</w:t>
      </w:r>
      <w:r w:rsidR="00DB28A0" w:rsidRPr="005728DD">
        <w:rPr>
          <w:iCs/>
        </w:rPr>
        <w:t xml:space="preserve">he ESC considered </w:t>
      </w:r>
      <w:r w:rsidR="00221399" w:rsidRPr="005728DD">
        <w:rPr>
          <w:iCs/>
        </w:rPr>
        <w:t>the evidence presented indicated a significant improvement in outcomes of ppFEV</w:t>
      </w:r>
      <w:r w:rsidR="00221399" w:rsidRPr="005728DD">
        <w:rPr>
          <w:iCs/>
          <w:vertAlign w:val="subscript"/>
        </w:rPr>
        <w:t>1</w:t>
      </w:r>
      <w:r w:rsidR="00221399" w:rsidRPr="005728DD">
        <w:rPr>
          <w:iCs/>
        </w:rPr>
        <w:t xml:space="preserve">, </w:t>
      </w:r>
      <w:r w:rsidR="00221399" w:rsidRPr="005728DD">
        <w:rPr>
          <w:iCs/>
          <w:color w:val="000000" w:themeColor="text1"/>
        </w:rPr>
        <w:t xml:space="preserve">CFQ-R Respiratory Domain score and sweat chloride at </w:t>
      </w:r>
      <w:r w:rsidR="00DB28A0" w:rsidRPr="005728DD">
        <w:rPr>
          <w:iCs/>
          <w:color w:val="000000" w:themeColor="text1"/>
        </w:rPr>
        <w:t xml:space="preserve">4 weeks and </w:t>
      </w:r>
      <w:r w:rsidR="00221399" w:rsidRPr="005728DD">
        <w:rPr>
          <w:iCs/>
          <w:color w:val="000000" w:themeColor="text1"/>
        </w:rPr>
        <w:t>24 weeks versus TEZ/IVA</w:t>
      </w:r>
      <w:r w:rsidR="00221399" w:rsidRPr="005728DD">
        <w:rPr>
          <w:iCs/>
        </w:rPr>
        <w:t xml:space="preserve">. </w:t>
      </w:r>
      <w:r w:rsidR="00193F22" w:rsidRPr="005728DD">
        <w:rPr>
          <w:iCs/>
        </w:rPr>
        <w:t>The ESC noted the improvement in ppFEV</w:t>
      </w:r>
      <w:r w:rsidR="00193F22" w:rsidRPr="005728DD">
        <w:rPr>
          <w:iCs/>
          <w:vertAlign w:val="subscript"/>
        </w:rPr>
        <w:t>1</w:t>
      </w:r>
      <w:r w:rsidR="00193F22" w:rsidRPr="005728DD">
        <w:rPr>
          <w:iCs/>
        </w:rPr>
        <w:t xml:space="preserve"> was </w:t>
      </w:r>
      <w:r w:rsidR="0030636B" w:rsidRPr="005728DD">
        <w:rPr>
          <w:iCs/>
        </w:rPr>
        <w:t xml:space="preserve">greater </w:t>
      </w:r>
      <w:r w:rsidR="00193F22" w:rsidRPr="005728DD">
        <w:rPr>
          <w:iCs/>
        </w:rPr>
        <w:t xml:space="preserve">than the MCID of 10% at 4 weeks and 24 weeks. </w:t>
      </w:r>
      <w:r w:rsidR="00221399" w:rsidRPr="005728DD">
        <w:rPr>
          <w:iCs/>
        </w:rPr>
        <w:t>The BMI outcome for F/F patients was based on a short duration of treatment in Study 103 (4 weeks)</w:t>
      </w:r>
      <w:r w:rsidR="00DB28A0" w:rsidRPr="005728DD">
        <w:rPr>
          <w:iCs/>
        </w:rPr>
        <w:t xml:space="preserve"> and the clinical </w:t>
      </w:r>
      <w:r w:rsidR="00663933" w:rsidRPr="005728DD">
        <w:rPr>
          <w:iCs/>
        </w:rPr>
        <w:t>significance</w:t>
      </w:r>
      <w:r w:rsidR="00DB28A0" w:rsidRPr="005728DD">
        <w:rPr>
          <w:iCs/>
        </w:rPr>
        <w:t xml:space="preserve"> </w:t>
      </w:r>
      <w:r w:rsidR="00193F22" w:rsidRPr="005728DD">
        <w:rPr>
          <w:iCs/>
        </w:rPr>
        <w:t>of this over the longer term is uncertain</w:t>
      </w:r>
      <w:r w:rsidR="00221399" w:rsidRPr="005728DD">
        <w:rPr>
          <w:iCs/>
        </w:rPr>
        <w:t xml:space="preserve">. </w:t>
      </w:r>
      <w:r w:rsidR="004239D3" w:rsidRPr="005728DD">
        <w:rPr>
          <w:iCs/>
        </w:rPr>
        <w:t>The PBAC noted infective PEx was collected as a safety income</w:t>
      </w:r>
      <w:r w:rsidR="00DB28A0" w:rsidRPr="005728DD">
        <w:rPr>
          <w:iCs/>
        </w:rPr>
        <w:t>.</w:t>
      </w:r>
    </w:p>
    <w:p w:rsidR="00DB28A0" w:rsidRPr="005728DD" w:rsidRDefault="00DB28A0" w:rsidP="00C610DF">
      <w:pPr>
        <w:pStyle w:val="3-BodyText"/>
        <w:rPr>
          <w:snapToGrid/>
        </w:rPr>
      </w:pPr>
      <w:r w:rsidRPr="005728DD">
        <w:rPr>
          <w:snapToGrid/>
        </w:rPr>
        <w:t xml:space="preserve">For the F/RF population, </w:t>
      </w:r>
      <w:r w:rsidR="00125CD2" w:rsidRPr="005728DD">
        <w:rPr>
          <w:iCs/>
        </w:rPr>
        <w:t xml:space="preserve">the submission described ELX/TEZ/IVA </w:t>
      </w:r>
      <w:r w:rsidR="00125CD2" w:rsidRPr="005728DD">
        <w:t xml:space="preserve">as superior in terms of effectiveness compared </w:t>
      </w:r>
      <w:r w:rsidR="002453A0" w:rsidRPr="005728DD">
        <w:t xml:space="preserve">to </w:t>
      </w:r>
      <w:r w:rsidR="00125CD2" w:rsidRPr="005728DD">
        <w:t>TEZ/IVA</w:t>
      </w:r>
      <w:r w:rsidR="00125CD2" w:rsidRPr="005728DD">
        <w:rPr>
          <w:snapToGrid/>
        </w:rPr>
        <w:t>. T</w:t>
      </w:r>
      <w:r w:rsidRPr="005728DD">
        <w:rPr>
          <w:snapToGrid/>
        </w:rPr>
        <w:t>he ESC noted the evidence presented for outcomes of ppFEV1, CFQ-R Respiratory Domain score and sweat chloride were based on a short duration of treatment (8 weeks</w:t>
      </w:r>
      <w:r w:rsidR="004172B7" w:rsidRPr="005728DD">
        <w:rPr>
          <w:snapToGrid/>
        </w:rPr>
        <w:t>)</w:t>
      </w:r>
      <w:r w:rsidRPr="005728DD">
        <w:rPr>
          <w:snapToGrid/>
        </w:rPr>
        <w:t xml:space="preserve">. </w:t>
      </w:r>
      <w:r w:rsidR="00C610DF" w:rsidRPr="005728DD">
        <w:rPr>
          <w:snapToGrid/>
        </w:rPr>
        <w:t xml:space="preserve">The ESC noted the improvement in </w:t>
      </w:r>
      <w:r w:rsidR="00193F22" w:rsidRPr="005728DD">
        <w:rPr>
          <w:snapToGrid/>
        </w:rPr>
        <w:t>pp</w:t>
      </w:r>
      <w:r w:rsidR="00C610DF" w:rsidRPr="005728DD">
        <w:rPr>
          <w:snapToGrid/>
        </w:rPr>
        <w:t>FEV</w:t>
      </w:r>
      <w:r w:rsidR="00C610DF" w:rsidRPr="005728DD">
        <w:rPr>
          <w:snapToGrid/>
          <w:vertAlign w:val="subscript"/>
        </w:rPr>
        <w:t>1</w:t>
      </w:r>
      <w:r w:rsidR="00193F22" w:rsidRPr="005728DD">
        <w:rPr>
          <w:snapToGrid/>
          <w:vertAlign w:val="subscript"/>
        </w:rPr>
        <w:t xml:space="preserve"> </w:t>
      </w:r>
      <w:r w:rsidR="00C610DF" w:rsidRPr="005728DD">
        <w:rPr>
          <w:snapToGrid/>
        </w:rPr>
        <w:t>(2.0%) was</w:t>
      </w:r>
      <w:r w:rsidR="00BF4469" w:rsidRPr="005728DD">
        <w:t xml:space="preserve"> described by the TGA Delegate as small </w:t>
      </w:r>
      <w:r w:rsidR="003F760F" w:rsidRPr="005728DD">
        <w:rPr>
          <w:snapToGrid/>
        </w:rPr>
        <w:t>and</w:t>
      </w:r>
      <w:r w:rsidR="00C610DF" w:rsidRPr="005728DD">
        <w:rPr>
          <w:snapToGrid/>
        </w:rPr>
        <w:t xml:space="preserve"> </w:t>
      </w:r>
      <w:r w:rsidR="00BF4469" w:rsidRPr="005728DD">
        <w:rPr>
          <w:snapToGrid/>
        </w:rPr>
        <w:t xml:space="preserve">was </w:t>
      </w:r>
      <w:r w:rsidR="00C610DF" w:rsidRPr="005728DD">
        <w:rPr>
          <w:snapToGrid/>
        </w:rPr>
        <w:t>less than the 10% MCID previously considered by the PBAC, and that there was no evidence presented for BMI and PEx outcomes, and thus considered the claim of superior effectiveness was not adequately supported.</w:t>
      </w:r>
      <w:r w:rsidR="00537FEE" w:rsidRPr="005728DD">
        <w:rPr>
          <w:snapToGrid/>
        </w:rPr>
        <w:t xml:space="preserve"> The PBAC noted infective PEx was collected as a safety outcome. </w:t>
      </w:r>
    </w:p>
    <w:p w:rsidR="00193F22" w:rsidRPr="005728DD" w:rsidRDefault="00DB28A0" w:rsidP="00537FEE">
      <w:pPr>
        <w:pStyle w:val="3-BodyText"/>
        <w:rPr>
          <w:snapToGrid/>
        </w:rPr>
      </w:pPr>
      <w:r w:rsidRPr="005728DD">
        <w:rPr>
          <w:iCs/>
        </w:rPr>
        <w:t xml:space="preserve">For F/G patients, </w:t>
      </w:r>
      <w:r w:rsidR="002453A0" w:rsidRPr="005728DD">
        <w:rPr>
          <w:iCs/>
        </w:rPr>
        <w:t xml:space="preserve">the submission described ELX/TEZ/IVA </w:t>
      </w:r>
      <w:r w:rsidR="002453A0" w:rsidRPr="005728DD">
        <w:t xml:space="preserve">as superior in terms of effectiveness compared to IVA. </w:t>
      </w:r>
      <w:r w:rsidR="002453A0" w:rsidRPr="005728DD">
        <w:rPr>
          <w:iCs/>
        </w:rPr>
        <w:t>T</w:t>
      </w:r>
      <w:r w:rsidRPr="005728DD">
        <w:rPr>
          <w:iCs/>
        </w:rPr>
        <w:t>he ESC noted the evidence presented for outcomes of ppFEV</w:t>
      </w:r>
      <w:r w:rsidRPr="005728DD">
        <w:rPr>
          <w:iCs/>
          <w:vertAlign w:val="subscript"/>
        </w:rPr>
        <w:t>1</w:t>
      </w:r>
      <w:r w:rsidRPr="005728DD">
        <w:rPr>
          <w:iCs/>
        </w:rPr>
        <w:t xml:space="preserve">, </w:t>
      </w:r>
      <w:r w:rsidRPr="005728DD">
        <w:rPr>
          <w:iCs/>
          <w:color w:val="000000" w:themeColor="text1"/>
        </w:rPr>
        <w:t>CFQ-R Respiratory Domain score and sweat chloride</w:t>
      </w:r>
      <w:r w:rsidRPr="005728DD">
        <w:rPr>
          <w:iCs/>
        </w:rPr>
        <w:t xml:space="preserve"> were based on a short duration of treatment (8 weeks)</w:t>
      </w:r>
      <w:r w:rsidR="00193F22" w:rsidRPr="005728DD">
        <w:rPr>
          <w:iCs/>
        </w:rPr>
        <w:t>.</w:t>
      </w:r>
      <w:r w:rsidRPr="005728DD">
        <w:rPr>
          <w:iCs/>
        </w:rPr>
        <w:t xml:space="preserve"> </w:t>
      </w:r>
      <w:r w:rsidR="00193F22" w:rsidRPr="005728DD">
        <w:rPr>
          <w:snapToGrid/>
        </w:rPr>
        <w:t>The ESC noted the improvement in ppFEV</w:t>
      </w:r>
      <w:r w:rsidR="00193F22" w:rsidRPr="005728DD">
        <w:rPr>
          <w:snapToGrid/>
          <w:vertAlign w:val="subscript"/>
        </w:rPr>
        <w:t xml:space="preserve">1 </w:t>
      </w:r>
      <w:r w:rsidR="00193F22" w:rsidRPr="005728DD">
        <w:rPr>
          <w:snapToGrid/>
        </w:rPr>
        <w:t xml:space="preserve">(5.8%) </w:t>
      </w:r>
      <w:r w:rsidR="003F760F" w:rsidRPr="005728DD">
        <w:rPr>
          <w:snapToGrid/>
        </w:rPr>
        <w:t xml:space="preserve">was </w:t>
      </w:r>
      <w:r w:rsidR="00BF4469" w:rsidRPr="005728DD">
        <w:t xml:space="preserve">described by the TGA Delegate as small </w:t>
      </w:r>
      <w:r w:rsidR="003F760F" w:rsidRPr="005728DD">
        <w:rPr>
          <w:snapToGrid/>
        </w:rPr>
        <w:t xml:space="preserve">and </w:t>
      </w:r>
      <w:r w:rsidR="00193F22" w:rsidRPr="005728DD">
        <w:rPr>
          <w:snapToGrid/>
        </w:rPr>
        <w:t>was less than the 10% MCID previously considered by the PBAC, and that there was no evidence presented for BMI and PEx, and thus considered the claim of superior effectiveness was not adequately supported.</w:t>
      </w:r>
      <w:r w:rsidR="008B5EF9" w:rsidRPr="005728DD">
        <w:rPr>
          <w:snapToGrid/>
        </w:rPr>
        <w:t xml:space="preserve"> </w:t>
      </w:r>
      <w:r w:rsidR="00537FEE" w:rsidRPr="005728DD">
        <w:rPr>
          <w:snapToGrid/>
        </w:rPr>
        <w:t xml:space="preserve">The PBAC noted infective PEx was collected as a safety outcome. </w:t>
      </w:r>
    </w:p>
    <w:p w:rsidR="00537FEE" w:rsidRPr="005728DD" w:rsidRDefault="00537FEE" w:rsidP="00537FEE">
      <w:pPr>
        <w:pStyle w:val="3-BodyText"/>
        <w:rPr>
          <w:snapToGrid/>
        </w:rPr>
      </w:pPr>
      <w:r w:rsidRPr="005728DD">
        <w:rPr>
          <w:iCs/>
        </w:rPr>
        <w:t>The pre</w:t>
      </w:r>
      <w:r w:rsidRPr="005728DD">
        <w:rPr>
          <w:snapToGrid/>
        </w:rPr>
        <w:t xml:space="preserve">-PBAC response stated the claim of superior effectiveness for the F/RF and F/G populations is strongly supported </w:t>
      </w:r>
      <w:r w:rsidR="001D5F81" w:rsidRPr="005728DD">
        <w:rPr>
          <w:snapToGrid/>
        </w:rPr>
        <w:t xml:space="preserve">by </w:t>
      </w:r>
      <w:r w:rsidRPr="005728DD">
        <w:rPr>
          <w:snapToGrid/>
        </w:rPr>
        <w:t xml:space="preserve">the results of Study 104 and </w:t>
      </w:r>
      <w:r w:rsidR="001D5F81" w:rsidRPr="005728DD">
        <w:rPr>
          <w:snapToGrid/>
        </w:rPr>
        <w:t xml:space="preserve">noted </w:t>
      </w:r>
      <w:r w:rsidRPr="005728DD">
        <w:rPr>
          <w:snapToGrid/>
        </w:rPr>
        <w:t xml:space="preserve">the ACM conclusion that ELX/TEZ/IVA demonstrated significant and meaningful benefits in all </w:t>
      </w:r>
      <w:r w:rsidRPr="005728DD">
        <w:rPr>
          <w:snapToGrid/>
        </w:rPr>
        <w:lastRenderedPageBreak/>
        <w:t>primary and secondary endpoints in the clinical trial.</w:t>
      </w:r>
      <w:r w:rsidR="008B5EF9" w:rsidRPr="005728DD">
        <w:rPr>
          <w:snapToGrid/>
        </w:rPr>
        <w:t xml:space="preserve"> </w:t>
      </w:r>
      <w:r w:rsidRPr="005728DD">
        <w:rPr>
          <w:snapToGrid/>
        </w:rPr>
        <w:t>The pre-PBAC response stated the PBAC had previously approved other CFTR modulators which demonstrate similar improvements in ppFEV</w:t>
      </w:r>
      <w:r w:rsidRPr="005728DD">
        <w:rPr>
          <w:snapToGrid/>
          <w:vertAlign w:val="subscript"/>
        </w:rPr>
        <w:t>1</w:t>
      </w:r>
      <w:r w:rsidRPr="005728DD">
        <w:rPr>
          <w:snapToGrid/>
        </w:rPr>
        <w:t xml:space="preserve">. </w:t>
      </w:r>
      <w:r w:rsidR="004A5003" w:rsidRPr="005728DD">
        <w:rPr>
          <w:snapToGrid/>
        </w:rPr>
        <w:t>The PBAC recalled it had previously approved other CFTR modulators with a lower ppFEV</w:t>
      </w:r>
      <w:r w:rsidR="004A5003" w:rsidRPr="005728DD">
        <w:rPr>
          <w:snapToGrid/>
          <w:vertAlign w:val="subscript"/>
        </w:rPr>
        <w:t>1</w:t>
      </w:r>
      <w:r w:rsidR="004A5003" w:rsidRPr="005728DD">
        <w:rPr>
          <w:snapToGrid/>
        </w:rPr>
        <w:t xml:space="preserve"> benefit; however, that was in the context of clinical trials</w:t>
      </w:r>
      <w:r w:rsidR="00CA0ED5" w:rsidRPr="005728DD">
        <w:rPr>
          <w:snapToGrid/>
        </w:rPr>
        <w:t xml:space="preserve"> with longer follow-up</w:t>
      </w:r>
      <w:r w:rsidR="004A5003" w:rsidRPr="005728DD">
        <w:rPr>
          <w:snapToGrid/>
        </w:rPr>
        <w:t xml:space="preserve"> (and noted Study 104 was an 8 week trial) and supported by benefits in other relevant clinical outcomes such as BMI and PEx.</w:t>
      </w:r>
      <w:r w:rsidR="008B5EF9" w:rsidRPr="005728DD">
        <w:rPr>
          <w:snapToGrid/>
        </w:rPr>
        <w:t xml:space="preserve"> </w:t>
      </w:r>
    </w:p>
    <w:p w:rsidR="002453A0" w:rsidRPr="005728DD" w:rsidRDefault="00B4681C" w:rsidP="009F6D02">
      <w:pPr>
        <w:pStyle w:val="3-BodyText"/>
        <w:rPr>
          <w:color w:val="0066FF"/>
        </w:rPr>
      </w:pPr>
      <w:r w:rsidRPr="005728DD">
        <w:rPr>
          <w:iCs/>
        </w:rPr>
        <w:t>For F/MF,</w:t>
      </w:r>
      <w:r w:rsidR="002453A0" w:rsidRPr="005728DD">
        <w:rPr>
          <w:iCs/>
        </w:rPr>
        <w:t xml:space="preserve"> the submission described ELX/TEZ/IVA </w:t>
      </w:r>
      <w:r w:rsidR="002453A0" w:rsidRPr="005728DD">
        <w:t xml:space="preserve">as superior in terms of effectiveness compared to BSC. </w:t>
      </w:r>
      <w:r w:rsidR="002453A0" w:rsidRPr="005728DD">
        <w:rPr>
          <w:iCs/>
        </w:rPr>
        <w:t>T</w:t>
      </w:r>
      <w:r w:rsidRPr="005728DD">
        <w:rPr>
          <w:iCs/>
        </w:rPr>
        <w:t xml:space="preserve">he </w:t>
      </w:r>
      <w:r w:rsidR="00DB28A0" w:rsidRPr="005728DD">
        <w:rPr>
          <w:iCs/>
        </w:rPr>
        <w:t xml:space="preserve">ESC considered the </w:t>
      </w:r>
      <w:r w:rsidRPr="005728DD">
        <w:rPr>
          <w:iCs/>
        </w:rPr>
        <w:t>evidence presented indicated a significant improvement in all key outcomes including ppFEV</w:t>
      </w:r>
      <w:r w:rsidRPr="005728DD">
        <w:rPr>
          <w:iCs/>
          <w:vertAlign w:val="subscript"/>
        </w:rPr>
        <w:t>1</w:t>
      </w:r>
      <w:r w:rsidRPr="005728DD">
        <w:rPr>
          <w:iCs/>
        </w:rPr>
        <w:t xml:space="preserve">, </w:t>
      </w:r>
      <w:r w:rsidRPr="005728DD">
        <w:rPr>
          <w:iCs/>
          <w:color w:val="000000" w:themeColor="text1"/>
        </w:rPr>
        <w:t>CFQ-R Respiratory Domain score, sweat chloride</w:t>
      </w:r>
      <w:r w:rsidRPr="005728DD">
        <w:rPr>
          <w:iCs/>
        </w:rPr>
        <w:t>, BMI, and PEx</w:t>
      </w:r>
      <w:r w:rsidR="00E85E41" w:rsidRPr="005728DD">
        <w:rPr>
          <w:iCs/>
        </w:rPr>
        <w:t xml:space="preserve"> </w:t>
      </w:r>
      <w:r w:rsidR="00AE205C" w:rsidRPr="005728DD">
        <w:rPr>
          <w:iCs/>
        </w:rPr>
        <w:t xml:space="preserve">at </w:t>
      </w:r>
      <w:r w:rsidR="00E85E41" w:rsidRPr="005728DD">
        <w:rPr>
          <w:iCs/>
        </w:rPr>
        <w:t>24 weeks</w:t>
      </w:r>
      <w:r w:rsidR="00CA527F" w:rsidRPr="005728DD">
        <w:rPr>
          <w:iCs/>
        </w:rPr>
        <w:t xml:space="preserve"> versus BSC</w:t>
      </w:r>
      <w:r w:rsidR="00E85E41" w:rsidRPr="005728DD">
        <w:rPr>
          <w:iCs/>
        </w:rPr>
        <w:t>.</w:t>
      </w:r>
      <w:r w:rsidR="00AE0B0C" w:rsidRPr="005728DD">
        <w:rPr>
          <w:iCs/>
        </w:rPr>
        <w:t xml:space="preserve"> The ESC noted the improvement in ppFEV</w:t>
      </w:r>
      <w:r w:rsidR="00AE0B0C" w:rsidRPr="005728DD">
        <w:rPr>
          <w:iCs/>
          <w:vertAlign w:val="subscript"/>
        </w:rPr>
        <w:t>1</w:t>
      </w:r>
      <w:r w:rsidR="00AE0B0C" w:rsidRPr="005728DD">
        <w:rPr>
          <w:iCs/>
        </w:rPr>
        <w:t xml:space="preserve"> was </w:t>
      </w:r>
      <w:r w:rsidR="0030636B" w:rsidRPr="005728DD">
        <w:rPr>
          <w:iCs/>
        </w:rPr>
        <w:t xml:space="preserve">greater </w:t>
      </w:r>
      <w:r w:rsidR="00AE0B0C" w:rsidRPr="005728DD">
        <w:rPr>
          <w:iCs/>
        </w:rPr>
        <w:t>than the MCID of 10%.</w:t>
      </w:r>
    </w:p>
    <w:p w:rsidR="009F6D02" w:rsidRPr="005728DD" w:rsidRDefault="003F2CAC" w:rsidP="00DE5909">
      <w:pPr>
        <w:pStyle w:val="3-BodyText"/>
        <w:rPr>
          <w:i/>
          <w:color w:val="0066FF"/>
        </w:rPr>
      </w:pPr>
      <w:r w:rsidRPr="005728DD">
        <w:rPr>
          <w:snapToGrid/>
        </w:rPr>
        <w:t xml:space="preserve">The submission described ELX/TEZ/IVA as comparable in terms of safety compared to TEZ/IVA (F/F, F/RF populations), IVA (F/G population) and BSC (F/MF population). </w:t>
      </w:r>
      <w:r w:rsidR="009F6D02" w:rsidRPr="005728DD">
        <w:rPr>
          <w:iCs/>
        </w:rPr>
        <w:t xml:space="preserve">The </w:t>
      </w:r>
      <w:r w:rsidRPr="005728DD">
        <w:rPr>
          <w:iCs/>
        </w:rPr>
        <w:t xml:space="preserve">ESC considered the </w:t>
      </w:r>
      <w:r w:rsidR="008F4248" w:rsidRPr="005728DD">
        <w:rPr>
          <w:iCs/>
        </w:rPr>
        <w:t>claim</w:t>
      </w:r>
      <w:r w:rsidR="009F6D02" w:rsidRPr="005728DD">
        <w:rPr>
          <w:iCs/>
        </w:rPr>
        <w:t xml:space="preserve"> of </w:t>
      </w:r>
      <w:r w:rsidR="00236441" w:rsidRPr="005728DD">
        <w:rPr>
          <w:iCs/>
        </w:rPr>
        <w:t xml:space="preserve">comparable </w:t>
      </w:r>
      <w:r w:rsidR="009F6D02" w:rsidRPr="005728DD">
        <w:rPr>
          <w:iCs/>
        </w:rPr>
        <w:t>safety appeared to be adequately supported across all</w:t>
      </w:r>
      <w:r w:rsidR="00DB28A0" w:rsidRPr="005728DD">
        <w:rPr>
          <w:iCs/>
        </w:rPr>
        <w:t xml:space="preserve"> populations</w:t>
      </w:r>
      <w:r w:rsidR="009F6D02" w:rsidRPr="005728DD">
        <w:rPr>
          <w:iCs/>
        </w:rPr>
        <w:t>, noting the short duration of treatment for the F/RF and F/G</w:t>
      </w:r>
      <w:r w:rsidR="00DB28A0" w:rsidRPr="005728DD">
        <w:rPr>
          <w:iCs/>
        </w:rPr>
        <w:t xml:space="preserve"> populations</w:t>
      </w:r>
      <w:r w:rsidR="009F6D02" w:rsidRPr="005728DD">
        <w:rPr>
          <w:iCs/>
        </w:rPr>
        <w:t xml:space="preserve">. </w:t>
      </w:r>
      <w:r w:rsidR="00162530" w:rsidRPr="005728DD">
        <w:rPr>
          <w:iCs/>
        </w:rPr>
        <w:t>The ESC recalled</w:t>
      </w:r>
      <w:r w:rsidR="00DE5909" w:rsidRPr="005728DD">
        <w:rPr>
          <w:iCs/>
        </w:rPr>
        <w:t xml:space="preserve"> </w:t>
      </w:r>
      <w:r w:rsidR="00162530" w:rsidRPr="005728DD">
        <w:rPr>
          <w:iCs/>
        </w:rPr>
        <w:t xml:space="preserve">the PBAC had previously </w:t>
      </w:r>
      <w:r w:rsidR="00DE5909" w:rsidRPr="005728DD">
        <w:rPr>
          <w:iCs/>
        </w:rPr>
        <w:t>considered that the claim of non-inferior comparative safety of LUM/IVA versus BSC was not adequately supported by data from the PROGRESS</w:t>
      </w:r>
      <w:r w:rsidR="00137AFC" w:rsidRPr="005728DD">
        <w:rPr>
          <w:iCs/>
        </w:rPr>
        <w:t xml:space="preserve"> study (paragraph 6.40, LUM/IVA PSD, July 2017 PBAC meeting)</w:t>
      </w:r>
      <w:r w:rsidR="00DE5909" w:rsidRPr="005728DD">
        <w:rPr>
          <w:iCs/>
        </w:rPr>
        <w:t xml:space="preserve"> </w:t>
      </w:r>
      <w:r w:rsidR="00137AFC" w:rsidRPr="005728DD">
        <w:rPr>
          <w:iCs/>
        </w:rPr>
        <w:t xml:space="preserve">which provided data for </w:t>
      </w:r>
      <w:r w:rsidR="00DE5909" w:rsidRPr="005728DD">
        <w:rPr>
          <w:iCs/>
        </w:rPr>
        <w:t>up to 96 weeks of follow up.</w:t>
      </w:r>
    </w:p>
    <w:p w:rsidR="004172B7" w:rsidRPr="005728DD" w:rsidRDefault="004172B7" w:rsidP="00295999">
      <w:pPr>
        <w:pStyle w:val="3-BodyText"/>
      </w:pPr>
      <w:r w:rsidRPr="005728DD">
        <w:rPr>
          <w:snapToGrid/>
        </w:rPr>
        <w:t>The ESC noted</w:t>
      </w:r>
      <w:r w:rsidR="00295999" w:rsidRPr="005728DD">
        <w:rPr>
          <w:snapToGrid/>
        </w:rPr>
        <w:t xml:space="preserve"> th</w:t>
      </w:r>
      <w:r w:rsidR="00DE5909" w:rsidRPr="005728DD">
        <w:rPr>
          <w:snapToGrid/>
        </w:rPr>
        <w:t>e clinical claim in</w:t>
      </w:r>
      <w:r w:rsidR="00295999" w:rsidRPr="005728DD">
        <w:rPr>
          <w:snapToGrid/>
        </w:rPr>
        <w:t xml:space="preserve"> the F/not yet characterised population was based on the assumption</w:t>
      </w:r>
      <w:r w:rsidRPr="005728DD">
        <w:rPr>
          <w:snapToGrid/>
        </w:rPr>
        <w:t xml:space="preserve"> </w:t>
      </w:r>
      <w:r w:rsidR="00295999" w:rsidRPr="005728DD">
        <w:rPr>
          <w:snapToGrid/>
        </w:rPr>
        <w:t xml:space="preserve">that the efficacy and safety of ELX/TEZ/IVA in the F/MF group is representative of the F/not yet characterised population. </w:t>
      </w:r>
    </w:p>
    <w:p w:rsidR="00AE4050" w:rsidRPr="005728DD" w:rsidRDefault="00AE4050" w:rsidP="00AE4050">
      <w:pPr>
        <w:pStyle w:val="3-BodyText"/>
        <w:rPr>
          <w:iCs/>
        </w:rPr>
      </w:pPr>
      <w:r w:rsidRPr="005728DD">
        <w:rPr>
          <w:iCs/>
        </w:rPr>
        <w:t>The PBAC considered that the claim of superior comparative effectiveness was re</w:t>
      </w:r>
      <w:r w:rsidR="00C530F9" w:rsidRPr="005728DD">
        <w:rPr>
          <w:iCs/>
        </w:rPr>
        <w:t xml:space="preserve">asonable for the F/F </w:t>
      </w:r>
      <w:r w:rsidR="00733D0D" w:rsidRPr="005728DD">
        <w:rPr>
          <w:iCs/>
        </w:rPr>
        <w:t xml:space="preserve">(vs TEZ/IVA) </w:t>
      </w:r>
      <w:r w:rsidR="00C530F9" w:rsidRPr="005728DD">
        <w:rPr>
          <w:iCs/>
        </w:rPr>
        <w:t xml:space="preserve">and F/MF </w:t>
      </w:r>
      <w:r w:rsidR="00733D0D" w:rsidRPr="005728DD">
        <w:rPr>
          <w:iCs/>
        </w:rPr>
        <w:t xml:space="preserve">(vs BSC) </w:t>
      </w:r>
      <w:r w:rsidR="00C530F9" w:rsidRPr="005728DD">
        <w:rPr>
          <w:iCs/>
        </w:rPr>
        <w:t>populations</w:t>
      </w:r>
      <w:r w:rsidR="00643F0E">
        <w:rPr>
          <w:iCs/>
        </w:rPr>
        <w:t xml:space="preserve"> over 24 weeks,</w:t>
      </w:r>
      <w:r w:rsidR="00733D0D" w:rsidRPr="005728DD">
        <w:rPr>
          <w:iCs/>
        </w:rPr>
        <w:t xml:space="preserve"> </w:t>
      </w:r>
      <w:r w:rsidR="00C530F9" w:rsidRPr="005728DD">
        <w:rPr>
          <w:iCs/>
        </w:rPr>
        <w:t xml:space="preserve">but was not </w:t>
      </w:r>
      <w:r w:rsidR="00733D0D" w:rsidRPr="005728DD">
        <w:rPr>
          <w:iCs/>
        </w:rPr>
        <w:t>adequately supported for the F/RF (vs TEZ/IVA) and F/G</w:t>
      </w:r>
      <w:r w:rsidR="00C530F9" w:rsidRPr="005728DD">
        <w:rPr>
          <w:iCs/>
        </w:rPr>
        <w:t xml:space="preserve"> </w:t>
      </w:r>
      <w:r w:rsidR="00733D0D" w:rsidRPr="005728DD">
        <w:rPr>
          <w:iCs/>
        </w:rPr>
        <w:t xml:space="preserve">(vs IVA) </w:t>
      </w:r>
      <w:r w:rsidR="00C530F9" w:rsidRPr="005728DD">
        <w:rPr>
          <w:iCs/>
        </w:rPr>
        <w:t>populations.</w:t>
      </w:r>
      <w:r w:rsidR="008B5EF9" w:rsidRPr="005728DD">
        <w:rPr>
          <w:iCs/>
        </w:rPr>
        <w:t xml:space="preserve"> </w:t>
      </w:r>
    </w:p>
    <w:p w:rsidR="00AE4050" w:rsidRPr="005728DD" w:rsidRDefault="00AE4050" w:rsidP="00AE4050">
      <w:pPr>
        <w:pStyle w:val="3-BodyText"/>
        <w:rPr>
          <w:snapToGrid/>
        </w:rPr>
      </w:pPr>
      <w:r w:rsidRPr="005728DD">
        <w:rPr>
          <w:snapToGrid/>
        </w:rPr>
        <w:t>The PBAC considered that the</w:t>
      </w:r>
      <w:r w:rsidR="00733D0D" w:rsidRPr="005728DD">
        <w:rPr>
          <w:snapToGrid/>
        </w:rPr>
        <w:t xml:space="preserve"> claim of non-inferior </w:t>
      </w:r>
      <w:r w:rsidRPr="005728DD">
        <w:rPr>
          <w:snapToGrid/>
        </w:rPr>
        <w:t>co</w:t>
      </w:r>
      <w:r w:rsidR="00733D0D" w:rsidRPr="005728DD">
        <w:rPr>
          <w:snapToGrid/>
        </w:rPr>
        <w:t xml:space="preserve">mparative safety </w:t>
      </w:r>
      <w:r w:rsidR="00491947" w:rsidRPr="005728DD">
        <w:rPr>
          <w:snapToGrid/>
        </w:rPr>
        <w:t xml:space="preserve">(vs TEZ/IVA, BSC and IVA) </w:t>
      </w:r>
      <w:r w:rsidR="00733D0D" w:rsidRPr="005728DD">
        <w:rPr>
          <w:snapToGrid/>
        </w:rPr>
        <w:t>was reasonable but this was based on up to 24 weeks of clinical data</w:t>
      </w:r>
      <w:r w:rsidRPr="005728DD">
        <w:rPr>
          <w:snapToGrid/>
        </w:rPr>
        <w:t>.</w:t>
      </w:r>
    </w:p>
    <w:p w:rsidR="00B60939" w:rsidRPr="005728DD" w:rsidRDefault="00B60939" w:rsidP="00E9094A">
      <w:pPr>
        <w:pStyle w:val="4-SubsectionHeading"/>
      </w:pPr>
      <w:bookmarkStart w:id="33" w:name="_Toc22897645"/>
      <w:bookmarkStart w:id="34" w:name="_Toc62035734"/>
      <w:r w:rsidRPr="005728DD">
        <w:t>Economic analysis</w:t>
      </w:r>
      <w:bookmarkEnd w:id="33"/>
      <w:bookmarkEnd w:id="34"/>
      <w:r w:rsidR="00491B3A" w:rsidRPr="005728DD">
        <w:t xml:space="preserve"> </w:t>
      </w:r>
    </w:p>
    <w:p w:rsidR="00A81B55" w:rsidRPr="005728DD" w:rsidRDefault="00A81B55" w:rsidP="00A81B55">
      <w:pPr>
        <w:pStyle w:val="3-BodyText"/>
        <w:rPr>
          <w:bCs/>
        </w:rPr>
      </w:pPr>
      <w:r w:rsidRPr="005728DD">
        <w:rPr>
          <w:bCs/>
        </w:rPr>
        <w:t xml:space="preserve">The submission presented </w:t>
      </w:r>
      <w:r w:rsidR="001D3053" w:rsidRPr="005728DD">
        <w:rPr>
          <w:bCs/>
        </w:rPr>
        <w:t>separate</w:t>
      </w:r>
      <w:r w:rsidRPr="005728DD">
        <w:rPr>
          <w:bCs/>
        </w:rPr>
        <w:t xml:space="preserve"> economic evaluations</w:t>
      </w:r>
      <w:r w:rsidR="001D3053" w:rsidRPr="005728DD">
        <w:rPr>
          <w:bCs/>
        </w:rPr>
        <w:t xml:space="preserve"> for each population</w:t>
      </w:r>
      <w:r w:rsidR="00B469D6" w:rsidRPr="005728DD">
        <w:rPr>
          <w:bCs/>
        </w:rPr>
        <w:t>.</w:t>
      </w:r>
    </w:p>
    <w:p w:rsidR="005A468B" w:rsidRPr="005728DD" w:rsidRDefault="00485ED3" w:rsidP="00A0357E">
      <w:pPr>
        <w:pStyle w:val="ListParagraph"/>
        <w:numPr>
          <w:ilvl w:val="0"/>
          <w:numId w:val="24"/>
        </w:numPr>
        <w:rPr>
          <w:bCs/>
          <w:i/>
        </w:rPr>
      </w:pPr>
      <w:r w:rsidRPr="005728DD">
        <w:t xml:space="preserve">A modelled economic evaluation was presented for the F/F population comparing TEZ/IVA with BSC and then ELX/TEZ/IVA with TEZ/IVA. The structure of the model was similar to that considered by the PBAC for previous CFTR directed therapies, including use of the Irish CF registry to model the BSC arm and the Liou et al algorithm to model the relationship between surrogate markers and mortality. The comparison of TEZ/IVA vs BSC was informed by the EVOLVE trial. The comparison of ELX/TEZ/IVA with TEZ/IVA was informed by Study 109. To support this approach the submission presented an indirect treatment comparison (ITC) of the relevant studies. The ESC noted the structure of the model necessitated a BSC arm be modelled as well as the comparator (TEZ/IVA) which required the use of data beyond the head to head trial. This reduced the </w:t>
      </w:r>
      <w:r w:rsidRPr="005728DD">
        <w:lastRenderedPageBreak/>
        <w:t>generalisability and increased the uncertainty of the model results.</w:t>
      </w:r>
      <w:r w:rsidRPr="005728DD" w:rsidDel="00485ED3">
        <w:rPr>
          <w:bCs/>
        </w:rPr>
        <w:t xml:space="preserve"> </w:t>
      </w:r>
      <w:r w:rsidR="00137AFC" w:rsidRPr="005728DD">
        <w:rPr>
          <w:bCs/>
        </w:rPr>
        <w:t>The PSCR stated that using the ITC results to populate the models yielded almost identical input values as seen in the head-to-head trials (using ppFEV</w:t>
      </w:r>
      <w:r w:rsidR="00137AFC" w:rsidRPr="005728DD">
        <w:rPr>
          <w:bCs/>
          <w:vertAlign w:val="subscript"/>
        </w:rPr>
        <w:t>1</w:t>
      </w:r>
      <w:r w:rsidR="00137AFC" w:rsidRPr="005728DD">
        <w:rPr>
          <w:bCs/>
        </w:rPr>
        <w:t xml:space="preserve"> as an example, for</w:t>
      </w:r>
      <w:r w:rsidR="00137AFC" w:rsidRPr="005728DD">
        <w:rPr>
          <w:bCs/>
          <w:i/>
        </w:rPr>
        <w:t xml:space="preserve"> </w:t>
      </w:r>
      <w:r w:rsidR="00137AFC" w:rsidRPr="005728DD">
        <w:rPr>
          <w:bCs/>
        </w:rPr>
        <w:t>the F/F population the modelled for incremental benefit was 10.2 which was identical to that observed in the head-to-trial).</w:t>
      </w:r>
      <w:r w:rsidR="008B5EF9" w:rsidRPr="005728DD">
        <w:rPr>
          <w:bCs/>
          <w:i/>
        </w:rPr>
        <w:t xml:space="preserve"> </w:t>
      </w:r>
    </w:p>
    <w:p w:rsidR="00485ED3" w:rsidRPr="005728DD" w:rsidRDefault="00485ED3" w:rsidP="00896B96">
      <w:pPr>
        <w:pStyle w:val="ListBullet"/>
        <w:numPr>
          <w:ilvl w:val="0"/>
          <w:numId w:val="24"/>
        </w:numPr>
        <w:spacing w:after="240"/>
        <w:rPr>
          <w:rFonts w:asciiTheme="minorHAnsi" w:hAnsiTheme="minorHAnsi"/>
          <w:bCs/>
          <w:snapToGrid w:val="0"/>
        </w:rPr>
      </w:pPr>
      <w:r w:rsidRPr="005728DD">
        <w:t xml:space="preserve">A modelled economic evaluation was presented for the F/RF population comparing TEZ/IVA with BSC and then ELX/TEZ/IVA with TEZ/IVA using the same approach as for the F/F population. The comparison of TEZ/IVA vs BSC was informed by the </w:t>
      </w:r>
      <w:r w:rsidR="005C01CC" w:rsidRPr="005728DD">
        <w:t>EXPAND</w:t>
      </w:r>
      <w:r w:rsidRPr="005728DD">
        <w:t xml:space="preserve"> trial. The comparison of ELX/TEZ/IVA with TEZ/IVA was informed by a subgroup of Study 104. To support this approach the submission presented an ITC of the relevant studies. </w:t>
      </w:r>
      <w:r w:rsidR="005C01CC" w:rsidRPr="005728DD">
        <w:t xml:space="preserve">The ESC noted a cost-effectiveness </w:t>
      </w:r>
      <w:r w:rsidR="005C01CC" w:rsidRPr="005728DD">
        <w:rPr>
          <w:rFonts w:asciiTheme="minorHAnsi" w:hAnsiTheme="minorHAnsi"/>
          <w:bCs/>
          <w:snapToGrid w:val="0"/>
        </w:rPr>
        <w:t>analysis is only appropriate if the claim of superior effectiveness is accepted.</w:t>
      </w:r>
    </w:p>
    <w:p w:rsidR="005A468B" w:rsidRPr="005728DD" w:rsidRDefault="00EF178C" w:rsidP="00A0357E">
      <w:pPr>
        <w:pStyle w:val="ListBullet"/>
        <w:numPr>
          <w:ilvl w:val="0"/>
          <w:numId w:val="24"/>
        </w:numPr>
        <w:rPr>
          <w:bCs/>
        </w:rPr>
      </w:pPr>
      <w:r w:rsidRPr="005728DD">
        <w:rPr>
          <w:bCs/>
        </w:rPr>
        <w:t>A c</w:t>
      </w:r>
      <w:r w:rsidR="00813F79" w:rsidRPr="005728DD">
        <w:rPr>
          <w:bCs/>
        </w:rPr>
        <w:t xml:space="preserve">ost </w:t>
      </w:r>
      <w:r w:rsidRPr="005728DD">
        <w:rPr>
          <w:bCs/>
        </w:rPr>
        <w:t xml:space="preserve">comparison </w:t>
      </w:r>
      <w:r w:rsidR="00076873" w:rsidRPr="005728DD">
        <w:rPr>
          <w:bCs/>
        </w:rPr>
        <w:t xml:space="preserve">was presented for </w:t>
      </w:r>
      <w:r w:rsidRPr="005728DD">
        <w:rPr>
          <w:bCs/>
        </w:rPr>
        <w:t xml:space="preserve">the </w:t>
      </w:r>
      <w:r w:rsidR="00813F79" w:rsidRPr="005728DD">
        <w:rPr>
          <w:bCs/>
        </w:rPr>
        <w:t xml:space="preserve">F/G </w:t>
      </w:r>
      <w:r w:rsidRPr="005728DD">
        <w:rPr>
          <w:bCs/>
        </w:rPr>
        <w:t>population</w:t>
      </w:r>
      <w:r w:rsidR="00076873" w:rsidRPr="005728DD">
        <w:rPr>
          <w:bCs/>
        </w:rPr>
        <w:t xml:space="preserve"> comparing ELX/TEZ/IVA and IVA</w:t>
      </w:r>
      <w:r w:rsidRPr="005728DD">
        <w:rPr>
          <w:bCs/>
        </w:rPr>
        <w:t>.</w:t>
      </w:r>
      <w:r w:rsidR="00076873" w:rsidRPr="005728DD">
        <w:rPr>
          <w:bCs/>
        </w:rPr>
        <w:t xml:space="preserve"> The comparison was based on a subgroup of Study 104.</w:t>
      </w:r>
      <w:r w:rsidRPr="005728DD">
        <w:rPr>
          <w:bCs/>
        </w:rPr>
        <w:t xml:space="preserve"> </w:t>
      </w:r>
    </w:p>
    <w:p w:rsidR="005A468B" w:rsidRPr="005728DD" w:rsidRDefault="005C01CC" w:rsidP="00A0357E">
      <w:pPr>
        <w:pStyle w:val="ListBullet"/>
        <w:numPr>
          <w:ilvl w:val="0"/>
          <w:numId w:val="24"/>
        </w:numPr>
      </w:pPr>
      <w:r w:rsidRPr="005728DD">
        <w:t xml:space="preserve">A modelled economic evaluation was presented for the F/MF population comparing ELX/TEZ/IVA with BSC using the same approach as for the F/F population. The comparison was based on a head to head trial, Study 102. </w:t>
      </w:r>
    </w:p>
    <w:p w:rsidR="006321C9" w:rsidRPr="005728DD" w:rsidRDefault="005D7C0E" w:rsidP="00641FB3">
      <w:pPr>
        <w:pStyle w:val="3-BodyText"/>
      </w:pPr>
      <w:r w:rsidRPr="005728DD">
        <w:t>The key components of the economic evaluation</w:t>
      </w:r>
      <w:r w:rsidR="005A468B" w:rsidRPr="005728DD">
        <w:t>s</w:t>
      </w:r>
      <w:r w:rsidRPr="005728DD">
        <w:t xml:space="preserve"> are presented in </w:t>
      </w:r>
      <w:r w:rsidR="005C56C0" w:rsidRPr="005C56C0">
        <w:t>Table 14</w:t>
      </w:r>
      <w:r w:rsidR="00DD2A0D" w:rsidRPr="005728DD">
        <w:t xml:space="preserve">. </w:t>
      </w:r>
    </w:p>
    <w:p w:rsidR="009704CA" w:rsidRDefault="009704CA">
      <w:pPr>
        <w:jc w:val="left"/>
        <w:rPr>
          <w:rFonts w:ascii="Arial Narrow" w:hAnsi="Arial Narrow"/>
          <w:b/>
          <w:bCs/>
          <w:snapToGrid w:val="0"/>
          <w:sz w:val="20"/>
          <w:szCs w:val="20"/>
        </w:rPr>
      </w:pPr>
      <w:bookmarkStart w:id="35" w:name="_Ref64496787"/>
      <w:r>
        <w:rPr>
          <w:rFonts w:ascii="Arial Narrow" w:hAnsi="Arial Narrow"/>
          <w:b/>
          <w:bCs/>
          <w:sz w:val="20"/>
          <w:szCs w:val="20"/>
        </w:rPr>
        <w:br w:type="page"/>
      </w:r>
    </w:p>
    <w:p w:rsidR="00DD2A0D" w:rsidRPr="005728DD" w:rsidRDefault="00DE0B4E" w:rsidP="002F72D3">
      <w:pPr>
        <w:pStyle w:val="3-BodyText"/>
        <w:numPr>
          <w:ilvl w:val="0"/>
          <w:numId w:val="0"/>
        </w:numPr>
        <w:spacing w:after="0"/>
        <w:rPr>
          <w:rFonts w:ascii="Arial Narrow" w:hAnsi="Arial Narrow"/>
          <w:b/>
          <w:bCs/>
          <w:sz w:val="20"/>
          <w:szCs w:val="20"/>
        </w:rPr>
      </w:pPr>
      <w:r w:rsidRPr="005728DD">
        <w:rPr>
          <w:rFonts w:ascii="Arial Narrow" w:hAnsi="Arial Narrow"/>
          <w:b/>
          <w:bCs/>
          <w:sz w:val="20"/>
          <w:szCs w:val="20"/>
        </w:rPr>
        <w:lastRenderedPageBreak/>
        <w:t xml:space="preserve">Table </w:t>
      </w:r>
      <w:r w:rsidR="005C56C0">
        <w:rPr>
          <w:rFonts w:ascii="Arial Narrow" w:hAnsi="Arial Narrow"/>
          <w:b/>
          <w:bCs/>
          <w:noProof/>
          <w:sz w:val="20"/>
          <w:szCs w:val="20"/>
        </w:rPr>
        <w:t>14</w:t>
      </w:r>
      <w:bookmarkEnd w:id="35"/>
      <w:r w:rsidR="00DD2A0D" w:rsidRPr="005728DD">
        <w:rPr>
          <w:rFonts w:ascii="Arial Narrow" w:hAnsi="Arial Narrow"/>
          <w:b/>
          <w:bCs/>
          <w:sz w:val="20"/>
          <w:szCs w:val="20"/>
        </w:rPr>
        <w:t>: Key components of the economic evaluation</w:t>
      </w:r>
    </w:p>
    <w:tbl>
      <w:tblPr>
        <w:tblStyle w:val="HTATableshaded"/>
        <w:tblW w:w="4950" w:type="pct"/>
        <w:tblLook w:val="04A0" w:firstRow="1" w:lastRow="0" w:firstColumn="1" w:lastColumn="0" w:noHBand="0" w:noVBand="1"/>
        <w:tblCaption w:val="Table 14: Key components of the economic evaluation"/>
      </w:tblPr>
      <w:tblGrid>
        <w:gridCol w:w="1829"/>
        <w:gridCol w:w="6980"/>
      </w:tblGrid>
      <w:tr w:rsidR="00C81FCD" w:rsidRPr="005728DD" w:rsidTr="005C66A3">
        <w:trPr>
          <w:cnfStyle w:val="100000000000" w:firstRow="1" w:lastRow="0" w:firstColumn="0" w:lastColumn="0" w:oddVBand="0" w:evenVBand="0" w:oddHBand="0" w:evenHBand="0" w:firstRowFirstColumn="0" w:firstRowLastColumn="0" w:lastRowFirstColumn="0" w:lastRowLastColumn="0"/>
          <w:tblHeader/>
        </w:trPr>
        <w:tc>
          <w:tcPr>
            <w:tcW w:w="1838" w:type="dxa"/>
          </w:tcPr>
          <w:p w:rsidR="00C81FCD" w:rsidRPr="005728DD" w:rsidRDefault="00C81FCD" w:rsidP="006A1893">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Component</w:t>
            </w:r>
          </w:p>
        </w:tc>
        <w:tc>
          <w:tcPr>
            <w:tcW w:w="7089" w:type="dxa"/>
          </w:tcPr>
          <w:p w:rsidR="00C81FCD" w:rsidRPr="005728DD" w:rsidRDefault="00C81FCD" w:rsidP="006A1893">
            <w:pPr>
              <w:pStyle w:val="TableHeadingleft"/>
              <w:widowControl w:val="0"/>
              <w:spacing w:before="0" w:after="0"/>
              <w:rPr>
                <w:rFonts w:ascii="Arial Narrow" w:hAnsi="Arial Narrow"/>
                <w:sz w:val="20"/>
                <w:szCs w:val="20"/>
                <w:lang w:val="en-AU"/>
              </w:rPr>
            </w:pPr>
            <w:r w:rsidRPr="005728DD">
              <w:rPr>
                <w:rFonts w:ascii="Arial Narrow" w:hAnsi="Arial Narrow"/>
                <w:sz w:val="20"/>
                <w:szCs w:val="20"/>
                <w:lang w:val="en-AU"/>
              </w:rPr>
              <w:t>Description</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Type of analysis</w:t>
            </w: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Cost-utility analysis (base case)</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Comparators</w:t>
            </w:r>
          </w:p>
        </w:tc>
        <w:tc>
          <w:tcPr>
            <w:tcW w:w="7089" w:type="dxa"/>
          </w:tcPr>
          <w:p w:rsidR="00813F79" w:rsidRPr="005728DD" w:rsidRDefault="00C81FCD" w:rsidP="00E84B89">
            <w:pPr>
              <w:pStyle w:val="Tabletextleft"/>
              <w:widowControl w:val="0"/>
              <w:spacing w:before="0" w:after="0"/>
              <w:rPr>
                <w:rFonts w:ascii="Arial Narrow" w:hAnsi="Arial Narrow"/>
                <w:iCs/>
                <w:sz w:val="20"/>
              </w:rPr>
            </w:pPr>
            <w:r w:rsidRPr="005728DD">
              <w:rPr>
                <w:rFonts w:ascii="Arial Narrow" w:hAnsi="Arial Narrow"/>
                <w:iCs/>
                <w:sz w:val="20"/>
              </w:rPr>
              <w:t>TEZ/IVA for F/F</w:t>
            </w:r>
            <w:r w:rsidR="00813F79" w:rsidRPr="005728DD">
              <w:rPr>
                <w:rFonts w:ascii="Arial Narrow" w:hAnsi="Arial Narrow"/>
                <w:iCs/>
                <w:sz w:val="20"/>
              </w:rPr>
              <w:t>;</w:t>
            </w:r>
          </w:p>
          <w:p w:rsidR="00813F79" w:rsidRPr="005728DD" w:rsidRDefault="00813F79" w:rsidP="00E84B89">
            <w:pPr>
              <w:pStyle w:val="Tabletextleft"/>
              <w:widowControl w:val="0"/>
              <w:spacing w:before="0" w:after="0"/>
              <w:rPr>
                <w:rFonts w:ascii="Arial Narrow" w:hAnsi="Arial Narrow"/>
                <w:iCs/>
                <w:sz w:val="20"/>
              </w:rPr>
            </w:pPr>
            <w:r w:rsidRPr="005728DD">
              <w:rPr>
                <w:rFonts w:ascii="Arial Narrow" w:hAnsi="Arial Narrow"/>
                <w:iCs/>
                <w:sz w:val="20"/>
              </w:rPr>
              <w:t xml:space="preserve">TEZ/IVA for </w:t>
            </w:r>
            <w:r w:rsidR="00C81FCD" w:rsidRPr="005728DD">
              <w:rPr>
                <w:rFonts w:ascii="Arial Narrow" w:hAnsi="Arial Narrow"/>
                <w:iCs/>
                <w:sz w:val="20"/>
              </w:rPr>
              <w:t xml:space="preserve">F/RF; </w:t>
            </w:r>
            <w:r w:rsidRPr="005728DD">
              <w:rPr>
                <w:rFonts w:ascii="Arial Narrow" w:hAnsi="Arial Narrow"/>
                <w:iCs/>
                <w:sz w:val="20"/>
              </w:rPr>
              <w:t>and</w:t>
            </w:r>
          </w:p>
          <w:p w:rsidR="00C81FCD" w:rsidRPr="005728DD" w:rsidRDefault="00C81FCD" w:rsidP="00E84B89">
            <w:pPr>
              <w:pStyle w:val="Tabletextleft"/>
              <w:widowControl w:val="0"/>
              <w:spacing w:before="0" w:after="0"/>
              <w:rPr>
                <w:rFonts w:ascii="Arial Narrow" w:hAnsi="Arial Narrow"/>
                <w:iCs/>
                <w:sz w:val="20"/>
              </w:rPr>
            </w:pPr>
            <w:r w:rsidRPr="005728DD">
              <w:rPr>
                <w:rFonts w:ascii="Arial Narrow" w:hAnsi="Arial Narrow"/>
                <w:iCs/>
                <w:sz w:val="20"/>
              </w:rPr>
              <w:t>BSC for F/MF</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Outcomes</w:t>
            </w: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Quality-adjusted life-years (base case)</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Time horizon</w:t>
            </w:r>
          </w:p>
        </w:tc>
        <w:tc>
          <w:tcPr>
            <w:tcW w:w="7089" w:type="dxa"/>
          </w:tcPr>
          <w:p w:rsidR="00C81FCD" w:rsidRPr="005728DD" w:rsidRDefault="00C81FCD" w:rsidP="006A1893">
            <w:pPr>
              <w:pStyle w:val="Tabletextleft"/>
              <w:widowControl w:val="0"/>
              <w:spacing w:before="0" w:after="0"/>
              <w:rPr>
                <w:rFonts w:ascii="Arial Narrow" w:hAnsi="Arial Narrow"/>
                <w:i/>
                <w:iCs/>
                <w:sz w:val="20"/>
              </w:rPr>
            </w:pPr>
            <w:r w:rsidRPr="005728DD">
              <w:rPr>
                <w:rFonts w:ascii="Arial Narrow" w:hAnsi="Arial Narrow"/>
                <w:sz w:val="20"/>
              </w:rPr>
              <w:t xml:space="preserve">Lifetime </w:t>
            </w:r>
          </w:p>
        </w:tc>
      </w:tr>
      <w:tr w:rsidR="00C81FCD" w:rsidRPr="005728DD" w:rsidTr="00813F79">
        <w:trPr>
          <w:trHeight w:val="422"/>
        </w:trPr>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Method used to generate results</w:t>
            </w:r>
          </w:p>
        </w:tc>
        <w:tc>
          <w:tcPr>
            <w:tcW w:w="7089" w:type="dxa"/>
          </w:tcPr>
          <w:p w:rsidR="00C81FCD" w:rsidRPr="005728DD" w:rsidRDefault="00C81FCD" w:rsidP="006A1893">
            <w:pPr>
              <w:pStyle w:val="Tabletextleft"/>
              <w:widowControl w:val="0"/>
              <w:spacing w:before="0" w:after="0"/>
              <w:rPr>
                <w:rFonts w:ascii="Arial Narrow" w:hAnsi="Arial Narrow"/>
                <w:i/>
                <w:iCs/>
                <w:sz w:val="20"/>
              </w:rPr>
            </w:pPr>
            <w:r w:rsidRPr="005728DD">
              <w:rPr>
                <w:rFonts w:ascii="Arial Narrow" w:hAnsi="Arial Narrow"/>
                <w:sz w:val="20"/>
              </w:rPr>
              <w:t>Microsimulation</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Cycle length</w:t>
            </w: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4-week</w:t>
            </w:r>
            <w:r w:rsidR="009D726B" w:rsidRPr="005728DD">
              <w:rPr>
                <w:rFonts w:ascii="Arial Narrow" w:hAnsi="Arial Narrow"/>
                <w:sz w:val="20"/>
              </w:rPr>
              <w:t xml:space="preserve"> cycle for first two years in the model, </w:t>
            </w:r>
            <w:r w:rsidR="00876B70" w:rsidRPr="005728DD">
              <w:rPr>
                <w:rFonts w:ascii="Arial Narrow" w:hAnsi="Arial Narrow"/>
                <w:sz w:val="20"/>
              </w:rPr>
              <w:t>after that</w:t>
            </w:r>
            <w:r w:rsidR="009D726B" w:rsidRPr="005728DD">
              <w:rPr>
                <w:rFonts w:ascii="Arial Narrow" w:hAnsi="Arial Narrow"/>
                <w:sz w:val="20"/>
              </w:rPr>
              <w:t xml:space="preserve"> </w:t>
            </w:r>
            <w:r w:rsidRPr="005728DD">
              <w:rPr>
                <w:rFonts w:ascii="Arial Narrow" w:hAnsi="Arial Narrow"/>
                <w:sz w:val="20"/>
              </w:rPr>
              <w:t xml:space="preserve">52-week </w:t>
            </w:r>
            <w:r w:rsidR="00876B70" w:rsidRPr="005728DD">
              <w:rPr>
                <w:rFonts w:ascii="Arial Narrow" w:hAnsi="Arial Narrow"/>
                <w:sz w:val="20"/>
              </w:rPr>
              <w:t>cycle applied</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Discounting</w:t>
            </w: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5% for costs and benefits</w:t>
            </w:r>
          </w:p>
        </w:tc>
      </w:tr>
      <w:tr w:rsidR="00C81FCD" w:rsidRPr="005728DD" w:rsidTr="00813F79">
        <w:trPr>
          <w:trHeight w:val="347"/>
        </w:trPr>
        <w:tc>
          <w:tcPr>
            <w:tcW w:w="1838" w:type="dxa"/>
            <w:vMerge w:val="restart"/>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Transition probabilities</w:t>
            </w:r>
          </w:p>
        </w:tc>
        <w:tc>
          <w:tcPr>
            <w:tcW w:w="7089" w:type="dxa"/>
          </w:tcPr>
          <w:p w:rsidR="00C81FCD" w:rsidRPr="005728DD" w:rsidRDefault="00C81FCD" w:rsidP="00813F79">
            <w:pPr>
              <w:pStyle w:val="Tabletextleft"/>
              <w:widowControl w:val="0"/>
              <w:spacing w:before="0" w:after="0"/>
              <w:rPr>
                <w:rFonts w:ascii="Arial Narrow" w:hAnsi="Arial Narrow"/>
                <w:sz w:val="20"/>
              </w:rPr>
            </w:pPr>
            <w:r w:rsidRPr="005728DD">
              <w:rPr>
                <w:rFonts w:ascii="Arial Narrow" w:hAnsi="Arial Narrow"/>
                <w:sz w:val="20"/>
              </w:rPr>
              <w:t xml:space="preserve">Baseline patient characteristics: </w:t>
            </w:r>
            <w:r w:rsidRPr="005728DD">
              <w:rPr>
                <w:rFonts w:ascii="Arial Narrow" w:hAnsi="Arial Narrow"/>
                <w:iCs/>
                <w:sz w:val="20"/>
              </w:rPr>
              <w:t>from Study 102</w:t>
            </w:r>
            <w:r w:rsidR="00813F79" w:rsidRPr="005728DD">
              <w:rPr>
                <w:rFonts w:ascii="Arial Narrow" w:hAnsi="Arial Narrow"/>
                <w:iCs/>
                <w:sz w:val="20"/>
              </w:rPr>
              <w:t xml:space="preserve">, </w:t>
            </w:r>
            <w:r w:rsidRPr="005728DD">
              <w:rPr>
                <w:rFonts w:ascii="Arial Narrow" w:hAnsi="Arial Narrow"/>
                <w:iCs/>
                <w:sz w:val="20"/>
              </w:rPr>
              <w:t xml:space="preserve">TRAFFIC, TRANSPORT, </w:t>
            </w:r>
            <w:r w:rsidR="00F06818" w:rsidRPr="005728DD">
              <w:rPr>
                <w:rFonts w:ascii="Arial Narrow" w:hAnsi="Arial Narrow"/>
                <w:iCs/>
                <w:sz w:val="20"/>
              </w:rPr>
              <w:t xml:space="preserve">EVOLVE </w:t>
            </w:r>
            <w:r w:rsidRPr="005728DD">
              <w:rPr>
                <w:rFonts w:ascii="Arial Narrow" w:hAnsi="Arial Narrow"/>
                <w:iCs/>
                <w:sz w:val="20"/>
              </w:rPr>
              <w:t>and EXPAND</w:t>
            </w:r>
          </w:p>
        </w:tc>
      </w:tr>
      <w:tr w:rsidR="00C81FCD" w:rsidRPr="005728DD" w:rsidTr="00813F79">
        <w:trPr>
          <w:trHeight w:val="169"/>
        </w:trPr>
        <w:tc>
          <w:tcPr>
            <w:tcW w:w="1838" w:type="dxa"/>
            <w:vMerge/>
          </w:tcPr>
          <w:p w:rsidR="00C81FCD" w:rsidRPr="005728DD" w:rsidRDefault="00C81FCD" w:rsidP="006A1893">
            <w:pPr>
              <w:pStyle w:val="Tabletextbold"/>
              <w:widowControl w:val="0"/>
              <w:spacing w:before="0" w:after="0"/>
              <w:rPr>
                <w:rFonts w:ascii="Arial Narrow" w:hAnsi="Arial Narrow"/>
                <w:sz w:val="20"/>
                <w:lang w:val="en-AU"/>
              </w:rPr>
            </w:pP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Baseline survival: the Irish CF database</w:t>
            </w:r>
          </w:p>
        </w:tc>
      </w:tr>
      <w:tr w:rsidR="00C81FCD" w:rsidRPr="005728DD" w:rsidTr="00813F79">
        <w:trPr>
          <w:trHeight w:val="113"/>
        </w:trPr>
        <w:tc>
          <w:tcPr>
            <w:tcW w:w="1838" w:type="dxa"/>
            <w:vMerge/>
          </w:tcPr>
          <w:p w:rsidR="00C81FCD" w:rsidRPr="005728DD" w:rsidRDefault="00C81FCD" w:rsidP="006A1893">
            <w:pPr>
              <w:pStyle w:val="Tabletextbold"/>
              <w:widowControl w:val="0"/>
              <w:spacing w:before="0" w:after="0"/>
              <w:rPr>
                <w:rFonts w:ascii="Arial Narrow" w:hAnsi="Arial Narrow"/>
                <w:sz w:val="20"/>
                <w:lang w:val="en-AU"/>
              </w:rPr>
            </w:pP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Baseline ppFEV</w:t>
            </w:r>
            <w:r w:rsidRPr="005728DD">
              <w:rPr>
                <w:rFonts w:ascii="Arial Narrow" w:hAnsi="Arial Narrow"/>
                <w:sz w:val="20"/>
                <w:vertAlign w:val="subscript"/>
              </w:rPr>
              <w:t>1</w:t>
            </w:r>
            <w:r w:rsidRPr="005728DD">
              <w:rPr>
                <w:rFonts w:ascii="Arial Narrow" w:hAnsi="Arial Narrow"/>
                <w:sz w:val="20"/>
              </w:rPr>
              <w:t xml:space="preserve"> decline: based on longitudinal registry analyses</w:t>
            </w:r>
          </w:p>
        </w:tc>
      </w:tr>
      <w:tr w:rsidR="00F06818" w:rsidRPr="005728DD" w:rsidTr="00813F79">
        <w:trPr>
          <w:trHeight w:val="251"/>
        </w:trPr>
        <w:tc>
          <w:tcPr>
            <w:tcW w:w="1838" w:type="dxa"/>
            <w:vMerge/>
          </w:tcPr>
          <w:p w:rsidR="00F06818" w:rsidRPr="005728DD" w:rsidRDefault="00F06818" w:rsidP="006A1893">
            <w:pPr>
              <w:pStyle w:val="Tabletextbold"/>
              <w:widowControl w:val="0"/>
              <w:spacing w:before="0" w:after="0"/>
              <w:rPr>
                <w:rFonts w:ascii="Arial Narrow" w:hAnsi="Arial Narrow"/>
                <w:sz w:val="20"/>
                <w:lang w:val="en-AU"/>
              </w:rPr>
            </w:pPr>
          </w:p>
        </w:tc>
        <w:tc>
          <w:tcPr>
            <w:tcW w:w="7089" w:type="dxa"/>
          </w:tcPr>
          <w:p w:rsidR="00F06818" w:rsidRPr="005728DD" w:rsidRDefault="00481FF2" w:rsidP="00137AFC">
            <w:pPr>
              <w:pStyle w:val="Tabletextleft"/>
              <w:widowControl w:val="0"/>
              <w:spacing w:before="0" w:after="0"/>
              <w:rPr>
                <w:rFonts w:ascii="Arial Narrow" w:hAnsi="Arial Narrow"/>
                <w:sz w:val="20"/>
              </w:rPr>
            </w:pPr>
            <w:r w:rsidRPr="005728DD">
              <w:rPr>
                <w:rFonts w:ascii="Arial Narrow" w:hAnsi="Arial Narrow"/>
                <w:sz w:val="20"/>
              </w:rPr>
              <w:t xml:space="preserve">Refer to </w:t>
            </w:r>
            <w:r w:rsidR="005C56C0" w:rsidRPr="005C56C0">
              <w:rPr>
                <w:rFonts w:ascii="Arial Narrow" w:hAnsi="Arial Narrow"/>
                <w:bCs/>
                <w:sz w:val="20"/>
              </w:rPr>
              <w:t>Table 15</w:t>
            </w:r>
            <w:r w:rsidR="00137AFC" w:rsidRPr="005728DD">
              <w:rPr>
                <w:rFonts w:ascii="Arial Narrow" w:hAnsi="Arial Narrow"/>
                <w:sz w:val="20"/>
              </w:rPr>
              <w:t xml:space="preserve"> </w:t>
            </w:r>
            <w:r w:rsidRPr="005728DD">
              <w:rPr>
                <w:rFonts w:ascii="Arial Narrow" w:hAnsi="Arial Narrow"/>
                <w:sz w:val="20"/>
              </w:rPr>
              <w:t>for a summary of the source</w:t>
            </w:r>
            <w:r w:rsidR="004172B7" w:rsidRPr="005728DD">
              <w:rPr>
                <w:rFonts w:ascii="Arial Narrow" w:hAnsi="Arial Narrow"/>
                <w:sz w:val="20"/>
              </w:rPr>
              <w:t>s</w:t>
            </w:r>
            <w:r w:rsidRPr="005728DD">
              <w:rPr>
                <w:rFonts w:ascii="Arial Narrow" w:hAnsi="Arial Narrow"/>
                <w:sz w:val="20"/>
              </w:rPr>
              <w:t xml:space="preserve"> for other</w:t>
            </w:r>
            <w:r w:rsidR="008B5EF9" w:rsidRPr="005728DD">
              <w:rPr>
                <w:rFonts w:ascii="Arial Narrow" w:hAnsi="Arial Narrow"/>
                <w:sz w:val="20"/>
              </w:rPr>
              <w:t xml:space="preserve"> </w:t>
            </w:r>
            <w:r w:rsidRPr="005728DD">
              <w:rPr>
                <w:rFonts w:ascii="Arial Narrow" w:hAnsi="Arial Narrow"/>
                <w:sz w:val="20"/>
              </w:rPr>
              <w:t>transition probabilities applied to model</w:t>
            </w:r>
          </w:p>
        </w:tc>
      </w:tr>
      <w:tr w:rsidR="00C81FCD" w:rsidRPr="005728DD" w:rsidTr="00813F79">
        <w:trPr>
          <w:trHeight w:val="269"/>
        </w:trPr>
        <w:tc>
          <w:tcPr>
            <w:tcW w:w="1838" w:type="dxa"/>
            <w:vMerge/>
          </w:tcPr>
          <w:p w:rsidR="00C81FCD" w:rsidRPr="005728DD" w:rsidRDefault="00C81FCD" w:rsidP="006A1893">
            <w:pPr>
              <w:pStyle w:val="Tabletextbold"/>
              <w:widowControl w:val="0"/>
              <w:spacing w:before="0" w:after="0"/>
              <w:rPr>
                <w:rFonts w:ascii="Arial Narrow" w:hAnsi="Arial Narrow"/>
                <w:sz w:val="20"/>
                <w:lang w:val="en-AU"/>
              </w:rPr>
            </w:pP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Relationship of surrogate outcomes and survival: Liou 2001</w:t>
            </w:r>
            <w:r w:rsidR="00C527DC" w:rsidRPr="005728DD">
              <w:rPr>
                <w:rFonts w:ascii="Arial Narrow" w:hAnsi="Arial Narrow"/>
                <w:sz w:val="20"/>
              </w:rPr>
              <w:t>.</w:t>
            </w:r>
            <w:r w:rsidR="008B5EF9" w:rsidRPr="005728DD">
              <w:rPr>
                <w:rFonts w:ascii="Arial Narrow" w:hAnsi="Arial Narrow"/>
                <w:sz w:val="20"/>
              </w:rPr>
              <w:t xml:space="preserve"> </w:t>
            </w:r>
          </w:p>
        </w:tc>
      </w:tr>
      <w:tr w:rsidR="00A87C40" w:rsidRPr="005728DD" w:rsidTr="00813F79">
        <w:trPr>
          <w:trHeight w:val="505"/>
        </w:trPr>
        <w:tc>
          <w:tcPr>
            <w:tcW w:w="1838" w:type="dxa"/>
          </w:tcPr>
          <w:p w:rsidR="00A87C40" w:rsidRPr="005728DD" w:rsidRDefault="00A87C40" w:rsidP="006A1893">
            <w:pPr>
              <w:pStyle w:val="Tabletextbold"/>
              <w:widowControl w:val="0"/>
              <w:spacing w:before="0" w:after="0"/>
              <w:rPr>
                <w:rFonts w:ascii="Arial Narrow" w:hAnsi="Arial Narrow"/>
                <w:iCs/>
                <w:sz w:val="20"/>
                <w:lang w:val="en-AU"/>
              </w:rPr>
            </w:pPr>
            <w:r w:rsidRPr="005728DD">
              <w:rPr>
                <w:rFonts w:ascii="Arial Narrow" w:hAnsi="Arial Narrow"/>
                <w:iCs/>
                <w:sz w:val="20"/>
                <w:lang w:val="en-AU"/>
              </w:rPr>
              <w:t>Costs of the proposed medicine</w:t>
            </w:r>
            <w:r w:rsidR="0001354D" w:rsidRPr="005728DD">
              <w:rPr>
                <w:rFonts w:ascii="Arial Narrow" w:hAnsi="Arial Narrow"/>
                <w:iCs/>
                <w:sz w:val="20"/>
                <w:lang w:val="en-AU"/>
              </w:rPr>
              <w:t xml:space="preserve"> (effective cost per pack)</w:t>
            </w:r>
          </w:p>
        </w:tc>
        <w:tc>
          <w:tcPr>
            <w:tcW w:w="7089" w:type="dxa"/>
          </w:tcPr>
          <w:p w:rsidR="00A87C40" w:rsidRPr="005728DD" w:rsidRDefault="008E057F" w:rsidP="006A1893">
            <w:pPr>
              <w:pStyle w:val="Tabletextleft"/>
              <w:widowControl w:val="0"/>
              <w:spacing w:before="0" w:after="0"/>
              <w:rPr>
                <w:rFonts w:ascii="Arial Narrow" w:hAnsi="Arial Narrow"/>
                <w:iCs/>
                <w:sz w:val="20"/>
              </w:rPr>
            </w:pPr>
            <w:r w:rsidRPr="005728DD">
              <w:rPr>
                <w:rFonts w:ascii="Arial Narrow" w:hAnsi="Arial Narrow"/>
                <w:iCs/>
                <w:sz w:val="20"/>
              </w:rPr>
              <w:t>$</w:t>
            </w:r>
            <w:r w:rsidR="00967E09">
              <w:rPr>
                <w:rFonts w:ascii="Arial Narrow" w:hAnsi="Arial Narrow"/>
                <w:iCs/>
                <w:noProof/>
                <w:color w:val="000000"/>
                <w:sz w:val="20"/>
                <w:highlight w:val="black"/>
              </w:rPr>
              <w:t>'''''''''''''''''''''</w:t>
            </w:r>
            <w:r w:rsidR="00EB2ED4" w:rsidRPr="005728DD">
              <w:rPr>
                <w:rFonts w:ascii="Arial Narrow" w:hAnsi="Arial Narrow"/>
                <w:iCs/>
                <w:sz w:val="20"/>
              </w:rPr>
              <w:t>/pack</w:t>
            </w:r>
            <w:r w:rsidR="00595EDF" w:rsidRPr="005728DD">
              <w:rPr>
                <w:rFonts w:ascii="Arial Narrow" w:hAnsi="Arial Narrow"/>
                <w:iCs/>
                <w:sz w:val="20"/>
              </w:rPr>
              <w:t xml:space="preserve"> </w:t>
            </w:r>
          </w:p>
          <w:p w:rsidR="0030304B" w:rsidRPr="005728DD" w:rsidRDefault="0030304B" w:rsidP="006A1893">
            <w:pPr>
              <w:pStyle w:val="Tabletextleft"/>
              <w:widowControl w:val="0"/>
              <w:spacing w:before="0" w:after="0"/>
              <w:rPr>
                <w:rFonts w:ascii="Arial Narrow" w:hAnsi="Arial Narrow"/>
                <w:iCs/>
                <w:sz w:val="20"/>
              </w:rPr>
            </w:pPr>
          </w:p>
        </w:tc>
      </w:tr>
      <w:tr w:rsidR="00C81FCD" w:rsidRPr="005728DD" w:rsidTr="00813F79">
        <w:trPr>
          <w:trHeight w:val="505"/>
        </w:trPr>
        <w:tc>
          <w:tcPr>
            <w:tcW w:w="1838" w:type="dxa"/>
          </w:tcPr>
          <w:p w:rsidR="00C81FCD" w:rsidRPr="005728DD" w:rsidRDefault="00C81FCD" w:rsidP="006A1893">
            <w:pPr>
              <w:pStyle w:val="Tabletextbold"/>
              <w:widowControl w:val="0"/>
              <w:spacing w:before="0" w:after="0"/>
              <w:rPr>
                <w:rFonts w:ascii="Arial Narrow" w:hAnsi="Arial Narrow"/>
                <w:iCs/>
                <w:sz w:val="20"/>
                <w:lang w:val="en-AU"/>
              </w:rPr>
            </w:pPr>
            <w:r w:rsidRPr="005728DD">
              <w:rPr>
                <w:rFonts w:ascii="Arial Narrow" w:hAnsi="Arial Narrow"/>
                <w:iCs/>
                <w:sz w:val="20"/>
                <w:lang w:val="en-AU"/>
              </w:rPr>
              <w:t>Health utility</w:t>
            </w:r>
          </w:p>
        </w:tc>
        <w:tc>
          <w:tcPr>
            <w:tcW w:w="7089" w:type="dxa"/>
          </w:tcPr>
          <w:p w:rsidR="00C81FCD" w:rsidRPr="005728DD" w:rsidRDefault="00C81FCD" w:rsidP="006A1893">
            <w:pPr>
              <w:pStyle w:val="Tabletextleft"/>
              <w:widowControl w:val="0"/>
              <w:spacing w:before="0" w:after="0"/>
              <w:rPr>
                <w:rFonts w:ascii="Arial Narrow" w:hAnsi="Arial Narrow"/>
                <w:iCs/>
                <w:sz w:val="20"/>
              </w:rPr>
            </w:pPr>
            <w:r w:rsidRPr="005728DD">
              <w:rPr>
                <w:rFonts w:ascii="Arial Narrow" w:hAnsi="Arial Narrow"/>
                <w:iCs/>
                <w:sz w:val="20"/>
              </w:rPr>
              <w:t>ppFEV</w:t>
            </w:r>
            <w:r w:rsidRPr="005728DD">
              <w:rPr>
                <w:rFonts w:ascii="Arial Narrow" w:hAnsi="Arial Narrow"/>
                <w:iCs/>
                <w:sz w:val="20"/>
                <w:vertAlign w:val="subscript"/>
              </w:rPr>
              <w:t>1</w:t>
            </w:r>
            <w:r w:rsidRPr="005728DD">
              <w:rPr>
                <w:rFonts w:ascii="Arial Narrow" w:hAnsi="Arial Narrow"/>
                <w:iCs/>
                <w:sz w:val="20"/>
              </w:rPr>
              <w:t xml:space="preserve"> level-based utility (expert opinion), post lung transplantation (Anyanwu 2002), treatment-specific utility increment (Study 102)</w:t>
            </w:r>
          </w:p>
        </w:tc>
      </w:tr>
      <w:tr w:rsidR="00C81FCD" w:rsidRPr="005728DD" w:rsidTr="00813F79">
        <w:tc>
          <w:tcPr>
            <w:tcW w:w="1838" w:type="dxa"/>
          </w:tcPr>
          <w:p w:rsidR="00C81FCD" w:rsidRPr="005728DD" w:rsidRDefault="00C81FCD" w:rsidP="006A1893">
            <w:pPr>
              <w:pStyle w:val="Tabletextbold"/>
              <w:widowControl w:val="0"/>
              <w:spacing w:before="0" w:after="0"/>
              <w:rPr>
                <w:rFonts w:ascii="Arial Narrow" w:hAnsi="Arial Narrow"/>
                <w:sz w:val="20"/>
                <w:lang w:val="en-AU"/>
              </w:rPr>
            </w:pPr>
            <w:r w:rsidRPr="005728DD">
              <w:rPr>
                <w:rFonts w:ascii="Arial Narrow" w:hAnsi="Arial Narrow"/>
                <w:sz w:val="20"/>
                <w:lang w:val="en-AU"/>
              </w:rPr>
              <w:t>Software</w:t>
            </w:r>
          </w:p>
        </w:tc>
        <w:tc>
          <w:tcPr>
            <w:tcW w:w="7089" w:type="dxa"/>
          </w:tcPr>
          <w:p w:rsidR="00C81FCD" w:rsidRPr="005728DD" w:rsidRDefault="00C81FCD" w:rsidP="006A1893">
            <w:pPr>
              <w:pStyle w:val="Tabletextleft"/>
              <w:widowControl w:val="0"/>
              <w:spacing w:before="0" w:after="0"/>
              <w:rPr>
                <w:rFonts w:ascii="Arial Narrow" w:hAnsi="Arial Narrow"/>
                <w:sz w:val="20"/>
              </w:rPr>
            </w:pPr>
            <w:r w:rsidRPr="005728DD">
              <w:rPr>
                <w:rFonts w:ascii="Arial Narrow" w:hAnsi="Arial Narrow"/>
                <w:sz w:val="20"/>
              </w:rPr>
              <w:t>Microsoft Excel using Visual Basic</w:t>
            </w:r>
          </w:p>
        </w:tc>
      </w:tr>
    </w:tbl>
    <w:p w:rsidR="00DD2A0D" w:rsidRPr="005728DD" w:rsidRDefault="00DD2A0D" w:rsidP="00DD2A0D">
      <w:pPr>
        <w:pStyle w:val="TableFigNotes0"/>
        <w:rPr>
          <w:rFonts w:ascii="Arial Narrow" w:hAnsi="Arial Narrow"/>
          <w:sz w:val="18"/>
          <w:lang w:val="en-AU"/>
        </w:rPr>
      </w:pPr>
      <w:r w:rsidRPr="005728DD">
        <w:rPr>
          <w:rFonts w:ascii="Arial Narrow" w:hAnsi="Arial Narrow"/>
          <w:sz w:val="18"/>
          <w:lang w:val="en-AU"/>
        </w:rPr>
        <w:t xml:space="preserve">Source: </w:t>
      </w:r>
      <w:r w:rsidR="00DD66EF" w:rsidRPr="005728DD">
        <w:rPr>
          <w:rFonts w:ascii="Arial Narrow" w:hAnsi="Arial Narrow"/>
          <w:bCs/>
          <w:iCs/>
          <w:sz w:val="18"/>
          <w:lang w:val="en-AU"/>
        </w:rPr>
        <w:t>Developed during the evaluation based on</w:t>
      </w:r>
      <w:r w:rsidR="00DD66EF" w:rsidRPr="005728DD">
        <w:rPr>
          <w:rFonts w:ascii="Arial Narrow" w:hAnsi="Arial Narrow"/>
          <w:sz w:val="18"/>
          <w:lang w:val="en-AU"/>
        </w:rPr>
        <w:t xml:space="preserve"> </w:t>
      </w:r>
      <w:r w:rsidRPr="005728DD">
        <w:rPr>
          <w:rFonts w:ascii="Arial Narrow" w:hAnsi="Arial Narrow"/>
          <w:sz w:val="18"/>
          <w:lang w:val="en-AU"/>
        </w:rPr>
        <w:t>Table 3.1.1, p176 of the submission</w:t>
      </w:r>
    </w:p>
    <w:p w:rsidR="00DD2A0D" w:rsidRPr="005728DD" w:rsidRDefault="00DD2A0D" w:rsidP="00DD2A0D">
      <w:pPr>
        <w:pStyle w:val="TableFigNotes0"/>
        <w:spacing w:after="240"/>
        <w:rPr>
          <w:rFonts w:ascii="Arial Narrow" w:hAnsi="Arial Narrow"/>
          <w:sz w:val="18"/>
          <w:lang w:val="en-AU"/>
        </w:rPr>
      </w:pPr>
      <w:r w:rsidRPr="005728DD">
        <w:rPr>
          <w:rFonts w:ascii="Arial Narrow" w:hAnsi="Arial Narrow"/>
          <w:sz w:val="18"/>
          <w:lang w:val="en-AU"/>
        </w:rPr>
        <w:t>Abbreviations: BSC = best supportive care; CF = cystic fibrosis;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RCT = randomised controlled trial; TEZ/IVA = tezacaftor/ivacaftor</w:t>
      </w:r>
    </w:p>
    <w:p w:rsidR="00D05F09" w:rsidRPr="005728DD" w:rsidRDefault="008951A8" w:rsidP="00725A99">
      <w:pPr>
        <w:pStyle w:val="3-BodyText"/>
      </w:pPr>
      <w:r w:rsidRPr="005728DD">
        <w:t xml:space="preserve">A summary of the data sources utilised in the economic evaluations is provided </w:t>
      </w:r>
      <w:r w:rsidR="00481FF2" w:rsidRPr="005728DD">
        <w:t xml:space="preserve">in </w:t>
      </w:r>
      <w:r w:rsidR="005C56C0" w:rsidRPr="005C56C0">
        <w:t>Table 15</w:t>
      </w:r>
      <w:r w:rsidR="00481FF2" w:rsidRPr="005728DD">
        <w:t xml:space="preserve">. </w:t>
      </w:r>
      <w:r w:rsidR="00DE0B4E" w:rsidRPr="005728DD">
        <w:t xml:space="preserve">The ESC noted </w:t>
      </w:r>
      <w:r w:rsidR="00DE0B4E" w:rsidRPr="005728DD">
        <w:rPr>
          <w:bCs/>
        </w:rPr>
        <w:t>data inputs were applied interchangeably between populations without considering whether those data and their effects were exchangeable</w:t>
      </w:r>
      <w:r w:rsidR="006E0118" w:rsidRPr="005728DD">
        <w:rPr>
          <w:bCs/>
        </w:rPr>
        <w:t xml:space="preserve"> (</w:t>
      </w:r>
      <w:r w:rsidR="002E21FF" w:rsidRPr="005728DD">
        <w:rPr>
          <w:bCs/>
        </w:rPr>
        <w:t>e.g.,</w:t>
      </w:r>
      <w:r w:rsidR="006E0118" w:rsidRPr="005728DD">
        <w:rPr>
          <w:bCs/>
        </w:rPr>
        <w:t xml:space="preserve"> </w:t>
      </w:r>
      <w:r w:rsidR="006E0118" w:rsidRPr="005728DD">
        <w:t xml:space="preserve">treatment effect for </w:t>
      </w:r>
      <w:r w:rsidR="006E0118" w:rsidRPr="005728DD">
        <w:rPr>
          <w:rFonts w:ascii="Calibri" w:hAnsi="Calibri" w:cs="Calibri"/>
        </w:rPr>
        <w:t xml:space="preserve">pulmonary exacerbation for F/F and F/RF population were derived from the </w:t>
      </w:r>
      <w:r w:rsidR="006E0118" w:rsidRPr="005728DD">
        <w:t>F/MF population)</w:t>
      </w:r>
      <w:r w:rsidR="00DE0B4E" w:rsidRPr="005728DD">
        <w:rPr>
          <w:bCs/>
        </w:rPr>
        <w:t>.</w:t>
      </w:r>
      <w:r w:rsidR="00725A99" w:rsidRPr="005728DD">
        <w:t xml:space="preserve"> The pre-PBAC response stated </w:t>
      </w:r>
      <w:r w:rsidR="00725A99" w:rsidRPr="005728DD">
        <w:rPr>
          <w:bCs/>
        </w:rPr>
        <w:t xml:space="preserve">the </w:t>
      </w:r>
      <w:r w:rsidR="00733D0D" w:rsidRPr="005728DD">
        <w:rPr>
          <w:bCs/>
        </w:rPr>
        <w:t xml:space="preserve">F/F and </w:t>
      </w:r>
      <w:r w:rsidR="00725A99" w:rsidRPr="005728DD">
        <w:rPr>
          <w:bCs/>
        </w:rPr>
        <w:t>F/MF population</w:t>
      </w:r>
      <w:r w:rsidR="00733D0D" w:rsidRPr="005728DD">
        <w:rPr>
          <w:bCs/>
        </w:rPr>
        <w:t>s</w:t>
      </w:r>
      <w:r w:rsidR="00725A99" w:rsidRPr="005728DD">
        <w:rPr>
          <w:bCs/>
        </w:rPr>
        <w:t xml:space="preserve"> have a more severe disease phenotype and have similar disease trajectories and rates of lung function decline. The interchangeability of model inputs is therefore supported by the similarity in the disease trajectory (i.e. both severe phenotypes) and the fact that these data are derived from the same treatment (i.e. ELX/TEZ/IVA).</w:t>
      </w:r>
    </w:p>
    <w:p w:rsidR="00D05F09" w:rsidRPr="005728DD" w:rsidRDefault="00DE0B4E" w:rsidP="002E21FF">
      <w:pPr>
        <w:pStyle w:val="3-BodyText"/>
        <w:keepNext/>
        <w:keepLines/>
        <w:numPr>
          <w:ilvl w:val="0"/>
          <w:numId w:val="0"/>
        </w:numPr>
        <w:spacing w:after="0"/>
        <w:rPr>
          <w:rFonts w:ascii="Arial Narrow" w:hAnsi="Arial Narrow"/>
          <w:b/>
          <w:bCs/>
          <w:sz w:val="20"/>
          <w:szCs w:val="20"/>
        </w:rPr>
      </w:pPr>
      <w:bookmarkStart w:id="36" w:name="_Ref64496862"/>
      <w:r w:rsidRPr="005728DD">
        <w:rPr>
          <w:rFonts w:ascii="Arial Narrow" w:hAnsi="Arial Narrow"/>
          <w:b/>
          <w:bCs/>
          <w:sz w:val="20"/>
          <w:szCs w:val="20"/>
        </w:rPr>
        <w:lastRenderedPageBreak/>
        <w:t xml:space="preserve">Table </w:t>
      </w:r>
      <w:r w:rsidR="005C56C0">
        <w:rPr>
          <w:rFonts w:ascii="Arial Narrow" w:hAnsi="Arial Narrow"/>
          <w:b/>
          <w:bCs/>
          <w:noProof/>
          <w:sz w:val="20"/>
          <w:szCs w:val="20"/>
        </w:rPr>
        <w:t>15</w:t>
      </w:r>
      <w:bookmarkEnd w:id="36"/>
      <w:r w:rsidR="00D05F09" w:rsidRPr="005728DD">
        <w:rPr>
          <w:rFonts w:ascii="Arial Narrow" w:hAnsi="Arial Narrow"/>
          <w:b/>
          <w:bCs/>
          <w:sz w:val="20"/>
          <w:szCs w:val="20"/>
        </w:rPr>
        <w:t>: Transition probabilities applied in economic models</w:t>
      </w:r>
    </w:p>
    <w:tbl>
      <w:tblPr>
        <w:tblStyle w:val="HTATableshaded"/>
        <w:tblW w:w="5000" w:type="pct"/>
        <w:tblLook w:val="04A0" w:firstRow="1" w:lastRow="0" w:firstColumn="1" w:lastColumn="0" w:noHBand="0" w:noVBand="1"/>
        <w:tblCaption w:val="Table 15: Transition probabilities applied in economic models"/>
      </w:tblPr>
      <w:tblGrid>
        <w:gridCol w:w="1813"/>
        <w:gridCol w:w="1358"/>
        <w:gridCol w:w="1280"/>
        <w:gridCol w:w="1304"/>
        <w:gridCol w:w="1372"/>
        <w:gridCol w:w="1771"/>
      </w:tblGrid>
      <w:tr w:rsidR="00D05F09" w:rsidRPr="005728DD" w:rsidTr="005C66A3">
        <w:trPr>
          <w:cnfStyle w:val="100000000000" w:firstRow="1" w:lastRow="0" w:firstColumn="0" w:lastColumn="0" w:oddVBand="0" w:evenVBand="0" w:oddHBand="0" w:evenHBand="0" w:firstRowFirstColumn="0" w:firstRowLastColumn="0" w:lastRowFirstColumn="0" w:lastRowLastColumn="0"/>
          <w:tblHeader/>
        </w:trPr>
        <w:tc>
          <w:tcPr>
            <w:tcW w:w="1019" w:type="pct"/>
            <w:hideMark/>
          </w:tcPr>
          <w:p w:rsidR="00D05F09" w:rsidRPr="005728DD" w:rsidRDefault="00D05F09" w:rsidP="002E21FF">
            <w:pPr>
              <w:pStyle w:val="In-tableHeading"/>
              <w:keepLines/>
              <w:rPr>
                <w:bCs/>
                <w:sz w:val="20"/>
                <w:szCs w:val="20"/>
                <w:lang w:val="en-AU"/>
              </w:rPr>
            </w:pPr>
            <w:r w:rsidRPr="005728DD">
              <w:rPr>
                <w:sz w:val="20"/>
                <w:szCs w:val="20"/>
                <w:lang w:val="en-AU"/>
              </w:rPr>
              <w:t>Data input</w:t>
            </w:r>
          </w:p>
        </w:tc>
        <w:tc>
          <w:tcPr>
            <w:tcW w:w="1481" w:type="pct"/>
            <w:gridSpan w:val="2"/>
            <w:hideMark/>
          </w:tcPr>
          <w:p w:rsidR="00D05F09" w:rsidRPr="005728DD" w:rsidRDefault="00D05F09" w:rsidP="002E21FF">
            <w:pPr>
              <w:pStyle w:val="In-tableHeading"/>
              <w:keepLines/>
              <w:jc w:val="center"/>
              <w:rPr>
                <w:sz w:val="20"/>
                <w:szCs w:val="20"/>
                <w:lang w:val="en-AU"/>
              </w:rPr>
            </w:pPr>
            <w:r w:rsidRPr="005728DD">
              <w:rPr>
                <w:sz w:val="20"/>
                <w:szCs w:val="20"/>
                <w:lang w:val="en-AU"/>
              </w:rPr>
              <w:t>F/F economic model</w:t>
            </w:r>
          </w:p>
        </w:tc>
        <w:tc>
          <w:tcPr>
            <w:tcW w:w="1504" w:type="pct"/>
            <w:gridSpan w:val="2"/>
            <w:hideMark/>
          </w:tcPr>
          <w:p w:rsidR="00D05F09" w:rsidRPr="005728DD" w:rsidRDefault="00D05F09" w:rsidP="002E21FF">
            <w:pPr>
              <w:pStyle w:val="In-tableHeading"/>
              <w:keepLines/>
              <w:jc w:val="center"/>
              <w:rPr>
                <w:sz w:val="20"/>
                <w:szCs w:val="20"/>
                <w:lang w:val="en-AU"/>
              </w:rPr>
            </w:pPr>
            <w:r w:rsidRPr="005728DD">
              <w:rPr>
                <w:sz w:val="20"/>
                <w:szCs w:val="20"/>
                <w:lang w:val="en-AU"/>
              </w:rPr>
              <w:t>F/RF economic model</w:t>
            </w:r>
          </w:p>
        </w:tc>
        <w:tc>
          <w:tcPr>
            <w:tcW w:w="996"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F/MF economic model</w:t>
            </w:r>
          </w:p>
        </w:tc>
      </w:tr>
      <w:tr w:rsidR="00D05F09" w:rsidRPr="005728DD" w:rsidTr="002E21FF">
        <w:tc>
          <w:tcPr>
            <w:tcW w:w="1019" w:type="pct"/>
            <w:hideMark/>
          </w:tcPr>
          <w:p w:rsidR="00D05F09" w:rsidRPr="005728DD" w:rsidRDefault="00D05F09" w:rsidP="002E21FF">
            <w:pPr>
              <w:pStyle w:val="In-tableHeading"/>
              <w:keepLines/>
              <w:rPr>
                <w:sz w:val="20"/>
                <w:szCs w:val="20"/>
                <w:lang w:val="en-AU"/>
              </w:rPr>
            </w:pPr>
            <w:r w:rsidRPr="005728DD">
              <w:rPr>
                <w:sz w:val="20"/>
                <w:szCs w:val="20"/>
                <w:lang w:val="en-AU"/>
              </w:rPr>
              <w:t>Versus BSC</w:t>
            </w:r>
          </w:p>
        </w:tc>
        <w:tc>
          <w:tcPr>
            <w:tcW w:w="763"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ELX/ TEZ/ IVA</w:t>
            </w:r>
          </w:p>
        </w:tc>
        <w:tc>
          <w:tcPr>
            <w:tcW w:w="719"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TEZ/IVA</w:t>
            </w:r>
          </w:p>
        </w:tc>
        <w:tc>
          <w:tcPr>
            <w:tcW w:w="733"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ELX/ TEZ/ IVA</w:t>
            </w:r>
          </w:p>
        </w:tc>
        <w:tc>
          <w:tcPr>
            <w:tcW w:w="770"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TEZ/IVA</w:t>
            </w:r>
          </w:p>
        </w:tc>
        <w:tc>
          <w:tcPr>
            <w:tcW w:w="996" w:type="pct"/>
            <w:hideMark/>
          </w:tcPr>
          <w:p w:rsidR="00D05F09" w:rsidRPr="005728DD" w:rsidRDefault="00D05F09" w:rsidP="002E21FF">
            <w:pPr>
              <w:pStyle w:val="In-tableHeading"/>
              <w:keepLines/>
              <w:jc w:val="center"/>
              <w:rPr>
                <w:sz w:val="20"/>
                <w:szCs w:val="20"/>
                <w:lang w:val="en-AU"/>
              </w:rPr>
            </w:pPr>
            <w:r w:rsidRPr="005728DD">
              <w:rPr>
                <w:sz w:val="20"/>
                <w:szCs w:val="20"/>
                <w:lang w:val="en-AU"/>
              </w:rPr>
              <w:t>ELX/TEZ/IVA</w:t>
            </w:r>
          </w:p>
        </w:tc>
      </w:tr>
      <w:tr w:rsidR="00D05F09" w:rsidRPr="005728DD" w:rsidTr="002E21FF">
        <w:trPr>
          <w:trHeight w:val="688"/>
        </w:trPr>
        <w:tc>
          <w:tcPr>
            <w:tcW w:w="1019" w:type="pct"/>
            <w:hideMark/>
          </w:tcPr>
          <w:p w:rsidR="00D05F09" w:rsidRPr="005728DD" w:rsidRDefault="00D05F09" w:rsidP="002E21FF">
            <w:pPr>
              <w:pStyle w:val="In-tableHeading"/>
              <w:keepLines/>
              <w:rPr>
                <w:b w:val="0"/>
                <w:sz w:val="20"/>
                <w:szCs w:val="20"/>
                <w:lang w:val="en-AU"/>
              </w:rPr>
            </w:pPr>
            <w:r w:rsidRPr="005728DD">
              <w:rPr>
                <w:b w:val="0"/>
                <w:bCs/>
                <w:sz w:val="20"/>
                <w:szCs w:val="20"/>
                <w:lang w:val="en-AU"/>
              </w:rPr>
              <w:t>Absolute change in ppFEV</w:t>
            </w:r>
            <w:r w:rsidRPr="005728DD">
              <w:rPr>
                <w:b w:val="0"/>
                <w:bCs/>
                <w:sz w:val="20"/>
                <w:szCs w:val="20"/>
                <w:vertAlign w:val="subscript"/>
                <w:lang w:val="en-AU"/>
              </w:rPr>
              <w:t>1</w:t>
            </w:r>
            <w:r w:rsidRPr="005728DD">
              <w:rPr>
                <w:b w:val="0"/>
                <w:bCs/>
                <w:sz w:val="20"/>
                <w:szCs w:val="20"/>
                <w:lang w:val="en-AU"/>
              </w:rPr>
              <w:t xml:space="preserve"> </w:t>
            </w:r>
          </w:p>
        </w:tc>
        <w:tc>
          <w:tcPr>
            <w:tcW w:w="763" w:type="pct"/>
            <w:hideMark/>
          </w:tcPr>
          <w:p w:rsidR="00D05F09" w:rsidRPr="005728DD" w:rsidRDefault="00D05F09" w:rsidP="002E21FF">
            <w:pPr>
              <w:pStyle w:val="In-tableHeading"/>
              <w:keepLines/>
              <w:rPr>
                <w:bCs/>
                <w:sz w:val="20"/>
                <w:szCs w:val="20"/>
                <w:lang w:val="en-AU"/>
              </w:rPr>
            </w:pPr>
            <w:r w:rsidRPr="005728DD">
              <w:rPr>
                <w:b w:val="0"/>
                <w:bCs/>
                <w:sz w:val="20"/>
                <w:szCs w:val="20"/>
                <w:lang w:val="en-AU"/>
              </w:rPr>
              <w:t>ITC of Study 109 and EVOLVE</w:t>
            </w:r>
          </w:p>
        </w:tc>
        <w:tc>
          <w:tcPr>
            <w:tcW w:w="719"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EVOLVE</w:t>
            </w:r>
          </w:p>
        </w:tc>
        <w:tc>
          <w:tcPr>
            <w:tcW w:w="733" w:type="pct"/>
            <w:hideMark/>
          </w:tcPr>
          <w:p w:rsidR="00D05F09" w:rsidRPr="005728DD" w:rsidRDefault="00D05F09" w:rsidP="002E21FF">
            <w:pPr>
              <w:pStyle w:val="In-tableHeading"/>
              <w:keepLines/>
              <w:rPr>
                <w:b w:val="0"/>
                <w:sz w:val="20"/>
                <w:szCs w:val="20"/>
                <w:lang w:val="en-AU"/>
              </w:rPr>
            </w:pPr>
            <w:r w:rsidRPr="005728DD">
              <w:rPr>
                <w:b w:val="0"/>
                <w:bCs/>
                <w:sz w:val="20"/>
                <w:szCs w:val="20"/>
                <w:lang w:val="en-AU"/>
              </w:rPr>
              <w:t xml:space="preserve">ITC of Study 104 and </w:t>
            </w:r>
          </w:p>
          <w:p w:rsidR="00D05F09" w:rsidRPr="005728DD" w:rsidRDefault="00D05F09" w:rsidP="002E21FF">
            <w:pPr>
              <w:pStyle w:val="In-tableHeading"/>
              <w:keepLines/>
              <w:rPr>
                <w:bCs/>
                <w:sz w:val="20"/>
                <w:szCs w:val="20"/>
                <w:lang w:val="en-AU"/>
              </w:rPr>
            </w:pPr>
            <w:r w:rsidRPr="005728DD">
              <w:rPr>
                <w:b w:val="0"/>
                <w:bCs/>
                <w:sz w:val="20"/>
                <w:szCs w:val="20"/>
                <w:lang w:val="en-AU"/>
              </w:rPr>
              <w:t>EXPAND</w:t>
            </w:r>
          </w:p>
        </w:tc>
        <w:tc>
          <w:tcPr>
            <w:tcW w:w="770"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EXPAND</w:t>
            </w:r>
          </w:p>
        </w:tc>
        <w:tc>
          <w:tcPr>
            <w:tcW w:w="996" w:type="pct"/>
            <w:hideMark/>
          </w:tcPr>
          <w:p w:rsidR="00D05F09" w:rsidRPr="005728DD" w:rsidRDefault="00D05F09" w:rsidP="002E21FF">
            <w:pPr>
              <w:pStyle w:val="In-tableHeading"/>
              <w:keepLines/>
              <w:rPr>
                <w:b w:val="0"/>
                <w:sz w:val="20"/>
                <w:szCs w:val="20"/>
                <w:lang w:val="en-AU"/>
              </w:rPr>
            </w:pPr>
            <w:r w:rsidRPr="005728DD">
              <w:rPr>
                <w:b w:val="0"/>
                <w:bCs/>
                <w:sz w:val="20"/>
                <w:szCs w:val="20"/>
                <w:lang w:val="en-AU"/>
              </w:rPr>
              <w:t>Study 102</w:t>
            </w:r>
          </w:p>
        </w:tc>
      </w:tr>
      <w:tr w:rsidR="00D05F09" w:rsidRPr="005728DD" w:rsidTr="002E21FF">
        <w:trPr>
          <w:trHeight w:val="918"/>
        </w:trPr>
        <w:tc>
          <w:tcPr>
            <w:tcW w:w="1019" w:type="pct"/>
            <w:hideMark/>
          </w:tcPr>
          <w:p w:rsidR="00D05F09" w:rsidRPr="005728DD" w:rsidRDefault="00D05F09" w:rsidP="002E21FF">
            <w:pPr>
              <w:pStyle w:val="In-tableHeading"/>
              <w:keepLines/>
              <w:rPr>
                <w:b w:val="0"/>
                <w:bCs/>
                <w:sz w:val="20"/>
                <w:szCs w:val="20"/>
                <w:lang w:val="en-AU"/>
              </w:rPr>
            </w:pPr>
            <w:r w:rsidRPr="005728DD">
              <w:rPr>
                <w:b w:val="0"/>
                <w:bCs/>
                <w:sz w:val="20"/>
                <w:szCs w:val="20"/>
                <w:lang w:val="en-AU"/>
              </w:rPr>
              <w:t xml:space="preserve">Absolute change in weight-for-age z-score (estimated from BMI outcome) </w:t>
            </w:r>
          </w:p>
        </w:tc>
        <w:tc>
          <w:tcPr>
            <w:tcW w:w="763" w:type="pct"/>
            <w:hideMark/>
          </w:tcPr>
          <w:p w:rsidR="00D05F09" w:rsidRPr="005728DD" w:rsidRDefault="00D05F09" w:rsidP="002E21FF">
            <w:pPr>
              <w:pStyle w:val="In-tableHeading"/>
              <w:keepLines/>
              <w:rPr>
                <w:bCs/>
                <w:sz w:val="20"/>
                <w:szCs w:val="20"/>
                <w:lang w:val="en-AU"/>
              </w:rPr>
            </w:pPr>
            <w:r w:rsidRPr="005728DD">
              <w:rPr>
                <w:b w:val="0"/>
                <w:bCs/>
                <w:sz w:val="20"/>
                <w:szCs w:val="20"/>
                <w:lang w:val="en-AU"/>
              </w:rPr>
              <w:t>ITC of study 109 and EVOLVE</w:t>
            </w:r>
          </w:p>
        </w:tc>
        <w:tc>
          <w:tcPr>
            <w:tcW w:w="719"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EVOLVE</w:t>
            </w:r>
          </w:p>
        </w:tc>
        <w:tc>
          <w:tcPr>
            <w:tcW w:w="733"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 xml:space="preserve">ITC of study 104 and </w:t>
            </w:r>
            <w:r w:rsidR="00FE3AF9" w:rsidRPr="005728DD">
              <w:rPr>
                <w:b w:val="0"/>
                <w:bCs/>
                <w:sz w:val="20"/>
                <w:szCs w:val="20"/>
                <w:lang w:val="en-AU"/>
              </w:rPr>
              <w:t>EXPAND</w:t>
            </w:r>
          </w:p>
        </w:tc>
        <w:tc>
          <w:tcPr>
            <w:tcW w:w="770" w:type="pct"/>
            <w:hideMark/>
          </w:tcPr>
          <w:p w:rsidR="00D05F09" w:rsidRPr="005728DD" w:rsidRDefault="00FE3AF9" w:rsidP="002E21FF">
            <w:pPr>
              <w:pStyle w:val="In-tableHeading"/>
              <w:keepLines/>
              <w:rPr>
                <w:b w:val="0"/>
                <w:sz w:val="20"/>
                <w:szCs w:val="20"/>
                <w:lang w:val="en-AU"/>
              </w:rPr>
            </w:pPr>
            <w:r w:rsidRPr="005728DD">
              <w:rPr>
                <w:b w:val="0"/>
                <w:sz w:val="20"/>
                <w:szCs w:val="20"/>
                <w:lang w:val="en-AU"/>
              </w:rPr>
              <w:t>EXPAND</w:t>
            </w:r>
          </w:p>
        </w:tc>
        <w:tc>
          <w:tcPr>
            <w:tcW w:w="996" w:type="pct"/>
            <w:hideMark/>
          </w:tcPr>
          <w:p w:rsidR="00D05F09" w:rsidRPr="005728DD" w:rsidRDefault="00D05F09" w:rsidP="002E21FF">
            <w:pPr>
              <w:pStyle w:val="In-tableHeading"/>
              <w:keepLines/>
              <w:rPr>
                <w:b w:val="0"/>
                <w:sz w:val="20"/>
                <w:szCs w:val="20"/>
                <w:lang w:val="en-AU"/>
              </w:rPr>
            </w:pPr>
            <w:r w:rsidRPr="005728DD">
              <w:rPr>
                <w:b w:val="0"/>
                <w:bCs/>
                <w:sz w:val="20"/>
                <w:szCs w:val="20"/>
                <w:lang w:val="en-AU"/>
              </w:rPr>
              <w:t>Study 102</w:t>
            </w:r>
          </w:p>
        </w:tc>
      </w:tr>
      <w:tr w:rsidR="00D05F09" w:rsidRPr="005728DD" w:rsidTr="002E21FF">
        <w:trPr>
          <w:trHeight w:val="349"/>
        </w:trPr>
        <w:tc>
          <w:tcPr>
            <w:tcW w:w="1019" w:type="pct"/>
            <w:hideMark/>
          </w:tcPr>
          <w:p w:rsidR="00D05F09" w:rsidRPr="005728DD" w:rsidRDefault="00D05F09" w:rsidP="002E21FF">
            <w:pPr>
              <w:pStyle w:val="In-tableHeading"/>
              <w:keepLines/>
              <w:rPr>
                <w:b w:val="0"/>
                <w:bCs/>
                <w:sz w:val="20"/>
                <w:szCs w:val="20"/>
                <w:lang w:val="en-AU"/>
              </w:rPr>
            </w:pPr>
            <w:r w:rsidRPr="005728DD">
              <w:rPr>
                <w:b w:val="0"/>
                <w:bCs/>
                <w:sz w:val="20"/>
                <w:szCs w:val="20"/>
                <w:lang w:val="en-AU"/>
              </w:rPr>
              <w:t xml:space="preserve">Pulmonary exacerbations </w:t>
            </w:r>
          </w:p>
        </w:tc>
        <w:tc>
          <w:tcPr>
            <w:tcW w:w="763" w:type="pct"/>
            <w:hideMark/>
          </w:tcPr>
          <w:p w:rsidR="00D05F09" w:rsidRPr="005728DD" w:rsidRDefault="00D05F09" w:rsidP="002E21FF">
            <w:pPr>
              <w:pStyle w:val="In-tableHeading"/>
              <w:keepLines/>
              <w:rPr>
                <w:bCs/>
                <w:sz w:val="20"/>
                <w:szCs w:val="20"/>
                <w:lang w:val="en-AU"/>
              </w:rPr>
            </w:pPr>
            <w:r w:rsidRPr="005728DD">
              <w:rPr>
                <w:b w:val="0"/>
                <w:bCs/>
                <w:sz w:val="20"/>
                <w:szCs w:val="20"/>
                <w:lang w:val="en-AU"/>
              </w:rPr>
              <w:t>Study 102</w:t>
            </w:r>
          </w:p>
        </w:tc>
        <w:tc>
          <w:tcPr>
            <w:tcW w:w="719"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EVOLVE</w:t>
            </w:r>
          </w:p>
        </w:tc>
        <w:tc>
          <w:tcPr>
            <w:tcW w:w="733"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Study 102</w:t>
            </w:r>
          </w:p>
        </w:tc>
        <w:tc>
          <w:tcPr>
            <w:tcW w:w="770" w:type="pct"/>
            <w:hideMark/>
          </w:tcPr>
          <w:p w:rsidR="00D05F09" w:rsidRPr="005728DD" w:rsidRDefault="00D05F09" w:rsidP="002E21FF">
            <w:pPr>
              <w:pStyle w:val="In-tableHeading"/>
              <w:keepLines/>
              <w:rPr>
                <w:sz w:val="20"/>
                <w:szCs w:val="20"/>
                <w:lang w:val="en-AU"/>
              </w:rPr>
            </w:pPr>
            <w:r w:rsidRPr="005728DD">
              <w:rPr>
                <w:b w:val="0"/>
                <w:bCs/>
                <w:sz w:val="20"/>
                <w:szCs w:val="20"/>
                <w:lang w:val="en-AU"/>
              </w:rPr>
              <w:t>EXPAND, EXTEND</w:t>
            </w:r>
          </w:p>
        </w:tc>
        <w:tc>
          <w:tcPr>
            <w:tcW w:w="996" w:type="pct"/>
          </w:tcPr>
          <w:p w:rsidR="00D05F09" w:rsidRPr="005728DD" w:rsidRDefault="00D05F09" w:rsidP="002E21FF">
            <w:pPr>
              <w:pStyle w:val="In-tableHeading"/>
              <w:keepLines/>
              <w:rPr>
                <w:b w:val="0"/>
                <w:sz w:val="20"/>
                <w:szCs w:val="20"/>
                <w:lang w:val="en-AU"/>
              </w:rPr>
            </w:pPr>
            <w:r w:rsidRPr="005728DD">
              <w:rPr>
                <w:b w:val="0"/>
                <w:bCs/>
                <w:sz w:val="20"/>
                <w:szCs w:val="20"/>
                <w:lang w:val="en-AU"/>
              </w:rPr>
              <w:t>Study 102</w:t>
            </w:r>
          </w:p>
          <w:p w:rsidR="00D05F09" w:rsidRPr="005728DD" w:rsidRDefault="00D05F09" w:rsidP="002E21FF">
            <w:pPr>
              <w:pStyle w:val="In-tableHeading"/>
              <w:keepLines/>
              <w:rPr>
                <w:b w:val="0"/>
                <w:bCs/>
                <w:sz w:val="20"/>
                <w:szCs w:val="20"/>
                <w:lang w:val="en-AU"/>
              </w:rPr>
            </w:pPr>
          </w:p>
        </w:tc>
      </w:tr>
      <w:tr w:rsidR="00D05F09" w:rsidRPr="005728DD" w:rsidTr="002E21FF">
        <w:tc>
          <w:tcPr>
            <w:tcW w:w="1019" w:type="pct"/>
            <w:hideMark/>
          </w:tcPr>
          <w:p w:rsidR="00D05F09" w:rsidRPr="005728DD" w:rsidRDefault="00D05F09" w:rsidP="002E21FF">
            <w:pPr>
              <w:pStyle w:val="In-tableHeading"/>
              <w:keepLines/>
              <w:rPr>
                <w:b w:val="0"/>
                <w:bCs/>
                <w:color w:val="FF0000"/>
                <w:sz w:val="20"/>
                <w:szCs w:val="20"/>
                <w:lang w:val="en-AU"/>
              </w:rPr>
            </w:pPr>
            <w:r w:rsidRPr="005728DD">
              <w:rPr>
                <w:b w:val="0"/>
                <w:bCs/>
                <w:sz w:val="20"/>
                <w:szCs w:val="20"/>
                <w:lang w:val="en-AU"/>
              </w:rPr>
              <w:t>Reduction in long-term decline in ppFEV</w:t>
            </w:r>
            <w:r w:rsidRPr="005728DD">
              <w:rPr>
                <w:b w:val="0"/>
                <w:bCs/>
                <w:sz w:val="20"/>
                <w:szCs w:val="20"/>
                <w:vertAlign w:val="subscript"/>
                <w:lang w:val="en-AU"/>
              </w:rPr>
              <w:t xml:space="preserve">1 </w:t>
            </w:r>
          </w:p>
        </w:tc>
        <w:tc>
          <w:tcPr>
            <w:tcW w:w="763" w:type="pct"/>
            <w:hideMark/>
          </w:tcPr>
          <w:p w:rsidR="00D05F09" w:rsidRPr="005728DD" w:rsidRDefault="00D05F09" w:rsidP="002E21FF">
            <w:pPr>
              <w:pStyle w:val="In-tableHeading"/>
              <w:keepLines/>
              <w:rPr>
                <w:b w:val="0"/>
                <w:bCs/>
                <w:color w:val="FF0000"/>
                <w:sz w:val="20"/>
                <w:szCs w:val="20"/>
                <w:lang w:val="en-AU"/>
              </w:rPr>
            </w:pPr>
            <w:r w:rsidRPr="005728DD">
              <w:rPr>
                <w:b w:val="0"/>
                <w:bCs/>
                <w:sz w:val="20"/>
                <w:szCs w:val="20"/>
                <w:lang w:val="en-AU"/>
              </w:rPr>
              <w:t>Flume 2019</w:t>
            </w:r>
            <w:r w:rsidR="00FE3AF9" w:rsidRPr="005728DD">
              <w:rPr>
                <w:b w:val="0"/>
                <w:bCs/>
                <w:sz w:val="20"/>
                <w:szCs w:val="20"/>
                <w:lang w:val="en-AU"/>
              </w:rPr>
              <w:t>, based on TEZ/IVA data (EXTEND and EVOLVE)</w:t>
            </w:r>
          </w:p>
        </w:tc>
        <w:tc>
          <w:tcPr>
            <w:tcW w:w="719" w:type="pct"/>
            <w:hideMark/>
          </w:tcPr>
          <w:p w:rsidR="00D05F09" w:rsidRPr="005728DD" w:rsidRDefault="00D05F09" w:rsidP="002E21FF">
            <w:pPr>
              <w:pStyle w:val="In-tableHeading"/>
              <w:keepLines/>
              <w:rPr>
                <w:b w:val="0"/>
                <w:bCs/>
                <w:sz w:val="20"/>
                <w:szCs w:val="20"/>
                <w:lang w:val="en-AU"/>
              </w:rPr>
            </w:pPr>
            <w:r w:rsidRPr="005728DD">
              <w:rPr>
                <w:b w:val="0"/>
                <w:bCs/>
                <w:sz w:val="20"/>
                <w:szCs w:val="20"/>
                <w:lang w:val="en-AU"/>
              </w:rPr>
              <w:t>Konstan 2017</w:t>
            </w:r>
            <w:r w:rsidR="00FE3AF9" w:rsidRPr="005728DD">
              <w:rPr>
                <w:b w:val="0"/>
                <w:bCs/>
                <w:sz w:val="20"/>
                <w:szCs w:val="20"/>
                <w:lang w:val="en-AU"/>
              </w:rPr>
              <w:t>, based on LUM/IVA data (TRAFFIC, TRANSPORT and PROGRESS)</w:t>
            </w:r>
          </w:p>
        </w:tc>
        <w:tc>
          <w:tcPr>
            <w:tcW w:w="733" w:type="pct"/>
            <w:hideMark/>
          </w:tcPr>
          <w:p w:rsidR="00D05F09" w:rsidRPr="005728DD" w:rsidRDefault="00D05F09" w:rsidP="002E21FF">
            <w:pPr>
              <w:pStyle w:val="In-tableHeading"/>
              <w:keepLines/>
              <w:rPr>
                <w:b w:val="0"/>
                <w:bCs/>
                <w:sz w:val="20"/>
                <w:szCs w:val="20"/>
                <w:lang w:val="en-AU"/>
              </w:rPr>
            </w:pPr>
            <w:r w:rsidRPr="005728DD">
              <w:rPr>
                <w:b w:val="0"/>
                <w:bCs/>
                <w:sz w:val="20"/>
                <w:szCs w:val="20"/>
                <w:lang w:val="en-AU"/>
              </w:rPr>
              <w:t>Flume 2019</w:t>
            </w:r>
            <w:r w:rsidR="00FE3AF9" w:rsidRPr="005728DD">
              <w:rPr>
                <w:b w:val="0"/>
                <w:bCs/>
                <w:sz w:val="20"/>
                <w:szCs w:val="20"/>
                <w:lang w:val="en-AU"/>
              </w:rPr>
              <w:t xml:space="preserve"> based on TEZ/IVA data (EXTEND and EVOLVE)</w:t>
            </w:r>
          </w:p>
        </w:tc>
        <w:tc>
          <w:tcPr>
            <w:tcW w:w="770" w:type="pct"/>
            <w:hideMark/>
          </w:tcPr>
          <w:p w:rsidR="00D05F09" w:rsidRPr="005728DD" w:rsidRDefault="00D05F09" w:rsidP="002E21FF">
            <w:pPr>
              <w:pStyle w:val="In-tableHeading"/>
              <w:keepLines/>
              <w:rPr>
                <w:b w:val="0"/>
                <w:bCs/>
                <w:sz w:val="20"/>
                <w:szCs w:val="20"/>
                <w:lang w:val="en-AU"/>
              </w:rPr>
            </w:pPr>
            <w:r w:rsidRPr="005728DD">
              <w:rPr>
                <w:b w:val="0"/>
                <w:bCs/>
                <w:sz w:val="20"/>
                <w:szCs w:val="20"/>
                <w:lang w:val="en-AU"/>
              </w:rPr>
              <w:t>Konstan 2017</w:t>
            </w:r>
            <w:r w:rsidR="00FE3AF9" w:rsidRPr="005728DD">
              <w:rPr>
                <w:b w:val="0"/>
                <w:bCs/>
                <w:sz w:val="20"/>
                <w:szCs w:val="20"/>
                <w:lang w:val="en-AU"/>
              </w:rPr>
              <w:t xml:space="preserve"> based on LUM/IVA data (TRAFFIC, TRANSPORT and PROGRESS)</w:t>
            </w:r>
          </w:p>
        </w:tc>
        <w:tc>
          <w:tcPr>
            <w:tcW w:w="996" w:type="pct"/>
          </w:tcPr>
          <w:p w:rsidR="00D05F09" w:rsidRPr="005728DD" w:rsidRDefault="00D05F09" w:rsidP="002E21FF">
            <w:pPr>
              <w:pStyle w:val="In-tableHeading"/>
              <w:keepLines/>
              <w:rPr>
                <w:b w:val="0"/>
                <w:bCs/>
                <w:sz w:val="20"/>
                <w:szCs w:val="20"/>
                <w:lang w:val="en-AU"/>
              </w:rPr>
            </w:pPr>
            <w:r w:rsidRPr="005728DD">
              <w:rPr>
                <w:b w:val="0"/>
                <w:bCs/>
                <w:sz w:val="20"/>
                <w:szCs w:val="20"/>
                <w:lang w:val="en-AU"/>
              </w:rPr>
              <w:t>Flume 2019</w:t>
            </w:r>
          </w:p>
          <w:p w:rsidR="00D05F09" w:rsidRPr="005728DD" w:rsidRDefault="00FE3AF9" w:rsidP="002E21FF">
            <w:pPr>
              <w:pStyle w:val="In-tableHeading"/>
              <w:keepLines/>
              <w:rPr>
                <w:b w:val="0"/>
                <w:bCs/>
                <w:sz w:val="20"/>
                <w:szCs w:val="20"/>
                <w:lang w:val="en-AU"/>
              </w:rPr>
            </w:pPr>
            <w:r w:rsidRPr="005728DD">
              <w:rPr>
                <w:b w:val="0"/>
                <w:bCs/>
                <w:sz w:val="20"/>
                <w:szCs w:val="20"/>
                <w:lang w:val="en-AU"/>
              </w:rPr>
              <w:t>based on TEZ/IVA data (EXTEND and EVOLVE)</w:t>
            </w:r>
          </w:p>
        </w:tc>
      </w:tr>
    </w:tbl>
    <w:p w:rsidR="00D05F09" w:rsidRPr="005728DD" w:rsidRDefault="00D05F09" w:rsidP="002E21FF">
      <w:pPr>
        <w:pStyle w:val="TableFigureFooter"/>
        <w:keepNext/>
        <w:keepLines/>
        <w:rPr>
          <w:rFonts w:eastAsiaTheme="minorHAnsi" w:cs="Times New Roman"/>
          <w:szCs w:val="18"/>
          <w:lang w:eastAsia="en-US"/>
        </w:rPr>
      </w:pPr>
      <w:r w:rsidRPr="005728DD">
        <w:t xml:space="preserve">EVOLVE: </w:t>
      </w:r>
      <w:r w:rsidR="00FE3AF9" w:rsidRPr="005728DD">
        <w:t>TEZ/IVA study in F/F patients</w:t>
      </w:r>
    </w:p>
    <w:p w:rsidR="00D05F09" w:rsidRPr="005728DD" w:rsidRDefault="00D05F09" w:rsidP="002E21FF">
      <w:pPr>
        <w:pStyle w:val="TableFigureFooter"/>
        <w:keepNext/>
        <w:keepLines/>
        <w:rPr>
          <w:sz w:val="20"/>
          <w:szCs w:val="20"/>
        </w:rPr>
      </w:pPr>
      <w:r w:rsidRPr="005728DD">
        <w:t xml:space="preserve">EXPAND: </w:t>
      </w:r>
      <w:r w:rsidR="00FE3AF9" w:rsidRPr="005728DD">
        <w:t>TEZ/IVA study in F/RF patients</w:t>
      </w:r>
    </w:p>
    <w:p w:rsidR="00D05F09" w:rsidRPr="005728DD" w:rsidRDefault="00D05F09" w:rsidP="002E21FF">
      <w:pPr>
        <w:pStyle w:val="TableFigureFooter"/>
        <w:keepNext/>
        <w:keepLines/>
      </w:pPr>
      <w:r w:rsidRPr="005728DD">
        <w:t xml:space="preserve">EXTEND: </w:t>
      </w:r>
      <w:r w:rsidR="00EB30FC" w:rsidRPr="005728DD">
        <w:t xml:space="preserve">TEZ/IVA </w:t>
      </w:r>
      <w:r w:rsidR="00FE3AF9" w:rsidRPr="005728DD">
        <w:t xml:space="preserve">extension study </w:t>
      </w:r>
      <w:r w:rsidR="00EB30FC" w:rsidRPr="005728DD">
        <w:t>in F/F and F/RF patients</w:t>
      </w:r>
      <w:r w:rsidR="008B5EF9" w:rsidRPr="005728DD">
        <w:t xml:space="preserve"> </w:t>
      </w:r>
    </w:p>
    <w:p w:rsidR="00FE3AF9" w:rsidRPr="005728DD" w:rsidRDefault="00FE3AF9" w:rsidP="002E21FF">
      <w:pPr>
        <w:pStyle w:val="TableFigureFooter"/>
        <w:keepNext/>
        <w:keepLines/>
      </w:pPr>
      <w:r w:rsidRPr="005728DD">
        <w:t>TRAFFIC</w:t>
      </w:r>
      <w:r w:rsidR="00481FF2" w:rsidRPr="005728DD">
        <w:t>:</w:t>
      </w:r>
      <w:r w:rsidR="00EB30FC" w:rsidRPr="005728DD">
        <w:t xml:space="preserve"> LUM/IVA study in F/F patients</w:t>
      </w:r>
    </w:p>
    <w:p w:rsidR="00FE3AF9" w:rsidRPr="005728DD" w:rsidRDefault="00FE3AF9" w:rsidP="00EB30FC">
      <w:pPr>
        <w:pStyle w:val="TableFigureFooter"/>
        <w:keepNext/>
        <w:keepLines/>
        <w:tabs>
          <w:tab w:val="left" w:pos="1640"/>
        </w:tabs>
      </w:pPr>
      <w:r w:rsidRPr="005728DD">
        <w:t>TRANSPORT</w:t>
      </w:r>
      <w:r w:rsidR="00481FF2" w:rsidRPr="005728DD">
        <w:t>:</w:t>
      </w:r>
      <w:r w:rsidR="00EB30FC" w:rsidRPr="005728DD">
        <w:t xml:space="preserve"> LUM/IVA study in F/F patients</w:t>
      </w:r>
    </w:p>
    <w:p w:rsidR="00D05F09" w:rsidRPr="005728DD" w:rsidRDefault="00FE3AF9" w:rsidP="002E21FF">
      <w:pPr>
        <w:pStyle w:val="TableFigureFooter"/>
        <w:keepNext/>
        <w:keepLines/>
      </w:pPr>
      <w:r w:rsidRPr="005728DD">
        <w:t>PROGRESS</w:t>
      </w:r>
      <w:r w:rsidR="00481FF2" w:rsidRPr="005728DD">
        <w:t>:</w:t>
      </w:r>
      <w:r w:rsidR="00EB30FC" w:rsidRPr="005728DD">
        <w:t xml:space="preserve"> LUM/IVA extension study in FF/ patients</w:t>
      </w:r>
    </w:p>
    <w:p w:rsidR="00C527DC" w:rsidRPr="005728DD" w:rsidRDefault="00C527DC" w:rsidP="00C527DC">
      <w:pPr>
        <w:pStyle w:val="TableFigNotes0"/>
        <w:spacing w:after="240"/>
        <w:rPr>
          <w:rFonts w:ascii="Arial Narrow" w:hAnsi="Arial Narrow"/>
          <w:sz w:val="18"/>
          <w:lang w:val="en-AU"/>
        </w:rPr>
      </w:pPr>
      <w:r w:rsidRPr="005728DD">
        <w:rPr>
          <w:rFonts w:ascii="Arial Narrow" w:hAnsi="Arial Narrow"/>
          <w:sz w:val="18"/>
          <w:lang w:val="en-AU"/>
        </w:rPr>
        <w:t>BSC = best supportive care; ELX/TEZ/IVA = elexacaftor/tezacaftor/ivacaftor; F/F = CF patient homozygous for the F508del-CFTR mutation; F/MF = CF patient heterozygous for the F508del in the CFTR gene with a minimal function mutation; F/RF = CF patient heterozygous for the F508del in the CFTR gene with a residual function mutation; ITC = indirect comparison analysis; ppFEV1 = percent predicted forced expiratory volume in one second; TEZ/IVA = tezacaftor/ivacaftor</w:t>
      </w:r>
    </w:p>
    <w:p w:rsidR="00DD3099" w:rsidRPr="005728DD" w:rsidRDefault="001B0AE0" w:rsidP="0053557F">
      <w:pPr>
        <w:pStyle w:val="3-BodyText"/>
        <w:rPr>
          <w:bCs/>
          <w:i/>
        </w:rPr>
      </w:pPr>
      <w:r w:rsidRPr="005728DD">
        <w:rPr>
          <w:bCs/>
        </w:rPr>
        <w:t xml:space="preserve">The </w:t>
      </w:r>
      <w:r w:rsidR="00AF5CA3" w:rsidRPr="005728DD">
        <w:rPr>
          <w:rFonts w:ascii="Calibri" w:hAnsi="Calibri"/>
        </w:rPr>
        <w:t xml:space="preserve">baseline patient characteristics in the model differed from the Australian patients </w:t>
      </w:r>
      <w:r w:rsidR="00332705" w:rsidRPr="005728DD">
        <w:rPr>
          <w:rFonts w:ascii="Calibri" w:hAnsi="Calibri"/>
        </w:rPr>
        <w:t xml:space="preserve">particularly </w:t>
      </w:r>
      <w:r w:rsidR="00AF5CA3" w:rsidRPr="005728DD">
        <w:rPr>
          <w:rFonts w:ascii="Calibri" w:hAnsi="Calibri"/>
        </w:rPr>
        <w:t xml:space="preserve">in </w:t>
      </w:r>
      <w:r w:rsidR="0017271F" w:rsidRPr="005728DD">
        <w:rPr>
          <w:rFonts w:ascii="Calibri" w:hAnsi="Calibri"/>
        </w:rPr>
        <w:t>term</w:t>
      </w:r>
      <w:r w:rsidR="005338D9" w:rsidRPr="005728DD">
        <w:rPr>
          <w:rFonts w:ascii="Calibri" w:hAnsi="Calibri"/>
        </w:rPr>
        <w:t>s</w:t>
      </w:r>
      <w:r w:rsidR="0017271F" w:rsidRPr="005728DD">
        <w:rPr>
          <w:rFonts w:ascii="Calibri" w:hAnsi="Calibri"/>
        </w:rPr>
        <w:t xml:space="preserve"> of lung function </w:t>
      </w:r>
      <w:r w:rsidR="00CA3992" w:rsidRPr="005728DD">
        <w:t>where</w:t>
      </w:r>
      <w:r w:rsidR="00474DEF" w:rsidRPr="005728DD">
        <w:t xml:space="preserve"> only</w:t>
      </w:r>
      <w:r w:rsidR="00CA3992" w:rsidRPr="005728DD">
        <w:t xml:space="preserve"> 2% of patients in the model had normal lung function compared with 28% of Australian patients</w:t>
      </w:r>
      <w:r w:rsidR="00FA6249" w:rsidRPr="005728DD">
        <w:t xml:space="preserve"> (ACFDR 2019)</w:t>
      </w:r>
      <w:r w:rsidR="0053557F" w:rsidRPr="005728DD">
        <w:t xml:space="preserve"> (refer also paragraph </w:t>
      </w:r>
      <w:r w:rsidR="0053557F" w:rsidRPr="007728CB">
        <w:t>6.</w:t>
      </w:r>
      <w:r w:rsidR="008173AE" w:rsidRPr="007728CB">
        <w:t>2</w:t>
      </w:r>
      <w:r w:rsidR="007728CB" w:rsidRPr="007728CB">
        <w:t>0</w:t>
      </w:r>
      <w:r w:rsidR="0053557F" w:rsidRPr="007728CB">
        <w:t>)</w:t>
      </w:r>
      <w:r w:rsidR="00CA3992" w:rsidRPr="007728CB">
        <w:t>.</w:t>
      </w:r>
      <w:r w:rsidR="00474DEF" w:rsidRPr="005728DD">
        <w:t xml:space="preserve"> </w:t>
      </w:r>
      <w:r w:rsidR="00CA3992" w:rsidRPr="005728DD">
        <w:t xml:space="preserve">The largest difference </w:t>
      </w:r>
      <w:r w:rsidR="006F4954" w:rsidRPr="005728DD">
        <w:t>was</w:t>
      </w:r>
      <w:r w:rsidR="00CA3992" w:rsidRPr="005728DD">
        <w:t xml:space="preserve"> observed in the 12</w:t>
      </w:r>
      <w:r w:rsidR="0017271F" w:rsidRPr="005728DD">
        <w:t xml:space="preserve"> to </w:t>
      </w:r>
      <w:r w:rsidR="006A1893" w:rsidRPr="005728DD">
        <w:t>18</w:t>
      </w:r>
      <w:r w:rsidR="0017271F" w:rsidRPr="005728DD">
        <w:t>-year-old</w:t>
      </w:r>
      <w:r w:rsidR="00CA3992" w:rsidRPr="005728DD">
        <w:t xml:space="preserve"> group where around half of patients in Australia have normal </w:t>
      </w:r>
      <w:r w:rsidR="00EC0F4F" w:rsidRPr="005728DD">
        <w:t xml:space="preserve">lung function </w:t>
      </w:r>
      <w:r w:rsidR="00CA3992" w:rsidRPr="005728DD">
        <w:t xml:space="preserve">compared to </w:t>
      </w:r>
      <w:r w:rsidR="00261237" w:rsidRPr="005728DD">
        <w:t xml:space="preserve">4% </w:t>
      </w:r>
      <w:r w:rsidR="00CA3992" w:rsidRPr="005728DD">
        <w:t>in the model</w:t>
      </w:r>
      <w:r w:rsidR="00261237" w:rsidRPr="005728DD">
        <w:t xml:space="preserve"> </w:t>
      </w:r>
      <w:r w:rsidR="00261237" w:rsidRPr="005728DD">
        <w:rPr>
          <w:bCs/>
        </w:rPr>
        <w:t>(</w:t>
      </w:r>
      <w:r w:rsidR="00C96759" w:rsidRPr="005728DD">
        <w:rPr>
          <w:bCs/>
        </w:rPr>
        <w:t xml:space="preserve">see </w:t>
      </w:r>
      <w:r w:rsidR="005C56C0" w:rsidRPr="005C56C0">
        <w:t>Table 10</w:t>
      </w:r>
      <w:r w:rsidR="00261237" w:rsidRPr="005728DD">
        <w:rPr>
          <w:bCs/>
        </w:rPr>
        <w:t>)</w:t>
      </w:r>
      <w:r w:rsidR="00CA3992" w:rsidRPr="005728DD">
        <w:rPr>
          <w:bCs/>
        </w:rPr>
        <w:t>.</w:t>
      </w:r>
      <w:r w:rsidR="0053557F" w:rsidRPr="005728DD">
        <w:rPr>
          <w:bCs/>
        </w:rPr>
        <w:t xml:space="preserve"> </w:t>
      </w:r>
      <w:r w:rsidR="0030304B" w:rsidRPr="005728DD">
        <w:rPr>
          <w:rFonts w:ascii="Calibri" w:hAnsi="Calibri"/>
        </w:rPr>
        <w:t xml:space="preserve">The PSCR </w:t>
      </w:r>
      <w:r w:rsidR="00261237" w:rsidRPr="005728DD">
        <w:rPr>
          <w:rFonts w:ascii="Calibri" w:hAnsi="Calibri"/>
        </w:rPr>
        <w:t>noted that if the model was modified to oversample patients with baseline ppFEV</w:t>
      </w:r>
      <w:r w:rsidR="00261237" w:rsidRPr="005728DD">
        <w:rPr>
          <w:rFonts w:ascii="Calibri" w:hAnsi="Calibri"/>
          <w:vertAlign w:val="subscript"/>
        </w:rPr>
        <w:t>1</w:t>
      </w:r>
      <w:r w:rsidR="00261237" w:rsidRPr="005728DD">
        <w:rPr>
          <w:rFonts w:ascii="Calibri" w:hAnsi="Calibri"/>
        </w:rPr>
        <w:t xml:space="preserve"> &gt; 90% so that over 28% of the patient cohort modelled had a ppFEV</w:t>
      </w:r>
      <w:r w:rsidR="00261237" w:rsidRPr="005728DD">
        <w:rPr>
          <w:rFonts w:ascii="Calibri" w:hAnsi="Calibri"/>
          <w:vertAlign w:val="subscript"/>
        </w:rPr>
        <w:t>1</w:t>
      </w:r>
      <w:r w:rsidR="00261237" w:rsidRPr="005728DD">
        <w:rPr>
          <w:rFonts w:ascii="Calibri" w:hAnsi="Calibri"/>
        </w:rPr>
        <w:t xml:space="preserve"> &gt;90%, it had negligible impact on the ICER.</w:t>
      </w:r>
      <w:r w:rsidR="00BE49EF" w:rsidRPr="005728DD">
        <w:rPr>
          <w:rFonts w:ascii="Calibri" w:hAnsi="Calibri"/>
        </w:rPr>
        <w:t xml:space="preserve"> </w:t>
      </w:r>
      <w:r w:rsidR="00E607CA" w:rsidRPr="005728DD">
        <w:rPr>
          <w:rFonts w:ascii="Calibri" w:hAnsi="Calibri"/>
        </w:rPr>
        <w:t>T</w:t>
      </w:r>
      <w:r w:rsidR="0053557F" w:rsidRPr="005728DD">
        <w:rPr>
          <w:rFonts w:ascii="Calibri" w:hAnsi="Calibri"/>
        </w:rPr>
        <w:t>he ESC considered this result may reflect that the analysis changed baseline ppFEV</w:t>
      </w:r>
      <w:r w:rsidR="0053557F" w:rsidRPr="005728DD">
        <w:rPr>
          <w:rFonts w:ascii="Calibri" w:hAnsi="Calibri"/>
          <w:vertAlign w:val="subscript"/>
        </w:rPr>
        <w:t>1</w:t>
      </w:r>
      <w:r w:rsidR="0053557F" w:rsidRPr="005728DD">
        <w:rPr>
          <w:rFonts w:ascii="Calibri" w:hAnsi="Calibri"/>
        </w:rPr>
        <w:t xml:space="preserve"> levels only</w:t>
      </w:r>
      <w:r w:rsidR="00FE5472" w:rsidRPr="005728DD">
        <w:rPr>
          <w:rFonts w:ascii="Calibri" w:hAnsi="Calibri"/>
        </w:rPr>
        <w:t>,</w:t>
      </w:r>
      <w:r w:rsidR="0053557F" w:rsidRPr="005728DD">
        <w:rPr>
          <w:rFonts w:ascii="Calibri" w:hAnsi="Calibri"/>
        </w:rPr>
        <w:t xml:space="preserve"> without consideration of changes to other relevant parameters such as efficacy, and hence the analysis did not provide an accurate assessment of the cost-effectiveness </w:t>
      </w:r>
      <w:r w:rsidR="00D7276A" w:rsidRPr="005728DD">
        <w:rPr>
          <w:rFonts w:ascii="Calibri" w:hAnsi="Calibri"/>
        </w:rPr>
        <w:t xml:space="preserve">of </w:t>
      </w:r>
      <w:r w:rsidR="004172B7" w:rsidRPr="005728DD">
        <w:rPr>
          <w:rFonts w:ascii="Calibri" w:hAnsi="Calibri"/>
        </w:rPr>
        <w:t xml:space="preserve">treating </w:t>
      </w:r>
      <w:r w:rsidR="00D7276A" w:rsidRPr="005728DD">
        <w:rPr>
          <w:rFonts w:ascii="Calibri" w:hAnsi="Calibri"/>
        </w:rPr>
        <w:t xml:space="preserve">patients </w:t>
      </w:r>
      <w:r w:rsidR="00261237" w:rsidRPr="005728DD">
        <w:rPr>
          <w:rFonts w:ascii="Calibri" w:hAnsi="Calibri"/>
        </w:rPr>
        <w:t xml:space="preserve">with </w:t>
      </w:r>
      <w:r w:rsidR="00D7276A" w:rsidRPr="005728DD">
        <w:rPr>
          <w:rFonts w:ascii="Calibri" w:hAnsi="Calibri"/>
        </w:rPr>
        <w:t>better lung function</w:t>
      </w:r>
      <w:r w:rsidR="004172B7" w:rsidRPr="005728DD">
        <w:rPr>
          <w:rFonts w:ascii="Calibri" w:hAnsi="Calibri"/>
        </w:rPr>
        <w:t xml:space="preserve"> </w:t>
      </w:r>
      <w:r w:rsidR="00E607CA" w:rsidRPr="005728DD">
        <w:rPr>
          <w:rFonts w:ascii="Calibri" w:hAnsi="Calibri"/>
        </w:rPr>
        <w:t>at baseline</w:t>
      </w:r>
      <w:r w:rsidR="0030304B" w:rsidRPr="005728DD">
        <w:rPr>
          <w:rFonts w:ascii="Calibri" w:hAnsi="Calibri"/>
        </w:rPr>
        <w:t>.</w:t>
      </w:r>
      <w:r w:rsidR="003F760F" w:rsidRPr="005728DD">
        <w:rPr>
          <w:rFonts w:ascii="Calibri" w:hAnsi="Calibri"/>
        </w:rPr>
        <w:t xml:space="preserve"> The ESC considered it is likely the </w:t>
      </w:r>
      <w:r w:rsidR="00CF65D2" w:rsidRPr="005728DD">
        <w:rPr>
          <w:rFonts w:ascii="Calibri" w:hAnsi="Calibri"/>
        </w:rPr>
        <w:t xml:space="preserve">incremental </w:t>
      </w:r>
      <w:r w:rsidR="003F760F" w:rsidRPr="005728DD">
        <w:rPr>
          <w:rFonts w:ascii="Calibri" w:hAnsi="Calibri"/>
        </w:rPr>
        <w:t>effectiveness of ELX/TEZ/IVA in patients with</w:t>
      </w:r>
      <w:r w:rsidR="003F760F" w:rsidRPr="005728DD">
        <w:rPr>
          <w:rFonts w:ascii="Calibri" w:hAnsi="Calibri"/>
          <w:i/>
        </w:rPr>
        <w:t xml:space="preserve"> </w:t>
      </w:r>
      <w:r w:rsidR="003F760F" w:rsidRPr="005728DD">
        <w:rPr>
          <w:rFonts w:ascii="Calibri" w:hAnsi="Calibri"/>
        </w:rPr>
        <w:t>baseline ppFEV</w:t>
      </w:r>
      <w:r w:rsidR="003F760F" w:rsidRPr="005728DD">
        <w:rPr>
          <w:rFonts w:ascii="Calibri" w:hAnsi="Calibri"/>
          <w:vertAlign w:val="subscript"/>
        </w:rPr>
        <w:t>1</w:t>
      </w:r>
      <w:r w:rsidR="003F760F" w:rsidRPr="005728DD">
        <w:rPr>
          <w:rFonts w:ascii="Calibri" w:hAnsi="Calibri"/>
        </w:rPr>
        <w:t xml:space="preserve">&gt;90% would be lower </w:t>
      </w:r>
      <w:r w:rsidR="00DB73E2" w:rsidRPr="005728DD">
        <w:rPr>
          <w:rFonts w:ascii="Calibri" w:hAnsi="Calibri"/>
        </w:rPr>
        <w:t xml:space="preserve">resulting in a higher </w:t>
      </w:r>
      <w:r w:rsidR="003F760F" w:rsidRPr="005728DD">
        <w:rPr>
          <w:rFonts w:ascii="Calibri" w:hAnsi="Calibri"/>
        </w:rPr>
        <w:t>ICER</w:t>
      </w:r>
      <w:r w:rsidR="00DB73E2" w:rsidRPr="005728DD">
        <w:rPr>
          <w:rFonts w:ascii="Calibri" w:hAnsi="Calibri"/>
        </w:rPr>
        <w:t xml:space="preserve"> compared with the ITT population. Thus</w:t>
      </w:r>
      <w:r w:rsidR="00BF4469" w:rsidRPr="005728DD">
        <w:rPr>
          <w:rFonts w:ascii="Calibri" w:hAnsi="Calibri"/>
        </w:rPr>
        <w:t xml:space="preserve"> </w:t>
      </w:r>
      <w:r w:rsidR="003F760F" w:rsidRPr="005728DD">
        <w:rPr>
          <w:rFonts w:ascii="Calibri" w:hAnsi="Calibri"/>
        </w:rPr>
        <w:t>the overall ICER is likely to be underestimated.</w:t>
      </w:r>
    </w:p>
    <w:p w:rsidR="00562FF2" w:rsidRPr="005728DD" w:rsidRDefault="00700B2F" w:rsidP="00700B2F">
      <w:pPr>
        <w:pStyle w:val="3-BodyText"/>
        <w:rPr>
          <w:bCs/>
        </w:rPr>
      </w:pPr>
      <w:r w:rsidRPr="005728DD">
        <w:rPr>
          <w:bCs/>
          <w:iCs/>
        </w:rPr>
        <w:t>It was assumed in the models that the acute treatment effects on the surrogate outcome of ppFEV</w:t>
      </w:r>
      <w:r w:rsidRPr="005728DD">
        <w:rPr>
          <w:bCs/>
          <w:iCs/>
          <w:vertAlign w:val="subscript"/>
        </w:rPr>
        <w:t>1</w:t>
      </w:r>
      <w:r w:rsidRPr="005728DD">
        <w:rPr>
          <w:bCs/>
          <w:iCs/>
        </w:rPr>
        <w:t xml:space="preserve"> (24 weeks for F/F and F/MF, 8 weeks for F/RF) had a lifetime impact on the final outcomes of PEx, lung transplantation, mortality and quality of </w:t>
      </w:r>
      <w:r w:rsidRPr="005728DD">
        <w:rPr>
          <w:bCs/>
          <w:iCs/>
        </w:rPr>
        <w:lastRenderedPageBreak/>
        <w:t>life. The PBAC previously considered that the difference in ppFEV</w:t>
      </w:r>
      <w:r w:rsidRPr="005728DD">
        <w:rPr>
          <w:bCs/>
          <w:iCs/>
          <w:vertAlign w:val="subscript"/>
        </w:rPr>
        <w:t>1</w:t>
      </w:r>
      <w:r w:rsidRPr="005728DD">
        <w:rPr>
          <w:bCs/>
          <w:iCs/>
        </w:rPr>
        <w:t xml:space="preserve"> (between the active treatment and its relevant comparator), and hence the impact of treatment on final outcomes, may reduce over the long-term (paragraph 6.32, </w:t>
      </w:r>
      <w:r w:rsidR="00733D0D" w:rsidRPr="005728DD">
        <w:rPr>
          <w:bCs/>
          <w:iCs/>
        </w:rPr>
        <w:t>TEZ/IVA</w:t>
      </w:r>
      <w:r w:rsidR="008173AE" w:rsidRPr="005728DD">
        <w:rPr>
          <w:bCs/>
          <w:iCs/>
        </w:rPr>
        <w:t xml:space="preserve"> </w:t>
      </w:r>
      <w:r w:rsidRPr="005728DD">
        <w:rPr>
          <w:bCs/>
          <w:iCs/>
        </w:rPr>
        <w:t>PSD, March 2019 PBAC meeting; RF).</w:t>
      </w:r>
      <w:r w:rsidR="00A73BBB" w:rsidRPr="005728DD">
        <w:t xml:space="preserve"> </w:t>
      </w:r>
    </w:p>
    <w:p w:rsidR="00787721" w:rsidRPr="005728DD" w:rsidRDefault="00F47A86" w:rsidP="00787721">
      <w:pPr>
        <w:pStyle w:val="3-BodyText"/>
      </w:pPr>
      <w:r w:rsidRPr="005728DD">
        <w:t>T</w:t>
      </w:r>
      <w:r w:rsidR="00787721" w:rsidRPr="005728DD">
        <w:t xml:space="preserve">he assumed </w:t>
      </w:r>
      <w:r w:rsidR="00F32F12" w:rsidRPr="005728DD">
        <w:t xml:space="preserve">decrease in </w:t>
      </w:r>
      <w:r w:rsidR="00787721" w:rsidRPr="005728DD">
        <w:t>rate of decline in ppFEV</w:t>
      </w:r>
      <w:r w:rsidR="00787721" w:rsidRPr="005728DD">
        <w:rPr>
          <w:vertAlign w:val="subscript"/>
        </w:rPr>
        <w:t>1</w:t>
      </w:r>
      <w:r w:rsidR="00787721" w:rsidRPr="005728DD">
        <w:t xml:space="preserve"> throughout the </w:t>
      </w:r>
      <w:r w:rsidRPr="005728DD">
        <w:t xml:space="preserve">model </w:t>
      </w:r>
      <w:r w:rsidR="00787721" w:rsidRPr="005728DD">
        <w:t xml:space="preserve">time horizon for TEZ/IVA was 42.0% of that for BSC for the F/F and F/RF populations. </w:t>
      </w:r>
      <w:r w:rsidRPr="005728DD">
        <w:t>This resulted in divergence in ppFEV</w:t>
      </w:r>
      <w:r w:rsidRPr="005728DD">
        <w:rPr>
          <w:vertAlign w:val="subscript"/>
        </w:rPr>
        <w:t>1</w:t>
      </w:r>
      <w:r w:rsidRPr="005728DD">
        <w:t xml:space="preserve"> for the TEZ/IVA and BSC arms over time which t</w:t>
      </w:r>
      <w:r w:rsidR="00FE5472" w:rsidRPr="005728DD">
        <w:t xml:space="preserve">he ESC considered was not </w:t>
      </w:r>
      <w:r w:rsidR="00F90E14" w:rsidRPr="005728DD">
        <w:t>justified</w:t>
      </w:r>
      <w:r w:rsidR="00FE5472" w:rsidRPr="005728DD">
        <w:t xml:space="preserve"> given the available data.</w:t>
      </w:r>
      <w:r w:rsidR="008B5EF9" w:rsidRPr="005728DD">
        <w:t xml:space="preserve"> </w:t>
      </w:r>
      <w:r w:rsidR="00787721" w:rsidRPr="005728DD">
        <w:t>Th</w:t>
      </w:r>
      <w:r w:rsidRPr="005728DD">
        <w:t>e 42%</w:t>
      </w:r>
      <w:r w:rsidR="00787721" w:rsidRPr="005728DD">
        <w:t xml:space="preserve"> decrease in the rate of decline was based on a study of LUM/IVA in F/F patients (Konstan 2017) (</w:t>
      </w:r>
      <w:r w:rsidR="005C56C0" w:rsidRPr="005C56C0">
        <w:t>Table 16</w:t>
      </w:r>
      <w:r w:rsidR="00787721" w:rsidRPr="005728DD">
        <w:t xml:space="preserve">). The submission </w:t>
      </w:r>
      <w:r w:rsidR="00027D95" w:rsidRPr="005728DD">
        <w:t xml:space="preserve">did </w:t>
      </w:r>
      <w:r w:rsidR="00787721" w:rsidRPr="005728DD">
        <w:t>not address whether there is any potential for differences across populations in the annual decline in ppFEV</w:t>
      </w:r>
      <w:r w:rsidR="00787721" w:rsidRPr="005728DD">
        <w:rPr>
          <w:vertAlign w:val="subscript"/>
        </w:rPr>
        <w:t>1</w:t>
      </w:r>
      <w:r w:rsidR="00787721" w:rsidRPr="005728DD">
        <w:t xml:space="preserve">. The ESC noted data from LUM/IVA was assumed to be directly applicable to that for TEZ/IVA. The ESC recalled the PBAC considered a 42% rate of decline for LUM/IVA to be overly optimistic and that it may not be sustained in the long term (paragraph 7.7, LUM/IVA </w:t>
      </w:r>
      <w:r w:rsidR="00900E4C">
        <w:t>PSD</w:t>
      </w:r>
      <w:r w:rsidR="00787721" w:rsidRPr="005728DD">
        <w:t xml:space="preserve">, July 2018 PBAC meeting). The ESC recalled the cost effectiveness of LUM/IVA was highly sensitive to this assumption (Table 13, LUM/IVA </w:t>
      </w:r>
      <w:r w:rsidR="00900E4C">
        <w:t>PSD</w:t>
      </w:r>
      <w:r w:rsidR="00787721" w:rsidRPr="005728DD">
        <w:t>, July 2018 PBAC meeting).</w:t>
      </w:r>
    </w:p>
    <w:p w:rsidR="00787721" w:rsidRPr="005728DD" w:rsidRDefault="00787721" w:rsidP="00787721">
      <w:pPr>
        <w:pStyle w:val="3-BodyText"/>
      </w:pPr>
      <w:r w:rsidRPr="005728DD">
        <w:t xml:space="preserve">The assumed </w:t>
      </w:r>
      <w:r w:rsidR="00F32F12" w:rsidRPr="005728DD">
        <w:t xml:space="preserve">decrease in </w:t>
      </w:r>
      <w:r w:rsidRPr="005728DD">
        <w:t>rate of decline in ppFEV</w:t>
      </w:r>
      <w:r w:rsidRPr="005728DD">
        <w:rPr>
          <w:vertAlign w:val="subscript"/>
        </w:rPr>
        <w:t>1</w:t>
      </w:r>
      <w:r w:rsidRPr="005728DD">
        <w:t xml:space="preserve"> throughout the time horizon of the model for ELX/TEZ/IVA was 61.5% of that for BSC for the F/F, F/RF and F/MF populations. This decrease in the rate of decline was based on a study of TEZ/IVA in F/F patients (Flume 2019) (</w:t>
      </w:r>
      <w:r w:rsidR="005C56C0" w:rsidRPr="005C56C0">
        <w:t>Table 16</w:t>
      </w:r>
      <w:r w:rsidRPr="005728DD">
        <w:t xml:space="preserve">). The submission </w:t>
      </w:r>
      <w:r w:rsidR="00F47A86" w:rsidRPr="005728DD">
        <w:t xml:space="preserve">did </w:t>
      </w:r>
      <w:r w:rsidRPr="005728DD">
        <w:t xml:space="preserve">not address whether there is any potential for differences across populations in the annual </w:t>
      </w:r>
      <w:r w:rsidR="0044136E" w:rsidRPr="005728DD">
        <w:t xml:space="preserve">rate of </w:t>
      </w:r>
      <w:r w:rsidRPr="005728DD">
        <w:t>decline in ppFEV</w:t>
      </w:r>
      <w:r w:rsidRPr="005728DD">
        <w:rPr>
          <w:vertAlign w:val="subscript"/>
        </w:rPr>
        <w:t>1</w:t>
      </w:r>
      <w:r w:rsidRPr="005728DD">
        <w:t xml:space="preserve">. Limited information was provided in the submission regarding </w:t>
      </w:r>
      <w:r w:rsidR="00027D95" w:rsidRPr="005728DD">
        <w:t xml:space="preserve">the Flume 2019 </w:t>
      </w:r>
      <w:r w:rsidRPr="005728DD">
        <w:t xml:space="preserve">study; however, a draft manuscript was provided with the PSCR. The ESC noted this study had not been evaluated. The ESC </w:t>
      </w:r>
      <w:r w:rsidR="00027D95" w:rsidRPr="005728DD">
        <w:t xml:space="preserve">further </w:t>
      </w:r>
      <w:r w:rsidRPr="005728DD">
        <w:t xml:space="preserve">noted data from TEZ/IVA was assumed to be directly applicable to that for ELX/TEZ/IVA and considered this assumption to be poorly supported and likely inappropriate. The ESC considered assuming this level of decline over the model time horizon to be overly optimistic and unlikely to be sustained in the long term, especially in the context of data for ELX/TEZ/IVA being currently available for no more than </w:t>
      </w:r>
      <w:r w:rsidR="001955F2" w:rsidRPr="005728DD">
        <w:t>48</w:t>
      </w:r>
      <w:r w:rsidRPr="005728DD">
        <w:t xml:space="preserve"> weeks</w:t>
      </w:r>
      <w:r w:rsidR="0044136E" w:rsidRPr="005728DD">
        <w:t>.</w:t>
      </w:r>
    </w:p>
    <w:p w:rsidR="00BE49EF" w:rsidRPr="005728DD" w:rsidRDefault="00BE49EF" w:rsidP="00BE49EF">
      <w:pPr>
        <w:pStyle w:val="3-BodyText"/>
        <w:rPr>
          <w:bCs/>
        </w:rPr>
      </w:pPr>
      <w:r w:rsidRPr="005728DD">
        <w:rPr>
          <w:bCs/>
        </w:rPr>
        <w:t>The PSCR stated available evidence for other CFTR modulators showed that the rate of ppFEV</w:t>
      </w:r>
      <w:r w:rsidRPr="005728DD">
        <w:rPr>
          <w:bCs/>
          <w:vertAlign w:val="subscript"/>
        </w:rPr>
        <w:t>1</w:t>
      </w:r>
      <w:r w:rsidRPr="005728DD">
        <w:rPr>
          <w:bCs/>
        </w:rPr>
        <w:t xml:space="preserve"> decline is slowed compared to matched CFTR modulator-untreated controls and that this reduction is maintained over time. The PSCR stated the real-world evidence (provided as an attachment to the submission) shows that the modelled effect on the rate of decline of lung function for LUM/IVA and TEZ/IVA in previous PBAC submissions was conservative. The PSCR stated that given that ELX/TEZ/IVA was shown to be superior to TEZ/IVA in Study 103 and has demonstrated lung function improvements in clinical studies that are greater in magnitude than any other CFTR modulator stud</w:t>
      </w:r>
      <w:r w:rsidR="00804100" w:rsidRPr="005728DD">
        <w:rPr>
          <w:bCs/>
        </w:rPr>
        <w:t>ied</w:t>
      </w:r>
      <w:r w:rsidRPr="005728DD">
        <w:rPr>
          <w:bCs/>
        </w:rPr>
        <w:t xml:space="preserve"> to-date, it is reasonable to expect that ELX/TEZ/IVA will demonstrate reductions in the rate of lung function decline that are at least as large as those seen with TEZ/IVA.</w:t>
      </w:r>
    </w:p>
    <w:p w:rsidR="00787721" w:rsidRPr="005728DD" w:rsidRDefault="00787721" w:rsidP="00327C06">
      <w:pPr>
        <w:pStyle w:val="3-BodyText"/>
      </w:pPr>
      <w:r w:rsidRPr="005728DD">
        <w:t xml:space="preserve">The ESC noted the above assumptions resulted in a rate of decline in ppFEV1 that was 19.5 percentage points slower in ELX/TEZ/IVA compared with TEZ/IVA (61.5% - 42.0%) for the F/F and F/RF populations, and 61.5 percentage points slower in </w:t>
      </w:r>
      <w:r w:rsidRPr="005728DD">
        <w:lastRenderedPageBreak/>
        <w:t xml:space="preserve">ELX/TEZ/IVA compared with BSC for the F/MF population. </w:t>
      </w:r>
      <w:r w:rsidR="00FC08D6" w:rsidRPr="005728DD">
        <w:t xml:space="preserve">Applying a constant </w:t>
      </w:r>
      <w:r w:rsidRPr="005728DD">
        <w:t>relative difference in ppFEV</w:t>
      </w:r>
      <w:r w:rsidRPr="005728DD">
        <w:rPr>
          <w:vertAlign w:val="subscript"/>
        </w:rPr>
        <w:t>1</w:t>
      </w:r>
      <w:r w:rsidRPr="005728DD">
        <w:t xml:space="preserve"> over the model time horizon resulted in the absolute difference in ppFEV</w:t>
      </w:r>
      <w:r w:rsidRPr="005728DD">
        <w:rPr>
          <w:vertAlign w:val="subscript"/>
        </w:rPr>
        <w:t>1</w:t>
      </w:r>
      <w:r w:rsidRPr="005728DD">
        <w:t xml:space="preserve"> diverg</w:t>
      </w:r>
      <w:r w:rsidR="00027D95" w:rsidRPr="005728DD">
        <w:t>ing</w:t>
      </w:r>
      <w:r w:rsidRPr="005728DD">
        <w:t xml:space="preserve"> over time (see </w:t>
      </w:r>
      <w:r w:rsidR="005C56C0" w:rsidRPr="005728DD">
        <w:t xml:space="preserve">Figure </w:t>
      </w:r>
      <w:r w:rsidR="005C56C0">
        <w:rPr>
          <w:noProof/>
        </w:rPr>
        <w:t>3</w:t>
      </w:r>
      <w:r w:rsidR="00BE0895">
        <w:t xml:space="preserve">). </w:t>
      </w:r>
      <w:r w:rsidRPr="005728DD">
        <w:t xml:space="preserve">The ESC considered this divergence was unsupported in the context of the short follow-up data for treatment with ELX/TEZ/IVA, the rate of decline being based on data for different treatments, and based on a different population for the F/RF and F/MF populations. </w:t>
      </w:r>
      <w:r w:rsidR="00327C06" w:rsidRPr="005728DD">
        <w:t>The pre-PBAC response stated the totality of evidence shows superiority of ELX/TEZ/IVA over current CFTR modulators with a further slowing in decline</w:t>
      </w:r>
      <w:r w:rsidR="00804100" w:rsidRPr="005728DD">
        <w:t>, and that, a</w:t>
      </w:r>
      <w:r w:rsidR="00327C06" w:rsidRPr="005728DD">
        <w:t xml:space="preserve">s with previous submissions, the sponsor is willing to work with the PBAC and </w:t>
      </w:r>
      <w:r w:rsidR="001D5F81" w:rsidRPr="005728DD">
        <w:t xml:space="preserve">the </w:t>
      </w:r>
      <w:r w:rsidR="00F3025A" w:rsidRPr="005728DD">
        <w:t>Department</w:t>
      </w:r>
      <w:r w:rsidR="00327C06" w:rsidRPr="005728DD">
        <w:t xml:space="preserve"> if substantiation of benefit is required, but this should not delay access of ELX/TEZ/IVA.</w:t>
      </w:r>
    </w:p>
    <w:p w:rsidR="00CA31A8" w:rsidRPr="005728DD" w:rsidRDefault="006E0118" w:rsidP="00F32F12">
      <w:pPr>
        <w:pStyle w:val="3-BodyText"/>
        <w:keepNext/>
        <w:keepLines/>
        <w:numPr>
          <w:ilvl w:val="0"/>
          <w:numId w:val="0"/>
        </w:numPr>
        <w:rPr>
          <w:rFonts w:ascii="Arial Narrow" w:eastAsiaTheme="majorEastAsia" w:hAnsi="Arial Narrow" w:cstheme="majorBidi"/>
          <w:b/>
          <w:bCs/>
          <w:snapToGrid/>
          <w:sz w:val="20"/>
        </w:rPr>
      </w:pPr>
      <w:bookmarkStart w:id="37" w:name="_Ref64497447"/>
      <w:r w:rsidRPr="005728DD">
        <w:rPr>
          <w:rFonts w:ascii="Arial Narrow" w:hAnsi="Arial Narrow"/>
          <w:b/>
          <w:bCs/>
          <w:sz w:val="20"/>
          <w:szCs w:val="20"/>
        </w:rPr>
        <w:t xml:space="preserve">Table </w:t>
      </w:r>
      <w:r w:rsidR="005C56C0">
        <w:rPr>
          <w:rFonts w:ascii="Arial Narrow" w:hAnsi="Arial Narrow"/>
          <w:b/>
          <w:bCs/>
          <w:noProof/>
          <w:sz w:val="20"/>
          <w:szCs w:val="20"/>
        </w:rPr>
        <w:t>16</w:t>
      </w:r>
      <w:bookmarkEnd w:id="37"/>
      <w:r w:rsidR="00CA31A8" w:rsidRPr="005728DD">
        <w:rPr>
          <w:rFonts w:ascii="Arial Narrow" w:eastAsiaTheme="majorEastAsia" w:hAnsi="Arial Narrow" w:cstheme="majorBidi"/>
          <w:b/>
          <w:bCs/>
          <w:i/>
          <w:snapToGrid/>
          <w:sz w:val="20"/>
        </w:rPr>
        <w:t xml:space="preserve">: </w:t>
      </w:r>
      <w:r w:rsidR="00F32F12" w:rsidRPr="005728DD">
        <w:rPr>
          <w:rFonts w:ascii="Arial Narrow" w:eastAsiaTheme="majorEastAsia" w:hAnsi="Arial Narrow" w:cstheme="majorBidi"/>
          <w:b/>
          <w:bCs/>
          <w:snapToGrid/>
          <w:sz w:val="20"/>
        </w:rPr>
        <w:t>Rate of decline</w:t>
      </w:r>
      <w:r w:rsidR="00CA31A8" w:rsidRPr="005728DD">
        <w:rPr>
          <w:rFonts w:ascii="Arial Narrow" w:eastAsiaTheme="majorEastAsia" w:hAnsi="Arial Narrow" w:cstheme="majorBidi"/>
          <w:b/>
          <w:bCs/>
          <w:snapToGrid/>
          <w:sz w:val="20"/>
        </w:rPr>
        <w:t xml:space="preserve"> of ppFEV</w:t>
      </w:r>
      <w:r w:rsidR="00CA31A8" w:rsidRPr="005728DD">
        <w:rPr>
          <w:rFonts w:ascii="Arial Narrow" w:eastAsiaTheme="majorEastAsia" w:hAnsi="Arial Narrow" w:cstheme="majorBidi"/>
          <w:b/>
          <w:bCs/>
          <w:snapToGrid/>
          <w:sz w:val="20"/>
          <w:vertAlign w:val="subscript"/>
        </w:rPr>
        <w:t>1</w:t>
      </w:r>
      <w:r w:rsidR="00CA31A8" w:rsidRPr="005728DD">
        <w:rPr>
          <w:rFonts w:ascii="Arial Narrow" w:eastAsiaTheme="majorEastAsia" w:hAnsi="Arial Narrow" w:cstheme="majorBidi"/>
          <w:b/>
          <w:bCs/>
          <w:snapToGrid/>
          <w:sz w:val="20"/>
        </w:rPr>
        <w:t xml:space="preserve"> (relative to BSC; 0%) </w:t>
      </w:r>
    </w:p>
    <w:tbl>
      <w:tblPr>
        <w:tblStyle w:val="HTATableshaded"/>
        <w:tblW w:w="5000" w:type="pct"/>
        <w:tblLook w:val="04A0" w:firstRow="1" w:lastRow="0" w:firstColumn="1" w:lastColumn="0" w:noHBand="0" w:noVBand="1"/>
        <w:tblCaption w:val="Table 16: Rate of decline of ppFEV1 (relative to BSC; 0%) "/>
      </w:tblPr>
      <w:tblGrid>
        <w:gridCol w:w="1373"/>
        <w:gridCol w:w="1293"/>
        <w:gridCol w:w="1292"/>
        <w:gridCol w:w="1237"/>
        <w:gridCol w:w="3703"/>
      </w:tblGrid>
      <w:tr w:rsidR="00F32F12" w:rsidRPr="005728DD" w:rsidTr="005C66A3">
        <w:trPr>
          <w:cnfStyle w:val="100000000000" w:firstRow="1" w:lastRow="0" w:firstColumn="0" w:lastColumn="0" w:oddVBand="0" w:evenVBand="0" w:oddHBand="0" w:evenHBand="0" w:firstRowFirstColumn="0" w:firstRowLastColumn="0" w:lastRowFirstColumn="0" w:lastRowLastColumn="0"/>
          <w:tblHeader/>
        </w:trPr>
        <w:tc>
          <w:tcPr>
            <w:tcW w:w="771" w:type="pct"/>
            <w:hideMark/>
          </w:tcPr>
          <w:p w:rsidR="00F32F12" w:rsidRPr="005728DD" w:rsidRDefault="00F32F12" w:rsidP="00F32F12">
            <w:pPr>
              <w:keepNext/>
              <w:keepLines/>
              <w:jc w:val="center"/>
              <w:rPr>
                <w:rFonts w:ascii="Arial Narrow" w:hAnsi="Arial Narrow"/>
                <w:b/>
                <w:bCs/>
                <w:sz w:val="20"/>
                <w:szCs w:val="20"/>
              </w:rPr>
            </w:pPr>
            <w:r w:rsidRPr="005728DD">
              <w:rPr>
                <w:rFonts w:ascii="Arial Narrow" w:hAnsi="Arial Narrow"/>
                <w:b/>
                <w:bCs/>
                <w:sz w:val="20"/>
                <w:szCs w:val="20"/>
              </w:rPr>
              <w:t>Comparison</w:t>
            </w:r>
          </w:p>
          <w:p w:rsidR="00F32F12" w:rsidRPr="005728DD" w:rsidRDefault="00F32F12" w:rsidP="00F32F12">
            <w:pPr>
              <w:keepNext/>
              <w:keepLines/>
              <w:jc w:val="center"/>
              <w:rPr>
                <w:rFonts w:ascii="Arial Narrow" w:hAnsi="Arial Narrow"/>
                <w:b/>
                <w:bCs/>
                <w:sz w:val="20"/>
                <w:szCs w:val="20"/>
              </w:rPr>
            </w:pPr>
            <w:r w:rsidRPr="005728DD">
              <w:rPr>
                <w:rFonts w:ascii="Arial Narrow" w:hAnsi="Arial Narrow"/>
                <w:b/>
                <w:bCs/>
                <w:sz w:val="20"/>
                <w:szCs w:val="20"/>
              </w:rPr>
              <w:t>Study</w:t>
            </w:r>
          </w:p>
          <w:p w:rsidR="00F32F12" w:rsidRPr="005728DD" w:rsidRDefault="00F32F12" w:rsidP="00F32F12">
            <w:pPr>
              <w:keepNext/>
              <w:keepLines/>
              <w:jc w:val="center"/>
              <w:rPr>
                <w:rFonts w:ascii="Arial Narrow" w:hAnsi="Arial Narrow"/>
                <w:b/>
                <w:bCs/>
                <w:sz w:val="20"/>
                <w:szCs w:val="20"/>
              </w:rPr>
            </w:pPr>
          </w:p>
        </w:tc>
        <w:tc>
          <w:tcPr>
            <w:tcW w:w="1452" w:type="pct"/>
            <w:gridSpan w:val="2"/>
          </w:tcPr>
          <w:p w:rsidR="00F32F12" w:rsidRPr="005728DD" w:rsidRDefault="00F32F12" w:rsidP="00F32F12">
            <w:pPr>
              <w:keepNext/>
              <w:keepLines/>
              <w:jc w:val="center"/>
              <w:rPr>
                <w:rFonts w:ascii="Arial Narrow" w:hAnsi="Arial Narrow"/>
                <w:b/>
                <w:bCs/>
                <w:sz w:val="20"/>
                <w:szCs w:val="20"/>
              </w:rPr>
            </w:pPr>
            <w:r w:rsidRPr="005728DD">
              <w:rPr>
                <w:rFonts w:ascii="Arial Narrow" w:hAnsi="Arial Narrow"/>
                <w:b/>
                <w:bCs/>
                <w:sz w:val="20"/>
                <w:szCs w:val="20"/>
              </w:rPr>
              <w:t>Annual rate of ppFEV1 decline</w:t>
            </w:r>
          </w:p>
        </w:tc>
        <w:tc>
          <w:tcPr>
            <w:tcW w:w="695" w:type="pct"/>
            <w:hideMark/>
          </w:tcPr>
          <w:p w:rsidR="00F32F12" w:rsidRPr="005728DD" w:rsidRDefault="00F32F12" w:rsidP="00F32F12">
            <w:pPr>
              <w:keepNext/>
              <w:keepLines/>
              <w:jc w:val="center"/>
              <w:rPr>
                <w:rFonts w:ascii="Arial Narrow" w:hAnsi="Arial Narrow"/>
                <w:b/>
                <w:bCs/>
                <w:sz w:val="20"/>
                <w:szCs w:val="20"/>
              </w:rPr>
            </w:pPr>
            <w:r w:rsidRPr="005728DD">
              <w:rPr>
                <w:rFonts w:ascii="Arial Narrow" w:hAnsi="Arial Narrow"/>
                <w:b/>
                <w:bCs/>
                <w:sz w:val="20"/>
                <w:szCs w:val="20"/>
              </w:rPr>
              <w:t>Reduction rate</w:t>
            </w:r>
          </w:p>
        </w:tc>
        <w:tc>
          <w:tcPr>
            <w:tcW w:w="2081" w:type="pct"/>
            <w:hideMark/>
          </w:tcPr>
          <w:p w:rsidR="00F32F12" w:rsidRPr="005728DD" w:rsidRDefault="00F32F12" w:rsidP="00F32F12">
            <w:pPr>
              <w:keepNext/>
              <w:keepLines/>
              <w:jc w:val="center"/>
              <w:rPr>
                <w:rFonts w:ascii="Arial Narrow" w:hAnsi="Arial Narrow"/>
                <w:b/>
                <w:bCs/>
                <w:sz w:val="20"/>
                <w:szCs w:val="20"/>
              </w:rPr>
            </w:pPr>
            <w:r w:rsidRPr="005728DD">
              <w:rPr>
                <w:rFonts w:ascii="Arial Narrow" w:hAnsi="Arial Narrow"/>
                <w:b/>
                <w:bCs/>
                <w:sz w:val="20"/>
                <w:szCs w:val="20"/>
              </w:rPr>
              <w:t>Source</w:t>
            </w:r>
          </w:p>
        </w:tc>
      </w:tr>
      <w:tr w:rsidR="00F32F12" w:rsidRPr="005728DD" w:rsidTr="00F32F12">
        <w:tc>
          <w:tcPr>
            <w:tcW w:w="771"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b/>
                <w:sz w:val="20"/>
                <w:szCs w:val="20"/>
              </w:rPr>
            </w:pPr>
            <w:r w:rsidRPr="005728DD">
              <w:rPr>
                <w:rFonts w:ascii="Arial Narrow" w:hAnsi="Arial Narrow"/>
                <w:b/>
                <w:sz w:val="20"/>
                <w:szCs w:val="20"/>
              </w:rPr>
              <w:t>TEZ/IVA</w:t>
            </w: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rPr>
                <w:rFonts w:ascii="Arial Narrow" w:hAnsi="Arial Narrow"/>
                <w:sz w:val="20"/>
                <w:szCs w:val="20"/>
              </w:rPr>
            </w:pPr>
          </w:p>
        </w:tc>
      </w:tr>
      <w:tr w:rsidR="00F32F12" w:rsidRPr="005728DD" w:rsidTr="00F32F12">
        <w:tc>
          <w:tcPr>
            <w:tcW w:w="771"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ELX/TEZ/IVA vs BSC</w:t>
            </w:r>
          </w:p>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Flume 2019</w:t>
            </w:r>
          </w:p>
          <w:p w:rsidR="00F32F12" w:rsidRPr="005728DD" w:rsidRDefault="00F32F12" w:rsidP="00F32F12">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-0.80 (95% CI: -1.31, -0.30)</w:t>
            </w: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-2.08 (95% CI: -2.37, -1.82)</w:t>
            </w:r>
          </w:p>
        </w:tc>
        <w:tc>
          <w:tcPr>
            <w:tcW w:w="695"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61.5%</w:t>
            </w:r>
          </w:p>
        </w:tc>
        <w:tc>
          <w:tcPr>
            <w:tcW w:w="2081"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This study reported data from a US registry-matched analysis of 407 F/F patients</w:t>
            </w:r>
            <w:r w:rsidRPr="005728DD" w:rsidDel="00991B5A">
              <w:rPr>
                <w:rFonts w:ascii="Arial Narrow" w:hAnsi="Arial Narrow"/>
                <w:sz w:val="20"/>
                <w:szCs w:val="20"/>
              </w:rPr>
              <w:t xml:space="preserve"> </w:t>
            </w:r>
            <w:r w:rsidRPr="005728DD">
              <w:rPr>
                <w:rFonts w:ascii="Arial Narrow" w:hAnsi="Arial Narrow"/>
                <w:sz w:val="20"/>
                <w:szCs w:val="20"/>
              </w:rPr>
              <w:t>receiving TEZ/IVA (in EVOLVE and EXTEND) matched to 1,383 untreated F/F patients from the US CFFPR with mean duration of follow-up of two years.</w:t>
            </w:r>
            <w:r w:rsidRPr="005728DD">
              <w:t xml:space="preserve"> </w:t>
            </w:r>
          </w:p>
        </w:tc>
      </w:tr>
      <w:tr w:rsidR="00F32F12" w:rsidRPr="005728DD" w:rsidTr="00F32F12">
        <w:tc>
          <w:tcPr>
            <w:tcW w:w="771"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b/>
                <w:sz w:val="20"/>
                <w:szCs w:val="20"/>
              </w:rPr>
            </w:pPr>
            <w:r w:rsidRPr="005728DD">
              <w:rPr>
                <w:rFonts w:ascii="Arial Narrow" w:hAnsi="Arial Narrow"/>
                <w:b/>
                <w:sz w:val="20"/>
                <w:szCs w:val="20"/>
              </w:rPr>
              <w:t>LUM/IVA</w:t>
            </w: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b/>
                <w:sz w:val="20"/>
                <w:szCs w:val="20"/>
              </w:rPr>
            </w:pPr>
            <w:r w:rsidRPr="005728DD">
              <w:rPr>
                <w:rFonts w:ascii="Arial Narrow" w:hAnsi="Arial Narrow"/>
                <w:b/>
                <w:sz w:val="20"/>
                <w:szCs w:val="20"/>
              </w:rPr>
              <w:t>BSC</w:t>
            </w:r>
          </w:p>
        </w:tc>
        <w:tc>
          <w:tcPr>
            <w:tcW w:w="695"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p>
        </w:tc>
        <w:tc>
          <w:tcPr>
            <w:tcW w:w="2081"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rPr>
                <w:rFonts w:ascii="Arial Narrow" w:hAnsi="Arial Narrow"/>
                <w:sz w:val="20"/>
                <w:szCs w:val="20"/>
              </w:rPr>
            </w:pPr>
          </w:p>
        </w:tc>
      </w:tr>
      <w:tr w:rsidR="00F32F12" w:rsidRPr="005728DD" w:rsidTr="00F32F12">
        <w:tc>
          <w:tcPr>
            <w:tcW w:w="771"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TEZ/IVA vs BSC</w:t>
            </w:r>
          </w:p>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Konstan 2017</w:t>
            </w:r>
          </w:p>
          <w:p w:rsidR="00F32F12" w:rsidRPr="005728DD" w:rsidRDefault="00F32F12" w:rsidP="00F32F12">
            <w:pPr>
              <w:keepNext/>
              <w:keepLines/>
              <w:rPr>
                <w:rFonts w:ascii="Arial Narrow" w:hAnsi="Arial Narrow"/>
                <w:sz w:val="20"/>
                <w:szCs w:val="20"/>
              </w:rPr>
            </w:pP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-1.33 (95% CI: -1.80, -0.85)</w:t>
            </w:r>
          </w:p>
        </w:tc>
        <w:tc>
          <w:tcPr>
            <w:tcW w:w="726" w:type="pct"/>
            <w:tcBorders>
              <w:top w:val="single" w:sz="4" w:space="0" w:color="auto"/>
              <w:left w:val="single" w:sz="4" w:space="0" w:color="auto"/>
              <w:bottom w:val="single" w:sz="4" w:space="0" w:color="auto"/>
              <w:right w:val="single" w:sz="4" w:space="0" w:color="auto"/>
            </w:tcBorders>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-2.29 (95% CI: -2.56, -2.03)</w:t>
            </w:r>
          </w:p>
        </w:tc>
        <w:tc>
          <w:tcPr>
            <w:tcW w:w="695"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jc w:val="center"/>
              <w:rPr>
                <w:rFonts w:ascii="Arial Narrow" w:hAnsi="Arial Narrow"/>
                <w:sz w:val="20"/>
                <w:szCs w:val="20"/>
              </w:rPr>
            </w:pPr>
            <w:r w:rsidRPr="005728DD">
              <w:rPr>
                <w:rFonts w:ascii="Arial Narrow" w:hAnsi="Arial Narrow"/>
                <w:sz w:val="20"/>
                <w:szCs w:val="20"/>
              </w:rPr>
              <w:t>42.0%</w:t>
            </w:r>
          </w:p>
        </w:tc>
        <w:tc>
          <w:tcPr>
            <w:tcW w:w="2081" w:type="pct"/>
            <w:tcBorders>
              <w:top w:val="single" w:sz="4" w:space="0" w:color="auto"/>
              <w:left w:val="single" w:sz="4" w:space="0" w:color="auto"/>
              <w:bottom w:val="single" w:sz="4" w:space="0" w:color="auto"/>
              <w:right w:val="single" w:sz="4" w:space="0" w:color="auto"/>
            </w:tcBorders>
            <w:hideMark/>
          </w:tcPr>
          <w:p w:rsidR="00F32F12" w:rsidRPr="005728DD" w:rsidRDefault="00F32F12" w:rsidP="00F32F12">
            <w:pPr>
              <w:keepNext/>
              <w:keepLines/>
              <w:rPr>
                <w:rFonts w:ascii="Arial Narrow" w:hAnsi="Arial Narrow"/>
                <w:sz w:val="20"/>
                <w:szCs w:val="20"/>
              </w:rPr>
            </w:pPr>
            <w:r w:rsidRPr="005728DD">
              <w:rPr>
                <w:rFonts w:ascii="Arial Narrow" w:hAnsi="Arial Narrow"/>
                <w:sz w:val="20"/>
                <w:szCs w:val="20"/>
              </w:rPr>
              <w:t xml:space="preserve">TRAFFIC/TRANSPORT and PROGRESS, and US CFFPR. Comparing F/F patients receiving </w:t>
            </w:r>
            <w:r w:rsidRPr="005728DD">
              <w:rPr>
                <w:rFonts w:ascii="Arial Narrow" w:hAnsi="Arial Narrow"/>
                <w:bCs/>
                <w:sz w:val="20"/>
                <w:szCs w:val="20"/>
              </w:rPr>
              <w:t>LUM/IVA</w:t>
            </w:r>
            <w:r w:rsidRPr="005728DD">
              <w:rPr>
                <w:rFonts w:ascii="Arial Narrow" w:hAnsi="Arial Narrow"/>
                <w:sz w:val="20"/>
                <w:szCs w:val="20"/>
              </w:rPr>
              <w:t xml:space="preserve"> versus match control i.e. BSC. Mean FU = 2 years.</w:t>
            </w:r>
          </w:p>
          <w:p w:rsidR="00F32F12" w:rsidRPr="005728DD" w:rsidRDefault="00F32F12" w:rsidP="00F32F12">
            <w:pPr>
              <w:keepNext/>
              <w:keepLines/>
              <w:rPr>
                <w:rFonts w:ascii="Arial Narrow" w:hAnsi="Arial Narrow"/>
                <w:sz w:val="20"/>
                <w:szCs w:val="20"/>
              </w:rPr>
            </w:pPr>
          </w:p>
        </w:tc>
      </w:tr>
    </w:tbl>
    <w:p w:rsidR="00487012" w:rsidRPr="005728DD" w:rsidRDefault="00487012" w:rsidP="00F32F12">
      <w:pPr>
        <w:keepNext/>
        <w:keepLines/>
        <w:rPr>
          <w:rFonts w:ascii="Arial Narrow" w:hAnsi="Arial Narrow"/>
          <w:sz w:val="18"/>
          <w:szCs w:val="18"/>
        </w:rPr>
      </w:pPr>
      <w:r w:rsidRPr="005728DD">
        <w:rPr>
          <w:rFonts w:ascii="Arial Narrow" w:hAnsi="Arial Narrow"/>
          <w:sz w:val="18"/>
          <w:szCs w:val="18"/>
        </w:rPr>
        <w:t xml:space="preserve">Source: </w:t>
      </w:r>
      <w:r w:rsidR="00F32F12" w:rsidRPr="005728DD">
        <w:rPr>
          <w:rFonts w:ascii="Arial Narrow" w:hAnsi="Arial Narrow"/>
          <w:sz w:val="18"/>
          <w:szCs w:val="18"/>
        </w:rPr>
        <w:t xml:space="preserve">based on </w:t>
      </w:r>
      <w:r w:rsidRPr="005728DD">
        <w:rPr>
          <w:rFonts w:ascii="Arial Narrow" w:hAnsi="Arial Narrow"/>
          <w:sz w:val="18"/>
          <w:szCs w:val="18"/>
        </w:rPr>
        <w:t>Table 3.1.17, p201 of the submission</w:t>
      </w:r>
    </w:p>
    <w:p w:rsidR="00487012" w:rsidRPr="005728DD" w:rsidRDefault="00487012" w:rsidP="00F32F12">
      <w:pPr>
        <w:keepNext/>
        <w:keepLines/>
        <w:rPr>
          <w:rFonts w:ascii="Arial Narrow" w:hAnsi="Arial Narrow"/>
          <w:sz w:val="18"/>
          <w:szCs w:val="18"/>
        </w:rPr>
      </w:pPr>
      <w:r w:rsidRPr="005728DD">
        <w:rPr>
          <w:rFonts w:ascii="Arial Narrow" w:hAnsi="Arial Narrow"/>
          <w:sz w:val="18"/>
          <w:szCs w:val="18"/>
        </w:rPr>
        <w:t xml:space="preserve">Abbreviations: BSC = best supportive care; CI = confidence interval; </w:t>
      </w:r>
      <w:r w:rsidRPr="005728DD">
        <w:rPr>
          <w:rFonts w:ascii="Arial Narrow" w:hAnsi="Arial Narrow"/>
          <w:sz w:val="18"/>
        </w:rPr>
        <w:t>ELX/TEZ/IVA = elexacaftor/tezacaftor/ivacaftor;</w:t>
      </w:r>
      <w:r w:rsidRPr="005728DD">
        <w:rPr>
          <w:rFonts w:ascii="Arial Narrow" w:hAnsi="Arial Narrow"/>
          <w:sz w:val="18"/>
          <w:szCs w:val="20"/>
        </w:rPr>
        <w:t xml:space="preserve"> F/F, homozygous for F508del-CFTR mutations; ppFEV1 = percent predicted forced expiratory volume in one second; FU = follow-up period; LUM/IVA = lumacaftor/ivacaftor; ppFEV1, percent predicted forced expiratory volume in one second; </w:t>
      </w:r>
      <w:r w:rsidRPr="005728DD">
        <w:rPr>
          <w:rFonts w:ascii="Arial Narrow" w:hAnsi="Arial Narrow"/>
          <w:sz w:val="18"/>
        </w:rPr>
        <w:t>TEZ/IVA = tezacaftor/ivacaftor</w:t>
      </w:r>
    </w:p>
    <w:p w:rsidR="00487012" w:rsidRPr="005728DD" w:rsidRDefault="00487012" w:rsidP="00CA31A8">
      <w:pPr>
        <w:pStyle w:val="3-BodyText"/>
        <w:numPr>
          <w:ilvl w:val="0"/>
          <w:numId w:val="0"/>
        </w:numPr>
        <w:rPr>
          <w:bCs/>
          <w:i/>
          <w:sz w:val="20"/>
        </w:rPr>
      </w:pPr>
    </w:p>
    <w:p w:rsidR="00E1386C" w:rsidRPr="005728DD" w:rsidRDefault="00E1386C">
      <w:pPr>
        <w:jc w:val="left"/>
        <w:rPr>
          <w:rFonts w:ascii="Arial Narrow" w:hAnsi="Arial Narrow"/>
          <w:b/>
          <w:bCs/>
          <w:i/>
          <w:sz w:val="20"/>
          <w:szCs w:val="20"/>
        </w:rPr>
      </w:pPr>
      <w:r w:rsidRPr="005728DD">
        <w:rPr>
          <w:i/>
        </w:rPr>
        <w:br w:type="page"/>
      </w:r>
    </w:p>
    <w:p w:rsidR="00E1386C" w:rsidRPr="005728DD" w:rsidRDefault="00E1386C" w:rsidP="00E1386C">
      <w:pPr>
        <w:pStyle w:val="Caption"/>
      </w:pPr>
      <w:bookmarkStart w:id="38" w:name="_Ref66824269"/>
      <w:r w:rsidRPr="005728DD">
        <w:lastRenderedPageBreak/>
        <w:t xml:space="preserve">Figure </w:t>
      </w:r>
      <w:r w:rsidR="005C56C0">
        <w:rPr>
          <w:noProof/>
        </w:rPr>
        <w:t>3</w:t>
      </w:r>
      <w:bookmarkEnd w:id="38"/>
      <w:r w:rsidRPr="005728DD">
        <w:t>: Rate of decline ppFEV1 for F/F (A), F/RF (B) and F/MF (C) populations from the economic model</w:t>
      </w:r>
    </w:p>
    <w:p w:rsidR="00E1386C" w:rsidRPr="005728DD" w:rsidRDefault="00E1386C" w:rsidP="00A0357E">
      <w:pPr>
        <w:pStyle w:val="Tablename0"/>
        <w:keepLines/>
        <w:numPr>
          <w:ilvl w:val="0"/>
          <w:numId w:val="26"/>
        </w:numPr>
        <w:jc w:val="both"/>
        <w:rPr>
          <w:rFonts w:ascii="Arial Narrow" w:hAnsi="Arial Narrow"/>
          <w:b w:val="0"/>
          <w:sz w:val="20"/>
          <w:szCs w:val="18"/>
          <w:lang w:val="en-AU"/>
        </w:rPr>
      </w:pPr>
      <w:r w:rsidRPr="005728DD">
        <w:rPr>
          <w:rFonts w:ascii="Arial Narrow" w:hAnsi="Arial Narrow"/>
          <w:b w:val="0"/>
          <w:sz w:val="20"/>
          <w:szCs w:val="18"/>
          <w:lang w:val="en-AU"/>
        </w:rPr>
        <w:t xml:space="preserve">F/F population </w:t>
      </w:r>
    </w:p>
    <w:p w:rsidR="00E1386C" w:rsidRPr="005728DD" w:rsidRDefault="00E1386C" w:rsidP="00E1386C"/>
    <w:p w:rsidR="00CA31A8" w:rsidRPr="005728DD" w:rsidRDefault="00CA31A8" w:rsidP="00CA31A8">
      <w:pPr>
        <w:jc w:val="center"/>
      </w:pPr>
      <w:r w:rsidRPr="005728DD">
        <w:rPr>
          <w:noProof/>
        </w:rPr>
        <w:drawing>
          <wp:inline distT="0" distB="0" distL="0" distR="0" wp14:anchorId="7508120D" wp14:editId="51A964DF">
            <wp:extent cx="4420870" cy="2751455"/>
            <wp:effectExtent l="0" t="0" r="17780" b="10795"/>
            <wp:docPr id="22" name="Chart 22" title="Figure 3: Rate of decline ppFEV1 for F/F (A), F/RF (B) and F/MF (C) populations from the economic model">
              <a:extLst xmlns:a="http://schemas.openxmlformats.org/drawingml/2006/main">
                <a:ext uri="{FF2B5EF4-FFF2-40B4-BE49-F238E27FC236}">
                  <a16:creationId xmlns:a16="http://schemas.microsoft.com/office/drawing/2014/main" id="{614DAC72-6450-4C2E-979C-3E99DFA8A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31A8" w:rsidRPr="005728DD" w:rsidRDefault="00CA31A8" w:rsidP="00CA31A8">
      <w:pPr>
        <w:pStyle w:val="TableFigureFooter"/>
        <w:rPr>
          <w:szCs w:val="18"/>
        </w:rPr>
      </w:pPr>
    </w:p>
    <w:p w:rsidR="00CA31A8" w:rsidRPr="005728DD" w:rsidRDefault="008951A8" w:rsidP="00A0357E">
      <w:pPr>
        <w:pStyle w:val="Tablename0"/>
        <w:keepLines/>
        <w:numPr>
          <w:ilvl w:val="0"/>
          <w:numId w:val="26"/>
        </w:numPr>
        <w:jc w:val="both"/>
        <w:rPr>
          <w:rFonts w:ascii="Arial Narrow" w:hAnsi="Arial Narrow"/>
          <w:b w:val="0"/>
          <w:sz w:val="20"/>
          <w:szCs w:val="18"/>
          <w:lang w:val="en-AU"/>
        </w:rPr>
      </w:pPr>
      <w:r w:rsidRPr="005728DD">
        <w:rPr>
          <w:rFonts w:ascii="Arial Narrow" w:hAnsi="Arial Narrow"/>
          <w:b w:val="0"/>
          <w:sz w:val="20"/>
          <w:szCs w:val="18"/>
          <w:lang w:val="en-AU"/>
        </w:rPr>
        <w:t xml:space="preserve">F/RF population </w:t>
      </w:r>
    </w:p>
    <w:p w:rsidR="00CA31A8" w:rsidRPr="005728DD" w:rsidRDefault="00CA31A8" w:rsidP="00CA31A8">
      <w:pPr>
        <w:pStyle w:val="TableFigureFooter"/>
        <w:jc w:val="center"/>
        <w:rPr>
          <w:szCs w:val="18"/>
        </w:rPr>
      </w:pPr>
      <w:r w:rsidRPr="005728DD">
        <w:rPr>
          <w:noProof/>
        </w:rPr>
        <w:drawing>
          <wp:inline distT="0" distB="0" distL="0" distR="0" wp14:anchorId="6A8FAB6E" wp14:editId="24B094CC">
            <wp:extent cx="4656706" cy="2796363"/>
            <wp:effectExtent l="0" t="0" r="10795" b="4445"/>
            <wp:docPr id="5" name="Chart 5" title="Figure 3: Rate of decline ppFEV1 for F/F (A), F/RF (B) and F/MF (C) populations from the economic model">
              <a:extLst xmlns:a="http://schemas.openxmlformats.org/drawingml/2006/main">
                <a:ext uri="{FF2B5EF4-FFF2-40B4-BE49-F238E27FC236}">
                  <a16:creationId xmlns:a16="http://schemas.microsoft.com/office/drawing/2014/main" id="{14DD1BC7-6ACC-40C1-B996-9CBF83AB65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31A8" w:rsidRDefault="00CA31A8" w:rsidP="00CA31A8">
      <w:pPr>
        <w:pStyle w:val="TableFigureFooter"/>
        <w:rPr>
          <w:szCs w:val="18"/>
        </w:rPr>
      </w:pPr>
    </w:p>
    <w:p w:rsidR="009704CA" w:rsidRDefault="009704CA" w:rsidP="00CA31A8">
      <w:pPr>
        <w:pStyle w:val="TableFigureFooter"/>
        <w:rPr>
          <w:szCs w:val="18"/>
        </w:rPr>
      </w:pPr>
    </w:p>
    <w:p w:rsidR="009704CA" w:rsidRDefault="009704CA" w:rsidP="00CA31A8">
      <w:pPr>
        <w:pStyle w:val="TableFigureFooter"/>
        <w:rPr>
          <w:szCs w:val="18"/>
        </w:rPr>
      </w:pPr>
    </w:p>
    <w:p w:rsidR="009704CA" w:rsidRDefault="009704CA">
      <w:pPr>
        <w:jc w:val="left"/>
        <w:rPr>
          <w:rFonts w:ascii="Arial Narrow" w:hAnsi="Arial Narrow"/>
          <w:snapToGrid w:val="0"/>
          <w:sz w:val="18"/>
          <w:szCs w:val="18"/>
        </w:rPr>
      </w:pPr>
      <w:r>
        <w:rPr>
          <w:szCs w:val="18"/>
        </w:rPr>
        <w:br w:type="page"/>
      </w:r>
    </w:p>
    <w:p w:rsidR="009704CA" w:rsidRPr="005728DD" w:rsidRDefault="009704CA" w:rsidP="00CA31A8">
      <w:pPr>
        <w:pStyle w:val="TableFigureFooter"/>
        <w:rPr>
          <w:szCs w:val="18"/>
        </w:rPr>
      </w:pPr>
    </w:p>
    <w:p w:rsidR="00CA31A8" w:rsidRPr="005728DD" w:rsidRDefault="008951A8" w:rsidP="00A0357E">
      <w:pPr>
        <w:pStyle w:val="TableFigureFooter"/>
        <w:numPr>
          <w:ilvl w:val="0"/>
          <w:numId w:val="26"/>
        </w:numPr>
        <w:rPr>
          <w:sz w:val="20"/>
        </w:rPr>
      </w:pPr>
      <w:r w:rsidRPr="005728DD">
        <w:rPr>
          <w:sz w:val="20"/>
        </w:rPr>
        <w:t xml:space="preserve">F/MF population </w:t>
      </w:r>
    </w:p>
    <w:p w:rsidR="00CA31A8" w:rsidRPr="005728DD" w:rsidRDefault="00CA31A8" w:rsidP="00CA31A8">
      <w:pPr>
        <w:jc w:val="center"/>
      </w:pPr>
      <w:r w:rsidRPr="005728DD">
        <w:rPr>
          <w:noProof/>
        </w:rPr>
        <w:drawing>
          <wp:inline distT="0" distB="0" distL="0" distR="0" wp14:anchorId="254916ED" wp14:editId="00013A26">
            <wp:extent cx="4540250" cy="2488565"/>
            <wp:effectExtent l="0" t="0" r="12700" b="6985"/>
            <wp:docPr id="21" name="Chart 21" title="Figure 3: Rate of decline ppFEV1 for F/F (A), F/RF (B) and F/MF (C) populations from the economic model">
              <a:extLst xmlns:a="http://schemas.openxmlformats.org/drawingml/2006/main">
                <a:ext uri="{FF2B5EF4-FFF2-40B4-BE49-F238E27FC236}">
                  <a16:creationId xmlns:a16="http://schemas.microsoft.com/office/drawing/2014/main" id="{F211C317-2D32-425C-AD13-C90CC21511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31A8" w:rsidRPr="005728DD" w:rsidRDefault="00CA31A8" w:rsidP="00CA31A8">
      <w:pPr>
        <w:pStyle w:val="TableFigureFooter"/>
      </w:pPr>
      <w:r w:rsidRPr="005728DD">
        <w:t>Source: Developed during the evaluation based on data from Table 3.1.13, p199; Table 3.1.14, p199; Table 3.1.15, p200; Table 3.1.17, p201 of the submission</w:t>
      </w:r>
    </w:p>
    <w:p w:rsidR="00CA31A8" w:rsidRPr="005728DD" w:rsidRDefault="00CA31A8" w:rsidP="00CA31A8">
      <w:pPr>
        <w:pStyle w:val="TableFigureFooter"/>
      </w:pPr>
      <w:r w:rsidRPr="005728DD">
        <w:t xml:space="preserve">Abbreviations: BSC = best supportive care; ELX/TEZ/IVA = elexacaftor/tezacaftor/ivacaftor; </w:t>
      </w:r>
      <w:r w:rsidRPr="005728DD">
        <w:rPr>
          <w:szCs w:val="20"/>
        </w:rPr>
        <w:t xml:space="preserve">F/MF = heterozygous for F508del-CFTR mutation with a second minimal function allele; ppFEV1 = percent predicted forced expiratory volume in one second </w:t>
      </w:r>
    </w:p>
    <w:p w:rsidR="00CA31A8" w:rsidRPr="005728DD" w:rsidRDefault="00CA31A8" w:rsidP="00CA31A8">
      <w:pPr>
        <w:pStyle w:val="TableFigureFooter"/>
        <w:rPr>
          <w:szCs w:val="18"/>
        </w:rPr>
      </w:pPr>
      <w:r w:rsidRPr="005728DD">
        <w:t>Note: Assu</w:t>
      </w:r>
      <w:r w:rsidRPr="005728DD">
        <w:rPr>
          <w:szCs w:val="18"/>
        </w:rPr>
        <w:t>med that a patient aged 18 years with 60% ppFEV</w:t>
      </w:r>
      <w:r w:rsidRPr="005728DD">
        <w:rPr>
          <w:szCs w:val="18"/>
          <w:vertAlign w:val="subscript"/>
        </w:rPr>
        <w:t>1</w:t>
      </w:r>
      <w:r w:rsidRPr="005728DD">
        <w:rPr>
          <w:szCs w:val="18"/>
        </w:rPr>
        <w:t xml:space="preserve"> at baseline</w:t>
      </w:r>
    </w:p>
    <w:p w:rsidR="00C66232" w:rsidRPr="005728DD" w:rsidRDefault="00C66232" w:rsidP="00600F8E">
      <w:pPr>
        <w:pStyle w:val="3-BodyText"/>
        <w:rPr>
          <w:bCs/>
        </w:rPr>
      </w:pPr>
      <w:r w:rsidRPr="005728DD">
        <w:rPr>
          <w:bCs/>
        </w:rPr>
        <w:t xml:space="preserve">The PBAC </w:t>
      </w:r>
      <w:r w:rsidR="009C02D5" w:rsidRPr="005728DD">
        <w:rPr>
          <w:bCs/>
        </w:rPr>
        <w:t>noted the analyses provided to support the 42% and 61.5% decrease in rate of decline of ppFEV</w:t>
      </w:r>
      <w:r w:rsidR="009C02D5" w:rsidRPr="005728DD">
        <w:rPr>
          <w:bCs/>
          <w:vertAlign w:val="subscript"/>
        </w:rPr>
        <w:t>1</w:t>
      </w:r>
      <w:r w:rsidR="009C02D5" w:rsidRPr="005728DD">
        <w:rPr>
          <w:bCs/>
        </w:rPr>
        <w:t xml:space="preserve"> </w:t>
      </w:r>
      <w:r w:rsidR="00643F0E">
        <w:rPr>
          <w:bCs/>
        </w:rPr>
        <w:t>combined data from study participants</w:t>
      </w:r>
      <w:r w:rsidR="00643F0E" w:rsidRPr="005728DD">
        <w:rPr>
          <w:bCs/>
        </w:rPr>
        <w:t xml:space="preserve"> </w:t>
      </w:r>
      <w:r w:rsidR="00643F0E">
        <w:rPr>
          <w:bCs/>
        </w:rPr>
        <w:t xml:space="preserve">on therapy with </w:t>
      </w:r>
      <w:r w:rsidR="009C02D5" w:rsidRPr="005728DD">
        <w:rPr>
          <w:bCs/>
        </w:rPr>
        <w:t xml:space="preserve">historical control data from untreated CF patients in the United States Cystic Fibrosis Foundation Patient Registry (CFFPR). The PBAC </w:t>
      </w:r>
      <w:r w:rsidRPr="005728DD">
        <w:rPr>
          <w:bCs/>
        </w:rPr>
        <w:t xml:space="preserve">recalled it had previously </w:t>
      </w:r>
      <w:r w:rsidR="009C02D5" w:rsidRPr="005728DD">
        <w:rPr>
          <w:bCs/>
        </w:rPr>
        <w:t>considered the use of the data from the CFFPR may not adequately support the claim of a reduction in rate of decline in ppFEV</w:t>
      </w:r>
      <w:r w:rsidR="009C02D5" w:rsidRPr="00C67FFB">
        <w:rPr>
          <w:bCs/>
          <w:vertAlign w:val="subscript"/>
        </w:rPr>
        <w:t>1</w:t>
      </w:r>
      <w:r w:rsidR="009C02D5" w:rsidRPr="005728DD">
        <w:rPr>
          <w:bCs/>
        </w:rPr>
        <w:t xml:space="preserve"> (paragraph 6.26, LUM/IVA PSD, July 2018).</w:t>
      </w:r>
      <w:r w:rsidR="008B5EF9" w:rsidRPr="005728DD">
        <w:rPr>
          <w:bCs/>
        </w:rPr>
        <w:t xml:space="preserve"> </w:t>
      </w:r>
      <w:r w:rsidR="009C02D5" w:rsidRPr="005728DD">
        <w:rPr>
          <w:bCs/>
        </w:rPr>
        <w:t>The PBAC reiterated its concern that using patients in the CFFPR as a control arm may bias in favour of the CFTR modulators as treatment of these patients may not reflect best clinical practise.</w:t>
      </w:r>
      <w:r w:rsidR="008B5EF9" w:rsidRPr="005728DD">
        <w:rPr>
          <w:bCs/>
        </w:rPr>
        <w:t xml:space="preserve"> </w:t>
      </w:r>
    </w:p>
    <w:p w:rsidR="0047137A" w:rsidRPr="005728DD" w:rsidRDefault="00860D20" w:rsidP="00600F8E">
      <w:pPr>
        <w:pStyle w:val="3-BodyText"/>
        <w:rPr>
          <w:bCs/>
        </w:rPr>
      </w:pPr>
      <w:r w:rsidRPr="005728DD">
        <w:rPr>
          <w:bCs/>
          <w:iCs/>
        </w:rPr>
        <w:t>T</w:t>
      </w:r>
      <w:r w:rsidR="0047137A" w:rsidRPr="005728DD">
        <w:rPr>
          <w:bCs/>
          <w:iCs/>
        </w:rPr>
        <w:t xml:space="preserve">he submission </w:t>
      </w:r>
      <w:r w:rsidR="00200B22" w:rsidRPr="005728DD">
        <w:rPr>
          <w:bCs/>
          <w:iCs/>
        </w:rPr>
        <w:t xml:space="preserve">assumed </w:t>
      </w:r>
      <w:r w:rsidR="0047137A" w:rsidRPr="005728DD">
        <w:rPr>
          <w:bCs/>
          <w:iCs/>
        </w:rPr>
        <w:t xml:space="preserve">compliance of 90% </w:t>
      </w:r>
      <w:r w:rsidR="000B2721" w:rsidRPr="005728DD">
        <w:rPr>
          <w:bCs/>
          <w:iCs/>
        </w:rPr>
        <w:t>in the model</w:t>
      </w:r>
      <w:r w:rsidR="00327C06" w:rsidRPr="005728DD">
        <w:rPr>
          <w:bCs/>
          <w:iCs/>
        </w:rPr>
        <w:t xml:space="preserve"> and stated this was </w:t>
      </w:r>
      <w:r w:rsidR="003A2226" w:rsidRPr="005728DD">
        <w:rPr>
          <w:bCs/>
          <w:iCs/>
        </w:rPr>
        <w:t xml:space="preserve">consistent with previous </w:t>
      </w:r>
      <w:r w:rsidR="00D349CC" w:rsidRPr="005728DD">
        <w:rPr>
          <w:bCs/>
          <w:iCs/>
        </w:rPr>
        <w:t xml:space="preserve">CFTR modulator submissions. </w:t>
      </w:r>
      <w:r w:rsidR="000D7649" w:rsidRPr="005728DD">
        <w:rPr>
          <w:bCs/>
        </w:rPr>
        <w:t xml:space="preserve">This </w:t>
      </w:r>
      <w:r w:rsidR="003A2226" w:rsidRPr="005728DD">
        <w:rPr>
          <w:bCs/>
        </w:rPr>
        <w:t xml:space="preserve">compliance rate </w:t>
      </w:r>
      <w:r w:rsidR="0047137A" w:rsidRPr="005728DD">
        <w:rPr>
          <w:bCs/>
        </w:rPr>
        <w:t>was lower than in the trials</w:t>
      </w:r>
      <w:r w:rsidR="008951A8" w:rsidRPr="005728DD">
        <w:rPr>
          <w:bCs/>
        </w:rPr>
        <w:t xml:space="preserve"> </w:t>
      </w:r>
      <w:r w:rsidR="003A2226" w:rsidRPr="005728DD">
        <w:rPr>
          <w:bCs/>
        </w:rPr>
        <w:t xml:space="preserve">which </w:t>
      </w:r>
      <w:r w:rsidR="00D906DF" w:rsidRPr="005728DD">
        <w:rPr>
          <w:bCs/>
        </w:rPr>
        <w:t>rang</w:t>
      </w:r>
      <w:r w:rsidR="003A2226" w:rsidRPr="005728DD">
        <w:rPr>
          <w:bCs/>
        </w:rPr>
        <w:t xml:space="preserve">ed </w:t>
      </w:r>
      <w:r w:rsidR="00D906DF" w:rsidRPr="005728DD">
        <w:rPr>
          <w:bCs/>
        </w:rPr>
        <w:t>between 9</w:t>
      </w:r>
      <w:r w:rsidR="00AD3521" w:rsidRPr="005728DD">
        <w:rPr>
          <w:bCs/>
        </w:rPr>
        <w:t>8.8</w:t>
      </w:r>
      <w:r w:rsidR="00D906DF" w:rsidRPr="005728DD">
        <w:rPr>
          <w:bCs/>
        </w:rPr>
        <w:t>%</w:t>
      </w:r>
      <w:r w:rsidR="00983571" w:rsidRPr="005728DD">
        <w:rPr>
          <w:bCs/>
        </w:rPr>
        <w:t xml:space="preserve"> </w:t>
      </w:r>
      <w:r w:rsidR="008F4248" w:rsidRPr="005728DD">
        <w:rPr>
          <w:bCs/>
        </w:rPr>
        <w:t>and</w:t>
      </w:r>
      <w:r w:rsidR="00D906DF" w:rsidRPr="005728DD">
        <w:rPr>
          <w:bCs/>
        </w:rPr>
        <w:t xml:space="preserve"> 100%</w:t>
      </w:r>
      <w:r w:rsidR="000B2721" w:rsidRPr="005728DD">
        <w:rPr>
          <w:bCs/>
        </w:rPr>
        <w:t xml:space="preserve"> </w:t>
      </w:r>
      <w:r w:rsidR="008951A8" w:rsidRPr="005728DD">
        <w:rPr>
          <w:bCs/>
        </w:rPr>
        <w:t xml:space="preserve">(see </w:t>
      </w:r>
      <w:r w:rsidR="005C56C0" w:rsidRPr="005728DD">
        <w:t xml:space="preserve">Table </w:t>
      </w:r>
      <w:r w:rsidR="005C56C0">
        <w:rPr>
          <w:noProof/>
        </w:rPr>
        <w:t>22</w:t>
      </w:r>
      <w:r w:rsidR="006F0DBC" w:rsidRPr="005728DD">
        <w:rPr>
          <w:bCs/>
        </w:rPr>
        <w:t xml:space="preserve"> </w:t>
      </w:r>
      <w:r w:rsidR="00635037" w:rsidRPr="005728DD">
        <w:rPr>
          <w:bCs/>
        </w:rPr>
        <w:t>for details)</w:t>
      </w:r>
      <w:r w:rsidR="0047137A" w:rsidRPr="005728DD">
        <w:rPr>
          <w:bCs/>
        </w:rPr>
        <w:t>. Th</w:t>
      </w:r>
      <w:r w:rsidR="008951A8" w:rsidRPr="005728DD">
        <w:rPr>
          <w:bCs/>
        </w:rPr>
        <w:t xml:space="preserve">e ESC considered this </w:t>
      </w:r>
      <w:r w:rsidR="0047137A" w:rsidRPr="005728DD">
        <w:rPr>
          <w:bCs/>
        </w:rPr>
        <w:t>was inappropriate</w:t>
      </w:r>
      <w:r w:rsidR="000038CB" w:rsidRPr="005728DD">
        <w:rPr>
          <w:bCs/>
        </w:rPr>
        <w:t xml:space="preserve"> and </w:t>
      </w:r>
      <w:r w:rsidR="00F90E14" w:rsidRPr="005728DD">
        <w:rPr>
          <w:bCs/>
        </w:rPr>
        <w:t xml:space="preserve">that </w:t>
      </w:r>
      <w:r w:rsidR="000038CB" w:rsidRPr="005728DD">
        <w:rPr>
          <w:bCs/>
        </w:rPr>
        <w:t xml:space="preserve">the use of compliance lower than in the trials </w:t>
      </w:r>
      <w:r w:rsidR="008951A8" w:rsidRPr="005728DD">
        <w:rPr>
          <w:bCs/>
        </w:rPr>
        <w:t xml:space="preserve">(which results in a lower drug cost for the treatment and comparator arms) and assuming the same treatment effect as in the trials </w:t>
      </w:r>
      <w:r w:rsidR="000038CB" w:rsidRPr="005728DD">
        <w:rPr>
          <w:bCs/>
        </w:rPr>
        <w:t xml:space="preserve">was not justified by the submission. </w:t>
      </w:r>
      <w:r w:rsidR="008951A8" w:rsidRPr="005728DD">
        <w:rPr>
          <w:bCs/>
        </w:rPr>
        <w:t xml:space="preserve">The ESC considered this biased the analysis in favour of ELX/TEZ/IVA (higher absolute reduction for costs of ELX/TEZ/IVA as it has higher cost than its comparators) as it resulted in lower costs without affecting efficacy. </w:t>
      </w:r>
    </w:p>
    <w:p w:rsidR="00243957" w:rsidRPr="005728DD" w:rsidRDefault="00840B3D" w:rsidP="00243957">
      <w:pPr>
        <w:pStyle w:val="3-BodyText"/>
        <w:rPr>
          <w:bCs/>
        </w:rPr>
      </w:pPr>
      <w:r w:rsidRPr="005728DD">
        <w:t xml:space="preserve">The submission maintained the use of </w:t>
      </w:r>
      <w:r w:rsidR="001C17E2" w:rsidRPr="005728DD">
        <w:t xml:space="preserve">utility values </w:t>
      </w:r>
      <w:r w:rsidRPr="005728DD">
        <w:t>derived from CF experts (7 Australian CF centre directors) as previously seen by the PBAC</w:t>
      </w:r>
      <w:r w:rsidR="00C964E4" w:rsidRPr="005728DD">
        <w:t xml:space="preserve"> (paragraph 6.45, </w:t>
      </w:r>
      <w:r w:rsidR="008173AE" w:rsidRPr="005728DD">
        <w:t>LUM/IVA</w:t>
      </w:r>
      <w:r w:rsidR="00C964E4" w:rsidRPr="005728DD">
        <w:t xml:space="preserve"> (age 12+), PSD, July 2018 PBAC meeting)</w:t>
      </w:r>
      <w:r w:rsidRPr="005728DD">
        <w:t xml:space="preserve">. The PBAC </w:t>
      </w:r>
      <w:r w:rsidR="00E21BCC" w:rsidRPr="005728DD">
        <w:t xml:space="preserve">previously </w:t>
      </w:r>
      <w:r w:rsidRPr="005728DD">
        <w:t>noted that the utility value applied for normal ppFEV</w:t>
      </w:r>
      <w:r w:rsidRPr="005728DD">
        <w:rPr>
          <w:vertAlign w:val="subscript"/>
        </w:rPr>
        <w:t>1</w:t>
      </w:r>
      <w:r w:rsidRPr="005728DD">
        <w:t xml:space="preserve"> was higher than </w:t>
      </w:r>
      <w:r w:rsidR="007E5A60" w:rsidRPr="005728DD">
        <w:t xml:space="preserve">the </w:t>
      </w:r>
      <w:r w:rsidRPr="005728DD">
        <w:t xml:space="preserve">general Australian population utility value. The ESC </w:t>
      </w:r>
      <w:r w:rsidR="006F0DBC" w:rsidRPr="005728DD">
        <w:t xml:space="preserve">previously </w:t>
      </w:r>
      <w:r w:rsidRPr="005728DD">
        <w:t>noted the utility weights used in the model were based on a</w:t>
      </w:r>
      <w:r w:rsidR="0030304B" w:rsidRPr="005728DD">
        <w:t xml:space="preserve"> </w:t>
      </w:r>
      <w:r w:rsidRPr="005728DD">
        <w:t xml:space="preserve">small number of clinicians completing the EQ-5D-5L </w:t>
      </w:r>
      <w:r w:rsidRPr="005728DD">
        <w:lastRenderedPageBreak/>
        <w:t>questionnaire (paragraph 6.52,</w:t>
      </w:r>
      <w:r w:rsidR="008173AE" w:rsidRPr="005728DD">
        <w:t xml:space="preserve"> LUM/IVA</w:t>
      </w:r>
      <w:r w:rsidRPr="005728DD">
        <w:t xml:space="preserve"> PSD, July 2017 PBAC meeting</w:t>
      </w:r>
      <w:r w:rsidR="008951A8" w:rsidRPr="005728DD">
        <w:t xml:space="preserve">). The ESC considered </w:t>
      </w:r>
      <w:r w:rsidR="0030304B" w:rsidRPr="005728DD">
        <w:t>that the use of proxy completion in this way was likely to exaggerate differences between health states</w:t>
      </w:r>
      <w:r w:rsidR="00FE5472" w:rsidRPr="005728DD">
        <w:t xml:space="preserve"> due to focusing effects</w:t>
      </w:r>
      <w:r w:rsidR="0030304B" w:rsidRPr="005728DD">
        <w:t>, and hence reduce the ICER</w:t>
      </w:r>
      <w:r w:rsidRPr="005728DD">
        <w:t xml:space="preserve">. </w:t>
      </w:r>
    </w:p>
    <w:p w:rsidR="00840B3D" w:rsidRPr="005728DD" w:rsidRDefault="00840B3D" w:rsidP="008F40AA">
      <w:pPr>
        <w:pStyle w:val="3-BodyText"/>
        <w:rPr>
          <w:bCs/>
        </w:rPr>
      </w:pPr>
      <w:r w:rsidRPr="005728DD">
        <w:t>The submission applied a treatment-specific utility increment of 0.08</w:t>
      </w:r>
      <w:r w:rsidR="00610213" w:rsidRPr="005728DD">
        <w:t xml:space="preserve"> obtained from F/MF patients in Study 102</w:t>
      </w:r>
      <w:r w:rsidRPr="005728DD">
        <w:t xml:space="preserve"> for those receiving ELX/TEZ/IVA</w:t>
      </w:r>
      <w:r w:rsidR="00FF3175" w:rsidRPr="005728DD">
        <w:t xml:space="preserve"> </w:t>
      </w:r>
      <w:r w:rsidR="00C50D7E" w:rsidRPr="005728DD">
        <w:t xml:space="preserve">and justified this </w:t>
      </w:r>
      <w:r w:rsidRPr="005728DD">
        <w:t xml:space="preserve">to capture the benefits of ELX/TEZ/IVA </w:t>
      </w:r>
      <w:r w:rsidR="001C2BE9" w:rsidRPr="005728DD">
        <w:t xml:space="preserve">that are not related to the impact on lung health </w:t>
      </w:r>
      <w:r w:rsidRPr="005728DD">
        <w:t>(extrapulmonary).</w:t>
      </w:r>
      <w:r w:rsidR="00FF3175" w:rsidRPr="005728DD">
        <w:t xml:space="preserve"> </w:t>
      </w:r>
      <w:r w:rsidRPr="005728DD">
        <w:rPr>
          <w:iCs/>
        </w:rPr>
        <w:t>Appl</w:t>
      </w:r>
      <w:r w:rsidR="00D22DAA" w:rsidRPr="005728DD">
        <w:rPr>
          <w:iCs/>
        </w:rPr>
        <w:t>ication of</w:t>
      </w:r>
      <w:r w:rsidRPr="005728DD">
        <w:rPr>
          <w:iCs/>
        </w:rPr>
        <w:t xml:space="preserve"> the 0.08 </w:t>
      </w:r>
      <w:r w:rsidR="00D22DAA" w:rsidRPr="005728DD">
        <w:rPr>
          <w:iCs/>
        </w:rPr>
        <w:t>increment</w:t>
      </w:r>
      <w:r w:rsidRPr="005728DD">
        <w:rPr>
          <w:iCs/>
        </w:rPr>
        <w:t xml:space="preserve"> resulted in the utility value of patients with normal lung function surpassing 1.00. In addition, the utility value of patients with mild lung function </w:t>
      </w:r>
      <w:r w:rsidR="008F4248" w:rsidRPr="005728DD">
        <w:rPr>
          <w:iCs/>
        </w:rPr>
        <w:t>bec</w:t>
      </w:r>
      <w:r w:rsidR="00BD59AC" w:rsidRPr="005728DD">
        <w:rPr>
          <w:iCs/>
        </w:rPr>
        <w:t>a</w:t>
      </w:r>
      <w:r w:rsidR="008F4248" w:rsidRPr="005728DD">
        <w:rPr>
          <w:iCs/>
        </w:rPr>
        <w:t>me</w:t>
      </w:r>
      <w:r w:rsidRPr="005728DD">
        <w:rPr>
          <w:iCs/>
        </w:rPr>
        <w:t xml:space="preserve"> 0.98, which is higher than</w:t>
      </w:r>
      <w:r w:rsidR="007E5A60" w:rsidRPr="005728DD">
        <w:rPr>
          <w:iCs/>
        </w:rPr>
        <w:t xml:space="preserve"> the</w:t>
      </w:r>
      <w:r w:rsidRPr="005728DD">
        <w:rPr>
          <w:iCs/>
        </w:rPr>
        <w:t xml:space="preserve"> Australian norm (e.g. 0.91 based on McCaffrey et al 2016). </w:t>
      </w:r>
      <w:r w:rsidR="00CA31A8" w:rsidRPr="005728DD">
        <w:t>The ESC considered</w:t>
      </w:r>
      <w:r w:rsidR="00CA31A8" w:rsidRPr="005728DD">
        <w:rPr>
          <w:iCs/>
        </w:rPr>
        <w:t xml:space="preserve"> </w:t>
      </w:r>
      <w:r w:rsidRPr="005728DD">
        <w:rPr>
          <w:iCs/>
        </w:rPr>
        <w:t xml:space="preserve">applying a treatment specific increment in utility was inappropriate </w:t>
      </w:r>
      <w:r w:rsidR="00600F8E" w:rsidRPr="005728DD">
        <w:rPr>
          <w:iCs/>
        </w:rPr>
        <w:t>and bias</w:t>
      </w:r>
      <w:r w:rsidR="00BD59AC" w:rsidRPr="005728DD">
        <w:rPr>
          <w:iCs/>
        </w:rPr>
        <w:t>ed the analysis</w:t>
      </w:r>
      <w:r w:rsidR="00600F8E" w:rsidRPr="005728DD">
        <w:rPr>
          <w:iCs/>
        </w:rPr>
        <w:t xml:space="preserve"> in </w:t>
      </w:r>
      <w:r w:rsidR="00D22238" w:rsidRPr="005728DD">
        <w:rPr>
          <w:iCs/>
        </w:rPr>
        <w:t>favour</w:t>
      </w:r>
      <w:r w:rsidR="00600F8E" w:rsidRPr="005728DD">
        <w:rPr>
          <w:iCs/>
        </w:rPr>
        <w:t xml:space="preserve"> of ELX/TEZ/IVA. </w:t>
      </w:r>
      <w:r w:rsidR="00733D0D" w:rsidRPr="005728DD">
        <w:rPr>
          <w:iCs/>
        </w:rPr>
        <w:t>The pre-PBAC response defended</w:t>
      </w:r>
      <w:r w:rsidR="00725A99" w:rsidRPr="005728DD">
        <w:rPr>
          <w:iCs/>
        </w:rPr>
        <w:t xml:space="preserve"> the applic</w:t>
      </w:r>
      <w:r w:rsidR="00CC3C4C" w:rsidRPr="005728DD">
        <w:rPr>
          <w:iCs/>
        </w:rPr>
        <w:t>ation of the utility increment a</w:t>
      </w:r>
      <w:r w:rsidR="00725A99" w:rsidRPr="005728DD">
        <w:rPr>
          <w:iCs/>
        </w:rPr>
        <w:t>s methodologically appropriate, evidence-based and consistent with the consumer feedback provided to the PBAC. However, to expedite access to ELX/TEZ/IVA and align with previous PBAC decision making, the pre-PBAC response accepted removal of the utility increment from the analysis</w:t>
      </w:r>
      <w:r w:rsidR="00327C06" w:rsidRPr="005728DD">
        <w:rPr>
          <w:iCs/>
        </w:rPr>
        <w:t xml:space="preserve">. </w:t>
      </w:r>
      <w:r w:rsidR="00CC3C4C" w:rsidRPr="005728DD">
        <w:rPr>
          <w:iCs/>
        </w:rPr>
        <w:t xml:space="preserve">The pre-PBAC response reduced </w:t>
      </w:r>
      <w:r w:rsidR="00327C06" w:rsidRPr="005728DD">
        <w:rPr>
          <w:iCs/>
        </w:rPr>
        <w:t>the</w:t>
      </w:r>
      <w:r w:rsidR="00F3025A" w:rsidRPr="005728DD">
        <w:rPr>
          <w:iCs/>
        </w:rPr>
        <w:t xml:space="preserve"> requested</w:t>
      </w:r>
      <w:r w:rsidR="00327C06" w:rsidRPr="005728DD">
        <w:rPr>
          <w:iCs/>
        </w:rPr>
        <w:t xml:space="preserve"> </w:t>
      </w:r>
      <w:r w:rsidR="00CC3C4C" w:rsidRPr="005728DD">
        <w:rPr>
          <w:iCs/>
        </w:rPr>
        <w:t>effective price of ELX/TEZ/IVA from $</w:t>
      </w:r>
      <w:r w:rsidR="00967E09">
        <w:rPr>
          <w:iCs/>
          <w:noProof/>
          <w:color w:val="000000"/>
          <w:highlight w:val="black"/>
        </w:rPr>
        <w:t>''''''''''''</w:t>
      </w:r>
      <w:r w:rsidR="00CC3C4C" w:rsidRPr="005728DD">
        <w:rPr>
          <w:iCs/>
        </w:rPr>
        <w:t xml:space="preserve"> to $</w:t>
      </w:r>
      <w:r w:rsidR="00967E09">
        <w:rPr>
          <w:iCs/>
          <w:noProof/>
          <w:color w:val="000000"/>
          <w:highlight w:val="black"/>
        </w:rPr>
        <w:t>''''''''''''</w:t>
      </w:r>
      <w:r w:rsidR="00327C06" w:rsidRPr="005728DD">
        <w:rPr>
          <w:iCs/>
        </w:rPr>
        <w:t xml:space="preserve"> </w:t>
      </w:r>
      <w:r w:rsidR="00CC3C4C" w:rsidRPr="005728DD">
        <w:rPr>
          <w:iCs/>
        </w:rPr>
        <w:t xml:space="preserve">per pack </w:t>
      </w:r>
      <w:r w:rsidR="00F3025A" w:rsidRPr="005728DD">
        <w:rPr>
          <w:iCs/>
        </w:rPr>
        <w:t>which resulted in</w:t>
      </w:r>
      <w:r w:rsidR="00CC3C4C" w:rsidRPr="005728DD">
        <w:rPr>
          <w:iCs/>
        </w:rPr>
        <w:t xml:space="preserve"> </w:t>
      </w:r>
      <w:r w:rsidR="00327C06" w:rsidRPr="005728DD">
        <w:rPr>
          <w:iCs/>
        </w:rPr>
        <w:t>the ICER</w:t>
      </w:r>
      <w:r w:rsidR="00F3025A" w:rsidRPr="005728DD">
        <w:rPr>
          <w:iCs/>
        </w:rPr>
        <w:t xml:space="preserve"> for the base case as presented in the submission</w:t>
      </w:r>
      <w:r w:rsidR="00CC3C4C" w:rsidRPr="005728DD">
        <w:rPr>
          <w:iCs/>
        </w:rPr>
        <w:t xml:space="preserve"> remain</w:t>
      </w:r>
      <w:r w:rsidR="00476314" w:rsidRPr="005728DD">
        <w:rPr>
          <w:iCs/>
        </w:rPr>
        <w:t>ing</w:t>
      </w:r>
      <w:r w:rsidR="00CC3C4C" w:rsidRPr="005728DD">
        <w:rPr>
          <w:iCs/>
        </w:rPr>
        <w:t xml:space="preserve"> at</w:t>
      </w:r>
      <w:r w:rsidR="00327C06" w:rsidRPr="005728DD">
        <w:rPr>
          <w:iCs/>
        </w:rPr>
        <w:t xml:space="preserve"> </w:t>
      </w:r>
      <w:r w:rsidR="008F40AA" w:rsidRPr="008F40AA">
        <w:rPr>
          <w:iCs/>
        </w:rPr>
        <w:t>$155,000 to &lt; $255,000</w:t>
      </w:r>
      <w:r w:rsidR="00327C06" w:rsidRPr="005728DD">
        <w:rPr>
          <w:iCs/>
        </w:rPr>
        <w:t>/QALY.</w:t>
      </w:r>
    </w:p>
    <w:p w:rsidR="00737EE8" w:rsidRPr="005728DD" w:rsidRDefault="00E551F3" w:rsidP="00E551F3">
      <w:pPr>
        <w:pStyle w:val="3-BodyText"/>
      </w:pPr>
      <w:r w:rsidRPr="005728DD">
        <w:t>The submission applied the time to loss of exclusivity (LoE)</w:t>
      </w:r>
      <w:r w:rsidR="00063210" w:rsidRPr="005728DD">
        <w:t xml:space="preserve"> of </w:t>
      </w:r>
      <w:r w:rsidR="00967E09">
        <w:rPr>
          <w:noProof/>
          <w:color w:val="000000"/>
          <w:highlight w:val="black"/>
        </w:rPr>
        <w:t>''''''''''</w:t>
      </w:r>
      <w:r w:rsidR="00063210" w:rsidRPr="005728DD">
        <w:t xml:space="preserve"> years for ELX/TEZ/IVA and </w:t>
      </w:r>
      <w:r w:rsidR="00967E09">
        <w:rPr>
          <w:noProof/>
          <w:color w:val="000000"/>
          <w:highlight w:val="black"/>
        </w:rPr>
        <w:t>'''''''''''</w:t>
      </w:r>
      <w:r w:rsidRPr="005728DD">
        <w:t xml:space="preserve"> </w:t>
      </w:r>
      <w:r w:rsidR="00063210" w:rsidRPr="005728DD">
        <w:t xml:space="preserve">years for TEZ/IVA </w:t>
      </w:r>
      <w:r w:rsidRPr="005728DD">
        <w:t xml:space="preserve">and assumed </w:t>
      </w:r>
      <w:r w:rsidR="007E5A60" w:rsidRPr="005728DD">
        <w:t xml:space="preserve">a </w:t>
      </w:r>
      <w:r w:rsidRPr="005728DD">
        <w:t xml:space="preserve">price reduction due to generic entry into this market. </w:t>
      </w:r>
      <w:r w:rsidR="00107FD7" w:rsidRPr="005728DD">
        <w:t>The submission claimed that a</w:t>
      </w:r>
      <w:r w:rsidRPr="005728DD">
        <w:t>fter LoE and the entry of generic products into this market, these medications will decrease in price compared to the original CFTR modulator’s effective prices by 90%. Applying price decreases due to LoE was previously considered inappropriate by the PBAC (paragraph 6.</w:t>
      </w:r>
      <w:r w:rsidR="00CC4A0D" w:rsidRPr="005728DD">
        <w:t>52</w:t>
      </w:r>
      <w:r w:rsidRPr="005728DD">
        <w:t xml:space="preserve">, </w:t>
      </w:r>
      <w:r w:rsidR="008173AE" w:rsidRPr="005728DD">
        <w:t>LUM/IVA</w:t>
      </w:r>
      <w:r w:rsidRPr="005728DD">
        <w:t xml:space="preserve"> PSD, July 2018 PBAC meeting). </w:t>
      </w:r>
      <w:r w:rsidR="00214711" w:rsidRPr="005728DD">
        <w:t>This bias</w:t>
      </w:r>
      <w:r w:rsidR="00BD59AC" w:rsidRPr="005728DD">
        <w:t>ed the analysis</w:t>
      </w:r>
      <w:r w:rsidR="00214711" w:rsidRPr="005728DD">
        <w:t xml:space="preserve"> in </w:t>
      </w:r>
      <w:r w:rsidR="00D22238" w:rsidRPr="005728DD">
        <w:t>favour</w:t>
      </w:r>
      <w:r w:rsidR="00214711" w:rsidRPr="005728DD">
        <w:t xml:space="preserve"> of ELX/TEZ/IVA. </w:t>
      </w:r>
      <w:r w:rsidRPr="005728DD">
        <w:t xml:space="preserve">The </w:t>
      </w:r>
      <w:r w:rsidR="00C9632F" w:rsidRPr="005728DD">
        <w:t xml:space="preserve">ESC </w:t>
      </w:r>
      <w:r w:rsidR="00E66F4C" w:rsidRPr="005728DD">
        <w:t xml:space="preserve">reiterated </w:t>
      </w:r>
      <w:r w:rsidR="00C9632F" w:rsidRPr="005728DD">
        <w:t xml:space="preserve">the </w:t>
      </w:r>
      <w:r w:rsidRPr="005728DD">
        <w:t xml:space="preserve">model should apply the proposed prices for the </w:t>
      </w:r>
      <w:r w:rsidR="00500663" w:rsidRPr="005728DD">
        <w:t>entire time</w:t>
      </w:r>
      <w:r w:rsidR="000A20C0" w:rsidRPr="005728DD">
        <w:t xml:space="preserve"> horizon</w:t>
      </w:r>
      <w:r w:rsidRPr="005728DD">
        <w:t>.</w:t>
      </w:r>
      <w:r w:rsidR="00214711" w:rsidRPr="005728DD">
        <w:t xml:space="preserve"> </w:t>
      </w:r>
    </w:p>
    <w:p w:rsidR="00832F01" w:rsidRPr="005728DD" w:rsidRDefault="00710285" w:rsidP="00F61B97">
      <w:pPr>
        <w:pStyle w:val="3-BodyText"/>
      </w:pPr>
      <w:r w:rsidRPr="005728DD">
        <w:t xml:space="preserve">The </w:t>
      </w:r>
      <w:r w:rsidR="00B75ECB" w:rsidRPr="005728DD">
        <w:t xml:space="preserve">traces of </w:t>
      </w:r>
      <w:r w:rsidR="00854C14" w:rsidRPr="005728DD">
        <w:t>overall survival</w:t>
      </w:r>
      <w:r w:rsidR="00DE63F7" w:rsidRPr="005728DD">
        <w:t xml:space="preserve"> from the economic model</w:t>
      </w:r>
      <w:r w:rsidR="00B75ECB" w:rsidRPr="005728DD">
        <w:t xml:space="preserve"> </w:t>
      </w:r>
      <w:r w:rsidR="00F51A84" w:rsidRPr="005728DD">
        <w:t>for F/F, F/RF and F/MF p</w:t>
      </w:r>
      <w:r w:rsidR="006D21B6" w:rsidRPr="005728DD">
        <w:t>opulation</w:t>
      </w:r>
      <w:r w:rsidR="00632514" w:rsidRPr="005728DD">
        <w:t xml:space="preserve"> </w:t>
      </w:r>
      <w:r w:rsidR="00B75ECB" w:rsidRPr="005728DD">
        <w:t xml:space="preserve">as presented in </w:t>
      </w:r>
      <w:r w:rsidR="00E1386C" w:rsidRPr="005728DD">
        <w:t>the submission are in Figure 4 to Figure 6</w:t>
      </w:r>
      <w:r w:rsidR="00F223E4" w:rsidRPr="005728DD">
        <w:t xml:space="preserve">. </w:t>
      </w:r>
    </w:p>
    <w:p w:rsidR="00F51A84" w:rsidRPr="005728DD" w:rsidRDefault="00F51A84" w:rsidP="00F51A84">
      <w:pPr>
        <w:jc w:val="left"/>
        <w:rPr>
          <w:rFonts w:ascii="Arial Narrow" w:hAnsi="Arial Narrow"/>
          <w:b/>
          <w:bCs/>
          <w:sz w:val="20"/>
          <w:szCs w:val="20"/>
        </w:rPr>
      </w:pPr>
    </w:p>
    <w:p w:rsidR="00E1386C" w:rsidRPr="005728DD" w:rsidRDefault="00E1386C" w:rsidP="00E1386C">
      <w:pPr>
        <w:pStyle w:val="Caption"/>
      </w:pPr>
      <w:r w:rsidRPr="005728DD">
        <w:lastRenderedPageBreak/>
        <w:t xml:space="preserve">Figure </w:t>
      </w:r>
      <w:r w:rsidR="005C56C0">
        <w:rPr>
          <w:noProof/>
        </w:rPr>
        <w:t>4</w:t>
      </w:r>
      <w:r w:rsidRPr="005728DD">
        <w:t>: Overall survival predicted from the model between ELX/TEZ/IVA and TEZ/IVA and in F/F patients.</w:t>
      </w:r>
    </w:p>
    <w:p w:rsidR="00F51A84" w:rsidRPr="005728DD" w:rsidRDefault="00F51A84" w:rsidP="00F51A84">
      <w:pPr>
        <w:jc w:val="center"/>
        <w:rPr>
          <w:color w:val="3366FF"/>
        </w:rPr>
      </w:pPr>
      <w:r w:rsidRPr="005728DD">
        <w:rPr>
          <w:rFonts w:ascii="Arial Narrow" w:hAnsi="Arial Narrow"/>
          <w:noProof/>
          <w:sz w:val="18"/>
          <w:szCs w:val="20"/>
        </w:rPr>
        <w:drawing>
          <wp:inline distT="0" distB="0" distL="0" distR="0" wp14:anchorId="58457B08" wp14:editId="7F4696FB">
            <wp:extent cx="3928110" cy="2607945"/>
            <wp:effectExtent l="0" t="0" r="0" b="0"/>
            <wp:docPr id="30" name="Chart 30" title="Figure 4: Overall survival predicted from the model between ELX/TEZ/IVA and TEZ/IVA and in F/F patients.">
              <a:extLst xmlns:a="http://schemas.openxmlformats.org/drawingml/2006/main">
                <a:ext uri="{FF2B5EF4-FFF2-40B4-BE49-F238E27FC236}">
                  <a16:creationId xmlns:a16="http://schemas.microsoft.com/office/drawing/2014/main" id="{7136E949-8077-4D65-AD85-E06CB87DD0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1A84" w:rsidRPr="005728DD" w:rsidRDefault="00F51A84" w:rsidP="00F51A84">
      <w:pPr>
        <w:pStyle w:val="TableFigureFooter"/>
      </w:pPr>
      <w:r w:rsidRPr="005728DD">
        <w:t xml:space="preserve">Source: Developed during the evaluation based on sheet ‘results’ of the economic model worksheet </w:t>
      </w:r>
    </w:p>
    <w:p w:rsidR="00F51A84" w:rsidRPr="005728DD" w:rsidRDefault="00F51A84" w:rsidP="00F51A84">
      <w:pPr>
        <w:pStyle w:val="TableFigureFooter"/>
      </w:pPr>
      <w:r w:rsidRPr="005728DD">
        <w:t>Abbreviations: BSC = best supportive care; ELX/TEZ/IVA = elexacaftor/tezacaftor/ivacaftor; F/F = homozygous for F508del-CFTR mutations; TEZ/IVA = tezacaftor/ivacaftor</w:t>
      </w:r>
    </w:p>
    <w:p w:rsidR="00721DC1" w:rsidRPr="005728DD" w:rsidRDefault="00721DC1">
      <w:pPr>
        <w:jc w:val="left"/>
        <w:rPr>
          <w:rFonts w:ascii="Arial Narrow" w:hAnsi="Arial Narrow"/>
          <w:b/>
          <w:bCs/>
          <w:sz w:val="20"/>
          <w:szCs w:val="20"/>
        </w:rPr>
      </w:pPr>
    </w:p>
    <w:p w:rsidR="00E1386C" w:rsidRPr="005728DD" w:rsidRDefault="00E1386C" w:rsidP="00E1386C">
      <w:pPr>
        <w:pStyle w:val="Caption"/>
      </w:pPr>
      <w:r w:rsidRPr="005728DD">
        <w:t xml:space="preserve">Figure </w:t>
      </w:r>
      <w:r w:rsidR="005C56C0">
        <w:rPr>
          <w:noProof/>
        </w:rPr>
        <w:t>5</w:t>
      </w:r>
      <w:r w:rsidRPr="005728DD">
        <w:t>: Overall survival predicted from the model between ELX/TEZ/IVA and TEZ/IVA in F/RF patients.</w:t>
      </w:r>
    </w:p>
    <w:p w:rsidR="00F51A84" w:rsidRPr="005728DD" w:rsidRDefault="00F51A84" w:rsidP="00F51A84">
      <w:pPr>
        <w:jc w:val="center"/>
        <w:rPr>
          <w:rFonts w:ascii="Arial Narrow" w:hAnsi="Arial Narrow"/>
          <w:color w:val="3366FF"/>
          <w:sz w:val="20"/>
          <w:szCs w:val="20"/>
        </w:rPr>
      </w:pPr>
      <w:r w:rsidRPr="005728DD">
        <w:rPr>
          <w:rFonts w:ascii="Arial Narrow" w:hAnsi="Arial Narrow"/>
          <w:noProof/>
          <w:sz w:val="20"/>
          <w:szCs w:val="20"/>
        </w:rPr>
        <w:drawing>
          <wp:inline distT="0" distB="0" distL="0" distR="0" wp14:anchorId="633D6D82" wp14:editId="2E97360F">
            <wp:extent cx="4141275" cy="2266315"/>
            <wp:effectExtent l="0" t="0" r="0" b="635"/>
            <wp:docPr id="31" name="Chart 31" title="Figure 5: Overall survival predicted from the model between ELX/TEZ/IVA and TEZ/IVA in F/RF patients.">
              <a:extLst xmlns:a="http://schemas.openxmlformats.org/drawingml/2006/main">
                <a:ext uri="{FF2B5EF4-FFF2-40B4-BE49-F238E27FC236}">
                  <a16:creationId xmlns:a16="http://schemas.microsoft.com/office/drawing/2014/main" id="{6C115C47-0A15-4EF2-96D1-1B5C9D4CB4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1A84" w:rsidRPr="005728DD" w:rsidRDefault="00F51A84" w:rsidP="00F51A84">
      <w:pPr>
        <w:pStyle w:val="TableFigureFooter"/>
      </w:pPr>
      <w:r w:rsidRPr="005728DD">
        <w:t xml:space="preserve">Source: Developed during the evaluation based on sheet ‘results’ of the economic model worksheet </w:t>
      </w:r>
    </w:p>
    <w:p w:rsidR="00F51A84" w:rsidRPr="005728DD" w:rsidRDefault="00F51A84" w:rsidP="00F51A84">
      <w:pPr>
        <w:pStyle w:val="TableFigureFooter"/>
      </w:pPr>
      <w:r w:rsidRPr="005728DD">
        <w:t>Abbreviations: BSC = best supportive care; ELX/TEZ/IVA = elexacaftor/tezacaftor/ivacaftor; F/RF = heterozygous for F508del-CFTR with a second residual function mutation; TEZ/IVA = tezacaftor/ivacaftor</w:t>
      </w:r>
    </w:p>
    <w:p w:rsidR="00F51A84" w:rsidRPr="005728DD" w:rsidRDefault="00F51A84" w:rsidP="00F51A84">
      <w:pPr>
        <w:jc w:val="left"/>
        <w:rPr>
          <w:rFonts w:ascii="Arial Narrow" w:hAnsi="Arial Narrow"/>
          <w:b/>
          <w:bCs/>
          <w:sz w:val="20"/>
          <w:szCs w:val="20"/>
        </w:rPr>
      </w:pPr>
    </w:p>
    <w:p w:rsidR="00E1386C" w:rsidRPr="005728DD" w:rsidRDefault="00E1386C" w:rsidP="00E1386C">
      <w:pPr>
        <w:pStyle w:val="Caption"/>
      </w:pPr>
      <w:r w:rsidRPr="005728DD">
        <w:lastRenderedPageBreak/>
        <w:t xml:space="preserve">Figure </w:t>
      </w:r>
      <w:r w:rsidR="005C56C0">
        <w:rPr>
          <w:noProof/>
        </w:rPr>
        <w:t>6</w:t>
      </w:r>
      <w:r w:rsidRPr="005728DD">
        <w:t>: Overall survival predicted from the model between ELX/TEZ/IVA and BSC in F/MF patients.</w:t>
      </w:r>
    </w:p>
    <w:p w:rsidR="00F51A84" w:rsidRPr="005728DD" w:rsidRDefault="00F51A84" w:rsidP="00F51A84">
      <w:pPr>
        <w:jc w:val="center"/>
      </w:pPr>
      <w:r w:rsidRPr="005728DD">
        <w:rPr>
          <w:noProof/>
        </w:rPr>
        <w:drawing>
          <wp:inline distT="0" distB="0" distL="0" distR="0" wp14:anchorId="5B1148FC" wp14:editId="4129C40A">
            <wp:extent cx="4230370" cy="2345690"/>
            <wp:effectExtent l="0" t="0" r="0" b="0"/>
            <wp:docPr id="32" name="Chart 32" title="Figure 6: Overall survival predicted from the model between ELX/TEZ/IVA and BSC in F/MF patients.">
              <a:extLst xmlns:a="http://schemas.openxmlformats.org/drawingml/2006/main">
                <a:ext uri="{FF2B5EF4-FFF2-40B4-BE49-F238E27FC236}">
                  <a16:creationId xmlns:a16="http://schemas.microsoft.com/office/drawing/2014/main" id="{D226395A-175A-40D9-9273-5486A3F9F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1A84" w:rsidRPr="005728DD" w:rsidRDefault="00F51A84" w:rsidP="00F51A84">
      <w:pPr>
        <w:pStyle w:val="TableFigureFooter"/>
      </w:pPr>
      <w:r w:rsidRPr="005728DD">
        <w:t xml:space="preserve">Source: Developed during the evaluation based on sheet ‘results’ of the economic model worksheet </w:t>
      </w:r>
    </w:p>
    <w:p w:rsidR="00F51A84" w:rsidRPr="005728DD" w:rsidRDefault="00F51A84" w:rsidP="00F51A84">
      <w:pPr>
        <w:pStyle w:val="TableFigureFooter"/>
      </w:pPr>
      <w:r w:rsidRPr="005728DD">
        <w:t>Abbreviations: BSC = best supportive care; ELX/TEZ/IVA = elexacaftor/tezacaftor/ivacaftor; F/MF = heterozygous for F508del-CFTR mutation with a second minimal function allele</w:t>
      </w:r>
    </w:p>
    <w:p w:rsidR="00F51A84" w:rsidRPr="005728DD" w:rsidRDefault="00F51A84" w:rsidP="00F51A84">
      <w:pPr>
        <w:pStyle w:val="3-BodyText"/>
        <w:numPr>
          <w:ilvl w:val="0"/>
          <w:numId w:val="0"/>
        </w:numPr>
      </w:pPr>
    </w:p>
    <w:p w:rsidR="00AE48B2" w:rsidRPr="005728DD" w:rsidRDefault="00F223E4" w:rsidP="009B5B9C">
      <w:pPr>
        <w:pStyle w:val="3-BodyText"/>
      </w:pPr>
      <w:r w:rsidRPr="005728DD">
        <w:t xml:space="preserve">The submission did not </w:t>
      </w:r>
      <w:r w:rsidR="007D2188" w:rsidRPr="005728DD">
        <w:t xml:space="preserve">adequately </w:t>
      </w:r>
      <w:r w:rsidRPr="005728DD">
        <w:t xml:space="preserve">validate the long-term survival of CF patients as presented within the economic model. </w:t>
      </w:r>
      <w:r w:rsidR="0093227F" w:rsidRPr="005728DD">
        <w:t xml:space="preserve">It was also unclear </w:t>
      </w:r>
      <w:r w:rsidRPr="005728DD">
        <w:t xml:space="preserve">how </w:t>
      </w:r>
      <w:r w:rsidR="00AE0849" w:rsidRPr="005728DD">
        <w:t>the submission</w:t>
      </w:r>
      <w:r w:rsidR="0093227F" w:rsidRPr="005728DD">
        <w:t xml:space="preserve"> derive</w:t>
      </w:r>
      <w:r w:rsidRPr="005728DD">
        <w:t>d</w:t>
      </w:r>
      <w:r w:rsidR="0093227F" w:rsidRPr="005728DD">
        <w:t xml:space="preserve"> </w:t>
      </w:r>
      <w:r w:rsidR="00F221FA" w:rsidRPr="005728DD">
        <w:t>different baseline survival</w:t>
      </w:r>
      <w:r w:rsidR="00904ACE" w:rsidRPr="005728DD">
        <w:t xml:space="preserve"> </w:t>
      </w:r>
      <w:r w:rsidRPr="005728DD">
        <w:t xml:space="preserve">curves </w:t>
      </w:r>
      <w:r w:rsidR="00904ACE" w:rsidRPr="005728DD">
        <w:t>for</w:t>
      </w:r>
      <w:r w:rsidR="008F4248" w:rsidRPr="005728DD">
        <w:t xml:space="preserve"> BSC across </w:t>
      </w:r>
      <w:r w:rsidRPr="005728DD">
        <w:t xml:space="preserve">the relevant </w:t>
      </w:r>
      <w:r w:rsidR="008F4248" w:rsidRPr="005728DD">
        <w:t>popu</w:t>
      </w:r>
      <w:r w:rsidR="0093227F" w:rsidRPr="005728DD">
        <w:t>lation</w:t>
      </w:r>
      <w:r w:rsidR="00CB21A7" w:rsidRPr="005728DD">
        <w:t>s</w:t>
      </w:r>
      <w:r w:rsidR="0093227F" w:rsidRPr="005728DD">
        <w:t xml:space="preserve"> </w:t>
      </w:r>
      <w:r w:rsidR="00BB540D" w:rsidRPr="005728DD">
        <w:t xml:space="preserve">given that the </w:t>
      </w:r>
      <w:r w:rsidR="0093227F" w:rsidRPr="005728DD">
        <w:t>Irish cohort</w:t>
      </w:r>
      <w:r w:rsidR="00BB540D" w:rsidRPr="005728DD">
        <w:t xml:space="preserve"> reported the overall survival of CF patients (not by population)</w:t>
      </w:r>
      <w:r w:rsidR="0093227F" w:rsidRPr="005728DD">
        <w:t>.</w:t>
      </w:r>
    </w:p>
    <w:p w:rsidR="00801F6A" w:rsidRPr="005728DD" w:rsidRDefault="00801F6A" w:rsidP="00BB00B3">
      <w:pPr>
        <w:pStyle w:val="3-BodyText"/>
      </w:pPr>
      <w:r w:rsidRPr="005728DD">
        <w:t xml:space="preserve">A summary of the key drivers of the model is presented in the </w:t>
      </w:r>
      <w:r w:rsidR="005C56C0" w:rsidRPr="005728DD">
        <w:t xml:space="preserve">Table </w:t>
      </w:r>
      <w:r w:rsidR="005C56C0">
        <w:rPr>
          <w:noProof/>
        </w:rPr>
        <w:t>17</w:t>
      </w:r>
      <w:r w:rsidRPr="005728DD">
        <w:t>.</w:t>
      </w:r>
    </w:p>
    <w:p w:rsidR="00D110BD" w:rsidRPr="005728DD" w:rsidRDefault="006E0118" w:rsidP="00E1386C">
      <w:pPr>
        <w:pStyle w:val="Caption"/>
        <w:spacing w:after="0"/>
        <w:rPr>
          <w:rStyle w:val="CommentReference"/>
          <w:b/>
          <w:szCs w:val="20"/>
        </w:rPr>
      </w:pPr>
      <w:bookmarkStart w:id="39" w:name="_Ref64497636"/>
      <w:r w:rsidRPr="005728DD">
        <w:t xml:space="preserve">Table </w:t>
      </w:r>
      <w:r w:rsidR="005C56C0">
        <w:rPr>
          <w:noProof/>
        </w:rPr>
        <w:t>17</w:t>
      </w:r>
      <w:bookmarkEnd w:id="39"/>
      <w:r w:rsidR="00D110BD" w:rsidRPr="005728DD">
        <w:rPr>
          <w:rStyle w:val="CommentReference"/>
          <w:b/>
          <w:szCs w:val="24"/>
        </w:rPr>
        <w:t>: Key drivers of the model</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90"/>
        <w:gridCol w:w="3802"/>
        <w:gridCol w:w="4476"/>
      </w:tblGrid>
      <w:tr w:rsidR="00167A6C" w:rsidRPr="005728DD" w:rsidTr="00167A6C">
        <w:trPr>
          <w:tblHeader/>
        </w:trPr>
        <w:tc>
          <w:tcPr>
            <w:tcW w:w="582" w:type="pct"/>
            <w:shd w:val="clear" w:color="auto" w:fill="auto"/>
            <w:vAlign w:val="center"/>
          </w:tcPr>
          <w:p w:rsidR="00167A6C" w:rsidRPr="005728DD" w:rsidRDefault="00167A6C" w:rsidP="000664F3">
            <w:pPr>
              <w:pStyle w:val="In-tableHeading"/>
              <w:jc w:val="center"/>
              <w:rPr>
                <w:lang w:val="en-AU"/>
              </w:rPr>
            </w:pPr>
            <w:r w:rsidRPr="005728DD">
              <w:rPr>
                <w:lang w:val="en-AU"/>
              </w:rPr>
              <w:t>Description</w:t>
            </w:r>
          </w:p>
        </w:tc>
        <w:tc>
          <w:tcPr>
            <w:tcW w:w="2029" w:type="pct"/>
            <w:shd w:val="clear" w:color="auto" w:fill="auto"/>
            <w:vAlign w:val="center"/>
          </w:tcPr>
          <w:p w:rsidR="00167A6C" w:rsidRPr="005728DD" w:rsidRDefault="00167A6C" w:rsidP="000664F3">
            <w:pPr>
              <w:pStyle w:val="In-tableHeading"/>
              <w:jc w:val="center"/>
              <w:rPr>
                <w:lang w:val="en-AU"/>
              </w:rPr>
            </w:pPr>
            <w:r w:rsidRPr="005728DD">
              <w:rPr>
                <w:lang w:val="en-AU"/>
              </w:rPr>
              <w:t>Method/Value</w:t>
            </w:r>
          </w:p>
        </w:tc>
        <w:tc>
          <w:tcPr>
            <w:tcW w:w="2389" w:type="pct"/>
            <w:shd w:val="clear" w:color="auto" w:fill="auto"/>
            <w:vAlign w:val="center"/>
          </w:tcPr>
          <w:p w:rsidR="00167A6C" w:rsidRPr="005728DD" w:rsidRDefault="00167A6C" w:rsidP="00EE243D">
            <w:pPr>
              <w:pStyle w:val="In-tableHeading"/>
              <w:jc w:val="center"/>
              <w:rPr>
                <w:lang w:val="en-AU"/>
              </w:rPr>
            </w:pPr>
            <w:r w:rsidRPr="005728DD">
              <w:rPr>
                <w:lang w:val="en-AU"/>
              </w:rPr>
              <w:t>Impact</w:t>
            </w:r>
          </w:p>
          <w:p w:rsidR="00167A6C" w:rsidRPr="005728DD" w:rsidRDefault="00167A6C" w:rsidP="00014EFB">
            <w:pPr>
              <w:pStyle w:val="In-tableHeading"/>
              <w:rPr>
                <w:lang w:val="en-AU"/>
              </w:rPr>
            </w:pPr>
          </w:p>
        </w:tc>
      </w:tr>
      <w:tr w:rsidR="00167A6C" w:rsidRPr="005728DD" w:rsidTr="00167A6C">
        <w:tc>
          <w:tcPr>
            <w:tcW w:w="582" w:type="pct"/>
            <w:shd w:val="clear" w:color="auto" w:fill="auto"/>
            <w:vAlign w:val="center"/>
          </w:tcPr>
          <w:p w:rsidR="00167A6C" w:rsidRPr="005728DD" w:rsidRDefault="00167A6C" w:rsidP="00236441">
            <w:pPr>
              <w:pStyle w:val="TableText0"/>
            </w:pPr>
            <w:r w:rsidRPr="005728DD">
              <w:t>LoE</w:t>
            </w:r>
          </w:p>
        </w:tc>
        <w:tc>
          <w:tcPr>
            <w:tcW w:w="2029" w:type="pct"/>
            <w:shd w:val="clear" w:color="auto" w:fill="auto"/>
            <w:vAlign w:val="center"/>
          </w:tcPr>
          <w:p w:rsidR="00167A6C" w:rsidRPr="005728DD" w:rsidRDefault="00167A6C" w:rsidP="00236441">
            <w:pPr>
              <w:pStyle w:val="TableText0"/>
            </w:pPr>
            <w:r w:rsidRPr="005728DD">
              <w:t xml:space="preserve">Loss of exclusivity (LoE) of </w:t>
            </w:r>
            <w:r w:rsidR="00967E09">
              <w:rPr>
                <w:noProof/>
                <w:color w:val="000000"/>
                <w:highlight w:val="black"/>
              </w:rPr>
              <w:t>'''''''''''''''</w:t>
            </w:r>
            <w:r w:rsidRPr="005728DD">
              <w:t xml:space="preserve"> years for ELX/TEZ/IVA and </w:t>
            </w:r>
            <w:r w:rsidR="00967E09">
              <w:rPr>
                <w:noProof/>
                <w:color w:val="000000"/>
                <w:highlight w:val="black"/>
              </w:rPr>
              <w:t>'''''''''''''''</w:t>
            </w:r>
            <w:r w:rsidRPr="005728DD">
              <w:t xml:space="preserve"> years for TEZ/IVA, then prices of drug drop by 90%.</w:t>
            </w:r>
          </w:p>
        </w:tc>
        <w:tc>
          <w:tcPr>
            <w:tcW w:w="2389" w:type="pct"/>
            <w:shd w:val="clear" w:color="auto" w:fill="auto"/>
            <w:vAlign w:val="center"/>
          </w:tcPr>
          <w:p w:rsidR="00167A6C" w:rsidRPr="005728DD" w:rsidRDefault="00167A6C" w:rsidP="00E43DAA">
            <w:pPr>
              <w:pStyle w:val="TableText0"/>
            </w:pPr>
            <w:r w:rsidRPr="005728DD">
              <w:t xml:space="preserve">High, favours ELX/TEZ/IVA, removing LoE increased the ICERs </w:t>
            </w:r>
          </w:p>
        </w:tc>
      </w:tr>
      <w:tr w:rsidR="00167A6C" w:rsidRPr="005728DD" w:rsidTr="00167A6C">
        <w:tc>
          <w:tcPr>
            <w:tcW w:w="582" w:type="pct"/>
            <w:shd w:val="clear" w:color="auto" w:fill="auto"/>
            <w:vAlign w:val="center"/>
          </w:tcPr>
          <w:p w:rsidR="00167A6C" w:rsidRPr="005728DD" w:rsidRDefault="00167A6C" w:rsidP="00EE243D">
            <w:pPr>
              <w:pStyle w:val="TableText0"/>
            </w:pPr>
            <w:r w:rsidRPr="005728DD">
              <w:t>Time horizon</w:t>
            </w:r>
          </w:p>
        </w:tc>
        <w:tc>
          <w:tcPr>
            <w:tcW w:w="2029" w:type="pct"/>
            <w:shd w:val="clear" w:color="auto" w:fill="auto"/>
            <w:vAlign w:val="center"/>
          </w:tcPr>
          <w:p w:rsidR="00167A6C" w:rsidRPr="005728DD" w:rsidRDefault="00167A6C" w:rsidP="008D45E5">
            <w:pPr>
              <w:pStyle w:val="TableText0"/>
            </w:pPr>
            <w:r w:rsidRPr="005728DD">
              <w:t>Lifetime in the base case analysis compared to</w:t>
            </w:r>
            <w:r w:rsidR="008B5EF9" w:rsidRPr="005728DD">
              <w:t xml:space="preserve"> </w:t>
            </w:r>
            <w:r w:rsidRPr="005728DD">
              <w:t>8 to 24 weeks in the clinical trials</w:t>
            </w:r>
          </w:p>
        </w:tc>
        <w:tc>
          <w:tcPr>
            <w:tcW w:w="2389" w:type="pct"/>
            <w:shd w:val="clear" w:color="auto" w:fill="auto"/>
            <w:vAlign w:val="center"/>
          </w:tcPr>
          <w:p w:rsidR="00167A6C" w:rsidRPr="005728DD" w:rsidRDefault="00167A6C" w:rsidP="00E43DAA">
            <w:pPr>
              <w:pStyle w:val="TableText0"/>
            </w:pPr>
            <w:r w:rsidRPr="005728DD">
              <w:t>High, favours ELX/TEZ/IVA; use of 20-year time horizon increased the ICERs</w:t>
            </w:r>
          </w:p>
        </w:tc>
      </w:tr>
      <w:tr w:rsidR="00167A6C" w:rsidRPr="005728DD" w:rsidTr="00167A6C">
        <w:tc>
          <w:tcPr>
            <w:tcW w:w="582" w:type="pct"/>
            <w:shd w:val="clear" w:color="auto" w:fill="auto"/>
            <w:vAlign w:val="center"/>
          </w:tcPr>
          <w:p w:rsidR="00167A6C" w:rsidRPr="005728DD" w:rsidRDefault="00167A6C" w:rsidP="00236441">
            <w:pPr>
              <w:pStyle w:val="TableText0"/>
            </w:pPr>
            <w:r w:rsidRPr="005728DD">
              <w:t>Long-term reduction in decline of ppFEV</w:t>
            </w:r>
            <w:r w:rsidRPr="005728DD">
              <w:rPr>
                <w:vertAlign w:val="subscript"/>
              </w:rPr>
              <w:t>1</w:t>
            </w:r>
          </w:p>
        </w:tc>
        <w:tc>
          <w:tcPr>
            <w:tcW w:w="2029" w:type="pct"/>
            <w:shd w:val="clear" w:color="auto" w:fill="auto"/>
            <w:vAlign w:val="center"/>
          </w:tcPr>
          <w:p w:rsidR="00167A6C" w:rsidRPr="005728DD" w:rsidRDefault="00167A6C" w:rsidP="001D5F81">
            <w:pPr>
              <w:pStyle w:val="TableText0"/>
            </w:pPr>
            <w:r w:rsidRPr="005728DD">
              <w:t>Long-term reduction in decline of ppFEV</w:t>
            </w:r>
            <w:r w:rsidRPr="005728DD">
              <w:rPr>
                <w:vertAlign w:val="subscript"/>
              </w:rPr>
              <w:t>1</w:t>
            </w:r>
            <w:r w:rsidRPr="005728DD">
              <w:t xml:space="preserve"> of </w:t>
            </w:r>
            <w:r w:rsidR="001D5F81" w:rsidRPr="005728DD">
              <w:t>61.5%</w:t>
            </w:r>
            <w:r w:rsidRPr="005728DD">
              <w:t xml:space="preserve"> for ELX/TEZ/IVA, 42% of TEZ/IVA</w:t>
            </w:r>
          </w:p>
        </w:tc>
        <w:tc>
          <w:tcPr>
            <w:tcW w:w="2389" w:type="pct"/>
            <w:shd w:val="clear" w:color="auto" w:fill="auto"/>
            <w:vAlign w:val="center"/>
          </w:tcPr>
          <w:p w:rsidR="00167A6C" w:rsidRPr="005728DD" w:rsidRDefault="00167A6C" w:rsidP="00CB4504">
            <w:pPr>
              <w:pStyle w:val="TableText0"/>
              <w:rPr>
                <w:i/>
              </w:rPr>
            </w:pPr>
            <w:r w:rsidRPr="005728DD">
              <w:t xml:space="preserve">High, favours ELX/TEZ/IVA; assuming the decline for ELX/TEZ/IVA is the same as TEZ/IVA (42%) increased the ICERs </w:t>
            </w:r>
          </w:p>
          <w:p w:rsidR="00167A6C" w:rsidRPr="005728DD" w:rsidRDefault="00167A6C" w:rsidP="00014EFB">
            <w:pPr>
              <w:pStyle w:val="TableText0"/>
            </w:pPr>
          </w:p>
        </w:tc>
      </w:tr>
      <w:tr w:rsidR="00167A6C" w:rsidRPr="005728DD" w:rsidTr="00167A6C">
        <w:tc>
          <w:tcPr>
            <w:tcW w:w="582" w:type="pct"/>
            <w:shd w:val="clear" w:color="auto" w:fill="auto"/>
            <w:vAlign w:val="center"/>
          </w:tcPr>
          <w:p w:rsidR="00167A6C" w:rsidRPr="005728DD" w:rsidRDefault="00167A6C" w:rsidP="00236441">
            <w:pPr>
              <w:pStyle w:val="TableText0"/>
            </w:pPr>
            <w:r w:rsidRPr="005728DD">
              <w:t xml:space="preserve">Compliance </w:t>
            </w:r>
          </w:p>
        </w:tc>
        <w:tc>
          <w:tcPr>
            <w:tcW w:w="2029" w:type="pct"/>
            <w:shd w:val="clear" w:color="auto" w:fill="auto"/>
            <w:vAlign w:val="center"/>
          </w:tcPr>
          <w:p w:rsidR="00167A6C" w:rsidRPr="005728DD" w:rsidRDefault="00167A6C" w:rsidP="00236441">
            <w:pPr>
              <w:pStyle w:val="TableText0"/>
            </w:pPr>
            <w:r w:rsidRPr="005728DD">
              <w:t>90% compliance rate applied in the model compared with those in the trials ranging between 9</w:t>
            </w:r>
            <w:r w:rsidR="006F0DBC" w:rsidRPr="005728DD">
              <w:t>8.8</w:t>
            </w:r>
            <w:r w:rsidRPr="005728DD">
              <w:t>% to 100%</w:t>
            </w:r>
          </w:p>
        </w:tc>
        <w:tc>
          <w:tcPr>
            <w:tcW w:w="2389" w:type="pct"/>
            <w:shd w:val="clear" w:color="auto" w:fill="auto"/>
            <w:vAlign w:val="center"/>
          </w:tcPr>
          <w:p w:rsidR="00167A6C" w:rsidRPr="005728DD" w:rsidRDefault="00167A6C" w:rsidP="00E43DAA">
            <w:pPr>
              <w:pStyle w:val="TableText0"/>
              <w:rPr>
                <w:iCs/>
              </w:rPr>
            </w:pPr>
            <w:r w:rsidRPr="005728DD">
              <w:t xml:space="preserve">Moderate, favours ELX/TEZ/IVA, use of the compliance as in the trials increased the ICERs </w:t>
            </w:r>
          </w:p>
        </w:tc>
      </w:tr>
    </w:tbl>
    <w:p w:rsidR="00DD66EF" w:rsidRPr="005728DD" w:rsidRDefault="00DD66EF" w:rsidP="00DD66EF">
      <w:pPr>
        <w:pStyle w:val="TableFigNotes0"/>
        <w:rPr>
          <w:rFonts w:ascii="Arial Narrow" w:hAnsi="Arial Narrow"/>
          <w:sz w:val="18"/>
          <w:lang w:val="en-AU"/>
        </w:rPr>
      </w:pPr>
      <w:r w:rsidRPr="005728DD">
        <w:rPr>
          <w:rFonts w:ascii="Arial Narrow" w:hAnsi="Arial Narrow"/>
          <w:sz w:val="18"/>
          <w:lang w:val="en-AU"/>
        </w:rPr>
        <w:t xml:space="preserve">Source: </w:t>
      </w:r>
      <w:r w:rsidR="00007D77" w:rsidRPr="005728DD">
        <w:rPr>
          <w:rFonts w:ascii="Arial Narrow" w:hAnsi="Arial Narrow"/>
          <w:bCs/>
          <w:iCs/>
          <w:sz w:val="18"/>
          <w:lang w:val="en-AU"/>
        </w:rPr>
        <w:t>Developed during the evaluation</w:t>
      </w:r>
    </w:p>
    <w:p w:rsidR="00DD66EF" w:rsidRPr="005728DD" w:rsidRDefault="00DD66EF" w:rsidP="00DD66EF">
      <w:pPr>
        <w:pStyle w:val="TableFigNotes0"/>
        <w:spacing w:after="240"/>
        <w:rPr>
          <w:rFonts w:ascii="Arial Narrow" w:hAnsi="Arial Narrow"/>
          <w:sz w:val="18"/>
          <w:lang w:val="en-AU"/>
        </w:rPr>
      </w:pPr>
      <w:r w:rsidRPr="005728DD">
        <w:rPr>
          <w:rFonts w:ascii="Arial Narrow" w:hAnsi="Arial Narrow"/>
          <w:sz w:val="18"/>
          <w:lang w:val="en-AU"/>
        </w:rPr>
        <w:t xml:space="preserve">Abbreviations: BSC = best supportive care; </w:t>
      </w:r>
      <w:r w:rsidR="00732DA0" w:rsidRPr="005728DD">
        <w:rPr>
          <w:rFonts w:ascii="Arial Narrow" w:hAnsi="Arial Narrow"/>
          <w:bCs/>
          <w:sz w:val="18"/>
          <w:lang w:val="en-AU"/>
        </w:rPr>
        <w:t xml:space="preserve">ELX/TEZ/IVA = </w:t>
      </w:r>
      <w:r w:rsidR="00D669C8" w:rsidRPr="005728DD">
        <w:rPr>
          <w:rFonts w:ascii="Arial Narrow" w:hAnsi="Arial Narrow"/>
          <w:bCs/>
          <w:sz w:val="18"/>
          <w:lang w:val="en-AU"/>
        </w:rPr>
        <w:t>elexacaftor</w:t>
      </w:r>
      <w:r w:rsidR="00732DA0" w:rsidRPr="005728DD">
        <w:rPr>
          <w:rFonts w:ascii="Arial Narrow" w:hAnsi="Arial Narrow"/>
          <w:bCs/>
          <w:sz w:val="18"/>
          <w:lang w:val="en-AU"/>
        </w:rPr>
        <w:t>/tezacaftor/ivacaftor</w:t>
      </w:r>
      <w:r w:rsidR="00732DA0" w:rsidRPr="005728DD">
        <w:rPr>
          <w:rFonts w:ascii="Arial Narrow" w:hAnsi="Arial Narrow"/>
          <w:sz w:val="18"/>
          <w:lang w:val="en-AU"/>
        </w:rPr>
        <w:t>;</w:t>
      </w:r>
      <w:r w:rsidRPr="005728DD">
        <w:rPr>
          <w:rFonts w:ascii="Arial Narrow" w:hAnsi="Arial Narrow"/>
          <w:sz w:val="18"/>
          <w:lang w:val="en-AU"/>
        </w:rPr>
        <w:t xml:space="preserve"> </w:t>
      </w:r>
      <w:r w:rsidR="001D315A" w:rsidRPr="005728DD">
        <w:rPr>
          <w:rFonts w:ascii="Arial Narrow" w:hAnsi="Arial Narrow"/>
          <w:sz w:val="18"/>
          <w:lang w:val="en-AU"/>
        </w:rPr>
        <w:t xml:space="preserve">ICER = incremental cost-effectiveness ratio; </w:t>
      </w:r>
      <w:r w:rsidR="00732DA0" w:rsidRPr="005728DD">
        <w:rPr>
          <w:rFonts w:ascii="Arial Narrow" w:hAnsi="Arial Narrow"/>
          <w:sz w:val="18"/>
          <w:lang w:val="en-AU"/>
        </w:rPr>
        <w:t xml:space="preserve">LoE = loss of exclusivity; </w:t>
      </w:r>
      <w:r w:rsidRPr="005728DD">
        <w:rPr>
          <w:rFonts w:ascii="Arial Narrow" w:hAnsi="Arial Narrow"/>
          <w:sz w:val="18"/>
          <w:lang w:val="en-AU"/>
        </w:rPr>
        <w:t>ppFEV1 = percent predicted forced expiratory volume in one second;</w:t>
      </w:r>
      <w:r w:rsidR="00732DA0" w:rsidRPr="005728DD">
        <w:rPr>
          <w:rFonts w:ascii="Arial Narrow" w:hAnsi="Arial Narrow"/>
          <w:sz w:val="18"/>
          <w:lang w:val="en-AU"/>
        </w:rPr>
        <w:t xml:space="preserve"> QALYs = quality-adjusted life-years;</w:t>
      </w:r>
      <w:r w:rsidRPr="005728DD">
        <w:rPr>
          <w:rFonts w:ascii="Arial Narrow" w:hAnsi="Arial Narrow"/>
          <w:sz w:val="18"/>
          <w:lang w:val="en-AU"/>
        </w:rPr>
        <w:t xml:space="preserve"> TEZ/IVA = tezacaftor/ivacaftor</w:t>
      </w:r>
    </w:p>
    <w:p w:rsidR="00B06033" w:rsidRPr="005728DD" w:rsidRDefault="00DB0E32" w:rsidP="00F223E4">
      <w:pPr>
        <w:pStyle w:val="3-BodyText"/>
      </w:pPr>
      <w:r w:rsidRPr="005728DD">
        <w:t xml:space="preserve">The results of the economic evaluation are provided in </w:t>
      </w:r>
      <w:r w:rsidR="005C56C0" w:rsidRPr="005728DD">
        <w:t xml:space="preserve">Table </w:t>
      </w:r>
      <w:r w:rsidR="005C56C0">
        <w:rPr>
          <w:noProof/>
        </w:rPr>
        <w:t>18</w:t>
      </w:r>
      <w:r w:rsidRPr="005728DD">
        <w:t>.</w:t>
      </w:r>
      <w:r w:rsidR="00F223E4" w:rsidRPr="005728DD">
        <w:t xml:space="preserve"> </w:t>
      </w:r>
    </w:p>
    <w:p w:rsidR="00BA23FF" w:rsidRPr="005728DD" w:rsidRDefault="007A701A" w:rsidP="001C72E9">
      <w:pPr>
        <w:pStyle w:val="3-BodyText"/>
        <w:rPr>
          <w:i/>
        </w:rPr>
      </w:pPr>
      <w:r w:rsidRPr="005728DD">
        <w:t xml:space="preserve">The submission applied </w:t>
      </w:r>
      <w:r w:rsidR="00C6534B" w:rsidRPr="005728DD">
        <w:t>different annual cost</w:t>
      </w:r>
      <w:r w:rsidR="002F5F05" w:rsidRPr="005728DD">
        <w:t>s</w:t>
      </w:r>
      <w:r w:rsidR="00C6534B" w:rsidRPr="005728DD">
        <w:t xml:space="preserve"> of ELX/TEZ/IVA for each population </w:t>
      </w:r>
      <w:r w:rsidR="00932063" w:rsidRPr="005728DD">
        <w:t>(</w:t>
      </w:r>
      <w:r w:rsidR="00DE4872" w:rsidRPr="005728DD">
        <w:t>$</w:t>
      </w:r>
      <w:r w:rsidR="00967E09">
        <w:rPr>
          <w:noProof/>
          <w:color w:val="000000"/>
          <w:highlight w:val="black"/>
        </w:rPr>
        <w:t>'''''''''''''''</w:t>
      </w:r>
      <w:r w:rsidR="00DE4872" w:rsidRPr="005728DD">
        <w:t xml:space="preserve"> for F/F, $</w:t>
      </w:r>
      <w:r w:rsidR="00967E09">
        <w:rPr>
          <w:noProof/>
          <w:color w:val="000000"/>
          <w:highlight w:val="black"/>
        </w:rPr>
        <w:t>'''''''''''''''</w:t>
      </w:r>
      <w:r w:rsidR="00DE4872" w:rsidRPr="005728DD">
        <w:t xml:space="preserve"> for F/RF</w:t>
      </w:r>
      <w:r w:rsidR="00012D6B" w:rsidRPr="005728DD">
        <w:t xml:space="preserve"> and $</w:t>
      </w:r>
      <w:r w:rsidR="00967E09">
        <w:rPr>
          <w:noProof/>
          <w:color w:val="000000"/>
          <w:highlight w:val="black"/>
        </w:rPr>
        <w:t>'''''''''''''''</w:t>
      </w:r>
      <w:r w:rsidR="009625E2" w:rsidRPr="005728DD">
        <w:t xml:space="preserve"> for F/</w:t>
      </w:r>
      <w:r w:rsidR="002A5CE1" w:rsidRPr="005728DD">
        <w:t>MF</w:t>
      </w:r>
      <w:r w:rsidR="00012D6B" w:rsidRPr="005728DD">
        <w:t xml:space="preserve">) that </w:t>
      </w:r>
      <w:r w:rsidR="009625E2" w:rsidRPr="005728DD">
        <w:t>resulted in an</w:t>
      </w:r>
      <w:r w:rsidR="00972698" w:rsidRPr="005728DD">
        <w:t xml:space="preserve"> </w:t>
      </w:r>
      <w:r w:rsidR="00012D6B" w:rsidRPr="005728DD">
        <w:t xml:space="preserve">ICER </w:t>
      </w:r>
      <w:r w:rsidR="00012D6B" w:rsidRPr="005728DD">
        <w:lastRenderedPageBreak/>
        <w:t xml:space="preserve">of </w:t>
      </w:r>
      <w:r w:rsidR="001C72E9" w:rsidRPr="001C72E9">
        <w:t>$155,000 to &lt; $255,000</w:t>
      </w:r>
      <w:r w:rsidR="001C72E9">
        <w:t xml:space="preserve"> </w:t>
      </w:r>
      <w:r w:rsidR="00337190" w:rsidRPr="005728DD">
        <w:t xml:space="preserve">per QALY gained across </w:t>
      </w:r>
      <w:r w:rsidR="009625E2" w:rsidRPr="005728DD">
        <w:t xml:space="preserve">each </w:t>
      </w:r>
      <w:r w:rsidR="00337190" w:rsidRPr="005728DD">
        <w:t xml:space="preserve">subpopulation. </w:t>
      </w:r>
      <w:r w:rsidR="000B0128" w:rsidRPr="005728DD">
        <w:t>The</w:t>
      </w:r>
      <w:r w:rsidR="002F5F05" w:rsidRPr="005728DD">
        <w:t>se annual costs were</w:t>
      </w:r>
      <w:r w:rsidR="00D0204D" w:rsidRPr="005728DD">
        <w:t xml:space="preserve"> then</w:t>
      </w:r>
      <w:r w:rsidR="002F5F05" w:rsidRPr="005728DD">
        <w:t xml:space="preserve"> weighted according to </w:t>
      </w:r>
      <w:r w:rsidR="009625E2" w:rsidRPr="005728DD">
        <w:t xml:space="preserve">the </w:t>
      </w:r>
      <w:r w:rsidR="002F5F05" w:rsidRPr="005728DD">
        <w:t xml:space="preserve">proportion of </w:t>
      </w:r>
      <w:r w:rsidR="009625E2" w:rsidRPr="005728DD">
        <w:t xml:space="preserve">the </w:t>
      </w:r>
      <w:r w:rsidR="002F5F05" w:rsidRPr="005728DD">
        <w:t>subpopulation (</w:t>
      </w:r>
      <w:r w:rsidR="00851DEA" w:rsidRPr="005728DD">
        <w:t>57.5% for F/F, 5.9% for F/RF and 36.5% for F/MF</w:t>
      </w:r>
      <w:r w:rsidR="00354009" w:rsidRPr="005728DD">
        <w:rPr>
          <w:rStyle w:val="FootnoteReference"/>
        </w:rPr>
        <w:footnoteReference w:id="2"/>
      </w:r>
      <w:r w:rsidR="00851DEA" w:rsidRPr="005728DD">
        <w:t>)</w:t>
      </w:r>
      <w:r w:rsidR="00D0204D" w:rsidRPr="005728DD">
        <w:t xml:space="preserve"> </w:t>
      </w:r>
      <w:r w:rsidR="00371D9A" w:rsidRPr="005728DD">
        <w:t>and this resulted in the w</w:t>
      </w:r>
      <w:r w:rsidR="00780B60" w:rsidRPr="005728DD">
        <w:t>eighted price of ELX/TEZ/IVA of $</w:t>
      </w:r>
      <w:r w:rsidR="00967E09">
        <w:rPr>
          <w:noProof/>
          <w:color w:val="000000"/>
          <w:highlight w:val="black"/>
        </w:rPr>
        <w:t>''''''''''''''</w:t>
      </w:r>
      <w:r w:rsidR="00EC3425" w:rsidRPr="005728DD">
        <w:rPr>
          <w:rStyle w:val="FootnoteReference"/>
        </w:rPr>
        <w:footnoteReference w:id="3"/>
      </w:r>
      <w:r w:rsidR="00780B60" w:rsidRPr="005728DD">
        <w:t xml:space="preserve"> per year</w:t>
      </w:r>
      <w:r w:rsidR="00BA23FF" w:rsidRPr="005728DD">
        <w:t>.</w:t>
      </w:r>
      <w:r w:rsidR="00EC3425" w:rsidRPr="005728DD">
        <w:t xml:space="preserve"> The ESC considered use </w:t>
      </w:r>
      <w:r w:rsidR="00F430D1" w:rsidRPr="005728DD">
        <w:t xml:space="preserve">of </w:t>
      </w:r>
      <w:r w:rsidR="00EC3425" w:rsidRPr="005728DD">
        <w:t xml:space="preserve">the </w:t>
      </w:r>
      <w:r w:rsidR="002A5CE1" w:rsidRPr="005728DD">
        <w:t xml:space="preserve">weighted annual </w:t>
      </w:r>
      <w:r w:rsidR="00EC3425" w:rsidRPr="005728DD">
        <w:t xml:space="preserve">price </w:t>
      </w:r>
      <w:r w:rsidR="00057675" w:rsidRPr="005728DD">
        <w:t xml:space="preserve">for </w:t>
      </w:r>
      <w:r w:rsidR="00EC3425" w:rsidRPr="005728DD">
        <w:t xml:space="preserve">each population </w:t>
      </w:r>
      <w:r w:rsidR="00FC1994" w:rsidRPr="005728DD">
        <w:t xml:space="preserve">in the economic model </w:t>
      </w:r>
      <w:r w:rsidR="00057675" w:rsidRPr="005728DD">
        <w:t>was informative as it</w:t>
      </w:r>
      <w:r w:rsidR="00366A6C" w:rsidRPr="005728DD">
        <w:t xml:space="preserve"> </w:t>
      </w:r>
      <w:r w:rsidR="00057675" w:rsidRPr="005728DD">
        <w:t xml:space="preserve">enabled </w:t>
      </w:r>
      <w:r w:rsidR="00EC3425" w:rsidRPr="005728DD">
        <w:t>the relative value of EL</w:t>
      </w:r>
      <w:r w:rsidR="00DB4BE3" w:rsidRPr="005728DD">
        <w:t>X</w:t>
      </w:r>
      <w:r w:rsidR="00EC3425" w:rsidRPr="005728DD">
        <w:t xml:space="preserve">/TEZ/IVA in each population </w:t>
      </w:r>
      <w:r w:rsidR="00057675" w:rsidRPr="005728DD">
        <w:t xml:space="preserve">to </w:t>
      </w:r>
      <w:r w:rsidR="00EC3425" w:rsidRPr="005728DD">
        <w:t xml:space="preserve">be </w:t>
      </w:r>
      <w:r w:rsidR="00476314" w:rsidRPr="005728DD">
        <w:t>considered separately</w:t>
      </w:r>
      <w:r w:rsidR="00EC3425" w:rsidRPr="005728DD">
        <w:rPr>
          <w:i/>
        </w:rPr>
        <w:t>.</w:t>
      </w:r>
    </w:p>
    <w:p w:rsidR="00F9243D" w:rsidRPr="005728DD" w:rsidRDefault="006E0118" w:rsidP="00BE49EF">
      <w:pPr>
        <w:pStyle w:val="TableFigureHeading"/>
        <w:keepLines/>
        <w:rPr>
          <w:rStyle w:val="CommentReference"/>
          <w:b/>
          <w:szCs w:val="24"/>
        </w:rPr>
      </w:pPr>
      <w:bookmarkStart w:id="40" w:name="_Ref64497678"/>
      <w:r w:rsidRPr="005728DD">
        <w:t xml:space="preserve">Table </w:t>
      </w:r>
      <w:r w:rsidR="005C56C0">
        <w:rPr>
          <w:noProof/>
        </w:rPr>
        <w:t>18</w:t>
      </w:r>
      <w:bookmarkEnd w:id="40"/>
      <w:r w:rsidR="00F9243D" w:rsidRPr="005728DD">
        <w:rPr>
          <w:rStyle w:val="CommentReference"/>
          <w:b/>
          <w:szCs w:val="24"/>
        </w:rPr>
        <w:t>: Incremental cost-effectiveness estimates for the base case</w:t>
      </w:r>
      <w:r w:rsidR="00901E32" w:rsidRPr="005728DD">
        <w:rPr>
          <w:rStyle w:val="CommentReference"/>
          <w:b/>
          <w:szCs w:val="24"/>
        </w:rPr>
        <w:t xml:space="preserve"> (based on ELX/TEZ/IVA pack price of $</w:t>
      </w:r>
      <w:r w:rsidR="00967E09">
        <w:rPr>
          <w:rStyle w:val="CommentReference"/>
          <w:b/>
          <w:noProof/>
          <w:color w:val="000000"/>
          <w:szCs w:val="24"/>
          <w:highlight w:val="black"/>
        </w:rPr>
        <w:t>''''''''''''''''''</w:t>
      </w:r>
      <w:r w:rsidR="00901E32" w:rsidRPr="005728DD">
        <w:rPr>
          <w:rStyle w:val="CommentReference"/>
          <w:b/>
          <w:szCs w:val="24"/>
        </w:rPr>
        <w:t>)</w:t>
      </w:r>
    </w:p>
    <w:tbl>
      <w:tblPr>
        <w:tblStyle w:val="Summarybox1"/>
        <w:tblW w:w="0" w:type="auto"/>
        <w:tblLook w:val="04A0" w:firstRow="1" w:lastRow="0" w:firstColumn="1" w:lastColumn="0" w:noHBand="0" w:noVBand="1"/>
        <w:tblCaption w:val="Table 18: Incremental cost-effectiveness estimates for the base case "/>
      </w:tblPr>
      <w:tblGrid>
        <w:gridCol w:w="3748"/>
        <w:gridCol w:w="1550"/>
        <w:gridCol w:w="1687"/>
        <w:gridCol w:w="1913"/>
      </w:tblGrid>
      <w:tr w:rsidR="00F9243D" w:rsidRPr="005728DD" w:rsidTr="005C66A3">
        <w:trPr>
          <w:tblHeader/>
        </w:trPr>
        <w:tc>
          <w:tcPr>
            <w:tcW w:w="3823" w:type="dxa"/>
            <w:tcBorders>
              <w:top w:val="single" w:sz="4" w:space="0" w:color="auto"/>
              <w:left w:val="single" w:sz="4" w:space="0" w:color="auto"/>
              <w:bottom w:val="single" w:sz="4" w:space="0" w:color="auto"/>
              <w:right w:val="single" w:sz="4" w:space="0" w:color="auto"/>
            </w:tcBorders>
          </w:tcPr>
          <w:p w:rsidR="00F9243D" w:rsidRPr="005728DD" w:rsidRDefault="00817ADC" w:rsidP="00BE49EF">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F/F</w:t>
            </w:r>
            <w:r w:rsidR="00FA441A"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14.35</w:t>
            </w:r>
          </w:p>
        </w:tc>
        <w:tc>
          <w:tcPr>
            <w:tcW w:w="1701"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11.16</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3.19</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11.88</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7.33</w:t>
            </w:r>
          </w:p>
        </w:tc>
        <w:tc>
          <w:tcPr>
            <w:tcW w:w="1933" w:type="dxa"/>
            <w:tcBorders>
              <w:top w:val="single" w:sz="4" w:space="0" w:color="auto"/>
              <w:left w:val="single" w:sz="4" w:space="0" w:color="auto"/>
              <w:bottom w:val="single" w:sz="4" w:space="0" w:color="auto"/>
              <w:right w:val="single" w:sz="4" w:space="0" w:color="auto"/>
            </w:tcBorders>
            <w:hideMark/>
          </w:tcPr>
          <w:p w:rsidR="00F9243D" w:rsidRPr="009C68FC" w:rsidRDefault="00F9243D" w:rsidP="009C68FC">
            <w:pPr>
              <w:pStyle w:val="TableLeft"/>
              <w:keepNext/>
              <w:keepLines/>
              <w:widowControl w:val="0"/>
              <w:jc w:val="center"/>
              <w:rPr>
                <w:rFonts w:ascii="Arial Narrow" w:hAnsi="Arial Narrow"/>
                <w:szCs w:val="20"/>
                <w:vertAlign w:val="superscript"/>
              </w:rPr>
            </w:pPr>
            <w:r w:rsidRPr="005728DD">
              <w:rPr>
                <w:rFonts w:ascii="Arial Narrow" w:hAnsi="Arial Narrow"/>
                <w:szCs w:val="20"/>
              </w:rPr>
              <w:t>4.55</w:t>
            </w:r>
          </w:p>
        </w:tc>
      </w:tr>
      <w:tr w:rsidR="00901E32" w:rsidRPr="005728DD" w:rsidTr="00901E32">
        <w:tc>
          <w:tcPr>
            <w:tcW w:w="3823" w:type="dxa"/>
            <w:tcBorders>
              <w:top w:val="single" w:sz="4" w:space="0" w:color="auto"/>
              <w:left w:val="single" w:sz="4" w:space="0" w:color="auto"/>
              <w:bottom w:val="single" w:sz="4" w:space="0" w:color="auto"/>
              <w:right w:val="single" w:sz="4" w:space="0" w:color="auto"/>
            </w:tcBorders>
            <w:hideMark/>
          </w:tcPr>
          <w:p w:rsidR="00901E32" w:rsidRPr="005728DD" w:rsidRDefault="00901E32" w:rsidP="00BE49EF">
            <w:pPr>
              <w:pStyle w:val="TableLeft"/>
              <w:keepNext/>
              <w:keepLines/>
              <w:widowControl w:val="0"/>
              <w:rPr>
                <w:rFonts w:ascii="Arial Narrow" w:hAnsi="Arial Narrow"/>
                <w:szCs w:val="20"/>
              </w:rPr>
            </w:pPr>
            <w:r w:rsidRPr="005728DD">
              <w:rPr>
                <w:rFonts w:ascii="Arial Narrow" w:hAnsi="Arial Narrow"/>
                <w:szCs w:val="20"/>
              </w:rPr>
              <w:t xml:space="preserve">Total Costs </w:t>
            </w:r>
          </w:p>
        </w:tc>
        <w:tc>
          <w:tcPr>
            <w:tcW w:w="1559" w:type="dxa"/>
            <w:tcBorders>
              <w:top w:val="single" w:sz="4" w:space="0" w:color="auto"/>
              <w:left w:val="single" w:sz="4" w:space="0" w:color="auto"/>
              <w:bottom w:val="single" w:sz="4" w:space="0" w:color="auto"/>
              <w:right w:val="single" w:sz="4" w:space="0" w:color="auto"/>
            </w:tcBorders>
            <w:vAlign w:val="bottom"/>
            <w:hideMark/>
          </w:tcPr>
          <w:p w:rsidR="00901E32"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vAlign w:val="bottom"/>
            <w:hideMark/>
          </w:tcPr>
          <w:p w:rsidR="00901E32"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901E32" w:rsidRPr="005728DD" w:rsidRDefault="00901E32" w:rsidP="00BE49EF">
            <w:pPr>
              <w:keepNext/>
              <w:keepLines/>
              <w:jc w:val="center"/>
              <w:rPr>
                <w:rFonts w:ascii="Arial Narrow" w:hAnsi="Arial Narrow" w:cs="Times New Roman"/>
                <w:sz w:val="20"/>
                <w:szCs w:val="20"/>
              </w:rPr>
            </w:pPr>
            <w:r w:rsidRPr="005728DD">
              <w:rPr>
                <w:rFonts w:ascii="Arial Narrow" w:hAnsi="Arial Narrow" w:cs="Times New Roman"/>
                <w:sz w:val="20"/>
                <w:szCs w:val="20"/>
              </w:rPr>
              <w:t>$</w:t>
            </w:r>
            <w:r w:rsidR="00967E09">
              <w:rPr>
                <w:rFonts w:ascii="Arial Narrow" w:hAnsi="Arial Narrow" w:cs="Times New Roman"/>
                <w:noProof/>
                <w:color w:val="000000"/>
                <w:sz w:val="20"/>
                <w:szCs w:val="20"/>
                <w:highlight w:val="black"/>
              </w:rPr>
              <w:t>''''''''''''''''''''</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r w:rsidR="009C68FC">
              <w:rPr>
                <w:rFonts w:ascii="Arial Narrow" w:hAnsi="Arial Narrow"/>
                <w:szCs w:val="20"/>
                <w:vertAlign w:val="superscript"/>
              </w:rPr>
              <w:t>1</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r w:rsidR="009C68FC">
              <w:rPr>
                <w:rFonts w:ascii="Arial Narrow" w:hAnsi="Arial Narrow"/>
                <w:szCs w:val="20"/>
                <w:vertAlign w:val="superscript"/>
              </w:rPr>
              <w:t>2</w:t>
            </w:r>
          </w:p>
        </w:tc>
      </w:tr>
      <w:tr w:rsidR="00F9243D" w:rsidRPr="005728DD" w:rsidTr="000B7E6E">
        <w:trPr>
          <w:tblHeader/>
        </w:trPr>
        <w:tc>
          <w:tcPr>
            <w:tcW w:w="3823" w:type="dxa"/>
            <w:tcBorders>
              <w:top w:val="single" w:sz="4" w:space="0" w:color="auto"/>
              <w:left w:val="single" w:sz="4" w:space="0" w:color="auto"/>
              <w:bottom w:val="single" w:sz="4" w:space="0" w:color="auto"/>
              <w:right w:val="single" w:sz="4" w:space="0" w:color="auto"/>
            </w:tcBorders>
          </w:tcPr>
          <w:p w:rsidR="00F9243D" w:rsidRPr="005728DD" w:rsidRDefault="00817ADC" w:rsidP="00BE49EF">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F/RF</w:t>
            </w:r>
            <w:r w:rsidR="00FA441A"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szCs w:val="20"/>
              </w:rPr>
            </w:pPr>
            <w:r w:rsidRPr="005728DD">
              <w:rPr>
                <w:rFonts w:ascii="Arial Narrow" w:hAnsi="Arial Narrow" w:cstheme="minorHAnsi"/>
                <w:b/>
                <w:szCs w:val="20"/>
              </w:rPr>
              <w:t>TEZ/IVA</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12.47</w:t>
            </w:r>
          </w:p>
        </w:tc>
        <w:tc>
          <w:tcPr>
            <w:tcW w:w="1701"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11.33</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1.14</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10.64</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8.40</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2.25</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Total Costs</w:t>
            </w:r>
            <w:r w:rsidR="007B22B7"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901E32"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r w:rsidR="009C68FC">
              <w:rPr>
                <w:rFonts w:ascii="Arial Narrow" w:hAnsi="Arial Narrow"/>
                <w:szCs w:val="20"/>
                <w:vertAlign w:val="superscript"/>
              </w:rPr>
              <w:t>3</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ED3B24"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r w:rsidR="009C68FC">
              <w:rPr>
                <w:rFonts w:ascii="Arial Narrow" w:hAnsi="Arial Narrow"/>
                <w:szCs w:val="20"/>
                <w:vertAlign w:val="superscript"/>
              </w:rPr>
              <w:t>1</w:t>
            </w:r>
          </w:p>
        </w:tc>
      </w:tr>
      <w:tr w:rsidR="00F9243D" w:rsidRPr="005728DD" w:rsidTr="000B7E6E">
        <w:trPr>
          <w:tblHeader/>
        </w:trPr>
        <w:tc>
          <w:tcPr>
            <w:tcW w:w="3823" w:type="dxa"/>
            <w:tcBorders>
              <w:top w:val="single" w:sz="4" w:space="0" w:color="auto"/>
              <w:left w:val="single" w:sz="4" w:space="0" w:color="auto"/>
              <w:bottom w:val="single" w:sz="4" w:space="0" w:color="auto"/>
              <w:right w:val="single" w:sz="4" w:space="0" w:color="auto"/>
            </w:tcBorders>
          </w:tcPr>
          <w:p w:rsidR="00F9243D" w:rsidRPr="005728DD" w:rsidRDefault="00817ADC" w:rsidP="00BE49EF">
            <w:pPr>
              <w:pStyle w:val="TableLeft"/>
              <w:keepNext/>
              <w:keepLines/>
              <w:widowControl w:val="0"/>
              <w:rPr>
                <w:rStyle w:val="SmallBold"/>
                <w:rFonts w:ascii="Arial Narrow" w:hAnsi="Arial Narrow"/>
                <w:szCs w:val="20"/>
                <w:lang w:bidi="en-US"/>
              </w:rPr>
            </w:pPr>
            <w:r w:rsidRPr="005728DD">
              <w:rPr>
                <w:rStyle w:val="SmallBold"/>
                <w:rFonts w:ascii="Arial Narrow" w:hAnsi="Arial Narrow"/>
                <w:szCs w:val="20"/>
                <w:lang w:bidi="en-US"/>
              </w:rPr>
              <w:t>F/MF</w:t>
            </w:r>
            <w:r w:rsidR="00FA441A" w:rsidRPr="005728DD">
              <w:rPr>
                <w:rFonts w:ascii="Arial Narrow" w:hAnsi="Arial Narrow"/>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ELX/TEZ/IVA</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b w:val="0"/>
                <w:szCs w:val="20"/>
              </w:rPr>
            </w:pPr>
            <w:r w:rsidRPr="005728DD">
              <w:rPr>
                <w:rFonts w:ascii="Arial Narrow" w:hAnsi="Arial Narrow" w:cstheme="minorHAnsi"/>
                <w:b/>
                <w:szCs w:val="20"/>
              </w:rPr>
              <w:t>BSC</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Style w:val="SmallBold"/>
                <w:rFonts w:ascii="Arial Narrow" w:hAnsi="Arial Narrow"/>
                <w:szCs w:val="20"/>
              </w:rPr>
            </w:pPr>
            <w:r w:rsidRPr="005728DD">
              <w:rPr>
                <w:rStyle w:val="SmallBold"/>
                <w:rFonts w:ascii="Arial Narrow" w:hAnsi="Arial Narrow"/>
                <w:szCs w:val="20"/>
              </w:rPr>
              <w:t>Incremental</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szCs w:val="20"/>
              </w:rPr>
            </w:pPr>
            <w:r w:rsidRPr="005728DD">
              <w:rPr>
                <w:rFonts w:ascii="Arial Narrow" w:hAnsi="Arial Narrow"/>
                <w:szCs w:val="20"/>
              </w:rPr>
              <w:t>Life Years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iCs/>
                <w:szCs w:val="20"/>
              </w:rPr>
            </w:pPr>
            <w:r w:rsidRPr="005728DD">
              <w:rPr>
                <w:rFonts w:ascii="Arial Narrow" w:hAnsi="Arial Narrow"/>
                <w:szCs w:val="20"/>
              </w:rPr>
              <w:t>14.23</w:t>
            </w:r>
          </w:p>
        </w:tc>
        <w:tc>
          <w:tcPr>
            <w:tcW w:w="1701"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iCs/>
                <w:szCs w:val="20"/>
              </w:rPr>
            </w:pPr>
            <w:r w:rsidRPr="005728DD">
              <w:rPr>
                <w:rFonts w:ascii="Arial Narrow" w:hAnsi="Arial Narrow"/>
                <w:szCs w:val="20"/>
              </w:rPr>
              <w:t>8.79</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F9243D" w:rsidP="00BE49EF">
            <w:pPr>
              <w:pStyle w:val="TableLeft"/>
              <w:keepNext/>
              <w:keepLines/>
              <w:widowControl w:val="0"/>
              <w:jc w:val="center"/>
              <w:rPr>
                <w:rFonts w:ascii="Arial Narrow" w:hAnsi="Arial Narrow"/>
                <w:iCs/>
                <w:szCs w:val="20"/>
              </w:rPr>
            </w:pPr>
            <w:r w:rsidRPr="005728DD">
              <w:rPr>
                <w:rFonts w:ascii="Arial Narrow" w:hAnsi="Arial Narrow"/>
                <w:szCs w:val="20"/>
              </w:rPr>
              <w:t>5.44</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QALYs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11.84</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5.38</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6.47</w:t>
            </w:r>
          </w:p>
        </w:tc>
      </w:tr>
      <w:tr w:rsidR="00F9243D" w:rsidRPr="005728DD" w:rsidTr="000B7E6E">
        <w:tc>
          <w:tcPr>
            <w:tcW w:w="3823"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Total Costs</w:t>
            </w:r>
          </w:p>
        </w:tc>
        <w:tc>
          <w:tcPr>
            <w:tcW w:w="1559" w:type="dxa"/>
            <w:tcBorders>
              <w:top w:val="single" w:sz="4" w:space="0" w:color="auto"/>
              <w:left w:val="single" w:sz="4" w:space="0" w:color="auto"/>
              <w:bottom w:val="single" w:sz="4" w:space="0" w:color="auto"/>
              <w:right w:val="single" w:sz="4" w:space="0" w:color="auto"/>
            </w:tcBorders>
            <w:hideMark/>
          </w:tcPr>
          <w:p w:rsidR="00F9243D" w:rsidRPr="005728DD" w:rsidRDefault="00ED3B24"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ED3B24" w:rsidP="00BE49EF">
            <w:pPr>
              <w:pStyle w:val="TableLeft"/>
              <w:keepNext/>
              <w:keepLines/>
              <w:widowControl w:val="0"/>
              <w:jc w:val="center"/>
              <w:rPr>
                <w:rFonts w:ascii="Arial Narrow" w:hAnsi="Arial Narrow"/>
                <w:szCs w:val="20"/>
              </w:rPr>
            </w:pPr>
            <w:r w:rsidRPr="005728DD">
              <w:rPr>
                <w:rFonts w:ascii="Arial Narrow" w:hAnsi="Arial Narrow"/>
                <w:szCs w:val="20"/>
              </w:rPr>
              <w:t>$</w:t>
            </w:r>
            <w:r w:rsidR="00967E09">
              <w:rPr>
                <w:rFonts w:ascii="Arial Narrow" w:hAnsi="Arial Narrow"/>
                <w:noProof/>
                <w:color w:val="000000"/>
                <w:szCs w:val="20"/>
                <w:highlight w:val="black"/>
              </w:rPr>
              <w:t>''''''''''''''''''''''</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szCs w:val="20"/>
              </w:rPr>
              <w:t>ICER (cost per LYG)</w:t>
            </w:r>
          </w:p>
        </w:tc>
        <w:tc>
          <w:tcPr>
            <w:tcW w:w="1933" w:type="dxa"/>
            <w:tcBorders>
              <w:top w:val="single" w:sz="4" w:space="0" w:color="auto"/>
              <w:left w:val="single" w:sz="4" w:space="0" w:color="auto"/>
              <w:bottom w:val="single" w:sz="4" w:space="0" w:color="auto"/>
              <w:right w:val="single" w:sz="4" w:space="0" w:color="auto"/>
            </w:tcBorders>
          </w:tcPr>
          <w:p w:rsidR="00F9243D" w:rsidRPr="005728DD" w:rsidRDefault="00ED3B24" w:rsidP="00BE49EF">
            <w:pPr>
              <w:keepNext/>
              <w:keepLines/>
              <w:jc w:val="center"/>
              <w:rPr>
                <w:rFonts w:ascii="Arial Narrow" w:hAnsi="Arial Narrow" w:cs="Times New Roman"/>
                <w:sz w:val="20"/>
                <w:szCs w:val="20"/>
              </w:rPr>
            </w:pPr>
            <w:r w:rsidRPr="005728DD">
              <w:rPr>
                <w:rFonts w:ascii="Arial Narrow" w:hAnsi="Arial Narrow" w:cs="Times New Roman"/>
                <w:sz w:val="20"/>
                <w:szCs w:val="20"/>
              </w:rPr>
              <w:t>$</w:t>
            </w:r>
            <w:r w:rsidR="00967E09">
              <w:rPr>
                <w:rFonts w:ascii="Arial Narrow" w:hAnsi="Arial Narrow" w:cs="Times New Roman"/>
                <w:noProof/>
                <w:color w:val="000000"/>
                <w:sz w:val="20"/>
                <w:szCs w:val="20"/>
                <w:highlight w:val="black"/>
              </w:rPr>
              <w:t>''''''''''''''''''''</w:t>
            </w:r>
            <w:r w:rsidR="009C68FC">
              <w:rPr>
                <w:rFonts w:ascii="Arial Narrow" w:hAnsi="Arial Narrow"/>
                <w:szCs w:val="20"/>
                <w:vertAlign w:val="superscript"/>
              </w:rPr>
              <w:t>1</w:t>
            </w:r>
          </w:p>
        </w:tc>
      </w:tr>
      <w:tr w:rsidR="00F9243D" w:rsidRPr="005728DD" w:rsidTr="000B7E6E">
        <w:tc>
          <w:tcPr>
            <w:tcW w:w="7083" w:type="dxa"/>
            <w:gridSpan w:val="3"/>
            <w:tcBorders>
              <w:top w:val="single" w:sz="4" w:space="0" w:color="auto"/>
              <w:left w:val="single" w:sz="4" w:space="0" w:color="auto"/>
              <w:bottom w:val="single" w:sz="4" w:space="0" w:color="auto"/>
              <w:right w:val="single" w:sz="4" w:space="0" w:color="auto"/>
            </w:tcBorders>
            <w:hideMark/>
          </w:tcPr>
          <w:p w:rsidR="00F9243D" w:rsidRPr="005728DD" w:rsidRDefault="00F9243D" w:rsidP="00BE49EF">
            <w:pPr>
              <w:pStyle w:val="TableLeft"/>
              <w:keepNext/>
              <w:keepLines/>
              <w:widowControl w:val="0"/>
              <w:rPr>
                <w:rFonts w:ascii="Arial Narrow" w:hAnsi="Arial Narrow"/>
                <w:szCs w:val="20"/>
              </w:rPr>
            </w:pPr>
            <w:r w:rsidRPr="005728DD">
              <w:rPr>
                <w:rFonts w:ascii="Arial Narrow" w:hAnsi="Arial Narrow"/>
                <w:b/>
                <w:szCs w:val="20"/>
              </w:rPr>
              <w:t>ICER (cost per QALY gained)</w:t>
            </w:r>
          </w:p>
        </w:tc>
        <w:tc>
          <w:tcPr>
            <w:tcW w:w="1933" w:type="dxa"/>
            <w:tcBorders>
              <w:top w:val="single" w:sz="4" w:space="0" w:color="auto"/>
              <w:left w:val="single" w:sz="4" w:space="0" w:color="auto"/>
              <w:bottom w:val="single" w:sz="4" w:space="0" w:color="auto"/>
              <w:right w:val="single" w:sz="4" w:space="0" w:color="auto"/>
            </w:tcBorders>
            <w:hideMark/>
          </w:tcPr>
          <w:p w:rsidR="00F9243D" w:rsidRPr="005728DD" w:rsidRDefault="00ED3B24" w:rsidP="00BE49EF">
            <w:pPr>
              <w:keepNext/>
              <w:keepLines/>
              <w:jc w:val="center"/>
              <w:rPr>
                <w:rFonts w:ascii="Arial Narrow" w:hAnsi="Arial Narrow" w:cs="Times New Roman"/>
                <w:sz w:val="20"/>
                <w:szCs w:val="20"/>
              </w:rPr>
            </w:pPr>
            <w:r w:rsidRPr="005728DD">
              <w:rPr>
                <w:rFonts w:ascii="Arial Narrow" w:hAnsi="Arial Narrow" w:cs="Times New Roman"/>
                <w:sz w:val="20"/>
                <w:szCs w:val="20"/>
              </w:rPr>
              <w:t>$</w:t>
            </w:r>
            <w:r w:rsidR="00967E09">
              <w:rPr>
                <w:rFonts w:ascii="Arial Narrow" w:hAnsi="Arial Narrow" w:cs="Times New Roman"/>
                <w:noProof/>
                <w:color w:val="000000"/>
                <w:sz w:val="20"/>
                <w:szCs w:val="20"/>
                <w:highlight w:val="black"/>
              </w:rPr>
              <w:t>'''''''''''''''''</w:t>
            </w:r>
            <w:r w:rsidR="009C68FC">
              <w:rPr>
                <w:rFonts w:ascii="Arial Narrow" w:hAnsi="Arial Narrow"/>
                <w:szCs w:val="20"/>
                <w:vertAlign w:val="superscript"/>
              </w:rPr>
              <w:t>1</w:t>
            </w:r>
          </w:p>
        </w:tc>
      </w:tr>
    </w:tbl>
    <w:p w:rsidR="00F9243D" w:rsidRDefault="00F9243D" w:rsidP="00BE49EF">
      <w:pPr>
        <w:pStyle w:val="TableFigureFooter"/>
        <w:keepNext/>
        <w:keepLines/>
      </w:pPr>
      <w:r w:rsidRPr="005728DD">
        <w:t xml:space="preserve">Abbreviations: BSC = best supportive care; ELX/TEZ/IVA = </w:t>
      </w:r>
      <w:r w:rsidR="00D669C8" w:rsidRPr="005728DD">
        <w:t>elexacaftor</w:t>
      </w:r>
      <w:r w:rsidRPr="005728DD">
        <w:t xml:space="preserve">/tezacaftor/ivacaftor; F/F = homozygous for F508del-CFTR mutations; F/MF = heterozygous for F508del-CFTR mutation with a second minimal function allele; F/RF = heterozygous for F508del-CFTR with a second residual function mutation; ICER= incremental cost effectiveness ratio; LYG = life years gained; QALYs= quality adjusted life years; TEZ/IVA = tezacaftor/ivacaftor </w:t>
      </w:r>
    </w:p>
    <w:p w:rsidR="009C68FC" w:rsidRPr="009868C4" w:rsidRDefault="009C68FC" w:rsidP="009C68FC">
      <w:pPr>
        <w:pStyle w:val="TableFigureFooter"/>
        <w:spacing w:after="0"/>
        <w:contextualSpacing w:val="0"/>
      </w:pPr>
      <w:r w:rsidRPr="009868C4">
        <w:rPr>
          <w:i/>
        </w:rPr>
        <w:t>The redacted values correspond to the following ranges</w:t>
      </w:r>
      <w:r>
        <w:rPr>
          <w:i/>
        </w:rPr>
        <w:t xml:space="preserve">: </w:t>
      </w:r>
    </w:p>
    <w:p w:rsidR="009C68FC" w:rsidRDefault="009C68FC" w:rsidP="00BE49EF">
      <w:pPr>
        <w:pStyle w:val="TableFigureFooter"/>
        <w:keepNext/>
        <w:keepLines/>
        <w:rPr>
          <w:i/>
        </w:rPr>
      </w:pPr>
      <w:r>
        <w:rPr>
          <w:i/>
          <w:vertAlign w:val="superscript"/>
        </w:rPr>
        <w:t xml:space="preserve">1 </w:t>
      </w:r>
      <w:r w:rsidRPr="009C68FC">
        <w:rPr>
          <w:i/>
        </w:rPr>
        <w:t>$155,000 to &lt; $255,000</w:t>
      </w:r>
    </w:p>
    <w:p w:rsidR="009C68FC" w:rsidRDefault="009C68FC" w:rsidP="00BE49EF">
      <w:pPr>
        <w:pStyle w:val="TableFigureFooter"/>
        <w:keepNext/>
        <w:keepLines/>
        <w:rPr>
          <w:i/>
        </w:rPr>
      </w:pPr>
      <w:r>
        <w:rPr>
          <w:i/>
          <w:vertAlign w:val="superscript"/>
        </w:rPr>
        <w:t xml:space="preserve">2 </w:t>
      </w:r>
      <w:r w:rsidRPr="009C68FC">
        <w:rPr>
          <w:i/>
        </w:rPr>
        <w:t>$135,000 to &lt; $155,000</w:t>
      </w:r>
    </w:p>
    <w:p w:rsidR="009C68FC" w:rsidRDefault="009C68FC" w:rsidP="00BE49EF">
      <w:pPr>
        <w:pStyle w:val="TableFigureFooter"/>
        <w:keepNext/>
        <w:keepLines/>
        <w:rPr>
          <w:i/>
        </w:rPr>
      </w:pPr>
      <w:r>
        <w:rPr>
          <w:i/>
          <w:vertAlign w:val="superscript"/>
        </w:rPr>
        <w:t xml:space="preserve">3 </w:t>
      </w:r>
      <w:r w:rsidRPr="009C68FC">
        <w:rPr>
          <w:i/>
        </w:rPr>
        <w:t>$455,000 to &lt; $555,000</w:t>
      </w:r>
    </w:p>
    <w:p w:rsidR="009C68FC" w:rsidRPr="009C68FC" w:rsidRDefault="009C68FC" w:rsidP="00BE49EF">
      <w:pPr>
        <w:pStyle w:val="TableFigureFooter"/>
        <w:keepNext/>
        <w:keepLines/>
        <w:rPr>
          <w:i/>
        </w:rPr>
      </w:pPr>
    </w:p>
    <w:p w:rsidR="00A84EF1" w:rsidRPr="005728DD" w:rsidRDefault="001A10EE" w:rsidP="00FF007E">
      <w:pPr>
        <w:pStyle w:val="3-BodyText"/>
      </w:pPr>
      <w:r w:rsidRPr="005728DD">
        <w:t xml:space="preserve">The submission </w:t>
      </w:r>
      <w:r w:rsidR="00FA441A" w:rsidRPr="005728DD">
        <w:t xml:space="preserve">conducted a cost analysis for </w:t>
      </w:r>
      <w:r w:rsidR="00057675" w:rsidRPr="005728DD">
        <w:t xml:space="preserve">the </w:t>
      </w:r>
      <w:r w:rsidR="00FA441A" w:rsidRPr="005728DD">
        <w:t xml:space="preserve">F/G </w:t>
      </w:r>
      <w:r w:rsidR="00057675" w:rsidRPr="005728DD">
        <w:t>population</w:t>
      </w:r>
      <w:r w:rsidR="00FA441A" w:rsidRPr="005728DD">
        <w:t>. Based on the proposed</w:t>
      </w:r>
      <w:r w:rsidR="00721C75" w:rsidRPr="005728DD">
        <w:t xml:space="preserve"> </w:t>
      </w:r>
      <w:r w:rsidR="006B53BB" w:rsidRPr="005728DD">
        <w:t xml:space="preserve">effective </w:t>
      </w:r>
      <w:r w:rsidR="00721C75" w:rsidRPr="005728DD">
        <w:t>price</w:t>
      </w:r>
      <w:r w:rsidR="00DD3A88" w:rsidRPr="005728DD">
        <w:t xml:space="preserve"> ($</w:t>
      </w:r>
      <w:r w:rsidR="00967E09">
        <w:rPr>
          <w:noProof/>
          <w:color w:val="000000"/>
          <w:highlight w:val="black"/>
        </w:rPr>
        <w:t>'''''''''''''''''''</w:t>
      </w:r>
      <w:r w:rsidR="00DD3A88" w:rsidRPr="005728DD">
        <w:t xml:space="preserve"> per 28-8 day pack, 11.74 packs per year)</w:t>
      </w:r>
      <w:r w:rsidR="00FA441A" w:rsidRPr="005728DD">
        <w:t xml:space="preserve">, </w:t>
      </w:r>
      <w:r w:rsidR="006B53BB" w:rsidRPr="005728DD">
        <w:t xml:space="preserve">it </w:t>
      </w:r>
      <w:r w:rsidR="004C33E7" w:rsidRPr="005728DD">
        <w:t>wa</w:t>
      </w:r>
      <w:r w:rsidR="006B53BB" w:rsidRPr="005728DD">
        <w:t xml:space="preserve">s </w:t>
      </w:r>
      <w:r w:rsidR="00FA441A" w:rsidRPr="005728DD">
        <w:t>estimated that using ELX/TEZ/IVA compared with IVA ($</w:t>
      </w:r>
      <w:r w:rsidR="00967E09">
        <w:rPr>
          <w:noProof/>
          <w:color w:val="000000"/>
          <w:highlight w:val="black"/>
        </w:rPr>
        <w:t>''''''''''''''''''''</w:t>
      </w:r>
      <w:r w:rsidR="00FA441A" w:rsidRPr="005728DD">
        <w:t xml:space="preserve"> per 28-day pack) </w:t>
      </w:r>
      <w:r w:rsidR="004C33E7" w:rsidRPr="005728DD">
        <w:t>would</w:t>
      </w:r>
      <w:r w:rsidR="00FA441A" w:rsidRPr="005728DD">
        <w:t xml:space="preserve"> result in a cost-saving of $</w:t>
      </w:r>
      <w:r w:rsidR="00967E09">
        <w:rPr>
          <w:noProof/>
          <w:color w:val="000000"/>
          <w:highlight w:val="black"/>
        </w:rPr>
        <w:t>'''''''''''''</w:t>
      </w:r>
      <w:r w:rsidR="00FA441A" w:rsidRPr="005728DD">
        <w:t xml:space="preserve"> per patient per year</w:t>
      </w:r>
      <w:r w:rsidR="006B53BB" w:rsidRPr="005728DD">
        <w:rPr>
          <w:rStyle w:val="FootnoteReference"/>
        </w:rPr>
        <w:footnoteReference w:id="4"/>
      </w:r>
      <w:r w:rsidR="00FA441A" w:rsidRPr="005728DD">
        <w:t xml:space="preserve">. </w:t>
      </w:r>
      <w:r w:rsidR="00FF007E" w:rsidRPr="005728DD">
        <w:t>The ESC noted the current RSA caps for IVA were based on an annual cost per patient of $</w:t>
      </w:r>
      <w:r w:rsidR="00967E09">
        <w:rPr>
          <w:noProof/>
          <w:color w:val="000000"/>
          <w:highlight w:val="black"/>
        </w:rPr>
        <w:t>'''''''''''''''</w:t>
      </w:r>
      <w:r w:rsidR="00FF007E" w:rsidRPr="005728DD">
        <w:t xml:space="preserve">, which </w:t>
      </w:r>
      <w:r w:rsidR="00FF007E" w:rsidRPr="005728DD">
        <w:lastRenderedPageBreak/>
        <w:t xml:space="preserve">takes into account the outcomes of the Pay for Performance </w:t>
      </w:r>
      <w:r w:rsidR="00CF65D2" w:rsidRPr="005728DD">
        <w:t>arrangement which</w:t>
      </w:r>
      <w:r w:rsidR="00FF007E" w:rsidRPr="005728DD">
        <w:t xml:space="preserve"> applied at time of listing.</w:t>
      </w:r>
    </w:p>
    <w:p w:rsidR="00A86E8B" w:rsidRPr="005728DD" w:rsidRDefault="00D23D11" w:rsidP="00BB732D">
      <w:pPr>
        <w:pStyle w:val="3-BodyText"/>
      </w:pPr>
      <w:r w:rsidRPr="005728DD">
        <w:t xml:space="preserve">The results of key univariate sensitivity analyses are summarised </w:t>
      </w:r>
      <w:r w:rsidR="00F223E4" w:rsidRPr="005728DD">
        <w:t xml:space="preserve">in </w:t>
      </w:r>
      <w:r w:rsidR="005C56C0" w:rsidRPr="005728DD">
        <w:t xml:space="preserve">Table </w:t>
      </w:r>
      <w:r w:rsidR="005C56C0">
        <w:rPr>
          <w:noProof/>
        </w:rPr>
        <w:t>19</w:t>
      </w:r>
      <w:r w:rsidR="006E0118" w:rsidRPr="005728DD">
        <w:t xml:space="preserve"> and </w:t>
      </w:r>
      <w:r w:rsidR="005C56C0" w:rsidRPr="005728DD">
        <w:t xml:space="preserve">Table </w:t>
      </w:r>
      <w:r w:rsidR="005C56C0">
        <w:rPr>
          <w:noProof/>
        </w:rPr>
        <w:t>20</w:t>
      </w:r>
      <w:r w:rsidRPr="005728DD">
        <w:t xml:space="preserve">. </w:t>
      </w:r>
      <w:r w:rsidR="00226959" w:rsidRPr="005728DD">
        <w:rPr>
          <w:iCs/>
        </w:rPr>
        <w:t>The results of sensitivity analyses suggest that the model was most sensitive to removing the L</w:t>
      </w:r>
      <w:r w:rsidR="00945E14" w:rsidRPr="005728DD">
        <w:rPr>
          <w:iCs/>
        </w:rPr>
        <w:t>o</w:t>
      </w:r>
      <w:r w:rsidR="00226959" w:rsidRPr="005728DD">
        <w:rPr>
          <w:iCs/>
        </w:rPr>
        <w:t>E assumption, followed by setting the time horizon to 20 years and removing the treatment specific utility increment. The results were also sensitive to the assumptions on the long-term decline in ppFEV</w:t>
      </w:r>
      <w:r w:rsidR="00226959" w:rsidRPr="005728DD">
        <w:rPr>
          <w:iCs/>
          <w:vertAlign w:val="subscript"/>
        </w:rPr>
        <w:t>1</w:t>
      </w:r>
      <w:r w:rsidR="00226959" w:rsidRPr="005728DD">
        <w:rPr>
          <w:iCs/>
        </w:rPr>
        <w:t>.</w:t>
      </w:r>
    </w:p>
    <w:p w:rsidR="000B566E" w:rsidRPr="005728DD" w:rsidRDefault="006E0118" w:rsidP="00327C06">
      <w:pPr>
        <w:pStyle w:val="TableFigureHeading"/>
        <w:keepLines/>
      </w:pPr>
      <w:bookmarkStart w:id="41" w:name="_Ref64497709"/>
      <w:r w:rsidRPr="005728DD">
        <w:t xml:space="preserve">Table </w:t>
      </w:r>
      <w:r w:rsidR="005C56C0">
        <w:rPr>
          <w:noProof/>
        </w:rPr>
        <w:t>19</w:t>
      </w:r>
      <w:bookmarkEnd w:id="41"/>
      <w:r w:rsidR="002B012A" w:rsidRPr="005728DD">
        <w:rPr>
          <w:rStyle w:val="CommentReference"/>
          <w:b/>
          <w:szCs w:val="24"/>
        </w:rPr>
        <w:t>: Results of sensitivity analyses</w:t>
      </w:r>
      <w:r w:rsidR="000B566E" w:rsidRPr="005728DD">
        <w:rPr>
          <w:rStyle w:val="CommentReference"/>
          <w:b/>
          <w:szCs w:val="24"/>
        </w:rPr>
        <w:t xml:space="preserve">, ELX/TEZ/IVA vs TEZ/ IVA for F/F and F/RF population </w:t>
      </w:r>
      <w:r w:rsidR="00327C06" w:rsidRPr="005728DD">
        <w:rPr>
          <w:rStyle w:val="CommentReference"/>
          <w:b/>
          <w:szCs w:val="24"/>
        </w:rPr>
        <w:t>(based on ELX/TEZ/IVA pack price of $</w:t>
      </w:r>
      <w:r w:rsidR="00967E09">
        <w:rPr>
          <w:rStyle w:val="CommentReference"/>
          <w:b/>
          <w:noProof/>
          <w:color w:val="000000"/>
          <w:szCs w:val="24"/>
          <w:highlight w:val="black"/>
        </w:rPr>
        <w:t>''''''''''''''''''''</w:t>
      </w:r>
      <w:r w:rsidR="00327C06" w:rsidRPr="005728DD">
        <w:rPr>
          <w:rStyle w:val="CommentReference"/>
          <w:b/>
          <w:szCs w:val="24"/>
        </w:rPr>
        <w:t>)</w:t>
      </w:r>
    </w:p>
    <w:tbl>
      <w:tblPr>
        <w:tblStyle w:val="TableGrid"/>
        <w:tblW w:w="5288" w:type="pct"/>
        <w:tblLook w:val="04A0" w:firstRow="1" w:lastRow="0" w:firstColumn="1" w:lastColumn="0" w:noHBand="0" w:noVBand="1"/>
        <w:tblCaption w:val="Table 19: Results of sensitivity analyses, ELX/TEZ/IVA vs TEZ/ IVA for F/F and F/RF population "/>
      </w:tblPr>
      <w:tblGrid>
        <w:gridCol w:w="3579"/>
        <w:gridCol w:w="1031"/>
        <w:gridCol w:w="895"/>
        <w:gridCol w:w="1027"/>
        <w:gridCol w:w="1031"/>
        <w:gridCol w:w="821"/>
        <w:gridCol w:w="1027"/>
      </w:tblGrid>
      <w:tr w:rsidR="000B566E" w:rsidRPr="005728DD" w:rsidTr="005C66A3">
        <w:trPr>
          <w:tblHeader/>
        </w:trPr>
        <w:tc>
          <w:tcPr>
            <w:tcW w:w="1957" w:type="pct"/>
          </w:tcPr>
          <w:p w:rsidR="000B566E" w:rsidRPr="005728DD" w:rsidRDefault="000B566E" w:rsidP="000B566E">
            <w:pPr>
              <w:pStyle w:val="In-tableHeading"/>
              <w:rPr>
                <w:lang w:val="en-AU"/>
              </w:rPr>
            </w:pPr>
          </w:p>
        </w:tc>
        <w:tc>
          <w:tcPr>
            <w:tcW w:w="1459" w:type="pct"/>
            <w:gridSpan w:val="3"/>
          </w:tcPr>
          <w:p w:rsidR="000B566E" w:rsidRPr="005728DD" w:rsidRDefault="000B566E" w:rsidP="000B566E">
            <w:pPr>
              <w:pStyle w:val="In-tableHeading"/>
              <w:jc w:val="center"/>
              <w:rPr>
                <w:lang w:val="en-AU"/>
              </w:rPr>
            </w:pPr>
            <w:r w:rsidRPr="005728DD">
              <w:rPr>
                <w:szCs w:val="20"/>
                <w:lang w:val="en-AU"/>
              </w:rPr>
              <w:t>F/F</w:t>
            </w:r>
          </w:p>
        </w:tc>
        <w:tc>
          <w:tcPr>
            <w:tcW w:w="1583" w:type="pct"/>
            <w:gridSpan w:val="3"/>
          </w:tcPr>
          <w:p w:rsidR="000B566E" w:rsidRPr="005728DD" w:rsidRDefault="000B566E" w:rsidP="000B566E">
            <w:pPr>
              <w:pStyle w:val="In-tableHeading"/>
              <w:jc w:val="center"/>
              <w:rPr>
                <w:lang w:val="en-AU"/>
              </w:rPr>
            </w:pPr>
            <w:r w:rsidRPr="005728DD">
              <w:rPr>
                <w:lang w:val="en-AU"/>
              </w:rPr>
              <w:t>F/RF</w:t>
            </w:r>
          </w:p>
        </w:tc>
      </w:tr>
      <w:tr w:rsidR="000B566E" w:rsidRPr="005728DD" w:rsidTr="00FC1994">
        <w:tc>
          <w:tcPr>
            <w:tcW w:w="1957" w:type="pct"/>
          </w:tcPr>
          <w:p w:rsidR="000B566E" w:rsidRPr="005728DD" w:rsidRDefault="000B566E" w:rsidP="000B566E">
            <w:pPr>
              <w:pStyle w:val="In-tableHeading"/>
              <w:rPr>
                <w:lang w:val="en-AU"/>
              </w:rPr>
            </w:pPr>
          </w:p>
        </w:tc>
        <w:tc>
          <w:tcPr>
            <w:tcW w:w="472" w:type="pct"/>
          </w:tcPr>
          <w:p w:rsidR="000B566E" w:rsidRPr="005728DD" w:rsidRDefault="000B566E" w:rsidP="00B573C9">
            <w:pPr>
              <w:pStyle w:val="In-tableHeading"/>
              <w:jc w:val="center"/>
              <w:rPr>
                <w:lang w:val="en-AU"/>
              </w:rPr>
            </w:pPr>
            <w:r w:rsidRPr="005728DD">
              <w:rPr>
                <w:szCs w:val="20"/>
                <w:lang w:val="en-AU"/>
              </w:rPr>
              <w:t>Incr cost</w:t>
            </w:r>
          </w:p>
        </w:tc>
        <w:tc>
          <w:tcPr>
            <w:tcW w:w="531" w:type="pct"/>
          </w:tcPr>
          <w:p w:rsidR="000B566E" w:rsidRPr="005728DD" w:rsidRDefault="000B566E" w:rsidP="00B573C9">
            <w:pPr>
              <w:pStyle w:val="In-tableHeading"/>
              <w:jc w:val="center"/>
              <w:rPr>
                <w:lang w:val="en-AU"/>
              </w:rPr>
            </w:pPr>
            <w:r w:rsidRPr="005728DD">
              <w:rPr>
                <w:szCs w:val="20"/>
                <w:lang w:val="en-AU"/>
              </w:rPr>
              <w:t>Incr QALY</w:t>
            </w:r>
          </w:p>
        </w:tc>
        <w:tc>
          <w:tcPr>
            <w:tcW w:w="456" w:type="pct"/>
          </w:tcPr>
          <w:p w:rsidR="000B566E" w:rsidRPr="005728DD" w:rsidRDefault="000B566E" w:rsidP="00B573C9">
            <w:pPr>
              <w:pStyle w:val="In-tableHeading"/>
              <w:jc w:val="center"/>
              <w:rPr>
                <w:lang w:val="en-AU"/>
              </w:rPr>
            </w:pPr>
            <w:r w:rsidRPr="005728DD">
              <w:rPr>
                <w:lang w:val="en-AU"/>
              </w:rPr>
              <w:t>ICER</w:t>
            </w:r>
          </w:p>
        </w:tc>
        <w:tc>
          <w:tcPr>
            <w:tcW w:w="563" w:type="pct"/>
          </w:tcPr>
          <w:p w:rsidR="000B566E" w:rsidRPr="005728DD" w:rsidRDefault="000B566E" w:rsidP="00B573C9">
            <w:pPr>
              <w:pStyle w:val="In-tableHeading"/>
              <w:jc w:val="center"/>
              <w:rPr>
                <w:lang w:val="en-AU"/>
              </w:rPr>
            </w:pPr>
            <w:r w:rsidRPr="005728DD">
              <w:rPr>
                <w:szCs w:val="20"/>
                <w:lang w:val="en-AU"/>
              </w:rPr>
              <w:t>Incr cost</w:t>
            </w:r>
          </w:p>
        </w:tc>
        <w:tc>
          <w:tcPr>
            <w:tcW w:w="531" w:type="pct"/>
          </w:tcPr>
          <w:p w:rsidR="000B566E" w:rsidRPr="005728DD" w:rsidRDefault="000B566E" w:rsidP="00B573C9">
            <w:pPr>
              <w:pStyle w:val="In-tableHeading"/>
              <w:jc w:val="center"/>
              <w:rPr>
                <w:lang w:val="en-AU"/>
              </w:rPr>
            </w:pPr>
            <w:r w:rsidRPr="005728DD">
              <w:rPr>
                <w:szCs w:val="20"/>
                <w:lang w:val="en-AU"/>
              </w:rPr>
              <w:t>Incr QALY</w:t>
            </w:r>
          </w:p>
        </w:tc>
        <w:tc>
          <w:tcPr>
            <w:tcW w:w="489" w:type="pct"/>
          </w:tcPr>
          <w:p w:rsidR="000B566E" w:rsidRPr="005728DD" w:rsidRDefault="003F760F" w:rsidP="00B573C9">
            <w:pPr>
              <w:pStyle w:val="In-tableHeading"/>
              <w:jc w:val="center"/>
              <w:rPr>
                <w:lang w:val="en-AU"/>
              </w:rPr>
            </w:pPr>
            <w:r w:rsidRPr="005728DD">
              <w:rPr>
                <w:lang w:val="en-AU"/>
              </w:rPr>
              <w:t>ICER</w:t>
            </w:r>
          </w:p>
        </w:tc>
      </w:tr>
      <w:tr w:rsidR="000B566E" w:rsidRPr="005728DD" w:rsidTr="00FC1994">
        <w:tc>
          <w:tcPr>
            <w:tcW w:w="1957" w:type="pct"/>
          </w:tcPr>
          <w:p w:rsidR="000B566E" w:rsidRPr="005728DD" w:rsidRDefault="000B566E" w:rsidP="000B566E">
            <w:pPr>
              <w:pStyle w:val="In-tableHeading"/>
              <w:rPr>
                <w:b w:val="0"/>
                <w:lang w:val="en-AU"/>
              </w:rPr>
            </w:pPr>
            <w:r w:rsidRPr="005728DD">
              <w:rPr>
                <w:b w:val="0"/>
                <w:lang w:val="en-AU"/>
              </w:rPr>
              <w:t>Base case</w:t>
            </w:r>
          </w:p>
        </w:tc>
        <w:tc>
          <w:tcPr>
            <w:tcW w:w="472" w:type="pct"/>
            <w:tcBorders>
              <w:bottom w:val="single" w:sz="4" w:space="0" w:color="auto"/>
            </w:tcBorders>
          </w:tcPr>
          <w:p w:rsidR="000B566E" w:rsidRPr="00967E09" w:rsidRDefault="003863BA" w:rsidP="00B573C9">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p>
        </w:tc>
        <w:tc>
          <w:tcPr>
            <w:tcW w:w="531" w:type="pct"/>
            <w:tcBorders>
              <w:bottom w:val="single" w:sz="4" w:space="0" w:color="auto"/>
            </w:tcBorders>
          </w:tcPr>
          <w:p w:rsidR="000B566E" w:rsidRPr="000C7366" w:rsidRDefault="00877827" w:rsidP="000C7366">
            <w:pPr>
              <w:jc w:val="center"/>
              <w:rPr>
                <w:rFonts w:ascii="Arial Narrow" w:hAnsi="Arial Narrow" w:cs="Calibri"/>
                <w:color w:val="000000"/>
                <w:sz w:val="20"/>
                <w:szCs w:val="20"/>
                <w:vertAlign w:val="superscript"/>
              </w:rPr>
            </w:pPr>
            <w:r w:rsidRPr="005728DD">
              <w:rPr>
                <w:rFonts w:ascii="Arial Narrow" w:hAnsi="Arial Narrow" w:cs="Calibri"/>
                <w:color w:val="000000"/>
                <w:sz w:val="20"/>
                <w:szCs w:val="20"/>
              </w:rPr>
              <w:t>4.55</w:t>
            </w:r>
          </w:p>
        </w:tc>
        <w:tc>
          <w:tcPr>
            <w:tcW w:w="456" w:type="pct"/>
            <w:tcBorders>
              <w:bottom w:val="single" w:sz="4" w:space="0" w:color="auto"/>
            </w:tcBorders>
          </w:tcPr>
          <w:p w:rsidR="000B566E" w:rsidRPr="00967E09" w:rsidRDefault="00877827" w:rsidP="000E0275">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sidR="00967E09">
              <w:rPr>
                <w:rFonts w:ascii="Arial Narrow" w:hAnsi="Arial Narrow" w:cs="Calibri"/>
                <w:noProof/>
                <w:color w:val="000000"/>
                <w:sz w:val="20"/>
                <w:szCs w:val="20"/>
                <w:highlight w:val="black"/>
              </w:rPr>
              <w:t>''''''''''''''''''</w:t>
            </w:r>
            <w:r w:rsidR="000C7366">
              <w:rPr>
                <w:rFonts w:ascii="Arial Narrow" w:hAnsi="Arial Narrow" w:cs="Calibri"/>
                <w:color w:val="000000"/>
                <w:sz w:val="20"/>
                <w:szCs w:val="20"/>
                <w:vertAlign w:val="superscript"/>
              </w:rPr>
              <w:t>1</w:t>
            </w:r>
          </w:p>
        </w:tc>
        <w:tc>
          <w:tcPr>
            <w:tcW w:w="563" w:type="pct"/>
            <w:tcBorders>
              <w:bottom w:val="single" w:sz="4" w:space="0" w:color="auto"/>
            </w:tcBorders>
          </w:tcPr>
          <w:p w:rsidR="000B566E" w:rsidRPr="00967E09" w:rsidRDefault="00877827" w:rsidP="000E0275">
            <w:pPr>
              <w:jc w:val="center"/>
              <w:rPr>
                <w:rFonts w:ascii="Arial Narrow" w:hAnsi="Arial Narrow" w:cs="Calibri"/>
                <w:color w:val="000000"/>
                <w:sz w:val="20"/>
                <w:szCs w:val="20"/>
              </w:rPr>
            </w:pPr>
            <w:r w:rsidRPr="009C68FC">
              <w:rPr>
                <w:rFonts w:ascii="Arial Narrow" w:eastAsiaTheme="majorEastAsia" w:hAnsi="Arial Narrow" w:cs="Times New Roman"/>
                <w:sz w:val="20"/>
                <w:szCs w:val="20"/>
              </w:rPr>
              <w:t>$</w:t>
            </w:r>
            <w:r w:rsidR="00967E09">
              <w:rPr>
                <w:rFonts w:ascii="Arial Narrow" w:hAnsi="Arial Narrow" w:cs="Calibri"/>
                <w:noProof/>
                <w:color w:val="000000"/>
                <w:sz w:val="20"/>
                <w:szCs w:val="20"/>
                <w:highlight w:val="black"/>
              </w:rPr>
              <w:t>''''''''''''''''''''</w:t>
            </w:r>
          </w:p>
        </w:tc>
        <w:tc>
          <w:tcPr>
            <w:tcW w:w="531" w:type="pct"/>
            <w:tcBorders>
              <w:bottom w:val="single" w:sz="4" w:space="0" w:color="auto"/>
            </w:tcBorders>
          </w:tcPr>
          <w:p w:rsidR="000B566E" w:rsidRPr="005728DD" w:rsidRDefault="00877827" w:rsidP="000E0275">
            <w:pPr>
              <w:jc w:val="center"/>
              <w:rPr>
                <w:rFonts w:ascii="Arial Narrow" w:hAnsi="Arial Narrow" w:cs="Calibri"/>
                <w:color w:val="000000"/>
                <w:sz w:val="20"/>
                <w:szCs w:val="20"/>
              </w:rPr>
            </w:pPr>
            <w:r w:rsidRPr="005728DD">
              <w:rPr>
                <w:rFonts w:ascii="Arial Narrow" w:hAnsi="Arial Narrow" w:cs="Calibri"/>
                <w:color w:val="000000"/>
                <w:sz w:val="20"/>
                <w:szCs w:val="20"/>
              </w:rPr>
              <w:t>2.25</w:t>
            </w:r>
          </w:p>
        </w:tc>
        <w:tc>
          <w:tcPr>
            <w:tcW w:w="489" w:type="pct"/>
            <w:tcBorders>
              <w:bottom w:val="single" w:sz="4" w:space="0" w:color="auto"/>
            </w:tcBorders>
          </w:tcPr>
          <w:p w:rsidR="000B566E" w:rsidRPr="00967E09" w:rsidRDefault="00877827" w:rsidP="00B573C9">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r w:rsidR="000C7366">
              <w:rPr>
                <w:rFonts w:cs="Calibri"/>
                <w:color w:val="000000"/>
                <w:szCs w:val="20"/>
                <w:vertAlign w:val="superscript"/>
              </w:rPr>
              <w:t>2</w:t>
            </w:r>
          </w:p>
        </w:tc>
      </w:tr>
      <w:tr w:rsidR="000E0275" w:rsidRPr="005728DD" w:rsidTr="00FC1994">
        <w:tc>
          <w:tcPr>
            <w:tcW w:w="1957" w:type="pct"/>
          </w:tcPr>
          <w:p w:rsidR="000E0275" w:rsidRPr="005728DD" w:rsidRDefault="000E0275" w:rsidP="000E0275">
            <w:pPr>
              <w:pStyle w:val="In-tableHeading"/>
              <w:rPr>
                <w:b w:val="0"/>
                <w:lang w:val="en-AU"/>
              </w:rPr>
            </w:pPr>
            <w:r w:rsidRPr="005728DD">
              <w:rPr>
                <w:b w:val="0"/>
                <w:iCs/>
                <w:szCs w:val="20"/>
                <w:lang w:val="en-AU"/>
              </w:rPr>
              <w:t>LoE assumption removed (base case LoE)</w:t>
            </w:r>
          </w:p>
        </w:tc>
        <w:tc>
          <w:tcPr>
            <w:tcW w:w="472" w:type="pct"/>
            <w:tcBorders>
              <w:top w:val="single" w:sz="4" w:space="0" w:color="auto"/>
              <w:left w:val="nil"/>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5728DD" w:rsidRDefault="000E0275" w:rsidP="000E0275">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r w:rsidR="000C7366">
              <w:rPr>
                <w:rFonts w:cs="Calibri"/>
                <w:color w:val="000000"/>
                <w:szCs w:val="20"/>
                <w:vertAlign w:val="superscript"/>
              </w:rPr>
              <w:t>2</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5728DD" w:rsidRDefault="00C75A4C" w:rsidP="000E0275">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r w:rsidR="000C7366">
              <w:rPr>
                <w:rFonts w:cs="Calibri"/>
                <w:color w:val="000000"/>
                <w:szCs w:val="20"/>
                <w:vertAlign w:val="superscript"/>
              </w:rPr>
              <w:t>3</w:t>
            </w:r>
          </w:p>
        </w:tc>
      </w:tr>
      <w:tr w:rsidR="00366A6C" w:rsidRPr="005728DD" w:rsidTr="00FC1994">
        <w:tc>
          <w:tcPr>
            <w:tcW w:w="1957" w:type="pct"/>
          </w:tcPr>
          <w:p w:rsidR="00D11DF8" w:rsidRPr="00290C01" w:rsidRDefault="00366A6C" w:rsidP="00FC1994">
            <w:pPr>
              <w:pStyle w:val="In-tableHeading"/>
              <w:rPr>
                <w:b w:val="0"/>
                <w:iCs/>
                <w:szCs w:val="20"/>
                <w:lang w:val="en-AU"/>
              </w:rPr>
            </w:pPr>
            <w:r w:rsidRPr="00290C01">
              <w:rPr>
                <w:b w:val="0"/>
                <w:iCs/>
                <w:szCs w:val="20"/>
                <w:lang w:val="en-AU"/>
              </w:rPr>
              <w:t>LoE</w:t>
            </w:r>
            <w:r w:rsidR="00FC1994" w:rsidRPr="00290C01">
              <w:rPr>
                <w:b w:val="0"/>
                <w:iCs/>
                <w:szCs w:val="20"/>
                <w:lang w:val="en-AU"/>
              </w:rPr>
              <w:t xml:space="preserve"> </w:t>
            </w:r>
            <w:r w:rsidRPr="00290C01">
              <w:rPr>
                <w:b w:val="0"/>
                <w:iCs/>
                <w:szCs w:val="20"/>
                <w:lang w:val="en-AU"/>
              </w:rPr>
              <w:t xml:space="preserve">assumption </w:t>
            </w:r>
            <w:r w:rsidR="00FC1994" w:rsidRPr="00290C01">
              <w:rPr>
                <w:b w:val="0"/>
                <w:iCs/>
                <w:szCs w:val="20"/>
                <w:lang w:val="en-AU"/>
              </w:rPr>
              <w:t xml:space="preserve">of </w:t>
            </w:r>
            <w:r w:rsidR="00967E09">
              <w:rPr>
                <w:b w:val="0"/>
                <w:iCs/>
                <w:noProof/>
                <w:color w:val="000000"/>
                <w:szCs w:val="20"/>
                <w:highlight w:val="black"/>
                <w:lang w:val="en-AU"/>
              </w:rPr>
              <w:t xml:space="preserve">''''''''''''''''''''''' </w:t>
            </w:r>
            <w:r w:rsidRPr="00290C01">
              <w:rPr>
                <w:b w:val="0"/>
                <w:iCs/>
                <w:szCs w:val="20"/>
                <w:lang w:val="en-AU"/>
              </w:rPr>
              <w:t xml:space="preserve">for </w:t>
            </w:r>
            <w:r w:rsidR="00FC1994" w:rsidRPr="00290C01">
              <w:rPr>
                <w:b w:val="0"/>
                <w:iCs/>
                <w:szCs w:val="20"/>
                <w:lang w:val="en-AU"/>
              </w:rPr>
              <w:t xml:space="preserve">TEZ/IVA, consistent with </w:t>
            </w:r>
            <w:r w:rsidRPr="00290C01">
              <w:rPr>
                <w:b w:val="0"/>
                <w:iCs/>
                <w:szCs w:val="20"/>
                <w:lang w:val="en-AU"/>
              </w:rPr>
              <w:t xml:space="preserve">LUM/IVA </w:t>
            </w:r>
            <w:r w:rsidR="00FC1994" w:rsidRPr="00290C01">
              <w:rPr>
                <w:b w:val="0"/>
                <w:iCs/>
                <w:szCs w:val="20"/>
                <w:lang w:val="en-AU"/>
              </w:rPr>
              <w:t>July 2018 submission</w:t>
            </w:r>
            <w:r w:rsidR="00D11DF8" w:rsidRPr="00290C01">
              <w:rPr>
                <w:b w:val="0"/>
                <w:iCs/>
                <w:szCs w:val="20"/>
                <w:lang w:val="en-AU"/>
              </w:rPr>
              <w:t xml:space="preserve"> </w:t>
            </w:r>
            <w:r w:rsidR="00FC1994" w:rsidRPr="00290C01">
              <w:rPr>
                <w:b w:val="0"/>
                <w:iCs/>
                <w:szCs w:val="20"/>
                <w:lang w:val="en-AU"/>
              </w:rPr>
              <w:t xml:space="preserve">(base case </w:t>
            </w:r>
            <w:r w:rsidR="00967E09">
              <w:rPr>
                <w:b w:val="0"/>
                <w:iCs/>
                <w:noProof/>
                <w:color w:val="000000"/>
                <w:szCs w:val="20"/>
                <w:highlight w:val="black"/>
                <w:lang w:val="en-AU"/>
              </w:rPr>
              <w:t>''''''''''''''''''''''</w:t>
            </w:r>
            <w:r w:rsidR="00FC1994" w:rsidRPr="00290C01">
              <w:rPr>
                <w:b w:val="0"/>
                <w:iCs/>
                <w:szCs w:val="20"/>
                <w:lang w:val="en-AU"/>
              </w:rPr>
              <w:t>)</w:t>
            </w:r>
            <w:r w:rsidRPr="00290C01">
              <w:rPr>
                <w:b w:val="0"/>
                <w:iCs/>
                <w:szCs w:val="20"/>
                <w:lang w:val="en-AU"/>
              </w:rPr>
              <w:t xml:space="preserve">. </w:t>
            </w:r>
          </w:p>
          <w:p w:rsidR="00366A6C" w:rsidRPr="00290C01" w:rsidRDefault="00366A6C" w:rsidP="00FC1994">
            <w:pPr>
              <w:pStyle w:val="In-tableHeading"/>
              <w:rPr>
                <w:b w:val="0"/>
                <w:iCs/>
                <w:szCs w:val="20"/>
                <w:lang w:val="en-AU"/>
              </w:rPr>
            </w:pPr>
            <w:r w:rsidRPr="00290C01">
              <w:rPr>
                <w:b w:val="0"/>
                <w:iCs/>
                <w:szCs w:val="20"/>
                <w:lang w:val="en-AU"/>
              </w:rPr>
              <w:t>LoE assumption for ELX/TEZ/IVA removed</w:t>
            </w:r>
            <w:r w:rsidR="00FC1994" w:rsidRPr="00290C01">
              <w:rPr>
                <w:b w:val="0"/>
                <w:iCs/>
                <w:szCs w:val="20"/>
                <w:lang w:val="en-AU"/>
              </w:rPr>
              <w:t xml:space="preserve"> (base case </w:t>
            </w:r>
            <w:r w:rsidR="00967E09">
              <w:rPr>
                <w:b w:val="0"/>
                <w:iCs/>
                <w:noProof/>
                <w:color w:val="000000"/>
                <w:szCs w:val="20"/>
                <w:highlight w:val="black"/>
                <w:lang w:val="en-AU"/>
              </w:rPr>
              <w:t>'''''''''''''''''''''''''</w:t>
            </w:r>
            <w:r w:rsidR="00FC1994" w:rsidRPr="00290C01">
              <w:rPr>
                <w:b w:val="0"/>
                <w:iCs/>
                <w:szCs w:val="20"/>
                <w:lang w:val="en-AU"/>
              </w:rPr>
              <w:t>)</w:t>
            </w:r>
          </w:p>
        </w:tc>
        <w:tc>
          <w:tcPr>
            <w:tcW w:w="472" w:type="pct"/>
            <w:tcBorders>
              <w:top w:val="single" w:sz="4" w:space="0" w:color="auto"/>
              <w:left w:val="nil"/>
              <w:bottom w:val="single" w:sz="4" w:space="0" w:color="auto"/>
              <w:right w:val="single" w:sz="4" w:space="0" w:color="auto"/>
            </w:tcBorders>
            <w:shd w:val="clear" w:color="000000" w:fill="FFFFFF"/>
            <w:vAlign w:val="bottom"/>
          </w:tcPr>
          <w:p w:rsidR="00366A6C" w:rsidRPr="00967E09" w:rsidRDefault="00D11DF8"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366A6C" w:rsidRPr="005728DD" w:rsidRDefault="00D11DF8" w:rsidP="000E0275">
            <w:pPr>
              <w:pStyle w:val="In-tableHeading"/>
              <w:jc w:val="center"/>
              <w:rPr>
                <w:b w:val="0"/>
                <w:szCs w:val="20"/>
                <w:lang w:val="en-AU"/>
              </w:rPr>
            </w:pPr>
            <w:r w:rsidRPr="005728DD">
              <w:rPr>
                <w:b w:val="0"/>
                <w:szCs w:val="20"/>
                <w:lang w:val="en-AU"/>
              </w:rPr>
              <w:t>4.55</w:t>
            </w:r>
          </w:p>
        </w:tc>
        <w:tc>
          <w:tcPr>
            <w:tcW w:w="456" w:type="pct"/>
            <w:tcBorders>
              <w:top w:val="single" w:sz="4" w:space="0" w:color="auto"/>
              <w:left w:val="single" w:sz="4" w:space="0" w:color="auto"/>
              <w:bottom w:val="single" w:sz="4" w:space="0" w:color="auto"/>
              <w:right w:val="single" w:sz="4" w:space="0" w:color="auto"/>
            </w:tcBorders>
            <w:shd w:val="clear" w:color="000000" w:fill="FFFFFF"/>
            <w:vAlign w:val="bottom"/>
          </w:tcPr>
          <w:p w:rsidR="00366A6C" w:rsidRPr="00967E09" w:rsidRDefault="00D11DF8"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r w:rsidR="000C7366">
              <w:rPr>
                <w:rFonts w:cs="Calibri"/>
                <w:color w:val="000000"/>
                <w:szCs w:val="20"/>
                <w:vertAlign w:val="superscript"/>
              </w:rPr>
              <w:t>3</w:t>
            </w:r>
          </w:p>
        </w:tc>
        <w:tc>
          <w:tcPr>
            <w:tcW w:w="563" w:type="pct"/>
            <w:tcBorders>
              <w:top w:val="single" w:sz="4" w:space="0" w:color="auto"/>
              <w:left w:val="single" w:sz="4" w:space="0" w:color="auto"/>
              <w:bottom w:val="single" w:sz="4" w:space="0" w:color="auto"/>
              <w:right w:val="single" w:sz="4" w:space="0" w:color="auto"/>
            </w:tcBorders>
            <w:shd w:val="clear" w:color="000000" w:fill="FFFFFF"/>
            <w:vAlign w:val="bottom"/>
          </w:tcPr>
          <w:p w:rsidR="00366A6C" w:rsidRPr="00967E09" w:rsidRDefault="00715050"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p>
        </w:tc>
        <w:tc>
          <w:tcPr>
            <w:tcW w:w="531" w:type="pct"/>
            <w:tcBorders>
              <w:top w:val="single" w:sz="4" w:space="0" w:color="auto"/>
              <w:left w:val="single" w:sz="4" w:space="0" w:color="auto"/>
              <w:bottom w:val="single" w:sz="4" w:space="0" w:color="auto"/>
              <w:right w:val="single" w:sz="4" w:space="0" w:color="auto"/>
            </w:tcBorders>
            <w:shd w:val="clear" w:color="000000" w:fill="FFFFFF"/>
            <w:vAlign w:val="bottom"/>
          </w:tcPr>
          <w:p w:rsidR="00366A6C" w:rsidRPr="005728DD" w:rsidRDefault="00715050" w:rsidP="000E0275">
            <w:pPr>
              <w:pStyle w:val="In-tableHeading"/>
              <w:jc w:val="center"/>
              <w:rPr>
                <w:b w:val="0"/>
                <w:szCs w:val="20"/>
                <w:lang w:val="en-AU"/>
              </w:rPr>
            </w:pPr>
            <w:r w:rsidRPr="005728DD">
              <w:rPr>
                <w:b w:val="0"/>
                <w:szCs w:val="20"/>
                <w:lang w:val="en-AU"/>
              </w:rPr>
              <w:t>2.25</w:t>
            </w:r>
          </w:p>
        </w:tc>
        <w:tc>
          <w:tcPr>
            <w:tcW w:w="489" w:type="pct"/>
            <w:tcBorders>
              <w:top w:val="single" w:sz="4" w:space="0" w:color="auto"/>
              <w:left w:val="single" w:sz="4" w:space="0" w:color="auto"/>
              <w:bottom w:val="single" w:sz="4" w:space="0" w:color="auto"/>
              <w:right w:val="single" w:sz="4" w:space="0" w:color="auto"/>
            </w:tcBorders>
            <w:shd w:val="clear" w:color="000000" w:fill="FFFFFF"/>
            <w:vAlign w:val="bottom"/>
          </w:tcPr>
          <w:p w:rsidR="00366A6C" w:rsidRPr="00967E09" w:rsidRDefault="00715050" w:rsidP="000E0275">
            <w:pPr>
              <w:pStyle w:val="In-tableHeading"/>
              <w:jc w:val="center"/>
              <w:rPr>
                <w:b w:val="0"/>
                <w:szCs w:val="20"/>
                <w:lang w:val="en-AU"/>
              </w:rPr>
            </w:pPr>
            <w:r w:rsidRPr="009C68FC">
              <w:rPr>
                <w:b w:val="0"/>
                <w:szCs w:val="20"/>
                <w:lang w:val="en-AU"/>
              </w:rPr>
              <w:t>$</w:t>
            </w:r>
            <w:r w:rsidR="00967E09">
              <w:rPr>
                <w:b w:val="0"/>
                <w:noProof/>
                <w:color w:val="000000"/>
                <w:szCs w:val="20"/>
                <w:highlight w:val="black"/>
                <w:lang w:val="en-AU"/>
              </w:rPr>
              <w:t>'''''''''''''''''''</w:t>
            </w:r>
            <w:r w:rsidR="000C7366">
              <w:rPr>
                <w:rFonts w:cs="Calibri"/>
                <w:color w:val="000000"/>
                <w:szCs w:val="20"/>
                <w:vertAlign w:val="superscript"/>
              </w:rPr>
              <w:t>4</w:t>
            </w:r>
          </w:p>
        </w:tc>
      </w:tr>
      <w:tr w:rsidR="00DD3A88" w:rsidRPr="005728DD" w:rsidTr="00FC1994">
        <w:tc>
          <w:tcPr>
            <w:tcW w:w="1957" w:type="pct"/>
          </w:tcPr>
          <w:p w:rsidR="00DD3A88" w:rsidRPr="00290C01" w:rsidRDefault="00FC1994" w:rsidP="00D11DF8">
            <w:pPr>
              <w:pStyle w:val="In-tableHeading"/>
              <w:rPr>
                <w:b w:val="0"/>
                <w:iCs/>
                <w:szCs w:val="20"/>
                <w:lang w:val="en-AU"/>
              </w:rPr>
            </w:pPr>
            <w:r w:rsidRPr="00290C01">
              <w:rPr>
                <w:b w:val="0"/>
                <w:iCs/>
                <w:szCs w:val="20"/>
                <w:lang w:val="en-AU"/>
              </w:rPr>
              <w:t xml:space="preserve">LoE assumption of </w:t>
            </w:r>
            <w:r w:rsidR="00D11DF8" w:rsidRPr="00290C01">
              <w:rPr>
                <w:b w:val="0"/>
                <w:iCs/>
                <w:szCs w:val="20"/>
                <w:lang w:val="en-AU"/>
              </w:rPr>
              <w:t>8/</w:t>
            </w:r>
            <w:r w:rsidRPr="00290C01">
              <w:rPr>
                <w:b w:val="0"/>
                <w:iCs/>
                <w:szCs w:val="20"/>
                <w:lang w:val="en-AU"/>
              </w:rPr>
              <w:t xml:space="preserve">12/2026 for TEZ/IVA, consistent with LUM/IVA July 2018 submission (base case </w:t>
            </w:r>
            <w:r w:rsidR="00967E09">
              <w:rPr>
                <w:b w:val="0"/>
                <w:iCs/>
                <w:noProof/>
                <w:color w:val="000000"/>
                <w:szCs w:val="20"/>
                <w:highlight w:val="black"/>
                <w:lang w:val="en-AU"/>
              </w:rPr>
              <w:t>''''''''''''''''''''''</w:t>
            </w:r>
            <w:r w:rsidRPr="00290C01">
              <w:rPr>
                <w:b w:val="0"/>
                <w:iCs/>
                <w:szCs w:val="20"/>
                <w:lang w:val="en-AU"/>
              </w:rPr>
              <w:t xml:space="preserve">). </w:t>
            </w:r>
          </w:p>
        </w:tc>
        <w:tc>
          <w:tcPr>
            <w:tcW w:w="472" w:type="pct"/>
            <w:vAlign w:val="center"/>
          </w:tcPr>
          <w:p w:rsidR="00DD3A88" w:rsidRPr="00967E09" w:rsidRDefault="00DD3A88" w:rsidP="00DD3A88">
            <w:pPr>
              <w:pStyle w:val="In-tableHeading"/>
              <w:jc w:val="center"/>
              <w:rPr>
                <w:b w:val="0"/>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b w:val="0"/>
                <w:szCs w:val="20"/>
                <w:lang w:val="en-AU"/>
              </w:rPr>
            </w:pPr>
            <w:r w:rsidRPr="005728DD">
              <w:rPr>
                <w:rFonts w:cs="Calibri"/>
                <w:b w:val="0"/>
                <w:bCs/>
                <w:lang w:val="en-AU"/>
              </w:rPr>
              <w:t>4.55</w:t>
            </w:r>
          </w:p>
        </w:tc>
        <w:tc>
          <w:tcPr>
            <w:tcW w:w="456" w:type="pct"/>
            <w:vAlign w:val="center"/>
          </w:tcPr>
          <w:p w:rsidR="00DD3A88" w:rsidRPr="00967E09" w:rsidRDefault="00DD3A88" w:rsidP="00DD3A88">
            <w:pPr>
              <w:pStyle w:val="In-tableHeading"/>
              <w:jc w:val="center"/>
              <w:rPr>
                <w:b w:val="0"/>
                <w:szCs w:val="20"/>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b w:val="0"/>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b w:val="0"/>
                <w:szCs w:val="20"/>
                <w:lang w:val="en-AU"/>
              </w:rPr>
            </w:pPr>
            <w:r w:rsidRPr="005728DD">
              <w:rPr>
                <w:rFonts w:cs="Calibri"/>
                <w:b w:val="0"/>
                <w:bCs/>
                <w:lang w:val="en-AU"/>
              </w:rPr>
              <w:t>2.25</w:t>
            </w:r>
          </w:p>
        </w:tc>
        <w:tc>
          <w:tcPr>
            <w:tcW w:w="489" w:type="pct"/>
            <w:vAlign w:val="center"/>
          </w:tcPr>
          <w:p w:rsidR="00DD3A88" w:rsidRPr="00967E09" w:rsidRDefault="00DD3A88" w:rsidP="00DD3A88">
            <w:pPr>
              <w:pStyle w:val="In-tableHeading"/>
              <w:jc w:val="center"/>
              <w:rPr>
                <w:b w:val="0"/>
                <w:szCs w:val="20"/>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3</w:t>
            </w:r>
          </w:p>
        </w:tc>
      </w:tr>
      <w:tr w:rsidR="00DD3A88" w:rsidRPr="005728DD" w:rsidTr="00FC1994">
        <w:tc>
          <w:tcPr>
            <w:tcW w:w="1957" w:type="pct"/>
          </w:tcPr>
          <w:p w:rsidR="00DD3A88" w:rsidRPr="005728DD" w:rsidRDefault="00DD3A88" w:rsidP="00DD3A88">
            <w:pPr>
              <w:pStyle w:val="In-tableHeading"/>
              <w:rPr>
                <w:b w:val="0"/>
                <w:iCs/>
                <w:szCs w:val="20"/>
                <w:lang w:val="en-AU"/>
              </w:rPr>
            </w:pPr>
            <w:r w:rsidRPr="005728DD">
              <w:rPr>
                <w:b w:val="0"/>
                <w:iCs/>
                <w:szCs w:val="20"/>
                <w:lang w:val="en-AU"/>
              </w:rPr>
              <w:t>20-year time horizon (base case lifetime years)</w:t>
            </w:r>
          </w:p>
        </w:tc>
        <w:tc>
          <w:tcPr>
            <w:tcW w:w="472"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b w:val="0"/>
                <w:iCs/>
                <w:szCs w:val="20"/>
                <w:lang w:val="en-AU"/>
              </w:rPr>
            </w:pPr>
            <w:r w:rsidRPr="005728DD">
              <w:rPr>
                <w:rFonts w:cs="Calibri"/>
                <w:b w:val="0"/>
                <w:bCs/>
                <w:lang w:val="en-AU"/>
              </w:rPr>
              <w:t>3.02</w:t>
            </w:r>
          </w:p>
        </w:tc>
        <w:tc>
          <w:tcPr>
            <w:tcW w:w="456"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szCs w:val="20"/>
                <w:lang w:val="en-AU"/>
              </w:rPr>
            </w:pPr>
            <w:r w:rsidRPr="005728DD">
              <w:rPr>
                <w:rFonts w:cs="Calibri"/>
                <w:b w:val="0"/>
                <w:bCs/>
                <w:lang w:val="en-AU"/>
              </w:rPr>
              <w:t>1.46</w:t>
            </w:r>
          </w:p>
        </w:tc>
        <w:tc>
          <w:tcPr>
            <w:tcW w:w="489" w:type="pct"/>
            <w:vAlign w:val="center"/>
          </w:tcPr>
          <w:p w:rsidR="00DD3A88" w:rsidRPr="00967E09" w:rsidRDefault="00DD3A88" w:rsidP="00DD3A88">
            <w:pPr>
              <w:pStyle w:val="In-tableHeading"/>
              <w:jc w:val="center"/>
              <w:rPr>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5</w:t>
            </w:r>
          </w:p>
        </w:tc>
      </w:tr>
      <w:tr w:rsidR="00DD3A88" w:rsidRPr="005728DD" w:rsidTr="00FC1994">
        <w:tc>
          <w:tcPr>
            <w:tcW w:w="1957" w:type="pct"/>
          </w:tcPr>
          <w:p w:rsidR="00DD3A88" w:rsidRPr="005728DD" w:rsidRDefault="00DD3A88" w:rsidP="00DD3A88">
            <w:pPr>
              <w:pStyle w:val="In-tableHeading"/>
              <w:rPr>
                <w:b w:val="0"/>
                <w:iCs/>
                <w:szCs w:val="20"/>
                <w:lang w:val="en-AU"/>
              </w:rPr>
            </w:pPr>
            <w:r w:rsidRPr="005728DD">
              <w:rPr>
                <w:b w:val="0"/>
                <w:iCs/>
                <w:szCs w:val="20"/>
                <w:lang w:val="en-AU"/>
              </w:rPr>
              <w:t>Treatment-specific utility increment removed (base case 0.08)</w:t>
            </w:r>
          </w:p>
        </w:tc>
        <w:tc>
          <w:tcPr>
            <w:tcW w:w="472"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b w:val="0"/>
                <w:iCs/>
                <w:szCs w:val="20"/>
                <w:lang w:val="en-AU"/>
              </w:rPr>
            </w:pPr>
            <w:r w:rsidRPr="005728DD">
              <w:rPr>
                <w:rFonts w:cs="Calibri"/>
                <w:b w:val="0"/>
                <w:bCs/>
                <w:lang w:val="en-AU"/>
              </w:rPr>
              <w:t>3.41</w:t>
            </w:r>
          </w:p>
        </w:tc>
        <w:tc>
          <w:tcPr>
            <w:tcW w:w="456"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szCs w:val="20"/>
                <w:lang w:val="en-AU"/>
              </w:rPr>
            </w:pPr>
            <w:r w:rsidRPr="005728DD">
              <w:rPr>
                <w:rFonts w:cs="Calibri"/>
                <w:b w:val="0"/>
                <w:bCs/>
                <w:lang w:val="en-AU"/>
              </w:rPr>
              <w:t>1.26</w:t>
            </w:r>
          </w:p>
        </w:tc>
        <w:tc>
          <w:tcPr>
            <w:tcW w:w="489" w:type="pct"/>
            <w:vAlign w:val="center"/>
          </w:tcPr>
          <w:p w:rsidR="00DD3A88" w:rsidRPr="00967E09" w:rsidRDefault="00DD3A88" w:rsidP="00DD3A88">
            <w:pPr>
              <w:pStyle w:val="In-tableHeading"/>
              <w:jc w:val="center"/>
              <w:rPr>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5</w:t>
            </w:r>
          </w:p>
        </w:tc>
      </w:tr>
      <w:tr w:rsidR="00DD3A88" w:rsidRPr="005728DD" w:rsidTr="00FC1994">
        <w:tc>
          <w:tcPr>
            <w:tcW w:w="1957" w:type="pct"/>
          </w:tcPr>
          <w:p w:rsidR="00DD3A88" w:rsidRPr="005728DD" w:rsidRDefault="00DD3A88" w:rsidP="00DD3A88">
            <w:pPr>
              <w:pStyle w:val="In-tableHeading"/>
              <w:rPr>
                <w:b w:val="0"/>
                <w:iCs/>
                <w:szCs w:val="20"/>
                <w:lang w:val="en-AU"/>
              </w:rPr>
            </w:pPr>
            <w:r w:rsidRPr="005728DD">
              <w:rPr>
                <w:b w:val="0"/>
                <w:iCs/>
                <w:szCs w:val="20"/>
                <w:lang w:val="en-AU"/>
              </w:rPr>
              <w:t xml:space="preserve">Compliance as </w:t>
            </w:r>
            <w:r w:rsidR="008464FA" w:rsidRPr="005728DD">
              <w:rPr>
                <w:b w:val="0"/>
                <w:iCs/>
                <w:szCs w:val="20"/>
                <w:lang w:val="en-AU"/>
              </w:rPr>
              <w:t>in the trials ranging between 99</w:t>
            </w:r>
            <w:r w:rsidRPr="005728DD">
              <w:rPr>
                <w:b w:val="0"/>
                <w:iCs/>
                <w:szCs w:val="20"/>
                <w:lang w:val="en-AU"/>
              </w:rPr>
              <w:t>.4%-100% (base case 90%)</w:t>
            </w:r>
          </w:p>
        </w:tc>
        <w:tc>
          <w:tcPr>
            <w:tcW w:w="472"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b w:val="0"/>
                <w:iCs/>
                <w:szCs w:val="20"/>
                <w:lang w:val="en-AU"/>
              </w:rPr>
            </w:pPr>
            <w:r w:rsidRPr="005728DD">
              <w:rPr>
                <w:rFonts w:cs="Calibri"/>
                <w:b w:val="0"/>
                <w:bCs/>
                <w:lang w:val="en-AU"/>
              </w:rPr>
              <w:t>4.55</w:t>
            </w:r>
          </w:p>
        </w:tc>
        <w:tc>
          <w:tcPr>
            <w:tcW w:w="456"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b w:val="0"/>
                <w:iCs/>
                <w:szCs w:val="20"/>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szCs w:val="20"/>
                <w:lang w:val="en-AU"/>
              </w:rPr>
            </w:pPr>
            <w:r w:rsidRPr="005728DD">
              <w:rPr>
                <w:rFonts w:cs="Calibri"/>
                <w:b w:val="0"/>
                <w:bCs/>
                <w:lang w:val="en-AU"/>
              </w:rPr>
              <w:t>2.25</w:t>
            </w:r>
          </w:p>
        </w:tc>
        <w:tc>
          <w:tcPr>
            <w:tcW w:w="489" w:type="pct"/>
            <w:vAlign w:val="center"/>
          </w:tcPr>
          <w:p w:rsidR="00DD3A88" w:rsidRPr="00967E09" w:rsidRDefault="00DD3A88" w:rsidP="00DD3A88">
            <w:pPr>
              <w:pStyle w:val="In-tableHeading"/>
              <w:jc w:val="center"/>
              <w:rPr>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3</w:t>
            </w:r>
          </w:p>
        </w:tc>
      </w:tr>
      <w:tr w:rsidR="00DD3A88" w:rsidRPr="005728DD" w:rsidTr="00FC1994">
        <w:tc>
          <w:tcPr>
            <w:tcW w:w="1957" w:type="pct"/>
          </w:tcPr>
          <w:p w:rsidR="00DD3A88" w:rsidRPr="005728DD" w:rsidRDefault="00DD3A88" w:rsidP="00DD3A88">
            <w:pPr>
              <w:pStyle w:val="In-tableHeading"/>
              <w:rPr>
                <w:b w:val="0"/>
                <w:iCs/>
                <w:szCs w:val="20"/>
                <w:lang w:val="en-AU"/>
              </w:rPr>
            </w:pPr>
            <w:r w:rsidRPr="005728DD">
              <w:rPr>
                <w:b w:val="0"/>
                <w:iCs/>
                <w:lang w:val="en-AU"/>
              </w:rPr>
              <w:t>Same reduction in long-term</w:t>
            </w:r>
            <w:r w:rsidRPr="005728DD">
              <w:rPr>
                <w:b w:val="0"/>
                <w:i/>
                <w:iCs/>
                <w:lang w:val="en-AU"/>
              </w:rPr>
              <w:t xml:space="preserve"> </w:t>
            </w:r>
            <w:r w:rsidRPr="005728DD">
              <w:rPr>
                <w:b w:val="0"/>
                <w:iCs/>
                <w:lang w:val="en-AU"/>
              </w:rPr>
              <w:t>decline in ppFEV1 – 42% relative to BSC for both ELX/TEZ/IVA and TEZ/IVA (base case 61.5% vs 42%)</w:t>
            </w:r>
          </w:p>
        </w:tc>
        <w:tc>
          <w:tcPr>
            <w:tcW w:w="472"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rFonts w:cs="Calibri"/>
                <w:b w:val="0"/>
                <w:bCs/>
                <w:lang w:val="en-AU"/>
              </w:rPr>
            </w:pPr>
            <w:r w:rsidRPr="005728DD">
              <w:rPr>
                <w:rFonts w:cs="Calibri"/>
                <w:b w:val="0"/>
                <w:bCs/>
                <w:lang w:val="en-AU"/>
              </w:rPr>
              <w:t>3.32</w:t>
            </w:r>
          </w:p>
        </w:tc>
        <w:tc>
          <w:tcPr>
            <w:tcW w:w="456"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rFonts w:cs="Calibri"/>
                <w:b w:val="0"/>
                <w:bCs/>
                <w:lang w:val="en-AU"/>
              </w:rPr>
            </w:pPr>
            <w:r w:rsidRPr="005728DD">
              <w:rPr>
                <w:rFonts w:cs="Calibri"/>
                <w:b w:val="0"/>
                <w:bCs/>
                <w:lang w:val="en-AU"/>
              </w:rPr>
              <w:t>1.64</w:t>
            </w:r>
          </w:p>
        </w:tc>
        <w:tc>
          <w:tcPr>
            <w:tcW w:w="489"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3</w:t>
            </w:r>
          </w:p>
        </w:tc>
      </w:tr>
      <w:tr w:rsidR="00DD3A88" w:rsidRPr="005728DD" w:rsidTr="00FC1994">
        <w:tc>
          <w:tcPr>
            <w:tcW w:w="1957" w:type="pct"/>
          </w:tcPr>
          <w:p w:rsidR="00DD3A88" w:rsidRPr="005728DD" w:rsidRDefault="00DD3A88" w:rsidP="00DD3A88">
            <w:pPr>
              <w:pStyle w:val="In-tableHeading"/>
              <w:rPr>
                <w:b w:val="0"/>
                <w:iCs/>
                <w:lang w:val="en-AU"/>
              </w:rPr>
            </w:pPr>
            <w:r w:rsidRPr="005728DD">
              <w:rPr>
                <w:b w:val="0"/>
                <w:iCs/>
                <w:lang w:val="en-AU"/>
              </w:rPr>
              <w:t>Zero reduction in long-term decline in ppFEV1 – 0% relative to BSC for both ELX/TEZ/IVA and TEZ/IVA (base case 61.5% vs 42%)</w:t>
            </w:r>
          </w:p>
        </w:tc>
        <w:tc>
          <w:tcPr>
            <w:tcW w:w="472"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rFonts w:cs="Calibri"/>
                <w:b w:val="0"/>
                <w:bCs/>
                <w:lang w:val="en-AU"/>
              </w:rPr>
            </w:pPr>
            <w:r w:rsidRPr="005728DD">
              <w:rPr>
                <w:rFonts w:cs="Calibri"/>
                <w:b w:val="0"/>
                <w:bCs/>
                <w:lang w:val="en-AU"/>
              </w:rPr>
              <w:t>2.72</w:t>
            </w:r>
          </w:p>
        </w:tc>
        <w:tc>
          <w:tcPr>
            <w:tcW w:w="456"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2</w:t>
            </w:r>
          </w:p>
        </w:tc>
        <w:tc>
          <w:tcPr>
            <w:tcW w:w="563"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p>
        </w:tc>
        <w:tc>
          <w:tcPr>
            <w:tcW w:w="531" w:type="pct"/>
            <w:vAlign w:val="center"/>
          </w:tcPr>
          <w:p w:rsidR="00DD3A88" w:rsidRPr="005728DD" w:rsidRDefault="00DD3A88" w:rsidP="00DD3A88">
            <w:pPr>
              <w:pStyle w:val="In-tableHeading"/>
              <w:jc w:val="center"/>
              <w:rPr>
                <w:rFonts w:cs="Calibri"/>
                <w:b w:val="0"/>
                <w:bCs/>
                <w:lang w:val="en-AU"/>
              </w:rPr>
            </w:pPr>
            <w:r w:rsidRPr="005728DD">
              <w:rPr>
                <w:rFonts w:cs="Calibri"/>
                <w:b w:val="0"/>
                <w:bCs/>
                <w:lang w:val="en-AU"/>
              </w:rPr>
              <w:t>1.51</w:t>
            </w:r>
          </w:p>
        </w:tc>
        <w:tc>
          <w:tcPr>
            <w:tcW w:w="489" w:type="pct"/>
            <w:vAlign w:val="center"/>
          </w:tcPr>
          <w:p w:rsidR="00DD3A88" w:rsidRPr="00967E09" w:rsidRDefault="00DD3A88" w:rsidP="00DD3A88">
            <w:pPr>
              <w:pStyle w:val="In-tableHeading"/>
              <w:jc w:val="center"/>
              <w:rPr>
                <w:rFonts w:cs="Calibri"/>
                <w:b w:val="0"/>
                <w:bCs/>
                <w:lang w:val="en-AU"/>
              </w:rPr>
            </w:pPr>
            <w:r w:rsidRPr="009C68FC">
              <w:rPr>
                <w:b w:val="0"/>
                <w:szCs w:val="20"/>
                <w:lang w:val="en-AU"/>
              </w:rPr>
              <w:t>$</w:t>
            </w:r>
            <w:r w:rsidR="00967E09">
              <w:rPr>
                <w:rFonts w:cs="Calibri"/>
                <w:b w:val="0"/>
                <w:bCs/>
                <w:noProof/>
                <w:color w:val="000000"/>
                <w:highlight w:val="black"/>
                <w:lang w:val="en-AU"/>
              </w:rPr>
              <w:t>'''''''''''''''''''''</w:t>
            </w:r>
            <w:r w:rsidR="000C7366">
              <w:rPr>
                <w:rFonts w:cs="Calibri"/>
                <w:color w:val="000000"/>
                <w:szCs w:val="20"/>
                <w:vertAlign w:val="superscript"/>
              </w:rPr>
              <w:t>3</w:t>
            </w:r>
          </w:p>
        </w:tc>
      </w:tr>
    </w:tbl>
    <w:p w:rsidR="000B566E" w:rsidRPr="005728DD" w:rsidRDefault="000B566E" w:rsidP="000B566E">
      <w:pPr>
        <w:pStyle w:val="In-tableHeading"/>
        <w:rPr>
          <w:lang w:val="en-AU"/>
        </w:rPr>
      </w:pPr>
    </w:p>
    <w:p w:rsidR="002B012A" w:rsidRPr="005728DD" w:rsidRDefault="002B012A" w:rsidP="0018480A">
      <w:pPr>
        <w:pStyle w:val="TableFigureFooter"/>
      </w:pPr>
      <w:r w:rsidRPr="005728DD">
        <w:t>Source: Table 3.1.33 of the submission; developed during the evaluation based on the excel model</w:t>
      </w:r>
      <w:r w:rsidR="008B5EF9" w:rsidRPr="005728DD">
        <w:t xml:space="preserve"> </w:t>
      </w:r>
    </w:p>
    <w:p w:rsidR="002B012A" w:rsidRDefault="00DB74A0" w:rsidP="0018480A">
      <w:pPr>
        <w:pStyle w:val="TableFigureFooter"/>
      </w:pPr>
      <w:r w:rsidRPr="005728DD">
        <w:t>Abbreviations</w:t>
      </w:r>
      <w:r w:rsidR="002B012A" w:rsidRPr="005728DD">
        <w:t xml:space="preserve">: BSC = best supporting care; ELX/TEZ/IVA = </w:t>
      </w:r>
      <w:r w:rsidR="00D669C8" w:rsidRPr="005728DD">
        <w:t>elexacaftor</w:t>
      </w:r>
      <w:r w:rsidR="002B012A" w:rsidRPr="005728DD">
        <w:t xml:space="preserve">/tezacaftor/ivacaftor; F/F = homozygous for F508del-CFTR mutations; F/MF = heterozygous for F508del-CFTR mutation with a second minimal function allele; F/RF = heterozygous for F508del-CFTR with a second residual function mutation; ICER = incremental cost-effectiveness ratio; </w:t>
      </w:r>
      <w:r w:rsidR="00C272F5" w:rsidRPr="005728DD">
        <w:t xml:space="preserve">LoE </w:t>
      </w:r>
      <w:r w:rsidR="002B012A" w:rsidRPr="005728DD">
        <w:t>= loss of exclusivity; PEx = pulmonary exacerbation; ppFEV1 = percent predicted forced expiratory volume in one second; QALYs = quality-adjusted life-years; TEZ/IVA = tezacaftor/ivacafto</w:t>
      </w:r>
      <w:r w:rsidR="00C272F5" w:rsidRPr="005728DD">
        <w:t>r</w:t>
      </w:r>
    </w:p>
    <w:p w:rsidR="009C68FC" w:rsidRPr="009868C4" w:rsidRDefault="009C68FC" w:rsidP="009C68FC">
      <w:pPr>
        <w:pStyle w:val="TableFigureFooter"/>
        <w:spacing w:after="0"/>
        <w:contextualSpacing w:val="0"/>
      </w:pPr>
      <w:r w:rsidRPr="009868C4">
        <w:rPr>
          <w:i/>
        </w:rPr>
        <w:t>The redacted values correspond to the following ranges</w:t>
      </w:r>
      <w:r>
        <w:rPr>
          <w:i/>
        </w:rPr>
        <w:t xml:space="preserve">: </w:t>
      </w:r>
    </w:p>
    <w:p w:rsidR="000C7366" w:rsidRPr="000C7366" w:rsidRDefault="000C7366" w:rsidP="000C7366">
      <w:pPr>
        <w:pStyle w:val="TableFigureFooter"/>
        <w:rPr>
          <w:i/>
        </w:rPr>
      </w:pPr>
      <w:r>
        <w:rPr>
          <w:i/>
          <w:vertAlign w:val="superscript"/>
        </w:rPr>
        <w:t xml:space="preserve">1 </w:t>
      </w:r>
      <w:r w:rsidRPr="000C7366">
        <w:rPr>
          <w:i/>
        </w:rPr>
        <w:t>$135,000 to &lt; $155,000</w:t>
      </w:r>
    </w:p>
    <w:p w:rsidR="000C7366" w:rsidRPr="000C7366" w:rsidRDefault="000C7366" w:rsidP="000C7366">
      <w:pPr>
        <w:pStyle w:val="TableFigureFooter"/>
        <w:rPr>
          <w:i/>
        </w:rPr>
      </w:pPr>
      <w:r>
        <w:rPr>
          <w:i/>
          <w:vertAlign w:val="superscript"/>
        </w:rPr>
        <w:t xml:space="preserve">2 </w:t>
      </w:r>
      <w:r w:rsidRPr="000C7366">
        <w:rPr>
          <w:i/>
        </w:rPr>
        <w:t>$155,000 to &lt; $255,000</w:t>
      </w:r>
    </w:p>
    <w:p w:rsidR="009C68FC" w:rsidRPr="000C7366" w:rsidRDefault="000C7366" w:rsidP="000C7366">
      <w:pPr>
        <w:pStyle w:val="TableFigureFooter"/>
        <w:rPr>
          <w:i/>
        </w:rPr>
      </w:pPr>
      <w:r>
        <w:rPr>
          <w:i/>
          <w:vertAlign w:val="superscript"/>
        </w:rPr>
        <w:t xml:space="preserve">3 </w:t>
      </w:r>
      <w:r w:rsidRPr="000C7366">
        <w:rPr>
          <w:i/>
        </w:rPr>
        <w:t>$255,000 to &lt; $355,000</w:t>
      </w:r>
    </w:p>
    <w:p w:rsidR="000B566E" w:rsidRDefault="000C7366" w:rsidP="0018480A">
      <w:pPr>
        <w:pStyle w:val="TableFigureFooter"/>
        <w:rPr>
          <w:i/>
        </w:rPr>
      </w:pPr>
      <w:r>
        <w:rPr>
          <w:i/>
          <w:vertAlign w:val="superscript"/>
        </w:rPr>
        <w:t xml:space="preserve">4 </w:t>
      </w:r>
      <w:r w:rsidRPr="000C7366">
        <w:rPr>
          <w:i/>
        </w:rPr>
        <w:t>$455,000 to &lt; $555,000</w:t>
      </w:r>
    </w:p>
    <w:p w:rsidR="000C7366" w:rsidRPr="000C7366" w:rsidRDefault="000C7366" w:rsidP="0018480A">
      <w:pPr>
        <w:pStyle w:val="TableFigureFooter"/>
        <w:rPr>
          <w:i/>
        </w:rPr>
      </w:pPr>
      <w:r>
        <w:rPr>
          <w:i/>
          <w:vertAlign w:val="superscript"/>
        </w:rPr>
        <w:t xml:space="preserve">5 </w:t>
      </w:r>
      <w:r w:rsidRPr="000C7366">
        <w:rPr>
          <w:i/>
        </w:rPr>
        <w:t>$355,000 to &lt; $455,000</w:t>
      </w:r>
    </w:p>
    <w:p w:rsidR="000B566E" w:rsidRPr="005728DD" w:rsidRDefault="006E0118" w:rsidP="00327C06">
      <w:pPr>
        <w:pStyle w:val="TableFigureHeading"/>
        <w:keepLines/>
      </w:pPr>
      <w:bookmarkStart w:id="42" w:name="_Ref64497749"/>
      <w:r w:rsidRPr="005728DD">
        <w:lastRenderedPageBreak/>
        <w:t xml:space="preserve">Table </w:t>
      </w:r>
      <w:r w:rsidR="005C56C0">
        <w:rPr>
          <w:noProof/>
        </w:rPr>
        <w:t>20</w:t>
      </w:r>
      <w:bookmarkEnd w:id="42"/>
      <w:r w:rsidR="000B566E" w:rsidRPr="005728DD">
        <w:rPr>
          <w:rStyle w:val="CommentReference"/>
          <w:b/>
          <w:szCs w:val="24"/>
        </w:rPr>
        <w:t xml:space="preserve">: Results of sensitivity analyses, ELX/TEZ/IVA vs BSC, F/MF population </w:t>
      </w:r>
      <w:r w:rsidR="00327C06" w:rsidRPr="005728DD">
        <w:rPr>
          <w:rStyle w:val="CommentReference"/>
          <w:b/>
          <w:szCs w:val="24"/>
        </w:rPr>
        <w:t>(based on ELX/TEZ/IVA pack price of $</w:t>
      </w:r>
      <w:r w:rsidR="00967E09">
        <w:rPr>
          <w:rStyle w:val="CommentReference"/>
          <w:b/>
          <w:noProof/>
          <w:color w:val="000000"/>
          <w:szCs w:val="24"/>
          <w:highlight w:val="black"/>
        </w:rPr>
        <w:t>'''''''''''''''''''</w:t>
      </w:r>
      <w:r w:rsidR="00327C06" w:rsidRPr="005728DD">
        <w:rPr>
          <w:rStyle w:val="CommentReference"/>
          <w:b/>
          <w:szCs w:val="24"/>
        </w:rPr>
        <w:t>)</w:t>
      </w:r>
    </w:p>
    <w:tbl>
      <w:tblPr>
        <w:tblStyle w:val="TableGrid"/>
        <w:tblW w:w="5000" w:type="pct"/>
        <w:tblLook w:val="04A0" w:firstRow="1" w:lastRow="0" w:firstColumn="1" w:lastColumn="0" w:noHBand="0" w:noVBand="1"/>
        <w:tblCaption w:val="Table 20: Results of sensitivity analyses, ELX/TEZ/IVA vs BSC, F/MF population "/>
      </w:tblPr>
      <w:tblGrid>
        <w:gridCol w:w="4844"/>
        <w:gridCol w:w="1351"/>
        <w:gridCol w:w="1352"/>
        <w:gridCol w:w="1351"/>
      </w:tblGrid>
      <w:tr w:rsidR="000B566E" w:rsidRPr="005728DD" w:rsidTr="005C66A3">
        <w:trPr>
          <w:tblHeader/>
        </w:trPr>
        <w:tc>
          <w:tcPr>
            <w:tcW w:w="2722" w:type="pct"/>
          </w:tcPr>
          <w:p w:rsidR="000B566E" w:rsidRPr="005728DD" w:rsidRDefault="000B566E" w:rsidP="00586BCB">
            <w:pPr>
              <w:pStyle w:val="In-tableHeading"/>
              <w:rPr>
                <w:lang w:val="en-AU"/>
              </w:rPr>
            </w:pPr>
          </w:p>
        </w:tc>
        <w:tc>
          <w:tcPr>
            <w:tcW w:w="2278" w:type="pct"/>
            <w:gridSpan w:val="3"/>
          </w:tcPr>
          <w:p w:rsidR="000B566E" w:rsidRPr="005728DD" w:rsidRDefault="000B566E" w:rsidP="00586BCB">
            <w:pPr>
              <w:pStyle w:val="In-tableHeading"/>
              <w:jc w:val="center"/>
              <w:rPr>
                <w:lang w:val="en-AU"/>
              </w:rPr>
            </w:pPr>
            <w:r w:rsidRPr="005728DD">
              <w:rPr>
                <w:lang w:val="en-AU"/>
              </w:rPr>
              <w:t>F/MF</w:t>
            </w:r>
            <w:r w:rsidR="008464FA" w:rsidRPr="005728DD">
              <w:rPr>
                <w:lang w:val="en-AU"/>
              </w:rPr>
              <w:t xml:space="preserve"> population </w:t>
            </w:r>
          </w:p>
        </w:tc>
      </w:tr>
      <w:tr w:rsidR="000B566E" w:rsidRPr="005728DD" w:rsidTr="00E576CE">
        <w:tc>
          <w:tcPr>
            <w:tcW w:w="2722" w:type="pct"/>
          </w:tcPr>
          <w:p w:rsidR="000B566E" w:rsidRPr="005728DD" w:rsidRDefault="000B566E" w:rsidP="00586BCB">
            <w:pPr>
              <w:pStyle w:val="In-tableHeading"/>
              <w:rPr>
                <w:lang w:val="en-AU"/>
              </w:rPr>
            </w:pPr>
          </w:p>
        </w:tc>
        <w:tc>
          <w:tcPr>
            <w:tcW w:w="759" w:type="pct"/>
          </w:tcPr>
          <w:p w:rsidR="000B566E" w:rsidRPr="005728DD" w:rsidRDefault="000B566E" w:rsidP="00B573C9">
            <w:pPr>
              <w:pStyle w:val="In-tableHeading"/>
              <w:jc w:val="center"/>
              <w:rPr>
                <w:lang w:val="en-AU"/>
              </w:rPr>
            </w:pPr>
            <w:r w:rsidRPr="005728DD">
              <w:rPr>
                <w:szCs w:val="20"/>
                <w:lang w:val="en-AU"/>
              </w:rPr>
              <w:t>Incr cost</w:t>
            </w:r>
          </w:p>
        </w:tc>
        <w:tc>
          <w:tcPr>
            <w:tcW w:w="760" w:type="pct"/>
          </w:tcPr>
          <w:p w:rsidR="000B566E" w:rsidRPr="005728DD" w:rsidRDefault="000B566E" w:rsidP="00B573C9">
            <w:pPr>
              <w:pStyle w:val="In-tableHeading"/>
              <w:jc w:val="center"/>
              <w:rPr>
                <w:lang w:val="en-AU"/>
              </w:rPr>
            </w:pPr>
            <w:r w:rsidRPr="005728DD">
              <w:rPr>
                <w:szCs w:val="20"/>
                <w:lang w:val="en-AU"/>
              </w:rPr>
              <w:t>Incr QALY</w:t>
            </w:r>
          </w:p>
        </w:tc>
        <w:tc>
          <w:tcPr>
            <w:tcW w:w="760" w:type="pct"/>
          </w:tcPr>
          <w:p w:rsidR="000B566E" w:rsidRPr="005728DD" w:rsidRDefault="003F760F" w:rsidP="00B573C9">
            <w:pPr>
              <w:pStyle w:val="In-tableHeading"/>
              <w:jc w:val="center"/>
              <w:rPr>
                <w:lang w:val="en-AU"/>
              </w:rPr>
            </w:pPr>
            <w:r w:rsidRPr="005728DD">
              <w:rPr>
                <w:lang w:val="en-AU"/>
              </w:rPr>
              <w:t>ICER</w:t>
            </w:r>
          </w:p>
        </w:tc>
      </w:tr>
      <w:tr w:rsidR="00877827" w:rsidRPr="005728DD" w:rsidTr="00E576CE">
        <w:tc>
          <w:tcPr>
            <w:tcW w:w="2722" w:type="pct"/>
          </w:tcPr>
          <w:p w:rsidR="00877827" w:rsidRPr="005728DD" w:rsidRDefault="00877827" w:rsidP="00877827">
            <w:pPr>
              <w:pStyle w:val="In-tableHeading"/>
              <w:rPr>
                <w:b w:val="0"/>
                <w:lang w:val="en-AU"/>
              </w:rPr>
            </w:pPr>
            <w:r w:rsidRPr="005728DD">
              <w:rPr>
                <w:b w:val="0"/>
                <w:lang w:val="en-AU"/>
              </w:rPr>
              <w:t>Base case</w:t>
            </w:r>
          </w:p>
        </w:tc>
        <w:tc>
          <w:tcPr>
            <w:tcW w:w="759" w:type="pct"/>
            <w:tcBorders>
              <w:bottom w:val="single" w:sz="4" w:space="0" w:color="auto"/>
            </w:tcBorders>
            <w:vAlign w:val="bottom"/>
          </w:tcPr>
          <w:p w:rsidR="00877827" w:rsidRPr="00967E09" w:rsidRDefault="00877827" w:rsidP="00877827">
            <w:pPr>
              <w:pStyle w:val="In-tableHeading"/>
              <w:jc w:val="center"/>
              <w:rPr>
                <w:b w:val="0"/>
                <w:szCs w:val="20"/>
                <w:lang w:val="en-AU"/>
              </w:rPr>
            </w:pPr>
            <w:r w:rsidRPr="009C68FC">
              <w:rPr>
                <w:rFonts w:cs="Calibri"/>
                <w:b w:val="0"/>
                <w:szCs w:val="20"/>
                <w:lang w:val="en-AU"/>
              </w:rPr>
              <w:t>$</w:t>
            </w:r>
            <w:r w:rsidR="00967E09">
              <w:rPr>
                <w:rFonts w:cs="Calibri"/>
                <w:b w:val="0"/>
                <w:noProof/>
                <w:color w:val="000000"/>
                <w:szCs w:val="20"/>
                <w:highlight w:val="black"/>
                <w:lang w:val="en-AU"/>
              </w:rPr>
              <w:t>'''''''''''''''''''''''''</w:t>
            </w:r>
          </w:p>
        </w:tc>
        <w:tc>
          <w:tcPr>
            <w:tcW w:w="760" w:type="pct"/>
            <w:tcBorders>
              <w:bottom w:val="single" w:sz="4" w:space="0" w:color="auto"/>
            </w:tcBorders>
            <w:vAlign w:val="bottom"/>
          </w:tcPr>
          <w:p w:rsidR="00877827" w:rsidRPr="000C7366" w:rsidRDefault="00877827" w:rsidP="000C7366">
            <w:pPr>
              <w:pStyle w:val="In-tableHeading"/>
              <w:jc w:val="center"/>
              <w:rPr>
                <w:b w:val="0"/>
                <w:szCs w:val="20"/>
                <w:vertAlign w:val="superscript"/>
                <w:lang w:val="en-AU"/>
              </w:rPr>
            </w:pPr>
            <w:r w:rsidRPr="005728DD">
              <w:rPr>
                <w:rFonts w:cs="Calibri"/>
                <w:b w:val="0"/>
                <w:szCs w:val="20"/>
                <w:lang w:val="en-AU"/>
              </w:rPr>
              <w:t>6.47</w:t>
            </w:r>
          </w:p>
        </w:tc>
        <w:tc>
          <w:tcPr>
            <w:tcW w:w="760" w:type="pct"/>
            <w:tcBorders>
              <w:bottom w:val="single" w:sz="4" w:space="0" w:color="auto"/>
            </w:tcBorders>
            <w:vAlign w:val="bottom"/>
          </w:tcPr>
          <w:p w:rsidR="00877827" w:rsidRPr="00967E09" w:rsidRDefault="00877827" w:rsidP="00877827">
            <w:pPr>
              <w:pStyle w:val="In-tableHeading"/>
              <w:jc w:val="center"/>
              <w:rPr>
                <w:b w:val="0"/>
                <w:szCs w:val="20"/>
                <w:lang w:val="en-AU"/>
              </w:rPr>
            </w:pPr>
            <w:r w:rsidRPr="009C68FC">
              <w:rPr>
                <w:rFonts w:cs="Calibri"/>
                <w:b w:val="0"/>
                <w:szCs w:val="20"/>
                <w:lang w:val="en-AU"/>
              </w:rPr>
              <w:t>$</w:t>
            </w:r>
            <w:r w:rsidR="00967E09">
              <w:rPr>
                <w:rFonts w:cs="Calibri"/>
                <w:b w:val="0"/>
                <w:noProof/>
                <w:color w:val="000000"/>
                <w:szCs w:val="20"/>
                <w:highlight w:val="black"/>
                <w:lang w:val="en-AU"/>
              </w:rPr>
              <w:t>'''''''''''''''''''''</w:t>
            </w:r>
            <w:r w:rsidR="000C7366">
              <w:rPr>
                <w:rFonts w:cs="Calibri"/>
                <w:b w:val="0"/>
                <w:szCs w:val="20"/>
                <w:vertAlign w:val="superscript"/>
                <w:lang w:val="en-AU"/>
              </w:rPr>
              <w:t>1</w:t>
            </w:r>
          </w:p>
        </w:tc>
      </w:tr>
      <w:tr w:rsidR="000E0275" w:rsidRPr="005728DD" w:rsidTr="00E576CE">
        <w:tc>
          <w:tcPr>
            <w:tcW w:w="2722" w:type="pct"/>
          </w:tcPr>
          <w:p w:rsidR="000E0275" w:rsidRPr="005728DD" w:rsidRDefault="000E0275" w:rsidP="000E0275">
            <w:pPr>
              <w:pStyle w:val="In-tableHeading"/>
              <w:rPr>
                <w:b w:val="0"/>
                <w:lang w:val="en-AU"/>
              </w:rPr>
            </w:pPr>
            <w:r w:rsidRPr="005728DD">
              <w:rPr>
                <w:b w:val="0"/>
                <w:iCs/>
                <w:szCs w:val="20"/>
                <w:lang w:val="en-AU"/>
              </w:rPr>
              <w:t>LoE assumption removed (base case LoE)</w:t>
            </w:r>
          </w:p>
        </w:tc>
        <w:tc>
          <w:tcPr>
            <w:tcW w:w="759" w:type="pct"/>
            <w:tcBorders>
              <w:top w:val="single" w:sz="4" w:space="0" w:color="auto"/>
              <w:left w:val="nil"/>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rFonts w:cs="Calibri"/>
                <w:b w:val="0"/>
                <w:szCs w:val="20"/>
                <w:lang w:val="en-AU"/>
              </w:rPr>
            </w:pPr>
            <w:r w:rsidRPr="009C68FC">
              <w:rPr>
                <w:rFonts w:cs="Calibri"/>
                <w:b w:val="0"/>
                <w:szCs w:val="20"/>
                <w:lang w:val="en-AU"/>
              </w:rPr>
              <w:t>$</w:t>
            </w:r>
            <w:r w:rsidR="00967E09">
              <w:rPr>
                <w:rFonts w:cs="Calibri"/>
                <w:b w:val="0"/>
                <w:noProof/>
                <w:color w:val="000000"/>
                <w:szCs w:val="20"/>
                <w:highlight w:val="black"/>
                <w:lang w:val="en-AU"/>
              </w:rPr>
              <w:t>''''''''''''''''''''''</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5728DD" w:rsidRDefault="000E0275" w:rsidP="000E0275">
            <w:pPr>
              <w:pStyle w:val="In-tableHeading"/>
              <w:jc w:val="center"/>
              <w:rPr>
                <w:rFonts w:cs="Calibri"/>
                <w:b w:val="0"/>
                <w:szCs w:val="20"/>
                <w:lang w:val="en-AU"/>
              </w:rPr>
            </w:pPr>
            <w:r w:rsidRPr="005728DD">
              <w:rPr>
                <w:rFonts w:cs="Calibri"/>
                <w:b w:val="0"/>
                <w:szCs w:val="20"/>
                <w:lang w:val="en-AU"/>
              </w:rPr>
              <w:t>6.47</w:t>
            </w:r>
          </w:p>
        </w:tc>
        <w:tc>
          <w:tcPr>
            <w:tcW w:w="760" w:type="pct"/>
            <w:tcBorders>
              <w:top w:val="single" w:sz="4" w:space="0" w:color="auto"/>
              <w:left w:val="single" w:sz="4" w:space="0" w:color="auto"/>
              <w:bottom w:val="single" w:sz="4" w:space="0" w:color="auto"/>
              <w:right w:val="single" w:sz="4" w:space="0" w:color="auto"/>
            </w:tcBorders>
            <w:shd w:val="clear" w:color="000000" w:fill="FFFFFF"/>
            <w:vAlign w:val="bottom"/>
          </w:tcPr>
          <w:p w:rsidR="000E0275" w:rsidRPr="00967E09" w:rsidRDefault="000E0275" w:rsidP="000E0275">
            <w:pPr>
              <w:pStyle w:val="In-tableHeading"/>
              <w:jc w:val="center"/>
              <w:rPr>
                <w:rFonts w:cs="Calibri"/>
                <w:b w:val="0"/>
                <w:szCs w:val="20"/>
                <w:lang w:val="en-AU"/>
              </w:rPr>
            </w:pPr>
            <w:r w:rsidRPr="009C68FC">
              <w:rPr>
                <w:rFonts w:cs="Calibri"/>
                <w:b w:val="0"/>
                <w:szCs w:val="20"/>
                <w:lang w:val="en-AU"/>
              </w:rPr>
              <w:t>$</w:t>
            </w:r>
            <w:r w:rsidR="00967E09">
              <w:rPr>
                <w:rFonts w:cs="Calibri"/>
                <w:b w:val="0"/>
                <w:noProof/>
                <w:color w:val="000000"/>
                <w:szCs w:val="20"/>
                <w:highlight w:val="black"/>
                <w:lang w:val="en-AU"/>
              </w:rPr>
              <w:t>'''''''''''''''''</w:t>
            </w:r>
            <w:r w:rsidR="000C7366">
              <w:rPr>
                <w:rFonts w:cs="Calibri"/>
                <w:b w:val="0"/>
                <w:szCs w:val="20"/>
                <w:vertAlign w:val="superscript"/>
                <w:lang w:val="en-AU"/>
              </w:rPr>
              <w:t>2</w:t>
            </w:r>
          </w:p>
        </w:tc>
      </w:tr>
      <w:tr w:rsidR="00DD3A88" w:rsidRPr="005728DD" w:rsidTr="00E576CE">
        <w:tc>
          <w:tcPr>
            <w:tcW w:w="2722" w:type="pct"/>
          </w:tcPr>
          <w:p w:rsidR="00DD3A88" w:rsidRPr="005728DD" w:rsidRDefault="00DD3A88" w:rsidP="00DD3A88">
            <w:pPr>
              <w:pStyle w:val="In-tableHeading"/>
              <w:rPr>
                <w:b w:val="0"/>
                <w:iCs/>
                <w:szCs w:val="20"/>
                <w:lang w:val="en-AU"/>
              </w:rPr>
            </w:pPr>
            <w:r w:rsidRPr="005728DD">
              <w:rPr>
                <w:b w:val="0"/>
                <w:iCs/>
                <w:szCs w:val="20"/>
                <w:lang w:val="en-AU"/>
              </w:rPr>
              <w:t>20-year time horizon (base case lifetime years)</w:t>
            </w:r>
          </w:p>
        </w:tc>
        <w:tc>
          <w:tcPr>
            <w:tcW w:w="759" w:type="pct"/>
            <w:tcBorders>
              <w:top w:val="single" w:sz="4" w:space="0" w:color="auto"/>
            </w:tcBorders>
            <w:vAlign w:val="center"/>
          </w:tcPr>
          <w:p w:rsidR="00DD3A88" w:rsidRPr="00967E09" w:rsidRDefault="00DD3A88" w:rsidP="00DD3A88">
            <w:pPr>
              <w:pStyle w:val="In-tableHeading"/>
              <w:jc w:val="center"/>
              <w:rPr>
                <w:b w:val="0"/>
                <w:iCs/>
                <w:szCs w:val="20"/>
                <w:lang w:val="en-AU"/>
              </w:rPr>
            </w:pPr>
            <w:r w:rsidRPr="009C68FC">
              <w:rPr>
                <w:rFonts w:cs="Calibri"/>
                <w:b w:val="0"/>
                <w:szCs w:val="20"/>
                <w:lang w:val="en-AU"/>
              </w:rPr>
              <w:t>$</w:t>
            </w:r>
            <w:r w:rsidR="00967E09">
              <w:rPr>
                <w:rFonts w:cs="Calibri"/>
                <w:b w:val="0"/>
                <w:bCs/>
                <w:noProof/>
                <w:color w:val="000000"/>
                <w:highlight w:val="black"/>
                <w:lang w:val="en-AU"/>
              </w:rPr>
              <w:t>''''''''''''''''''''''''''</w:t>
            </w:r>
          </w:p>
        </w:tc>
        <w:tc>
          <w:tcPr>
            <w:tcW w:w="760" w:type="pct"/>
            <w:tcBorders>
              <w:top w:val="single" w:sz="4" w:space="0" w:color="auto"/>
            </w:tcBorders>
            <w:vAlign w:val="center"/>
          </w:tcPr>
          <w:p w:rsidR="00DD3A88" w:rsidRPr="005728DD" w:rsidRDefault="00DD3A88" w:rsidP="00DD3A88">
            <w:pPr>
              <w:pStyle w:val="In-tableHeading"/>
              <w:jc w:val="center"/>
              <w:rPr>
                <w:szCs w:val="20"/>
                <w:lang w:val="en-AU"/>
              </w:rPr>
            </w:pPr>
            <w:r w:rsidRPr="005728DD">
              <w:rPr>
                <w:rFonts w:cs="Calibri"/>
                <w:b w:val="0"/>
                <w:bCs/>
                <w:lang w:val="en-AU"/>
              </w:rPr>
              <w:t>4.50</w:t>
            </w:r>
          </w:p>
        </w:tc>
        <w:tc>
          <w:tcPr>
            <w:tcW w:w="760" w:type="pct"/>
            <w:tcBorders>
              <w:top w:val="single" w:sz="4" w:space="0" w:color="auto"/>
            </w:tcBorders>
            <w:vAlign w:val="center"/>
          </w:tcPr>
          <w:p w:rsidR="00DD3A88" w:rsidRPr="00967E09" w:rsidRDefault="00DD3A88" w:rsidP="00DD3A88">
            <w:pPr>
              <w:pStyle w:val="In-tableHeading"/>
              <w:jc w:val="center"/>
              <w:rPr>
                <w:lang w:val="en-AU"/>
              </w:rPr>
            </w:pPr>
            <w:r w:rsidRPr="009C68FC">
              <w:rPr>
                <w:rFonts w:cs="Calibri"/>
                <w:b w:val="0"/>
                <w:szCs w:val="20"/>
                <w:lang w:val="en-AU"/>
              </w:rPr>
              <w:t>$</w:t>
            </w:r>
            <w:r w:rsidR="00967E09">
              <w:rPr>
                <w:rFonts w:cs="Calibri"/>
                <w:b w:val="0"/>
                <w:bCs/>
                <w:noProof/>
                <w:color w:val="000000"/>
                <w:highlight w:val="black"/>
                <w:lang w:val="en-AU"/>
              </w:rPr>
              <w:t>'''''''''''''''''''''</w:t>
            </w:r>
            <w:r w:rsidR="000C7366">
              <w:rPr>
                <w:rFonts w:cs="Calibri"/>
                <w:b w:val="0"/>
                <w:szCs w:val="20"/>
                <w:vertAlign w:val="superscript"/>
                <w:lang w:val="en-AU"/>
              </w:rPr>
              <w:t>1</w:t>
            </w:r>
          </w:p>
        </w:tc>
      </w:tr>
      <w:tr w:rsidR="00DD3A88" w:rsidRPr="005728DD" w:rsidTr="00E576CE">
        <w:tc>
          <w:tcPr>
            <w:tcW w:w="2722" w:type="pct"/>
          </w:tcPr>
          <w:p w:rsidR="00DD3A88" w:rsidRPr="005728DD" w:rsidRDefault="00DD3A88" w:rsidP="00DD3A88">
            <w:pPr>
              <w:pStyle w:val="In-tableHeading"/>
              <w:rPr>
                <w:b w:val="0"/>
                <w:iCs/>
                <w:szCs w:val="20"/>
                <w:lang w:val="en-AU"/>
              </w:rPr>
            </w:pPr>
            <w:r w:rsidRPr="005728DD">
              <w:rPr>
                <w:b w:val="0"/>
                <w:iCs/>
                <w:szCs w:val="20"/>
                <w:lang w:val="en-AU"/>
              </w:rPr>
              <w:t>Treatment-specific utility increment removed (base case 0.08)</w:t>
            </w:r>
          </w:p>
        </w:tc>
        <w:tc>
          <w:tcPr>
            <w:tcW w:w="759" w:type="pct"/>
            <w:vAlign w:val="center"/>
          </w:tcPr>
          <w:p w:rsidR="00DD3A88" w:rsidRPr="00967E09" w:rsidRDefault="00DD3A88" w:rsidP="00DD3A88">
            <w:pPr>
              <w:pStyle w:val="In-tableHeading"/>
              <w:jc w:val="center"/>
              <w:rPr>
                <w:b w:val="0"/>
                <w:iCs/>
                <w:szCs w:val="20"/>
                <w:lang w:val="en-AU"/>
              </w:rPr>
            </w:pPr>
            <w:r w:rsidRPr="009C68FC">
              <w:rPr>
                <w:rFonts w:cs="Calibri"/>
                <w:b w:val="0"/>
                <w:szCs w:val="20"/>
                <w:lang w:val="en-AU"/>
              </w:rPr>
              <w:t>$</w:t>
            </w:r>
            <w:r w:rsidR="00967E09">
              <w:rPr>
                <w:rFonts w:cs="Calibri"/>
                <w:b w:val="0"/>
                <w:bCs/>
                <w:noProof/>
                <w:color w:val="000000"/>
                <w:highlight w:val="black"/>
                <w:lang w:val="en-AU"/>
              </w:rPr>
              <w:t>'''''''''''''''''''''''</w:t>
            </w:r>
          </w:p>
        </w:tc>
        <w:tc>
          <w:tcPr>
            <w:tcW w:w="760" w:type="pct"/>
            <w:vAlign w:val="center"/>
          </w:tcPr>
          <w:p w:rsidR="00DD3A88" w:rsidRPr="005728DD" w:rsidRDefault="00DD3A88" w:rsidP="00DD3A88">
            <w:pPr>
              <w:pStyle w:val="In-tableHeading"/>
              <w:jc w:val="center"/>
              <w:rPr>
                <w:szCs w:val="20"/>
                <w:lang w:val="en-AU"/>
              </w:rPr>
            </w:pPr>
            <w:r w:rsidRPr="005728DD">
              <w:rPr>
                <w:rFonts w:cs="Calibri"/>
                <w:b w:val="0"/>
                <w:bCs/>
                <w:lang w:val="en-AU"/>
              </w:rPr>
              <w:t>5.36</w:t>
            </w:r>
          </w:p>
        </w:tc>
        <w:tc>
          <w:tcPr>
            <w:tcW w:w="760" w:type="pct"/>
            <w:vAlign w:val="center"/>
          </w:tcPr>
          <w:p w:rsidR="00DD3A88" w:rsidRPr="00967E09" w:rsidRDefault="00DD3A88" w:rsidP="00DD3A88">
            <w:pPr>
              <w:pStyle w:val="In-tableHeading"/>
              <w:jc w:val="center"/>
              <w:rPr>
                <w:lang w:val="en-AU"/>
              </w:rPr>
            </w:pPr>
            <w:r w:rsidRPr="009C68FC">
              <w:rPr>
                <w:rFonts w:cs="Calibri"/>
                <w:b w:val="0"/>
                <w:szCs w:val="20"/>
                <w:lang w:val="en-AU"/>
              </w:rPr>
              <w:t>$</w:t>
            </w:r>
            <w:r w:rsidR="00967E09">
              <w:rPr>
                <w:rFonts w:cs="Calibri"/>
                <w:b w:val="0"/>
                <w:bCs/>
                <w:noProof/>
                <w:color w:val="000000"/>
                <w:highlight w:val="black"/>
                <w:lang w:val="en-AU"/>
              </w:rPr>
              <w:t>''''''''''''''''''</w:t>
            </w:r>
            <w:r w:rsidR="000C7366">
              <w:rPr>
                <w:rFonts w:cs="Calibri"/>
                <w:b w:val="0"/>
                <w:szCs w:val="20"/>
                <w:vertAlign w:val="superscript"/>
                <w:lang w:val="en-AU"/>
              </w:rPr>
              <w:t>1</w:t>
            </w:r>
          </w:p>
        </w:tc>
      </w:tr>
      <w:tr w:rsidR="00DD3A88" w:rsidRPr="005728DD" w:rsidTr="00E576CE">
        <w:tc>
          <w:tcPr>
            <w:tcW w:w="2722" w:type="pct"/>
          </w:tcPr>
          <w:p w:rsidR="00DD3A88" w:rsidRPr="005728DD" w:rsidRDefault="00DD3A88" w:rsidP="00DD3A88">
            <w:pPr>
              <w:pStyle w:val="In-tableHeading"/>
              <w:rPr>
                <w:b w:val="0"/>
                <w:iCs/>
                <w:szCs w:val="20"/>
                <w:lang w:val="en-AU"/>
              </w:rPr>
            </w:pPr>
            <w:r w:rsidRPr="005728DD">
              <w:rPr>
                <w:b w:val="0"/>
                <w:iCs/>
                <w:szCs w:val="20"/>
                <w:lang w:val="en-AU"/>
              </w:rPr>
              <w:t>Compliance as in the trial 98.4% (base case 90%)</w:t>
            </w:r>
          </w:p>
        </w:tc>
        <w:tc>
          <w:tcPr>
            <w:tcW w:w="759" w:type="pct"/>
            <w:vAlign w:val="center"/>
          </w:tcPr>
          <w:p w:rsidR="00DD3A88" w:rsidRPr="00967E09" w:rsidRDefault="00DD3A88" w:rsidP="00DD3A88">
            <w:pPr>
              <w:pStyle w:val="In-tableHeading"/>
              <w:jc w:val="center"/>
              <w:rPr>
                <w:b w:val="0"/>
                <w:iCs/>
                <w:szCs w:val="20"/>
                <w:lang w:val="en-AU"/>
              </w:rPr>
            </w:pPr>
            <w:r w:rsidRPr="009C68FC">
              <w:rPr>
                <w:rFonts w:cs="Calibri"/>
                <w:b w:val="0"/>
                <w:szCs w:val="20"/>
                <w:lang w:val="en-AU"/>
              </w:rPr>
              <w:t>$</w:t>
            </w:r>
            <w:r w:rsidR="00967E09">
              <w:rPr>
                <w:rFonts w:cs="Calibri"/>
                <w:b w:val="0"/>
                <w:bCs/>
                <w:noProof/>
                <w:color w:val="000000"/>
                <w:highlight w:val="black"/>
                <w:lang w:val="en-AU"/>
              </w:rPr>
              <w:t>''''''''''''''''''''''</w:t>
            </w:r>
          </w:p>
        </w:tc>
        <w:tc>
          <w:tcPr>
            <w:tcW w:w="760" w:type="pct"/>
            <w:vAlign w:val="center"/>
          </w:tcPr>
          <w:p w:rsidR="00DD3A88" w:rsidRPr="005728DD" w:rsidRDefault="00DD3A88" w:rsidP="00DD3A88">
            <w:pPr>
              <w:pStyle w:val="In-tableHeading"/>
              <w:jc w:val="center"/>
              <w:rPr>
                <w:szCs w:val="20"/>
                <w:lang w:val="en-AU"/>
              </w:rPr>
            </w:pPr>
            <w:r w:rsidRPr="005728DD">
              <w:rPr>
                <w:rFonts w:cs="Calibri"/>
                <w:b w:val="0"/>
                <w:bCs/>
                <w:lang w:val="en-AU"/>
              </w:rPr>
              <w:t>6.47</w:t>
            </w:r>
          </w:p>
        </w:tc>
        <w:tc>
          <w:tcPr>
            <w:tcW w:w="760" w:type="pct"/>
            <w:vAlign w:val="center"/>
          </w:tcPr>
          <w:p w:rsidR="00DD3A88" w:rsidRPr="00967E09" w:rsidRDefault="00DD3A88" w:rsidP="00DD3A88">
            <w:pPr>
              <w:pStyle w:val="In-tableHeading"/>
              <w:jc w:val="center"/>
              <w:rPr>
                <w:lang w:val="en-AU"/>
              </w:rPr>
            </w:pPr>
            <w:r w:rsidRPr="009C68FC">
              <w:rPr>
                <w:rFonts w:cs="Calibri"/>
                <w:b w:val="0"/>
                <w:szCs w:val="20"/>
                <w:lang w:val="en-AU"/>
              </w:rPr>
              <w:t>$</w:t>
            </w:r>
            <w:r w:rsidR="00967E09">
              <w:rPr>
                <w:rFonts w:cs="Calibri"/>
                <w:b w:val="0"/>
                <w:bCs/>
                <w:noProof/>
                <w:color w:val="000000"/>
                <w:highlight w:val="black"/>
                <w:lang w:val="en-AU"/>
              </w:rPr>
              <w:t>'''''''''''''''''''</w:t>
            </w:r>
            <w:r w:rsidR="000C7366">
              <w:rPr>
                <w:rFonts w:cs="Calibri"/>
                <w:b w:val="0"/>
                <w:szCs w:val="20"/>
                <w:vertAlign w:val="superscript"/>
                <w:lang w:val="en-AU"/>
              </w:rPr>
              <w:t>1</w:t>
            </w:r>
          </w:p>
        </w:tc>
      </w:tr>
      <w:tr w:rsidR="008464FA" w:rsidRPr="005728DD" w:rsidTr="00E576CE">
        <w:tc>
          <w:tcPr>
            <w:tcW w:w="2722" w:type="pct"/>
          </w:tcPr>
          <w:p w:rsidR="008464FA" w:rsidRPr="005728DD" w:rsidRDefault="008464FA" w:rsidP="008464FA">
            <w:pPr>
              <w:pStyle w:val="In-tableHeading"/>
              <w:rPr>
                <w:b w:val="0"/>
                <w:iCs/>
                <w:szCs w:val="20"/>
                <w:lang w:val="en-AU"/>
              </w:rPr>
            </w:pPr>
            <w:r w:rsidRPr="005728DD">
              <w:rPr>
                <w:b w:val="0"/>
                <w:iCs/>
                <w:lang w:val="en-AU"/>
              </w:rPr>
              <w:t>Reduction in long-term decline of 42%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rsidR="008464FA" w:rsidRPr="00967E09" w:rsidRDefault="008464FA" w:rsidP="008464FA">
            <w:pPr>
              <w:pStyle w:val="In-tableHeading"/>
              <w:jc w:val="center"/>
              <w:rPr>
                <w:b w:val="0"/>
                <w:iCs/>
                <w:szCs w:val="20"/>
                <w:lang w:val="en-AU"/>
              </w:rPr>
            </w:pPr>
            <w:r w:rsidRPr="009C68FC">
              <w:rPr>
                <w:rFonts w:cs="Calibri"/>
                <w:b w:val="0"/>
                <w:szCs w:val="20"/>
                <w:lang w:val="en-AU"/>
              </w:rPr>
              <w:t>$</w:t>
            </w:r>
            <w:r w:rsidR="00967E09">
              <w:rPr>
                <w:rFonts w:cs="Calibri"/>
                <w:b w:val="0"/>
                <w:bCs/>
                <w:noProof/>
                <w:color w:val="000000"/>
                <w:highlight w:val="black"/>
                <w:lang w:val="en-AU"/>
              </w:rPr>
              <w:t>''''''''''''''''''''''</w:t>
            </w:r>
          </w:p>
        </w:tc>
        <w:tc>
          <w:tcPr>
            <w:tcW w:w="760" w:type="pct"/>
            <w:vAlign w:val="center"/>
          </w:tcPr>
          <w:p w:rsidR="008464FA" w:rsidRPr="005728DD" w:rsidRDefault="008464FA" w:rsidP="008464FA">
            <w:pPr>
              <w:pStyle w:val="In-tableHeading"/>
              <w:jc w:val="center"/>
              <w:rPr>
                <w:szCs w:val="20"/>
                <w:lang w:val="en-AU"/>
              </w:rPr>
            </w:pPr>
            <w:r w:rsidRPr="005728DD">
              <w:rPr>
                <w:rFonts w:cs="Calibri"/>
                <w:b w:val="0"/>
                <w:bCs/>
                <w:lang w:val="en-AU"/>
              </w:rPr>
              <w:t>5.29</w:t>
            </w:r>
          </w:p>
        </w:tc>
        <w:tc>
          <w:tcPr>
            <w:tcW w:w="760" w:type="pct"/>
            <w:vAlign w:val="center"/>
          </w:tcPr>
          <w:p w:rsidR="008464FA" w:rsidRPr="00967E09" w:rsidRDefault="008464FA" w:rsidP="008464FA">
            <w:pPr>
              <w:pStyle w:val="In-tableHeading"/>
              <w:jc w:val="center"/>
              <w:rPr>
                <w:lang w:val="en-AU"/>
              </w:rPr>
            </w:pPr>
            <w:r w:rsidRPr="009C68FC">
              <w:rPr>
                <w:rFonts w:cs="Calibri"/>
                <w:b w:val="0"/>
                <w:szCs w:val="20"/>
                <w:lang w:val="en-AU"/>
              </w:rPr>
              <w:t>$</w:t>
            </w:r>
            <w:r w:rsidR="00967E09">
              <w:rPr>
                <w:rFonts w:cs="Calibri"/>
                <w:b w:val="0"/>
                <w:bCs/>
                <w:noProof/>
                <w:color w:val="000000"/>
                <w:highlight w:val="black"/>
                <w:lang w:val="en-AU"/>
              </w:rPr>
              <w:t>''''''''''''''''''</w:t>
            </w:r>
            <w:r w:rsidR="000C7366">
              <w:rPr>
                <w:rFonts w:cs="Calibri"/>
                <w:b w:val="0"/>
                <w:szCs w:val="20"/>
                <w:vertAlign w:val="superscript"/>
                <w:lang w:val="en-AU"/>
              </w:rPr>
              <w:t>1</w:t>
            </w:r>
          </w:p>
        </w:tc>
      </w:tr>
      <w:tr w:rsidR="008464FA" w:rsidRPr="005728DD" w:rsidTr="00E576CE">
        <w:tc>
          <w:tcPr>
            <w:tcW w:w="2722" w:type="pct"/>
          </w:tcPr>
          <w:p w:rsidR="008464FA" w:rsidRPr="005728DD" w:rsidRDefault="008464FA" w:rsidP="008464FA">
            <w:pPr>
              <w:pStyle w:val="In-tableHeading"/>
              <w:rPr>
                <w:b w:val="0"/>
                <w:iCs/>
                <w:lang w:val="en-AU"/>
              </w:rPr>
            </w:pPr>
            <w:r w:rsidRPr="005728DD">
              <w:rPr>
                <w:b w:val="0"/>
                <w:iCs/>
                <w:lang w:val="en-AU"/>
              </w:rPr>
              <w:t>Reduction in long-term decline of 0% ppFEV</w:t>
            </w:r>
            <w:r w:rsidRPr="005728DD">
              <w:rPr>
                <w:b w:val="0"/>
                <w:iCs/>
                <w:vertAlign w:val="subscript"/>
                <w:lang w:val="en-AU"/>
              </w:rPr>
              <w:t>1</w:t>
            </w:r>
            <w:r w:rsidRPr="005728DD">
              <w:rPr>
                <w:b w:val="0"/>
                <w:iCs/>
                <w:lang w:val="en-AU"/>
              </w:rPr>
              <w:t xml:space="preserve"> relative to BSC for ELX/TEZ/IVA (base case 61.5%)</w:t>
            </w:r>
          </w:p>
        </w:tc>
        <w:tc>
          <w:tcPr>
            <w:tcW w:w="759" w:type="pct"/>
            <w:vAlign w:val="center"/>
          </w:tcPr>
          <w:p w:rsidR="008464FA" w:rsidRPr="00967E09" w:rsidRDefault="008464FA" w:rsidP="008464FA">
            <w:pPr>
              <w:pStyle w:val="In-tableHeading"/>
              <w:jc w:val="center"/>
              <w:rPr>
                <w:rFonts w:cs="Calibri"/>
                <w:b w:val="0"/>
                <w:bCs/>
                <w:lang w:val="en-AU"/>
              </w:rPr>
            </w:pPr>
            <w:r w:rsidRPr="009C68FC">
              <w:rPr>
                <w:rFonts w:cs="Calibri"/>
                <w:b w:val="0"/>
                <w:szCs w:val="20"/>
                <w:lang w:val="en-AU"/>
              </w:rPr>
              <w:t>$</w:t>
            </w:r>
            <w:r w:rsidR="00967E09">
              <w:rPr>
                <w:rFonts w:cs="Calibri"/>
                <w:b w:val="0"/>
                <w:bCs/>
                <w:noProof/>
                <w:color w:val="000000"/>
                <w:highlight w:val="black"/>
                <w:lang w:val="en-AU"/>
              </w:rPr>
              <w:t>''''''''''''''''''''''</w:t>
            </w:r>
          </w:p>
        </w:tc>
        <w:tc>
          <w:tcPr>
            <w:tcW w:w="760" w:type="pct"/>
            <w:vAlign w:val="center"/>
          </w:tcPr>
          <w:p w:rsidR="008464FA" w:rsidRPr="005728DD" w:rsidRDefault="008464FA" w:rsidP="008464FA">
            <w:pPr>
              <w:pStyle w:val="In-tableHeading"/>
              <w:jc w:val="center"/>
              <w:rPr>
                <w:rFonts w:cs="Calibri"/>
                <w:b w:val="0"/>
                <w:bCs/>
                <w:lang w:val="en-AU"/>
              </w:rPr>
            </w:pPr>
            <w:r w:rsidRPr="005728DD">
              <w:rPr>
                <w:rFonts w:cs="Calibri"/>
                <w:b w:val="0"/>
                <w:bCs/>
                <w:lang w:val="en-AU"/>
              </w:rPr>
              <w:t>3.47</w:t>
            </w:r>
          </w:p>
        </w:tc>
        <w:tc>
          <w:tcPr>
            <w:tcW w:w="760" w:type="pct"/>
            <w:vAlign w:val="center"/>
          </w:tcPr>
          <w:p w:rsidR="008464FA" w:rsidRPr="00967E09" w:rsidRDefault="008464FA" w:rsidP="008464FA">
            <w:pPr>
              <w:pStyle w:val="In-tableHeading"/>
              <w:jc w:val="center"/>
              <w:rPr>
                <w:rFonts w:cs="Calibri"/>
                <w:b w:val="0"/>
                <w:bCs/>
                <w:lang w:val="en-AU"/>
              </w:rPr>
            </w:pPr>
            <w:r w:rsidRPr="009C68FC">
              <w:rPr>
                <w:rFonts w:cs="Calibri"/>
                <w:b w:val="0"/>
                <w:szCs w:val="20"/>
                <w:lang w:val="en-AU"/>
              </w:rPr>
              <w:t>$</w:t>
            </w:r>
            <w:r w:rsidR="00967E09">
              <w:rPr>
                <w:rFonts w:cs="Calibri"/>
                <w:b w:val="0"/>
                <w:bCs/>
                <w:noProof/>
                <w:color w:val="000000"/>
                <w:highlight w:val="black"/>
                <w:lang w:val="en-AU"/>
              </w:rPr>
              <w:t>'''''''''''''''''</w:t>
            </w:r>
            <w:r w:rsidR="000C7366">
              <w:rPr>
                <w:rFonts w:cs="Calibri"/>
                <w:b w:val="0"/>
                <w:szCs w:val="20"/>
                <w:vertAlign w:val="superscript"/>
                <w:lang w:val="en-AU"/>
              </w:rPr>
              <w:t>2</w:t>
            </w:r>
          </w:p>
        </w:tc>
      </w:tr>
    </w:tbl>
    <w:p w:rsidR="008464FA" w:rsidRDefault="008464FA" w:rsidP="008464FA">
      <w:pPr>
        <w:pStyle w:val="TableFigureFooter"/>
      </w:pPr>
      <w:r w:rsidRPr="005728DD">
        <w:t>BSC = best supporting care; ELX/TEZ/IVA = elexacaftor/tezacaftor/ivacaftor; F/MF = heterozygous for F508del-CFTR mutation with a second minimal function allele; LoE = loss of exclusivity; ppFEV1 = percent predicted forced expiratory volume in one second; QALYs = quality-adjusted life-years; TEZ/IVA = tezacaftor/ivacaftor</w:t>
      </w:r>
    </w:p>
    <w:p w:rsidR="009C68FC" w:rsidRPr="009868C4" w:rsidRDefault="009C68FC" w:rsidP="009C68FC">
      <w:pPr>
        <w:pStyle w:val="TableFigureFooter"/>
        <w:spacing w:after="0"/>
        <w:contextualSpacing w:val="0"/>
      </w:pPr>
      <w:r w:rsidRPr="009868C4">
        <w:rPr>
          <w:i/>
        </w:rPr>
        <w:t>The redacted values correspond to the following ranges</w:t>
      </w:r>
      <w:r>
        <w:rPr>
          <w:i/>
        </w:rPr>
        <w:t xml:space="preserve">: </w:t>
      </w:r>
    </w:p>
    <w:p w:rsidR="000C7366" w:rsidRPr="000C7366" w:rsidRDefault="000C7366" w:rsidP="000C7366">
      <w:pPr>
        <w:pStyle w:val="TableFigureFooter"/>
        <w:rPr>
          <w:i/>
        </w:rPr>
      </w:pPr>
      <w:r>
        <w:rPr>
          <w:i/>
          <w:vertAlign w:val="superscript"/>
        </w:rPr>
        <w:t xml:space="preserve">1 </w:t>
      </w:r>
      <w:r w:rsidRPr="000C7366">
        <w:rPr>
          <w:i/>
        </w:rPr>
        <w:t>$155,000 to &lt; $255,000</w:t>
      </w:r>
    </w:p>
    <w:p w:rsidR="009C68FC" w:rsidRPr="000C7366" w:rsidRDefault="000C7366" w:rsidP="000C7366">
      <w:pPr>
        <w:pStyle w:val="TableFigureFooter"/>
        <w:rPr>
          <w:i/>
        </w:rPr>
      </w:pPr>
      <w:r>
        <w:rPr>
          <w:i/>
          <w:vertAlign w:val="superscript"/>
        </w:rPr>
        <w:t xml:space="preserve">2 </w:t>
      </w:r>
      <w:r w:rsidRPr="000C7366">
        <w:rPr>
          <w:i/>
        </w:rPr>
        <w:t>$255,000 to &lt; $355,000</w:t>
      </w:r>
    </w:p>
    <w:p w:rsidR="000B566E" w:rsidRPr="005728DD" w:rsidRDefault="000B566E" w:rsidP="0018480A">
      <w:pPr>
        <w:pStyle w:val="TableFigureFooter"/>
      </w:pPr>
    </w:p>
    <w:p w:rsidR="00E1386C" w:rsidRPr="005728DD" w:rsidRDefault="00E1386C" w:rsidP="0018480A">
      <w:pPr>
        <w:pStyle w:val="TableFigureFooter"/>
      </w:pPr>
    </w:p>
    <w:p w:rsidR="00E1386C" w:rsidRPr="005728DD" w:rsidRDefault="00E1386C" w:rsidP="0018480A">
      <w:pPr>
        <w:pStyle w:val="TableFigureFooter"/>
      </w:pPr>
    </w:p>
    <w:p w:rsidR="006E0C68" w:rsidRPr="005728DD" w:rsidRDefault="00317506" w:rsidP="000C7366">
      <w:pPr>
        <w:pStyle w:val="3-BodyText"/>
      </w:pPr>
      <w:bookmarkStart w:id="43" w:name="_Toc22897646"/>
      <w:bookmarkStart w:id="44" w:name="_Toc62035735"/>
      <w:r w:rsidRPr="005728DD">
        <w:t>The ESC proposed a multivariate analysis assuming (i) the same decrease in rate of decline for ELX/TEZ/IVA and TEZ/IVA (42%, base case used 61.5% for ELX/TEZ/IVA) (ii) removal of treatment specific utility benefit for ELX/TEZ/IVA (base case 0.08)</w:t>
      </w:r>
      <w:r w:rsidR="00366A6C" w:rsidRPr="005728DD">
        <w:t>,</w:t>
      </w:r>
      <w:r w:rsidRPr="005728DD">
        <w:t xml:space="preserve"> (</w:t>
      </w:r>
      <w:r w:rsidR="00366A6C" w:rsidRPr="005728DD">
        <w:t>i</w:t>
      </w:r>
      <w:r w:rsidRPr="005728DD">
        <w:t>ii)</w:t>
      </w:r>
      <w:r w:rsidR="008B5EF9" w:rsidRPr="005728DD">
        <w:t xml:space="preserve"> </w:t>
      </w:r>
      <w:r w:rsidR="00BE038D" w:rsidRPr="005728DD">
        <w:t>the same price for ELX/TEZ/IVA and TEZ/IVA throughout the model time horizon (</w:t>
      </w:r>
      <w:r w:rsidR="009704CA" w:rsidRPr="005728DD">
        <w:t>i.e.</w:t>
      </w:r>
      <w:r w:rsidR="00BE038D" w:rsidRPr="005728DD">
        <w:t xml:space="preserve"> no reduction due to LoE)</w:t>
      </w:r>
      <w:r w:rsidR="00366A6C" w:rsidRPr="005728DD">
        <w:rPr>
          <w:szCs w:val="20"/>
        </w:rPr>
        <w:t xml:space="preserve"> and (iv) </w:t>
      </w:r>
      <w:r w:rsidR="00BE038D" w:rsidRPr="005728DD">
        <w:rPr>
          <w:szCs w:val="20"/>
        </w:rPr>
        <w:t>compliance based on that observed in the trials</w:t>
      </w:r>
      <w:r w:rsidRPr="005728DD">
        <w:rPr>
          <w:szCs w:val="20"/>
        </w:rPr>
        <w:t xml:space="preserve">. The ESC noted the ICER using the multivariate analysis for the F/F population (vs TEZ/IVA) was </w:t>
      </w:r>
      <w:r w:rsidR="000C7366" w:rsidRPr="000C7366">
        <w:rPr>
          <w:szCs w:val="20"/>
        </w:rPr>
        <w:t>$355,000 to &lt; $455,000</w:t>
      </w:r>
      <w:r w:rsidR="000C7366">
        <w:rPr>
          <w:szCs w:val="20"/>
        </w:rPr>
        <w:t xml:space="preserve"> </w:t>
      </w:r>
      <w:r w:rsidRPr="005728DD">
        <w:rPr>
          <w:szCs w:val="20"/>
        </w:rPr>
        <w:t xml:space="preserve">per QALY, for the F/RF population (vs TEZ/IVA) was </w:t>
      </w:r>
      <w:r w:rsidR="000C7366" w:rsidRPr="000C7366">
        <w:rPr>
          <w:szCs w:val="20"/>
        </w:rPr>
        <w:t>$955,000 to &lt; $1,055,000</w:t>
      </w:r>
      <w:r w:rsidR="000C7366">
        <w:rPr>
          <w:szCs w:val="20"/>
        </w:rPr>
        <w:t xml:space="preserve"> </w:t>
      </w:r>
      <w:r w:rsidRPr="005728DD">
        <w:rPr>
          <w:szCs w:val="20"/>
        </w:rPr>
        <w:t>per QALY and in th</w:t>
      </w:r>
      <w:r w:rsidR="008464FA" w:rsidRPr="005728DD">
        <w:rPr>
          <w:szCs w:val="20"/>
        </w:rPr>
        <w:t xml:space="preserve">e F/MF population (vs BSC) was </w:t>
      </w:r>
      <w:r w:rsidR="000C7366" w:rsidRPr="000C7366">
        <w:rPr>
          <w:szCs w:val="20"/>
        </w:rPr>
        <w:t>$355,000 to &lt; $455,000</w:t>
      </w:r>
      <w:r w:rsidR="000C7366">
        <w:rPr>
          <w:szCs w:val="20"/>
        </w:rPr>
        <w:t xml:space="preserve"> </w:t>
      </w:r>
      <w:r w:rsidRPr="005728DD">
        <w:rPr>
          <w:szCs w:val="20"/>
        </w:rPr>
        <w:t xml:space="preserve">per QALY. </w:t>
      </w:r>
    </w:p>
    <w:p w:rsidR="00327C06" w:rsidRPr="005728DD" w:rsidRDefault="00957F16" w:rsidP="00327C06">
      <w:pPr>
        <w:pStyle w:val="TableFigureHeading"/>
        <w:keepLines/>
        <w:rPr>
          <w:rStyle w:val="CommentReference"/>
          <w:b/>
          <w:szCs w:val="24"/>
        </w:rPr>
      </w:pPr>
      <w:r w:rsidRPr="005728DD">
        <w:t xml:space="preserve">Table </w:t>
      </w:r>
      <w:r w:rsidR="005C56C0">
        <w:rPr>
          <w:noProof/>
        </w:rPr>
        <w:t>21</w:t>
      </w:r>
      <w:r w:rsidR="006E0C68" w:rsidRPr="005728DD">
        <w:rPr>
          <w:rStyle w:val="CommentReference"/>
          <w:b/>
          <w:i/>
          <w:szCs w:val="24"/>
        </w:rPr>
        <w:t xml:space="preserve">: </w:t>
      </w:r>
      <w:r w:rsidR="006E0C68" w:rsidRPr="005728DD">
        <w:rPr>
          <w:rStyle w:val="CommentReference"/>
          <w:b/>
          <w:szCs w:val="24"/>
        </w:rPr>
        <w:t xml:space="preserve">Revised ICERs specified by </w:t>
      </w:r>
      <w:r w:rsidRPr="005728DD">
        <w:rPr>
          <w:rStyle w:val="CommentReference"/>
          <w:b/>
          <w:szCs w:val="24"/>
        </w:rPr>
        <w:t xml:space="preserve">the </w:t>
      </w:r>
      <w:r w:rsidR="006E0C68" w:rsidRPr="005728DD">
        <w:rPr>
          <w:rStyle w:val="CommentReference"/>
          <w:b/>
          <w:szCs w:val="24"/>
        </w:rPr>
        <w:t>ESC</w:t>
      </w:r>
      <w:r w:rsidR="00327C06" w:rsidRPr="005728DD">
        <w:rPr>
          <w:rStyle w:val="CommentReference"/>
          <w:b/>
          <w:szCs w:val="24"/>
        </w:rPr>
        <w:t xml:space="preserve"> (based on ELX/TEZ/IVA pack price of $</w:t>
      </w:r>
      <w:r w:rsidR="00967E09">
        <w:rPr>
          <w:rStyle w:val="CommentReference"/>
          <w:b/>
          <w:noProof/>
          <w:color w:val="000000"/>
          <w:szCs w:val="24"/>
          <w:highlight w:val="black"/>
        </w:rPr>
        <w:t>'''''''''''''''''''''</w:t>
      </w:r>
      <w:r w:rsidR="00327C06" w:rsidRPr="005728DD">
        <w:rPr>
          <w:rStyle w:val="CommentReference"/>
          <w:b/>
          <w:szCs w:val="24"/>
        </w:rPr>
        <w:t>)</w:t>
      </w:r>
    </w:p>
    <w:p w:rsidR="00144119" w:rsidRPr="005728DD" w:rsidRDefault="00144119" w:rsidP="00144119">
      <w:pPr>
        <w:pStyle w:val="TableFigureHeading"/>
      </w:pPr>
    </w:p>
    <w:tbl>
      <w:tblPr>
        <w:tblStyle w:val="TableGrid"/>
        <w:tblW w:w="5000" w:type="pct"/>
        <w:tblCellMar>
          <w:left w:w="57" w:type="dxa"/>
          <w:right w:w="57" w:type="dxa"/>
        </w:tblCellMar>
        <w:tblLook w:val="04A0" w:firstRow="1" w:lastRow="0" w:firstColumn="1" w:lastColumn="0" w:noHBand="0" w:noVBand="1"/>
        <w:tblCaption w:val="Table 21: Revised ICERs specified by the ESC "/>
      </w:tblPr>
      <w:tblGrid>
        <w:gridCol w:w="4817"/>
        <w:gridCol w:w="1360"/>
        <w:gridCol w:w="1360"/>
        <w:gridCol w:w="1361"/>
      </w:tblGrid>
      <w:tr w:rsidR="00BE038D" w:rsidRPr="005728DD" w:rsidTr="005C66A3">
        <w:trPr>
          <w:trHeight w:val="18"/>
          <w:tblHeader/>
        </w:trPr>
        <w:tc>
          <w:tcPr>
            <w:tcW w:w="2707" w:type="pct"/>
            <w:hideMark/>
          </w:tcPr>
          <w:p w:rsidR="00BE038D" w:rsidRPr="005728DD" w:rsidRDefault="00BE038D" w:rsidP="005B2E29">
            <w:pPr>
              <w:pStyle w:val="TableText0"/>
              <w:rPr>
                <w:b/>
                <w:bCs w:val="0"/>
                <w:szCs w:val="20"/>
              </w:rPr>
            </w:pPr>
            <w:r w:rsidRPr="005728DD">
              <w:rPr>
                <w:b/>
                <w:szCs w:val="20"/>
              </w:rPr>
              <w:t>Patient Groups</w:t>
            </w:r>
          </w:p>
        </w:tc>
        <w:tc>
          <w:tcPr>
            <w:tcW w:w="764" w:type="pct"/>
            <w:hideMark/>
          </w:tcPr>
          <w:p w:rsidR="007207F2" w:rsidRPr="005728DD" w:rsidRDefault="00BE038D" w:rsidP="005B2E29">
            <w:pPr>
              <w:pStyle w:val="TableText0"/>
              <w:jc w:val="center"/>
              <w:rPr>
                <w:b/>
                <w:szCs w:val="20"/>
              </w:rPr>
            </w:pPr>
            <w:r w:rsidRPr="005728DD">
              <w:rPr>
                <w:b/>
                <w:szCs w:val="20"/>
              </w:rPr>
              <w:t>F/F</w:t>
            </w:r>
            <w:r w:rsidR="00E576CE" w:rsidRPr="005728DD">
              <w:rPr>
                <w:b/>
                <w:szCs w:val="20"/>
              </w:rPr>
              <w:t xml:space="preserve"> </w:t>
            </w:r>
          </w:p>
          <w:p w:rsidR="00BE038D" w:rsidRPr="005728DD" w:rsidRDefault="00E576CE" w:rsidP="005B2E29">
            <w:pPr>
              <w:pStyle w:val="TableText0"/>
              <w:jc w:val="center"/>
              <w:rPr>
                <w:b/>
                <w:szCs w:val="20"/>
              </w:rPr>
            </w:pPr>
            <w:r w:rsidRPr="005728DD">
              <w:rPr>
                <w:b/>
                <w:szCs w:val="20"/>
              </w:rPr>
              <w:t>population</w:t>
            </w:r>
            <w:r w:rsidR="007207F2" w:rsidRPr="005728DD">
              <w:rPr>
                <w:b/>
                <w:szCs w:val="20"/>
              </w:rPr>
              <w:t>,</w:t>
            </w:r>
          </w:p>
          <w:p w:rsidR="007207F2" w:rsidRPr="005728DD" w:rsidRDefault="007207F2" w:rsidP="005B2E29">
            <w:pPr>
              <w:pStyle w:val="TableText0"/>
              <w:jc w:val="center"/>
              <w:rPr>
                <w:b/>
                <w:bCs w:val="0"/>
                <w:szCs w:val="20"/>
              </w:rPr>
            </w:pPr>
            <w:r w:rsidRPr="005728DD">
              <w:rPr>
                <w:b/>
                <w:szCs w:val="20"/>
              </w:rPr>
              <w:t>ELX/TEZ/IVA vs TEZ/IVA</w:t>
            </w:r>
          </w:p>
        </w:tc>
        <w:tc>
          <w:tcPr>
            <w:tcW w:w="764" w:type="pct"/>
          </w:tcPr>
          <w:p w:rsidR="00BE038D" w:rsidRPr="005728DD" w:rsidRDefault="00BE038D" w:rsidP="005B2E29">
            <w:pPr>
              <w:pStyle w:val="TableText0"/>
              <w:jc w:val="center"/>
              <w:rPr>
                <w:b/>
                <w:szCs w:val="20"/>
              </w:rPr>
            </w:pPr>
            <w:r w:rsidRPr="005728DD">
              <w:rPr>
                <w:b/>
                <w:szCs w:val="20"/>
              </w:rPr>
              <w:t>F/RF</w:t>
            </w:r>
            <w:r w:rsidR="007207F2" w:rsidRPr="005728DD">
              <w:rPr>
                <w:b/>
                <w:szCs w:val="20"/>
              </w:rPr>
              <w:t xml:space="preserve"> </w:t>
            </w:r>
            <w:r w:rsidR="00E576CE" w:rsidRPr="005728DD">
              <w:rPr>
                <w:b/>
                <w:szCs w:val="20"/>
              </w:rPr>
              <w:t>population</w:t>
            </w:r>
            <w:r w:rsidR="007207F2" w:rsidRPr="005728DD">
              <w:rPr>
                <w:b/>
                <w:szCs w:val="20"/>
              </w:rPr>
              <w:t xml:space="preserve">, </w:t>
            </w:r>
          </w:p>
          <w:p w:rsidR="007207F2" w:rsidRPr="005728DD" w:rsidRDefault="007207F2" w:rsidP="005B2E29">
            <w:pPr>
              <w:pStyle w:val="TableText0"/>
              <w:jc w:val="center"/>
              <w:rPr>
                <w:b/>
                <w:bCs w:val="0"/>
                <w:szCs w:val="20"/>
              </w:rPr>
            </w:pPr>
            <w:r w:rsidRPr="005728DD">
              <w:rPr>
                <w:b/>
                <w:szCs w:val="20"/>
              </w:rPr>
              <w:t>ELX/TEZ/IVA vs TEZ/IVA</w:t>
            </w:r>
          </w:p>
        </w:tc>
        <w:tc>
          <w:tcPr>
            <w:tcW w:w="765" w:type="pct"/>
            <w:hideMark/>
          </w:tcPr>
          <w:p w:rsidR="00BE038D" w:rsidRPr="005728DD" w:rsidRDefault="00BE038D" w:rsidP="005B2E29">
            <w:pPr>
              <w:pStyle w:val="TableText0"/>
              <w:jc w:val="center"/>
              <w:rPr>
                <w:b/>
                <w:szCs w:val="20"/>
              </w:rPr>
            </w:pPr>
            <w:r w:rsidRPr="005728DD">
              <w:rPr>
                <w:b/>
                <w:szCs w:val="20"/>
              </w:rPr>
              <w:t>F/MF</w:t>
            </w:r>
            <w:r w:rsidR="00E576CE" w:rsidRPr="005728DD">
              <w:rPr>
                <w:b/>
                <w:szCs w:val="20"/>
              </w:rPr>
              <w:t xml:space="preserve"> population</w:t>
            </w:r>
          </w:p>
          <w:p w:rsidR="007207F2" w:rsidRPr="005728DD" w:rsidRDefault="007207F2" w:rsidP="005B2E29">
            <w:pPr>
              <w:pStyle w:val="TableText0"/>
              <w:jc w:val="center"/>
              <w:rPr>
                <w:b/>
                <w:bCs w:val="0"/>
                <w:szCs w:val="20"/>
              </w:rPr>
            </w:pPr>
            <w:r w:rsidRPr="005728DD">
              <w:rPr>
                <w:b/>
                <w:szCs w:val="20"/>
              </w:rPr>
              <w:t>ELX/TEZ/IVA vs BSC</w:t>
            </w:r>
          </w:p>
        </w:tc>
      </w:tr>
      <w:tr w:rsidR="00BE038D" w:rsidRPr="005728DD" w:rsidTr="000C7366">
        <w:trPr>
          <w:trHeight w:val="18"/>
        </w:trPr>
        <w:tc>
          <w:tcPr>
            <w:tcW w:w="2707" w:type="pct"/>
          </w:tcPr>
          <w:p w:rsidR="00BE038D" w:rsidRPr="000C7366" w:rsidRDefault="00BE038D" w:rsidP="000C7366">
            <w:pPr>
              <w:pStyle w:val="TableText0"/>
              <w:rPr>
                <w:szCs w:val="20"/>
                <w:vertAlign w:val="superscript"/>
              </w:rPr>
            </w:pPr>
            <w:r w:rsidRPr="005728DD">
              <w:rPr>
                <w:szCs w:val="20"/>
              </w:rPr>
              <w:t>Base case ICER</w:t>
            </w:r>
          </w:p>
        </w:tc>
        <w:tc>
          <w:tcPr>
            <w:tcW w:w="764" w:type="pct"/>
          </w:tcPr>
          <w:p w:rsidR="00BE038D" w:rsidRPr="005728DD" w:rsidRDefault="00BE038D" w:rsidP="005B2E29">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1</w:t>
            </w:r>
          </w:p>
        </w:tc>
        <w:tc>
          <w:tcPr>
            <w:tcW w:w="764" w:type="pct"/>
          </w:tcPr>
          <w:p w:rsidR="00BE038D" w:rsidRPr="005728DD" w:rsidRDefault="00BE038D" w:rsidP="005B2E29">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2</w:t>
            </w:r>
          </w:p>
        </w:tc>
        <w:tc>
          <w:tcPr>
            <w:tcW w:w="765" w:type="pct"/>
          </w:tcPr>
          <w:p w:rsidR="00BE038D" w:rsidRPr="005728DD" w:rsidRDefault="00BE038D" w:rsidP="005B2E29">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2</w:t>
            </w:r>
          </w:p>
        </w:tc>
      </w:tr>
      <w:tr w:rsidR="00BE038D" w:rsidRPr="005728DD" w:rsidTr="00E576CE">
        <w:trPr>
          <w:trHeight w:val="18"/>
        </w:trPr>
        <w:tc>
          <w:tcPr>
            <w:tcW w:w="5000" w:type="pct"/>
            <w:gridSpan w:val="4"/>
            <w:shd w:val="clear" w:color="auto" w:fill="DBE5F1" w:themeFill="accent1" w:themeFillTint="33"/>
          </w:tcPr>
          <w:p w:rsidR="00BE038D" w:rsidRPr="005728DD" w:rsidRDefault="00BE038D" w:rsidP="005B2E29">
            <w:pPr>
              <w:pStyle w:val="TableText0"/>
              <w:rPr>
                <w:szCs w:val="20"/>
              </w:rPr>
            </w:pPr>
            <w:r w:rsidRPr="005728DD">
              <w:rPr>
                <w:szCs w:val="20"/>
              </w:rPr>
              <w:t>Revised ICERs</w:t>
            </w:r>
          </w:p>
        </w:tc>
      </w:tr>
      <w:tr w:rsidR="00BE038D" w:rsidRPr="005728DD" w:rsidTr="000C7366">
        <w:trPr>
          <w:trHeight w:val="18"/>
        </w:trPr>
        <w:tc>
          <w:tcPr>
            <w:tcW w:w="2707" w:type="pct"/>
          </w:tcPr>
          <w:p w:rsidR="00BE038D" w:rsidRPr="005728DD" w:rsidRDefault="00BE038D" w:rsidP="00A0357E">
            <w:pPr>
              <w:pStyle w:val="TableText0"/>
              <w:numPr>
                <w:ilvl w:val="0"/>
                <w:numId w:val="18"/>
              </w:numPr>
              <w:rPr>
                <w:szCs w:val="20"/>
              </w:rPr>
            </w:pPr>
            <w:r w:rsidRPr="005728DD">
              <w:rPr>
                <w:szCs w:val="20"/>
              </w:rPr>
              <w:t xml:space="preserve">42% rate of decline for ELX/TEZ/IVA </w:t>
            </w:r>
            <w:r w:rsidR="00E576CE" w:rsidRPr="005728DD">
              <w:rPr>
                <w:szCs w:val="20"/>
              </w:rPr>
              <w:t>(base case: 61.5%)</w:t>
            </w:r>
          </w:p>
          <w:p w:rsidR="00BE038D" w:rsidRPr="005728DD" w:rsidRDefault="00BE038D" w:rsidP="00A0357E">
            <w:pPr>
              <w:pStyle w:val="TableText0"/>
              <w:numPr>
                <w:ilvl w:val="0"/>
                <w:numId w:val="18"/>
              </w:numPr>
              <w:rPr>
                <w:szCs w:val="20"/>
              </w:rPr>
            </w:pPr>
            <w:r w:rsidRPr="005728DD">
              <w:rPr>
                <w:szCs w:val="20"/>
              </w:rPr>
              <w:t>Removal of treatment-related</w:t>
            </w:r>
            <w:r w:rsidR="00E576CE" w:rsidRPr="005728DD">
              <w:rPr>
                <w:szCs w:val="20"/>
              </w:rPr>
              <w:t xml:space="preserve"> utility (base case</w:t>
            </w:r>
            <w:r w:rsidRPr="005728DD">
              <w:rPr>
                <w:szCs w:val="20"/>
              </w:rPr>
              <w:t xml:space="preserve"> 0.</w:t>
            </w:r>
            <w:r w:rsidR="00E576CE" w:rsidRPr="005728DD">
              <w:rPr>
                <w:szCs w:val="20"/>
              </w:rPr>
              <w:t>08)</w:t>
            </w:r>
            <w:r w:rsidRPr="005728DD">
              <w:rPr>
                <w:szCs w:val="20"/>
              </w:rPr>
              <w:t xml:space="preserve"> </w:t>
            </w:r>
          </w:p>
          <w:p w:rsidR="00BE038D" w:rsidRPr="005728DD" w:rsidRDefault="00BE038D" w:rsidP="00A0357E">
            <w:pPr>
              <w:pStyle w:val="TableText0"/>
              <w:numPr>
                <w:ilvl w:val="0"/>
                <w:numId w:val="18"/>
              </w:numPr>
              <w:rPr>
                <w:szCs w:val="20"/>
              </w:rPr>
            </w:pPr>
            <w:r w:rsidRPr="005728DD">
              <w:rPr>
                <w:szCs w:val="20"/>
              </w:rPr>
              <w:t>No LoE price reductions</w:t>
            </w:r>
            <w:r w:rsidR="00E576CE" w:rsidRPr="005728DD">
              <w:rPr>
                <w:szCs w:val="20"/>
              </w:rPr>
              <w:t xml:space="preserve"> for ELX/TEZ/IVA or TEZ/IVA</w:t>
            </w:r>
          </w:p>
          <w:p w:rsidR="00BE038D" w:rsidRPr="005728DD" w:rsidRDefault="00BE038D" w:rsidP="00A0357E">
            <w:pPr>
              <w:pStyle w:val="TableText0"/>
              <w:numPr>
                <w:ilvl w:val="0"/>
                <w:numId w:val="18"/>
              </w:numPr>
              <w:rPr>
                <w:szCs w:val="20"/>
              </w:rPr>
            </w:pPr>
            <w:r w:rsidRPr="005728DD">
              <w:rPr>
                <w:szCs w:val="20"/>
              </w:rPr>
              <w:t xml:space="preserve">Compliance as per </w:t>
            </w:r>
            <w:r w:rsidR="00715050" w:rsidRPr="005728DD">
              <w:rPr>
                <w:szCs w:val="20"/>
              </w:rPr>
              <w:t xml:space="preserve">the clinical </w:t>
            </w:r>
            <w:r w:rsidRPr="005728DD">
              <w:rPr>
                <w:szCs w:val="20"/>
              </w:rPr>
              <w:t>trials</w:t>
            </w:r>
          </w:p>
        </w:tc>
        <w:tc>
          <w:tcPr>
            <w:tcW w:w="764" w:type="pct"/>
          </w:tcPr>
          <w:p w:rsidR="00BE038D" w:rsidRPr="005728DD" w:rsidRDefault="00E576CE" w:rsidP="00144119">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3</w:t>
            </w:r>
          </w:p>
        </w:tc>
        <w:tc>
          <w:tcPr>
            <w:tcW w:w="764" w:type="pct"/>
          </w:tcPr>
          <w:p w:rsidR="00BE038D" w:rsidRPr="005728DD" w:rsidRDefault="00E576CE" w:rsidP="00144119">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4</w:t>
            </w:r>
          </w:p>
        </w:tc>
        <w:tc>
          <w:tcPr>
            <w:tcW w:w="765" w:type="pct"/>
          </w:tcPr>
          <w:p w:rsidR="00BE038D" w:rsidRPr="005728DD" w:rsidRDefault="00E576CE" w:rsidP="00715050">
            <w:pPr>
              <w:pStyle w:val="TableText0"/>
              <w:jc w:val="center"/>
              <w:rPr>
                <w:szCs w:val="20"/>
              </w:rPr>
            </w:pPr>
            <w:r w:rsidRPr="005728DD">
              <w:rPr>
                <w:szCs w:val="20"/>
              </w:rPr>
              <w:t>$</w:t>
            </w:r>
            <w:r w:rsidR="00967E09">
              <w:rPr>
                <w:noProof/>
                <w:color w:val="000000"/>
                <w:szCs w:val="20"/>
                <w:highlight w:val="black"/>
              </w:rPr>
              <w:t>'''''''''''''''''''</w:t>
            </w:r>
            <w:r w:rsidR="000C7366">
              <w:rPr>
                <w:szCs w:val="20"/>
                <w:vertAlign w:val="superscript"/>
              </w:rPr>
              <w:t>3</w:t>
            </w:r>
          </w:p>
        </w:tc>
      </w:tr>
    </w:tbl>
    <w:p w:rsidR="000C7366" w:rsidRPr="009868C4" w:rsidRDefault="000C7366" w:rsidP="000C7366">
      <w:pPr>
        <w:pStyle w:val="TableFigureFooter"/>
        <w:spacing w:after="0"/>
        <w:contextualSpacing w:val="0"/>
      </w:pPr>
      <w:r w:rsidRPr="009868C4">
        <w:rPr>
          <w:i/>
        </w:rPr>
        <w:t>The redacted values correspond to the following ranges</w:t>
      </w:r>
      <w:r>
        <w:rPr>
          <w:i/>
        </w:rPr>
        <w:t xml:space="preserve">: </w:t>
      </w:r>
    </w:p>
    <w:p w:rsidR="000C7366" w:rsidRPr="000C7366" w:rsidRDefault="000C7366" w:rsidP="000C7366">
      <w:pPr>
        <w:pStyle w:val="TableFigureFooter"/>
        <w:rPr>
          <w:i/>
        </w:rPr>
      </w:pPr>
      <w:r>
        <w:rPr>
          <w:i/>
          <w:vertAlign w:val="superscript"/>
        </w:rPr>
        <w:t xml:space="preserve">1 </w:t>
      </w:r>
      <w:r w:rsidRPr="000C7366">
        <w:rPr>
          <w:i/>
        </w:rPr>
        <w:t>$135,000 to &lt; $155,000</w:t>
      </w:r>
    </w:p>
    <w:p w:rsidR="000C7366" w:rsidRPr="000C7366" w:rsidRDefault="000C7366" w:rsidP="000C7366">
      <w:pPr>
        <w:pStyle w:val="TableFigureFooter"/>
        <w:rPr>
          <w:i/>
        </w:rPr>
      </w:pPr>
      <w:r>
        <w:rPr>
          <w:i/>
          <w:vertAlign w:val="superscript"/>
        </w:rPr>
        <w:t xml:space="preserve">2 </w:t>
      </w:r>
      <w:r w:rsidRPr="000C7366">
        <w:rPr>
          <w:i/>
        </w:rPr>
        <w:t>$155,000 to &lt; $255,000</w:t>
      </w:r>
    </w:p>
    <w:p w:rsidR="000C7366" w:rsidRDefault="000C7366" w:rsidP="000C7366">
      <w:pPr>
        <w:pStyle w:val="TableFigureFooter"/>
        <w:rPr>
          <w:i/>
        </w:rPr>
      </w:pPr>
      <w:r>
        <w:rPr>
          <w:i/>
          <w:vertAlign w:val="superscript"/>
        </w:rPr>
        <w:t xml:space="preserve">3 </w:t>
      </w:r>
      <w:r w:rsidRPr="000C7366">
        <w:rPr>
          <w:i/>
        </w:rPr>
        <w:t>$355,000 to &lt; $455,000</w:t>
      </w:r>
    </w:p>
    <w:p w:rsidR="000C7366" w:rsidRPr="000C7366" w:rsidRDefault="000C7366" w:rsidP="000C7366">
      <w:pPr>
        <w:pStyle w:val="TableFigureFooter"/>
        <w:rPr>
          <w:i/>
        </w:rPr>
      </w:pPr>
      <w:r>
        <w:rPr>
          <w:i/>
          <w:vertAlign w:val="superscript"/>
        </w:rPr>
        <w:t xml:space="preserve">4 </w:t>
      </w:r>
      <w:r w:rsidRPr="000C7366">
        <w:rPr>
          <w:i/>
        </w:rPr>
        <w:t>$955,000 to &lt; $1,055,000</w:t>
      </w:r>
    </w:p>
    <w:p w:rsidR="001613CF" w:rsidRPr="005728DD" w:rsidRDefault="00B573C9" w:rsidP="00E66F4C">
      <w:pPr>
        <w:pStyle w:val="3-BodyText"/>
      </w:pPr>
      <w:r w:rsidRPr="005728DD">
        <w:rPr>
          <w:iCs/>
        </w:rPr>
        <w:t xml:space="preserve">The ESC recalled the PBAC had previously considered </w:t>
      </w:r>
      <w:r w:rsidR="001613CF" w:rsidRPr="005728DD">
        <w:rPr>
          <w:iCs/>
        </w:rPr>
        <w:t xml:space="preserve">the economic model for </w:t>
      </w:r>
      <w:r w:rsidRPr="005728DD">
        <w:rPr>
          <w:iCs/>
        </w:rPr>
        <w:t xml:space="preserve">LUM/IVA </w:t>
      </w:r>
      <w:r w:rsidR="001613CF" w:rsidRPr="005728DD">
        <w:rPr>
          <w:iCs/>
        </w:rPr>
        <w:t>should assume</w:t>
      </w:r>
      <w:r w:rsidR="00241A44" w:rsidRPr="005728DD">
        <w:rPr>
          <w:iCs/>
        </w:rPr>
        <w:t xml:space="preserve"> (paragraph 6.57, LUM/IVA </w:t>
      </w:r>
      <w:r w:rsidR="006954CA">
        <w:rPr>
          <w:iCs/>
        </w:rPr>
        <w:t>PSD</w:t>
      </w:r>
      <w:r w:rsidR="00241A44" w:rsidRPr="005728DD">
        <w:rPr>
          <w:iCs/>
        </w:rPr>
        <w:t>, July 2017 PBAC meeting)</w:t>
      </w:r>
      <w:r w:rsidR="001613CF" w:rsidRPr="005728DD">
        <w:rPr>
          <w:iCs/>
        </w:rPr>
        <w:t>:</w:t>
      </w:r>
    </w:p>
    <w:p w:rsidR="001613CF" w:rsidRPr="005728DD" w:rsidRDefault="001613CF" w:rsidP="00A0357E">
      <w:pPr>
        <w:pStyle w:val="3-BodyText"/>
        <w:numPr>
          <w:ilvl w:val="0"/>
          <w:numId w:val="28"/>
        </w:numPr>
        <w:rPr>
          <w:iCs/>
        </w:rPr>
      </w:pPr>
      <w:r w:rsidRPr="005728DD">
        <w:rPr>
          <w:iCs/>
        </w:rPr>
        <w:t>The estimated decline in ppFEV</w:t>
      </w:r>
      <w:r w:rsidRPr="005728DD">
        <w:rPr>
          <w:iCs/>
          <w:vertAlign w:val="subscript"/>
        </w:rPr>
        <w:t>1</w:t>
      </w:r>
      <w:r w:rsidRPr="005728DD">
        <w:rPr>
          <w:iCs/>
        </w:rPr>
        <w:t xml:space="preserve"> in LUM/IVA treated patients set to 100% of BSC after 24 weeks. </w:t>
      </w:r>
    </w:p>
    <w:p w:rsidR="001613CF" w:rsidRPr="005728DD" w:rsidRDefault="001613CF" w:rsidP="00A0357E">
      <w:pPr>
        <w:pStyle w:val="3-BodyText"/>
        <w:numPr>
          <w:ilvl w:val="0"/>
          <w:numId w:val="28"/>
        </w:numPr>
        <w:rPr>
          <w:iCs/>
        </w:rPr>
      </w:pPr>
      <w:r w:rsidRPr="005728DD">
        <w:rPr>
          <w:iCs/>
        </w:rPr>
        <w:lastRenderedPageBreak/>
        <w:t xml:space="preserve">Assuming 75% of </w:t>
      </w:r>
      <w:r w:rsidR="00241A44" w:rsidRPr="005728DD">
        <w:rPr>
          <w:iCs/>
        </w:rPr>
        <w:t>hospitalisations are due to PEx.</w:t>
      </w:r>
    </w:p>
    <w:p w:rsidR="00241A44" w:rsidRPr="005728DD" w:rsidRDefault="001613CF" w:rsidP="00A0357E">
      <w:pPr>
        <w:pStyle w:val="3-BodyText"/>
        <w:numPr>
          <w:ilvl w:val="0"/>
          <w:numId w:val="28"/>
        </w:numPr>
        <w:rPr>
          <w:iCs/>
        </w:rPr>
      </w:pPr>
      <w:r w:rsidRPr="005728DD">
        <w:rPr>
          <w:iCs/>
        </w:rPr>
        <w:t xml:space="preserve">Removal of the 5% statutory price reduction and the assumed 90% </w:t>
      </w:r>
      <w:r w:rsidR="00241A44" w:rsidRPr="005728DD">
        <w:rPr>
          <w:iCs/>
        </w:rPr>
        <w:t>generic price reduction.</w:t>
      </w:r>
    </w:p>
    <w:p w:rsidR="00241A44" w:rsidRPr="005728DD" w:rsidRDefault="00383A8C" w:rsidP="00241A44">
      <w:pPr>
        <w:pStyle w:val="3-BodyText"/>
        <w:numPr>
          <w:ilvl w:val="0"/>
          <w:numId w:val="0"/>
        </w:numPr>
        <w:ind w:left="720"/>
      </w:pPr>
      <w:r w:rsidRPr="005728DD">
        <w:t>Under this scenario</w:t>
      </w:r>
      <w:r w:rsidR="00241A44" w:rsidRPr="005728DD">
        <w:t xml:space="preserve">, the ICER for LUM/IVA would be approximately </w:t>
      </w:r>
      <w:r w:rsidR="006954CA" w:rsidRPr="006954CA">
        <w:t>&gt; $1,055,000</w:t>
      </w:r>
      <w:r w:rsidR="006954CA">
        <w:t xml:space="preserve"> </w:t>
      </w:r>
      <w:r w:rsidR="00241A44" w:rsidRPr="005728DD">
        <w:t>and a cost per patient of $</w:t>
      </w:r>
      <w:r w:rsidR="00967E09">
        <w:rPr>
          <w:noProof/>
          <w:color w:val="000000"/>
          <w:highlight w:val="black"/>
        </w:rPr>
        <w:t>''''''''''''</w:t>
      </w:r>
      <w:r w:rsidR="00BE038D" w:rsidRPr="005728DD">
        <w:t xml:space="preserve"> per year</w:t>
      </w:r>
      <w:r w:rsidR="00241A44" w:rsidRPr="005728DD">
        <w:t xml:space="preserve"> was required to reduce the ICER to </w:t>
      </w:r>
      <w:r w:rsidR="006954CA" w:rsidRPr="006954CA">
        <w:t>$155,000 to &lt; $255,000</w:t>
      </w:r>
      <w:r w:rsidR="00241A44" w:rsidRPr="005728DD">
        <w:t>/ QALY.</w:t>
      </w:r>
      <w:r w:rsidR="008B5EF9" w:rsidRPr="005728DD">
        <w:t xml:space="preserve"> </w:t>
      </w:r>
    </w:p>
    <w:p w:rsidR="00241A44" w:rsidRPr="005728DD" w:rsidRDefault="009E2A20" w:rsidP="002A5CE1">
      <w:pPr>
        <w:pStyle w:val="3-BodyText"/>
        <w:rPr>
          <w:rFonts w:cs="Times New Roman"/>
          <w:snapToGrid/>
          <w:szCs w:val="22"/>
        </w:rPr>
      </w:pPr>
      <w:r w:rsidRPr="005728DD">
        <w:t xml:space="preserve">The ESC recalled that, in July 2018, </w:t>
      </w:r>
      <w:r w:rsidR="00241A44" w:rsidRPr="005728DD">
        <w:t xml:space="preserve">the PBAC considered </w:t>
      </w:r>
      <w:r w:rsidR="00241A44" w:rsidRPr="005728DD">
        <w:rPr>
          <w:snapToGrid/>
        </w:rPr>
        <w:t>that while there was evidence that LUM/IVA slows the rate of decline in ppFEV</w:t>
      </w:r>
      <w:r w:rsidR="00241A44" w:rsidRPr="005728DD">
        <w:rPr>
          <w:snapToGrid/>
          <w:vertAlign w:val="subscript"/>
        </w:rPr>
        <w:t>1</w:t>
      </w:r>
      <w:r w:rsidR="00241A44" w:rsidRPr="005728DD">
        <w:rPr>
          <w:snapToGrid/>
        </w:rPr>
        <w:t xml:space="preserve"> and reduces PEx up to 96 weeks for some patients; the sustainability of these benefits in the longer term remained uncertain.</w:t>
      </w:r>
      <w:r w:rsidR="00383A8C" w:rsidRPr="005728DD">
        <w:rPr>
          <w:snapToGrid/>
        </w:rPr>
        <w:t xml:space="preserve"> The PBAC recommended listing </w:t>
      </w:r>
      <w:r w:rsidRPr="005728DD">
        <w:rPr>
          <w:snapToGrid/>
        </w:rPr>
        <w:t xml:space="preserve">under </w:t>
      </w:r>
      <w:r w:rsidR="002A5CE1" w:rsidRPr="005728DD">
        <w:rPr>
          <w:rFonts w:cs="Times New Roman"/>
          <w:snapToGrid/>
          <w:szCs w:val="22"/>
        </w:rPr>
        <w:t>a managed access program</w:t>
      </w:r>
      <w:r w:rsidRPr="005728DD">
        <w:rPr>
          <w:rFonts w:cs="Times New Roman"/>
          <w:snapToGrid/>
          <w:szCs w:val="22"/>
        </w:rPr>
        <w:t xml:space="preserve"> with PBS listing at </w:t>
      </w:r>
      <w:r w:rsidR="00383A8C" w:rsidRPr="005728DD">
        <w:rPr>
          <w:rFonts w:cs="Times New Roman"/>
          <w:snapToGrid/>
          <w:szCs w:val="22"/>
        </w:rPr>
        <w:t>$</w:t>
      </w:r>
      <w:r w:rsidR="00967E09">
        <w:rPr>
          <w:rFonts w:cs="Times New Roman"/>
          <w:noProof/>
          <w:snapToGrid/>
          <w:color w:val="000000"/>
          <w:szCs w:val="22"/>
          <w:highlight w:val="black"/>
        </w:rPr>
        <w:t>''''''''''''</w:t>
      </w:r>
      <w:r w:rsidR="00383A8C" w:rsidRPr="005728DD">
        <w:rPr>
          <w:rFonts w:cs="Times New Roman"/>
          <w:snapToGrid/>
          <w:szCs w:val="22"/>
        </w:rPr>
        <w:t xml:space="preserve"> per patient per year for a period of two and a half years to allow the sponsor to provide further data to satisfy the PBAC that the differences in the rates of decline in lung function (ppFEV</w:t>
      </w:r>
      <w:r w:rsidR="00383A8C" w:rsidRPr="005728DD">
        <w:rPr>
          <w:rFonts w:cs="Times New Roman"/>
          <w:snapToGrid/>
          <w:szCs w:val="22"/>
          <w:vertAlign w:val="subscript"/>
        </w:rPr>
        <w:t>1</w:t>
      </w:r>
      <w:r w:rsidR="00383A8C" w:rsidRPr="005728DD">
        <w:rPr>
          <w:rFonts w:cs="Times New Roman"/>
          <w:snapToGrid/>
          <w:szCs w:val="22"/>
        </w:rPr>
        <w:t>) and pulmonary exacerbations observed over the 96 week trial period are sustained over a longer time period of at least 4 years in real clinical practice</w:t>
      </w:r>
      <w:r w:rsidR="002A5CE1" w:rsidRPr="005728DD">
        <w:rPr>
          <w:rFonts w:cs="Times New Roman"/>
          <w:snapToGrid/>
          <w:szCs w:val="22"/>
        </w:rPr>
        <w:t xml:space="preserve"> (paragraph 6.74,</w:t>
      </w:r>
      <w:r w:rsidR="002A5CE1" w:rsidRPr="005728DD">
        <w:rPr>
          <w:iCs/>
        </w:rPr>
        <w:t xml:space="preserve"> LUM/IVA </w:t>
      </w:r>
      <w:r w:rsidR="006954CA">
        <w:rPr>
          <w:iCs/>
        </w:rPr>
        <w:t>PSD</w:t>
      </w:r>
      <w:r w:rsidR="002A5CE1" w:rsidRPr="005728DD">
        <w:rPr>
          <w:iCs/>
        </w:rPr>
        <w:t>, July 2018 PBAC meeting</w:t>
      </w:r>
      <w:r w:rsidR="002A5CE1" w:rsidRPr="005728DD">
        <w:rPr>
          <w:rFonts w:cs="Times New Roman"/>
          <w:snapToGrid/>
          <w:szCs w:val="22"/>
        </w:rPr>
        <w:t>)</w:t>
      </w:r>
      <w:r w:rsidR="00383A8C" w:rsidRPr="005728DD">
        <w:rPr>
          <w:rFonts w:cs="Times New Roman"/>
          <w:snapToGrid/>
          <w:szCs w:val="22"/>
        </w:rPr>
        <w:t>.</w:t>
      </w:r>
      <w:r w:rsidR="002A5CE1" w:rsidRPr="005728DD">
        <w:rPr>
          <w:rFonts w:cs="Times New Roman"/>
          <w:snapToGrid/>
          <w:szCs w:val="22"/>
        </w:rPr>
        <w:t xml:space="preserve"> Should the PBAC not affirm cost-effectiveness of LUM/IVA </w:t>
      </w:r>
      <w:r w:rsidR="00384D43" w:rsidRPr="005728DD">
        <w:rPr>
          <w:rFonts w:cs="Times New Roman"/>
          <w:snapToGrid/>
          <w:szCs w:val="22"/>
        </w:rPr>
        <w:t xml:space="preserve">at </w:t>
      </w:r>
      <w:r w:rsidR="002A5CE1" w:rsidRPr="005728DD">
        <w:rPr>
          <w:rFonts w:cs="Times New Roman"/>
          <w:snapToGrid/>
          <w:szCs w:val="22"/>
        </w:rPr>
        <w:t>two and half years, the price paid should reduce to $</w:t>
      </w:r>
      <w:r w:rsidR="00967E09">
        <w:rPr>
          <w:rFonts w:cs="Times New Roman"/>
          <w:noProof/>
          <w:snapToGrid/>
          <w:color w:val="000000"/>
          <w:szCs w:val="22"/>
          <w:highlight w:val="black"/>
        </w:rPr>
        <w:t>'''''''''''''</w:t>
      </w:r>
      <w:r w:rsidR="002A5CE1" w:rsidRPr="005728DD">
        <w:rPr>
          <w:rFonts w:cs="Times New Roman"/>
          <w:snapToGrid/>
          <w:szCs w:val="22"/>
        </w:rPr>
        <w:t xml:space="preserve"> per patient </w:t>
      </w:r>
      <w:r w:rsidR="003F760F" w:rsidRPr="005728DD">
        <w:rPr>
          <w:rFonts w:cs="Times New Roman"/>
          <w:snapToGrid/>
          <w:szCs w:val="22"/>
        </w:rPr>
        <w:t xml:space="preserve">per </w:t>
      </w:r>
      <w:r w:rsidR="002A5CE1" w:rsidRPr="005728DD">
        <w:rPr>
          <w:rFonts w:cs="Times New Roman"/>
          <w:snapToGrid/>
          <w:szCs w:val="22"/>
        </w:rPr>
        <w:t xml:space="preserve">year. </w:t>
      </w:r>
      <w:r w:rsidR="00715050" w:rsidRPr="005728DD">
        <w:rPr>
          <w:rFonts w:cs="Times New Roman"/>
          <w:snapToGrid/>
          <w:szCs w:val="22"/>
        </w:rPr>
        <w:t xml:space="preserve">The ESC noted LUM/IVA </w:t>
      </w:r>
      <w:r w:rsidR="000962A0" w:rsidRPr="005728DD">
        <w:rPr>
          <w:rFonts w:cs="Times New Roman"/>
          <w:snapToGrid/>
          <w:szCs w:val="22"/>
        </w:rPr>
        <w:t xml:space="preserve">was </w:t>
      </w:r>
      <w:r w:rsidR="00715050" w:rsidRPr="005728DD">
        <w:rPr>
          <w:rFonts w:cs="Times New Roman"/>
          <w:snapToGrid/>
          <w:szCs w:val="22"/>
        </w:rPr>
        <w:t>listed on the PBS</w:t>
      </w:r>
      <w:r w:rsidR="000962A0" w:rsidRPr="005728DD">
        <w:rPr>
          <w:rFonts w:cs="Times New Roman"/>
          <w:snapToGrid/>
          <w:szCs w:val="22"/>
        </w:rPr>
        <w:t xml:space="preserve"> on 1 October 2018</w:t>
      </w:r>
      <w:r w:rsidR="00715050" w:rsidRPr="005728DD">
        <w:rPr>
          <w:rFonts w:cs="Times New Roman"/>
          <w:snapToGrid/>
          <w:szCs w:val="22"/>
        </w:rPr>
        <w:t xml:space="preserve"> and</w:t>
      </w:r>
      <w:r w:rsidR="00C47497" w:rsidRPr="005728DD">
        <w:rPr>
          <w:rFonts w:cs="Times New Roman"/>
          <w:snapToGrid/>
          <w:szCs w:val="22"/>
        </w:rPr>
        <w:t xml:space="preserve"> thus the cost-effectiveness of LUM/IVA will need to be reconsidered in the first half of 2021</w:t>
      </w:r>
      <w:r w:rsidR="00715050" w:rsidRPr="005728DD">
        <w:rPr>
          <w:rFonts w:cs="Times New Roman"/>
          <w:snapToGrid/>
          <w:szCs w:val="22"/>
        </w:rPr>
        <w:t xml:space="preserve">. </w:t>
      </w:r>
    </w:p>
    <w:p w:rsidR="00241A44" w:rsidRPr="005728DD" w:rsidRDefault="00D72DB6" w:rsidP="00A552FA">
      <w:pPr>
        <w:pStyle w:val="3-BodyText"/>
        <w:rPr>
          <w:rFonts w:cs="Times New Roman"/>
          <w:snapToGrid/>
          <w:szCs w:val="22"/>
        </w:rPr>
      </w:pPr>
      <w:r w:rsidRPr="005728DD">
        <w:t xml:space="preserve">The ESC considered the cost effective price of LUM/IVA and TEZ/IVA (as it was listed on the basis of cost-minimisation to LUM/IVA) remained uncertain. </w:t>
      </w:r>
    </w:p>
    <w:p w:rsidR="00F95036" w:rsidRPr="005728DD" w:rsidRDefault="00F95036" w:rsidP="00F529AE">
      <w:pPr>
        <w:pStyle w:val="3-BodyText"/>
      </w:pPr>
      <w:r w:rsidRPr="005728DD">
        <w:t xml:space="preserve">The PBAC considered a cost-utility analysis for the F/RF population was not appropriate as the claim of superior effectiveness was not accepted. The PBAC considered a non-inferiority claim was reasonable and a cost-minimisation analysis </w:t>
      </w:r>
      <w:r w:rsidR="00CC3C4C" w:rsidRPr="005728DD">
        <w:t xml:space="preserve">(vs TEZ/IVA) </w:t>
      </w:r>
      <w:r w:rsidRPr="005728DD">
        <w:t>was appropriate for this population.</w:t>
      </w:r>
      <w:r w:rsidR="008B5EF9" w:rsidRPr="005728DD">
        <w:t xml:space="preserve"> </w:t>
      </w:r>
    </w:p>
    <w:p w:rsidR="00F95036" w:rsidRPr="005728DD" w:rsidRDefault="00F95036" w:rsidP="00F529AE">
      <w:pPr>
        <w:pStyle w:val="3-BodyText"/>
      </w:pPr>
      <w:r w:rsidRPr="005728DD">
        <w:t>For the F/F and F/MF populations, the PBAC considered it would be reasonable for the same model assumptions to apply that were accepted for LUM/IVA (and resulted in a cost of $</w:t>
      </w:r>
      <w:r w:rsidR="00967E09">
        <w:rPr>
          <w:noProof/>
          <w:color w:val="000000"/>
          <w:highlight w:val="black"/>
        </w:rPr>
        <w:t>''''''''''''</w:t>
      </w:r>
      <w:r w:rsidRPr="005728DD">
        <w:t xml:space="preserve"> per patient per year). The following revisions to the submission’s base case model were required (i) no treatment specific utility </w:t>
      </w:r>
      <w:r w:rsidR="00CC3C4C" w:rsidRPr="005728DD">
        <w:t>(i</w:t>
      </w:r>
      <w:r w:rsidR="00FF6C23" w:rsidRPr="005728DD">
        <w:t>i</w:t>
      </w:r>
      <w:r w:rsidRPr="005728DD">
        <w:t>) rate of decline in ppFEV</w:t>
      </w:r>
      <w:r w:rsidRPr="005728DD">
        <w:rPr>
          <w:vertAlign w:val="subscript"/>
        </w:rPr>
        <w:t>1</w:t>
      </w:r>
      <w:r w:rsidRPr="005728DD">
        <w:t xml:space="preserve"> for </w:t>
      </w:r>
      <w:r w:rsidR="00FF6C23" w:rsidRPr="005728DD">
        <w:t>ELX/T</w:t>
      </w:r>
      <w:r w:rsidR="00CC3C4C" w:rsidRPr="005728DD">
        <w:t>EZ/IVA of 42% and (iii</w:t>
      </w:r>
      <w:r w:rsidRPr="005728DD">
        <w:t xml:space="preserve">) </w:t>
      </w:r>
      <w:r w:rsidR="001D5F81" w:rsidRPr="005728DD">
        <w:t xml:space="preserve">no increase in the cost of TEZ/IVA compared with that </w:t>
      </w:r>
      <w:r w:rsidR="00896B96" w:rsidRPr="005728DD">
        <w:t>agreed previously</w:t>
      </w:r>
      <w:r w:rsidR="001D5F81" w:rsidRPr="005728DD">
        <w:t xml:space="preserve"> for LUM/IVA. </w:t>
      </w:r>
      <w:r w:rsidRPr="005728DD">
        <w:t>Using the weighted price provided in the pre-PBAC response (</w:t>
      </w:r>
      <w:r w:rsidR="00237915" w:rsidRPr="005728DD">
        <w:t>cost per patient per year $</w:t>
      </w:r>
      <w:r w:rsidR="00967E09">
        <w:rPr>
          <w:noProof/>
          <w:color w:val="000000"/>
          <w:highlight w:val="black"/>
        </w:rPr>
        <w:t>'''''''''''''''''''''</w:t>
      </w:r>
      <w:r w:rsidR="00237915" w:rsidRPr="005728DD">
        <w:t xml:space="preserve"> </w:t>
      </w:r>
      <w:r w:rsidRPr="005728DD">
        <w:t>assuming 90% compliance):</w:t>
      </w:r>
    </w:p>
    <w:p w:rsidR="00F95036" w:rsidRPr="005728DD" w:rsidRDefault="00F95036" w:rsidP="006954CA">
      <w:pPr>
        <w:pStyle w:val="ListParagraph"/>
        <w:numPr>
          <w:ilvl w:val="0"/>
          <w:numId w:val="38"/>
        </w:numPr>
      </w:pPr>
      <w:r w:rsidRPr="005728DD">
        <w:t xml:space="preserve">For the F/F population, the resulting ICER was </w:t>
      </w:r>
      <w:r w:rsidR="006954CA" w:rsidRPr="006954CA">
        <w:t>$255,000 to &lt; $355,000</w:t>
      </w:r>
      <w:r w:rsidR="006954CA">
        <w:t xml:space="preserve"> </w:t>
      </w:r>
      <w:r w:rsidRPr="005728DD">
        <w:t>per QALY</w:t>
      </w:r>
      <w:r w:rsidR="00237915" w:rsidRPr="005728DD">
        <w:t xml:space="preserve"> (vs TEZ/IVA)</w:t>
      </w:r>
      <w:r w:rsidRPr="005728DD">
        <w:t xml:space="preserve">. To achieve an ICER of </w:t>
      </w:r>
      <w:r w:rsidR="006954CA" w:rsidRPr="006954CA">
        <w:t>$155,000 to &lt; $255,000</w:t>
      </w:r>
      <w:r w:rsidR="006954CA">
        <w:t xml:space="preserve"> </w:t>
      </w:r>
      <w:r w:rsidRPr="005728DD">
        <w:t xml:space="preserve">per QALY, a cost per patient per year </w:t>
      </w:r>
      <w:r w:rsidR="00297424" w:rsidRPr="005728DD">
        <w:t xml:space="preserve">of </w:t>
      </w:r>
      <w:r w:rsidRPr="005728DD">
        <w:t>$</w:t>
      </w:r>
      <w:r w:rsidR="00967E09">
        <w:rPr>
          <w:noProof/>
          <w:color w:val="000000"/>
          <w:highlight w:val="black"/>
        </w:rPr>
        <w:t>''''''''''''</w:t>
      </w:r>
      <w:r w:rsidRPr="005728DD">
        <w:t xml:space="preserve"> </w:t>
      </w:r>
      <w:r w:rsidR="00297424" w:rsidRPr="005728DD">
        <w:t>(</w:t>
      </w:r>
      <w:r w:rsidRPr="005728DD">
        <w:t>assuming 90% compliance) would be required.</w:t>
      </w:r>
      <w:r w:rsidR="00297424" w:rsidRPr="005728DD">
        <w:t xml:space="preserve"> The PBAC noted that assuming a decrease in rate of decline of 61.5% for ELX/TEZ/IVA as proposed in the submission, resulted in an ICER of </w:t>
      </w:r>
      <w:r w:rsidR="006954CA" w:rsidRPr="006954CA">
        <w:t>$155,000 to &lt; $255,000</w:t>
      </w:r>
      <w:r w:rsidR="006954CA">
        <w:t xml:space="preserve"> </w:t>
      </w:r>
      <w:r w:rsidR="00297424" w:rsidRPr="005728DD">
        <w:t>per QALY and a cost per patient per year of $</w:t>
      </w:r>
      <w:r w:rsidR="00967E09">
        <w:rPr>
          <w:noProof/>
          <w:color w:val="000000"/>
          <w:highlight w:val="black"/>
        </w:rPr>
        <w:t>''''''''''''''</w:t>
      </w:r>
      <w:r w:rsidR="00297424" w:rsidRPr="005728DD">
        <w:t xml:space="preserve"> </w:t>
      </w:r>
      <w:r w:rsidR="001D5F81" w:rsidRPr="005728DD">
        <w:t>(assuming 90% compliance</w:t>
      </w:r>
      <w:r w:rsidR="00297424" w:rsidRPr="005728DD">
        <w:t xml:space="preserve">) would be required to achieve an ICER of </w:t>
      </w:r>
      <w:r w:rsidR="006954CA" w:rsidRPr="006954CA">
        <w:t>$155,000 to &lt; $255,000</w:t>
      </w:r>
      <w:r w:rsidR="006954CA">
        <w:t xml:space="preserve"> </w:t>
      </w:r>
      <w:r w:rsidR="00297424" w:rsidRPr="005728DD">
        <w:t>per QALY</w:t>
      </w:r>
      <w:r w:rsidR="0016689F" w:rsidRPr="005728DD">
        <w:t>.</w:t>
      </w:r>
    </w:p>
    <w:p w:rsidR="00914841" w:rsidRPr="005728DD" w:rsidRDefault="00F95036" w:rsidP="006954CA">
      <w:pPr>
        <w:pStyle w:val="ListParagraph"/>
        <w:numPr>
          <w:ilvl w:val="0"/>
          <w:numId w:val="38"/>
        </w:numPr>
      </w:pPr>
      <w:r w:rsidRPr="005728DD">
        <w:lastRenderedPageBreak/>
        <w:t xml:space="preserve">For the F/MF population, the resulting ICER was </w:t>
      </w:r>
      <w:r w:rsidR="006954CA" w:rsidRPr="006954CA">
        <w:t>$155,000 to &lt; $255,000</w:t>
      </w:r>
      <w:r w:rsidR="006954CA">
        <w:t xml:space="preserve"> </w:t>
      </w:r>
      <w:r w:rsidRPr="005728DD">
        <w:t>per QALY</w:t>
      </w:r>
      <w:r w:rsidR="00237915" w:rsidRPr="005728DD">
        <w:t xml:space="preserve"> (vs BSC)</w:t>
      </w:r>
      <w:r w:rsidRPr="005728DD">
        <w:t>.</w:t>
      </w:r>
      <w:r w:rsidR="008B5EF9" w:rsidRPr="005728DD">
        <w:t xml:space="preserve"> </w:t>
      </w:r>
      <w:r w:rsidRPr="005728DD">
        <w:t xml:space="preserve">To achieve an ICER of </w:t>
      </w:r>
      <w:r w:rsidR="006954CA" w:rsidRPr="006954CA">
        <w:t>$155,000 to &lt; $255,000</w:t>
      </w:r>
      <w:r w:rsidR="006954CA">
        <w:t xml:space="preserve"> </w:t>
      </w:r>
      <w:r w:rsidRPr="005728DD">
        <w:t xml:space="preserve">per QALY, a cost per patient per year </w:t>
      </w:r>
      <w:r w:rsidR="00297424" w:rsidRPr="005728DD">
        <w:t xml:space="preserve">of </w:t>
      </w:r>
      <w:r w:rsidR="000E17D0" w:rsidRPr="005728DD">
        <w:t>$</w:t>
      </w:r>
      <w:r w:rsidR="00967E09">
        <w:rPr>
          <w:noProof/>
          <w:color w:val="000000"/>
          <w:highlight w:val="black"/>
        </w:rPr>
        <w:t>'''''''''''''</w:t>
      </w:r>
      <w:r w:rsidRPr="005728DD">
        <w:t xml:space="preserve"> </w:t>
      </w:r>
      <w:r w:rsidR="00297424" w:rsidRPr="005728DD">
        <w:t>(</w:t>
      </w:r>
      <w:r w:rsidRPr="005728DD">
        <w:t>assuming 90% compliance) would be required.</w:t>
      </w:r>
      <w:r w:rsidR="008B5EF9" w:rsidRPr="005728DD">
        <w:t xml:space="preserve"> </w:t>
      </w:r>
      <w:r w:rsidR="00297424" w:rsidRPr="005728DD">
        <w:t xml:space="preserve">The PBAC noted that assuming a decrease in rate of decline of 61.5% for ELX/TEZ/IVA as proposed in the submission, resulted in an ICER of </w:t>
      </w:r>
      <w:r w:rsidR="006954CA" w:rsidRPr="006954CA">
        <w:t>$155,000 to &lt; $255,000</w:t>
      </w:r>
      <w:r w:rsidR="006954CA">
        <w:t xml:space="preserve"> </w:t>
      </w:r>
      <w:r w:rsidR="00297424" w:rsidRPr="005728DD">
        <w:t>per QALY and a cost per patient per year of $</w:t>
      </w:r>
      <w:r w:rsidR="00967E09">
        <w:rPr>
          <w:noProof/>
          <w:color w:val="000000"/>
          <w:highlight w:val="black"/>
        </w:rPr>
        <w:t>''''''''''''''</w:t>
      </w:r>
      <w:r w:rsidR="00297424" w:rsidRPr="005728DD">
        <w:t xml:space="preserve"> </w:t>
      </w:r>
      <w:r w:rsidR="00237915" w:rsidRPr="005728DD">
        <w:t>(assuming 90% compliance</w:t>
      </w:r>
      <w:r w:rsidR="00297424" w:rsidRPr="005728DD">
        <w:t xml:space="preserve">) would be required to achieve an ICER of </w:t>
      </w:r>
      <w:r w:rsidR="006954CA" w:rsidRPr="006954CA">
        <w:t>$155,000 to &lt; $255,000</w:t>
      </w:r>
      <w:r w:rsidR="006954CA">
        <w:t xml:space="preserve"> </w:t>
      </w:r>
      <w:r w:rsidR="00297424" w:rsidRPr="005728DD">
        <w:t xml:space="preserve">per QALY. </w:t>
      </w:r>
    </w:p>
    <w:p w:rsidR="00C25D9C" w:rsidRPr="005728DD" w:rsidRDefault="005720FD" w:rsidP="00AD4D33">
      <w:pPr>
        <w:pStyle w:val="4-SubsectionHeading"/>
      </w:pPr>
      <w:r w:rsidRPr="005728DD">
        <w:t>Drug cost</w:t>
      </w:r>
      <w:r w:rsidR="00C25D9C" w:rsidRPr="005728DD">
        <w:t>/patient/year</w:t>
      </w:r>
      <w:bookmarkEnd w:id="43"/>
      <w:bookmarkEnd w:id="44"/>
    </w:p>
    <w:p w:rsidR="00946C72" w:rsidRPr="005728DD" w:rsidRDefault="00640E11" w:rsidP="00946C72">
      <w:pPr>
        <w:pStyle w:val="3-BodyText"/>
        <w:rPr>
          <w:iCs/>
        </w:rPr>
      </w:pPr>
      <w:r w:rsidRPr="005728DD">
        <w:rPr>
          <w:iCs/>
        </w:rPr>
        <w:t>The drug cost per patient per year</w:t>
      </w:r>
      <w:r w:rsidR="00B2415D" w:rsidRPr="005728DD">
        <w:rPr>
          <w:iCs/>
        </w:rPr>
        <w:t xml:space="preserve"> ranged from $</w:t>
      </w:r>
      <w:r w:rsidR="00967E09">
        <w:rPr>
          <w:iCs/>
          <w:noProof/>
          <w:color w:val="000000"/>
          <w:highlight w:val="black"/>
        </w:rPr>
        <w:t>''''''''''''''''</w:t>
      </w:r>
      <w:r w:rsidR="00B2415D" w:rsidRPr="005728DD">
        <w:rPr>
          <w:iCs/>
        </w:rPr>
        <w:t xml:space="preserve"> to $</w:t>
      </w:r>
      <w:r w:rsidR="00967E09">
        <w:rPr>
          <w:iCs/>
          <w:noProof/>
          <w:color w:val="000000"/>
          <w:highlight w:val="black"/>
        </w:rPr>
        <w:t>''''''''''''''</w:t>
      </w:r>
      <w:r w:rsidRPr="005728DD">
        <w:rPr>
          <w:iCs/>
        </w:rPr>
        <w:t xml:space="preserve"> based on </w:t>
      </w:r>
      <w:r w:rsidR="00877827" w:rsidRPr="005728DD">
        <w:rPr>
          <w:iCs/>
        </w:rPr>
        <w:t xml:space="preserve">an </w:t>
      </w:r>
      <w:r w:rsidRPr="005728DD">
        <w:rPr>
          <w:iCs/>
        </w:rPr>
        <w:t xml:space="preserve">effective </w:t>
      </w:r>
      <w:r w:rsidR="00B2415D" w:rsidRPr="005728DD">
        <w:rPr>
          <w:iCs/>
        </w:rPr>
        <w:t xml:space="preserve">price </w:t>
      </w:r>
      <w:r w:rsidRPr="005728DD">
        <w:rPr>
          <w:iCs/>
        </w:rPr>
        <w:t>of $</w:t>
      </w:r>
      <w:r w:rsidR="00967E09">
        <w:rPr>
          <w:iCs/>
          <w:noProof/>
          <w:color w:val="000000"/>
          <w:highlight w:val="black"/>
        </w:rPr>
        <w:t>'''''''''''''''''</w:t>
      </w:r>
      <w:r w:rsidRPr="005728DD">
        <w:rPr>
          <w:iCs/>
        </w:rPr>
        <w:t xml:space="preserve"> per pack</w:t>
      </w:r>
      <w:r w:rsidR="0012711C" w:rsidRPr="005728DD">
        <w:rPr>
          <w:iCs/>
        </w:rPr>
        <w:t xml:space="preserve"> (see </w:t>
      </w:r>
      <w:r w:rsidR="005C56C0" w:rsidRPr="005728DD">
        <w:t xml:space="preserve">Table </w:t>
      </w:r>
      <w:r w:rsidR="005C56C0">
        <w:rPr>
          <w:noProof/>
        </w:rPr>
        <w:t>22</w:t>
      </w:r>
      <w:r w:rsidR="0012711C" w:rsidRPr="005728DD">
        <w:rPr>
          <w:iCs/>
        </w:rPr>
        <w:t>)</w:t>
      </w:r>
      <w:r w:rsidRPr="005728DD">
        <w:rPr>
          <w:iCs/>
        </w:rPr>
        <w:t xml:space="preserve">. </w:t>
      </w:r>
      <w:r w:rsidR="00DF2429" w:rsidRPr="005728DD">
        <w:rPr>
          <w:iCs/>
        </w:rPr>
        <w:t xml:space="preserve">This estimate was based on </w:t>
      </w:r>
      <w:r w:rsidR="00B2415D" w:rsidRPr="005728DD">
        <w:rPr>
          <w:iCs/>
        </w:rPr>
        <w:t xml:space="preserve">treatment </w:t>
      </w:r>
      <w:r w:rsidR="00DF2429" w:rsidRPr="005728DD">
        <w:rPr>
          <w:iCs/>
        </w:rPr>
        <w:t>interruption and compliance rate</w:t>
      </w:r>
      <w:r w:rsidR="005D28C0" w:rsidRPr="005728DD">
        <w:rPr>
          <w:iCs/>
        </w:rPr>
        <w:t>s</w:t>
      </w:r>
      <w:r w:rsidR="00DF2429" w:rsidRPr="005728DD">
        <w:rPr>
          <w:iCs/>
        </w:rPr>
        <w:t xml:space="preserve"> as in the trials. </w:t>
      </w:r>
      <w:r w:rsidR="00260BBD" w:rsidRPr="005728DD">
        <w:rPr>
          <w:iCs/>
        </w:rPr>
        <w:t xml:space="preserve">The drug cost per patient per year based </w:t>
      </w:r>
      <w:r w:rsidR="00FF0E2C" w:rsidRPr="005728DD">
        <w:rPr>
          <w:iCs/>
        </w:rPr>
        <w:t xml:space="preserve">on </w:t>
      </w:r>
      <w:r w:rsidR="00260BBD" w:rsidRPr="005728DD">
        <w:rPr>
          <w:iCs/>
        </w:rPr>
        <w:t xml:space="preserve">the </w:t>
      </w:r>
      <w:r w:rsidR="00B2415D" w:rsidRPr="005728DD">
        <w:rPr>
          <w:iCs/>
        </w:rPr>
        <w:t xml:space="preserve">economic </w:t>
      </w:r>
      <w:r w:rsidR="00260BBD" w:rsidRPr="005728DD">
        <w:rPr>
          <w:iCs/>
        </w:rPr>
        <w:t>model was lower due</w:t>
      </w:r>
      <w:r w:rsidR="00B2415D" w:rsidRPr="005728DD">
        <w:rPr>
          <w:iCs/>
        </w:rPr>
        <w:t xml:space="preserve"> to </w:t>
      </w:r>
      <w:r w:rsidR="00260BBD" w:rsidRPr="005728DD">
        <w:rPr>
          <w:iCs/>
        </w:rPr>
        <w:t>lower compliance rate</w:t>
      </w:r>
      <w:r w:rsidR="00F223E4" w:rsidRPr="005728DD">
        <w:rPr>
          <w:iCs/>
        </w:rPr>
        <w:t>s</w:t>
      </w:r>
      <w:r w:rsidR="00260BBD" w:rsidRPr="005728DD">
        <w:rPr>
          <w:iCs/>
        </w:rPr>
        <w:t xml:space="preserve">. </w:t>
      </w:r>
      <w:r w:rsidR="00896439" w:rsidRPr="005728DD">
        <w:rPr>
          <w:iCs/>
        </w:rPr>
        <w:t>The drug cost per patient per year based on the financial estimate</w:t>
      </w:r>
      <w:r w:rsidR="00F223E4" w:rsidRPr="005728DD">
        <w:rPr>
          <w:iCs/>
        </w:rPr>
        <w:t>s</w:t>
      </w:r>
      <w:r w:rsidR="00896439" w:rsidRPr="005728DD">
        <w:rPr>
          <w:iCs/>
        </w:rPr>
        <w:t xml:space="preserve"> was</w:t>
      </w:r>
      <w:r w:rsidR="00B2415D" w:rsidRPr="005728DD">
        <w:rPr>
          <w:iCs/>
        </w:rPr>
        <w:t xml:space="preserve"> marginally different to</w:t>
      </w:r>
      <w:r w:rsidR="00F70C44" w:rsidRPr="005728DD">
        <w:rPr>
          <w:iCs/>
        </w:rPr>
        <w:t xml:space="preserve"> </w:t>
      </w:r>
      <w:r w:rsidR="00896439" w:rsidRPr="005728DD">
        <w:rPr>
          <w:iCs/>
        </w:rPr>
        <w:t xml:space="preserve">the </w:t>
      </w:r>
      <w:r w:rsidR="00B2415D" w:rsidRPr="005728DD">
        <w:rPr>
          <w:iCs/>
        </w:rPr>
        <w:t xml:space="preserve">modelled estimates due to different treatment interruption </w:t>
      </w:r>
      <w:r w:rsidR="00896439" w:rsidRPr="005728DD">
        <w:rPr>
          <w:iCs/>
        </w:rPr>
        <w:t>rate</w:t>
      </w:r>
      <w:r w:rsidR="00B2415D" w:rsidRPr="005728DD">
        <w:rPr>
          <w:iCs/>
        </w:rPr>
        <w:t>s</w:t>
      </w:r>
      <w:r w:rsidR="00896439" w:rsidRPr="005728DD">
        <w:rPr>
          <w:iCs/>
        </w:rPr>
        <w:t xml:space="preserve">. </w:t>
      </w:r>
    </w:p>
    <w:p w:rsidR="00494207" w:rsidRPr="005728DD" w:rsidRDefault="006E0118" w:rsidP="00BE49EF">
      <w:pPr>
        <w:pStyle w:val="TableFigureHeading"/>
        <w:keepLines/>
        <w:rPr>
          <w:rStyle w:val="CommentReference"/>
          <w:b/>
          <w:szCs w:val="24"/>
        </w:rPr>
      </w:pPr>
      <w:bookmarkStart w:id="45" w:name="_Ref64497817"/>
      <w:r w:rsidRPr="005728DD">
        <w:lastRenderedPageBreak/>
        <w:t xml:space="preserve">Table </w:t>
      </w:r>
      <w:r w:rsidR="005C56C0">
        <w:rPr>
          <w:noProof/>
        </w:rPr>
        <w:t>22</w:t>
      </w:r>
      <w:bookmarkEnd w:id="45"/>
      <w:r w:rsidR="00F5166C" w:rsidRPr="005728DD">
        <w:rPr>
          <w:rStyle w:val="CommentReference"/>
          <w:b/>
          <w:szCs w:val="24"/>
        </w:rPr>
        <w:t xml:space="preserve">: </w:t>
      </w:r>
      <w:r w:rsidR="00494207" w:rsidRPr="005728DD">
        <w:rPr>
          <w:rStyle w:val="CommentReference"/>
          <w:b/>
          <w:szCs w:val="24"/>
        </w:rPr>
        <w:t>Drug cost per patient for proposed and comparator drugs</w:t>
      </w:r>
    </w:p>
    <w:p w:rsidR="00586BCB" w:rsidRPr="005728DD" w:rsidRDefault="00586BCB" w:rsidP="00BE49EF">
      <w:pPr>
        <w:pStyle w:val="In-tableHeading"/>
        <w:keepLines/>
        <w:rPr>
          <w:lang w:val="en-AU"/>
        </w:r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70"/>
        <w:gridCol w:w="1123"/>
        <w:gridCol w:w="91"/>
        <w:gridCol w:w="1214"/>
        <w:gridCol w:w="92"/>
        <w:gridCol w:w="1121"/>
        <w:gridCol w:w="1121"/>
        <w:gridCol w:w="12"/>
        <w:gridCol w:w="1133"/>
        <w:gridCol w:w="112"/>
        <w:gridCol w:w="1022"/>
        <w:gridCol w:w="7"/>
      </w:tblGrid>
      <w:tr w:rsidR="00586BCB" w:rsidRPr="005728DD" w:rsidTr="00586BCB">
        <w:trPr>
          <w:cantSplit/>
          <w:tblHeader/>
          <w:jc w:val="center"/>
        </w:trPr>
        <w:tc>
          <w:tcPr>
            <w:tcW w:w="958" w:type="pct"/>
            <w:vMerge w:val="restart"/>
            <w:shd w:val="clear" w:color="auto" w:fill="auto"/>
            <w:tcMar>
              <w:left w:w="11" w:type="dxa"/>
              <w:right w:w="11" w:type="dxa"/>
            </w:tcMar>
            <w:vAlign w:val="center"/>
          </w:tcPr>
          <w:p w:rsidR="00586BCB" w:rsidRPr="005728DD" w:rsidRDefault="00586BCB" w:rsidP="00BE49EF">
            <w:pPr>
              <w:pStyle w:val="In-tableHeading"/>
              <w:keepLines/>
              <w:rPr>
                <w:lang w:val="en-AU"/>
              </w:rPr>
            </w:pPr>
          </w:p>
        </w:tc>
        <w:tc>
          <w:tcPr>
            <w:tcW w:w="2088" w:type="pct"/>
            <w:gridSpan w:val="5"/>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ELX/TEZ/IVA</w:t>
            </w:r>
          </w:p>
        </w:tc>
        <w:tc>
          <w:tcPr>
            <w:tcW w:w="1954" w:type="pct"/>
            <w:gridSpan w:val="6"/>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Comparator</w:t>
            </w:r>
          </w:p>
        </w:tc>
      </w:tr>
      <w:tr w:rsidR="00586BCB" w:rsidRPr="005728DD" w:rsidTr="00586BCB">
        <w:trPr>
          <w:gridAfter w:val="1"/>
          <w:wAfter w:w="4" w:type="pct"/>
          <w:cantSplit/>
          <w:tblHeader/>
          <w:jc w:val="center"/>
        </w:trPr>
        <w:tc>
          <w:tcPr>
            <w:tcW w:w="958" w:type="pct"/>
            <w:vMerge/>
            <w:shd w:val="clear" w:color="auto" w:fill="auto"/>
            <w:tcMar>
              <w:left w:w="11" w:type="dxa"/>
              <w:right w:w="11" w:type="dxa"/>
            </w:tcMar>
            <w:vAlign w:val="center"/>
          </w:tcPr>
          <w:p w:rsidR="00586BCB" w:rsidRPr="005728DD" w:rsidDel="00F57941" w:rsidRDefault="00586BCB" w:rsidP="00BE49EF">
            <w:pPr>
              <w:pStyle w:val="In-tableHeading"/>
              <w:keepLines/>
              <w:jc w:val="center"/>
              <w:rPr>
                <w:lang w:val="en-AU"/>
              </w:rPr>
            </w:pPr>
          </w:p>
        </w:tc>
        <w:tc>
          <w:tcPr>
            <w:tcW w:w="644" w:type="pct"/>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Trial dose and duration</w:t>
            </w:r>
          </w:p>
        </w:tc>
        <w:tc>
          <w:tcPr>
            <w:tcW w:w="801" w:type="pct"/>
            <w:gridSpan w:val="3"/>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Model</w:t>
            </w:r>
          </w:p>
        </w:tc>
        <w:tc>
          <w:tcPr>
            <w:tcW w:w="643" w:type="pct"/>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Financial estimates</w:t>
            </w:r>
          </w:p>
        </w:tc>
        <w:tc>
          <w:tcPr>
            <w:tcW w:w="643" w:type="pct"/>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Trial dose and duration</w:t>
            </w:r>
          </w:p>
        </w:tc>
        <w:tc>
          <w:tcPr>
            <w:tcW w:w="721" w:type="pct"/>
            <w:gridSpan w:val="3"/>
            <w:shd w:val="clear" w:color="auto" w:fill="auto"/>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Model</w:t>
            </w:r>
          </w:p>
        </w:tc>
        <w:tc>
          <w:tcPr>
            <w:tcW w:w="586" w:type="pct"/>
            <w:tcMar>
              <w:left w:w="11" w:type="dxa"/>
              <w:right w:w="11" w:type="dxa"/>
            </w:tcMar>
            <w:vAlign w:val="center"/>
          </w:tcPr>
          <w:p w:rsidR="00586BCB" w:rsidRPr="005728DD" w:rsidRDefault="00586BCB" w:rsidP="00BE49EF">
            <w:pPr>
              <w:pStyle w:val="In-tableHeading"/>
              <w:keepLines/>
              <w:jc w:val="center"/>
              <w:rPr>
                <w:lang w:val="en-AU"/>
              </w:rPr>
            </w:pPr>
            <w:r w:rsidRPr="005728DD">
              <w:rPr>
                <w:lang w:val="en-AU"/>
              </w:rPr>
              <w:t>Financial estimates</w:t>
            </w:r>
          </w:p>
        </w:tc>
      </w:tr>
      <w:tr w:rsidR="00586BCB" w:rsidRPr="005728DD" w:rsidTr="00586BCB">
        <w:trPr>
          <w:gridAfter w:val="1"/>
          <w:wAfter w:w="4" w:type="pct"/>
          <w:cantSplit/>
          <w:tblHeader/>
          <w:jc w:val="center"/>
        </w:trPr>
        <w:tc>
          <w:tcPr>
            <w:tcW w:w="4996" w:type="pct"/>
            <w:gridSpan w:val="11"/>
            <w:shd w:val="clear" w:color="auto" w:fill="auto"/>
            <w:tcMar>
              <w:left w:w="11" w:type="dxa"/>
              <w:right w:w="11" w:type="dxa"/>
            </w:tcMar>
            <w:vAlign w:val="center"/>
          </w:tcPr>
          <w:p w:rsidR="00586BCB" w:rsidRPr="005728DD" w:rsidRDefault="00586BCB" w:rsidP="00BE49EF">
            <w:pPr>
              <w:pStyle w:val="In-tableHeading"/>
              <w:keepLines/>
              <w:rPr>
                <w:lang w:val="en-AU"/>
              </w:rPr>
            </w:pPr>
            <w:r w:rsidRPr="005728DD">
              <w:rPr>
                <w:lang w:val="en-AU"/>
              </w:rPr>
              <w:t>F/</w:t>
            </w:r>
            <w:r w:rsidR="00FF0E2C" w:rsidRPr="005728DD">
              <w:rPr>
                <w:lang w:val="en-AU"/>
              </w:rPr>
              <w:t xml:space="preserve">F </w:t>
            </w:r>
          </w:p>
        </w:tc>
      </w:tr>
      <w:tr w:rsidR="00586BCB" w:rsidRPr="005728DD" w:rsidTr="00586BCB">
        <w:trPr>
          <w:gridAfter w:val="1"/>
          <w:wAfter w:w="4" w:type="pct"/>
          <w:cantSplit/>
          <w:tblHeader/>
          <w:jc w:val="center"/>
        </w:trPr>
        <w:tc>
          <w:tcPr>
            <w:tcW w:w="958" w:type="pct"/>
            <w:shd w:val="clear" w:color="auto" w:fill="auto"/>
            <w:tcMar>
              <w:left w:w="11" w:type="dxa"/>
              <w:right w:w="11" w:type="dxa"/>
            </w:tcMar>
            <w:vAlign w:val="center"/>
          </w:tcPr>
          <w:p w:rsidR="00586BCB" w:rsidRPr="005728DD" w:rsidRDefault="00586BCB" w:rsidP="00BE49EF">
            <w:pPr>
              <w:pStyle w:val="In-tableHeading"/>
              <w:keepLines/>
              <w:rPr>
                <w:b w:val="0"/>
                <w:lang w:val="en-AU"/>
              </w:rPr>
            </w:pPr>
            <w:r w:rsidRPr="005728DD">
              <w:rPr>
                <w:b w:val="0"/>
                <w:lang w:val="en-AU"/>
              </w:rPr>
              <w:t>Cost/patient/ 28-day supply (A)</w:t>
            </w:r>
          </w:p>
        </w:tc>
        <w:tc>
          <w:tcPr>
            <w:tcW w:w="2088" w:type="pct"/>
            <w:gridSpan w:val="5"/>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w:t>
            </w:r>
            <w:r w:rsidR="00967E09">
              <w:rPr>
                <w:b w:val="0"/>
                <w:bCs/>
                <w:noProof/>
                <w:color w:val="000000"/>
                <w:highlight w:val="black"/>
                <w:lang w:val="en-AU"/>
              </w:rPr>
              <w:t>''''''''''''''''''''''''</w:t>
            </w:r>
          </w:p>
        </w:tc>
        <w:tc>
          <w:tcPr>
            <w:tcW w:w="1950" w:type="pct"/>
            <w:gridSpan w:val="5"/>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TEZ/IVA: $</w:t>
            </w:r>
            <w:r w:rsidR="00967E09">
              <w:rPr>
                <w:b w:val="0"/>
                <w:bCs/>
                <w:noProof/>
                <w:color w:val="000000"/>
                <w:highlight w:val="black"/>
                <w:lang w:val="en-AU"/>
              </w:rPr>
              <w:t>''''''''''''''</w:t>
            </w:r>
            <w:r w:rsidRPr="0065281E">
              <w:rPr>
                <w:b w:val="0"/>
                <w:bCs/>
                <w:vertAlign w:val="superscript"/>
                <w:lang w:val="en-AU"/>
              </w:rPr>
              <w:t>b</w:t>
            </w:r>
          </w:p>
        </w:tc>
      </w:tr>
      <w:tr w:rsidR="00586BCB" w:rsidRPr="005728DD" w:rsidTr="00586BCB">
        <w:trPr>
          <w:gridAfter w:val="1"/>
          <w:wAfter w:w="4" w:type="pct"/>
          <w:cantSplit/>
          <w:tblHeader/>
          <w:jc w:val="center"/>
        </w:trPr>
        <w:tc>
          <w:tcPr>
            <w:tcW w:w="958" w:type="pct"/>
            <w:shd w:val="clear" w:color="auto" w:fill="auto"/>
            <w:tcMar>
              <w:left w:w="11" w:type="dxa"/>
              <w:right w:w="11" w:type="dxa"/>
            </w:tcMar>
            <w:vAlign w:val="center"/>
          </w:tcPr>
          <w:p w:rsidR="00586BCB" w:rsidRPr="005728DD" w:rsidRDefault="00586BCB" w:rsidP="00BE49EF">
            <w:pPr>
              <w:pStyle w:val="In-tableHeading"/>
              <w:keepLines/>
              <w:rPr>
                <w:b w:val="0"/>
                <w:lang w:val="en-AU"/>
              </w:rPr>
            </w:pPr>
            <w:r w:rsidRPr="005728DD">
              <w:rPr>
                <w:b w:val="0"/>
                <w:lang w:val="en-AU"/>
              </w:rPr>
              <w:t>Treatment interruption (B)</w:t>
            </w:r>
          </w:p>
        </w:tc>
        <w:tc>
          <w:tcPr>
            <w:tcW w:w="696" w:type="pct"/>
            <w:gridSpan w:val="2"/>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1.25%</w:t>
            </w:r>
          </w:p>
        </w:tc>
        <w:tc>
          <w:tcPr>
            <w:tcW w:w="696" w:type="pct"/>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2.50%</w:t>
            </w:r>
            <w:r w:rsidRPr="005728DD">
              <w:rPr>
                <w:b w:val="0"/>
                <w:bCs/>
                <w:vertAlign w:val="superscript"/>
                <w:lang w:val="en-AU"/>
              </w:rPr>
              <w:t>a</w:t>
            </w:r>
          </w:p>
        </w:tc>
        <w:tc>
          <w:tcPr>
            <w:tcW w:w="696" w:type="pct"/>
            <w:gridSpan w:val="2"/>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1.10%</w:t>
            </w:r>
          </w:p>
        </w:tc>
        <w:tc>
          <w:tcPr>
            <w:tcW w:w="650" w:type="pct"/>
            <w:gridSpan w:val="2"/>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1.67%</w:t>
            </w:r>
          </w:p>
        </w:tc>
        <w:tc>
          <w:tcPr>
            <w:tcW w:w="650" w:type="pct"/>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14.30%</w:t>
            </w:r>
            <w:r w:rsidRPr="005728DD">
              <w:rPr>
                <w:b w:val="0"/>
                <w:bCs/>
                <w:vertAlign w:val="superscript"/>
                <w:lang w:val="en-AU"/>
              </w:rPr>
              <w:t xml:space="preserve"> a</w:t>
            </w:r>
          </w:p>
        </w:tc>
        <w:tc>
          <w:tcPr>
            <w:tcW w:w="650" w:type="pct"/>
            <w:gridSpan w:val="2"/>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1.10%</w:t>
            </w:r>
          </w:p>
        </w:tc>
      </w:tr>
      <w:tr w:rsidR="00586BCB" w:rsidRPr="005728DD" w:rsidTr="00586BCB">
        <w:trPr>
          <w:gridAfter w:val="1"/>
          <w:wAfter w:w="4" w:type="pct"/>
          <w:cantSplit/>
          <w:tblHeader/>
          <w:jc w:val="center"/>
        </w:trPr>
        <w:tc>
          <w:tcPr>
            <w:tcW w:w="958" w:type="pct"/>
            <w:shd w:val="clear" w:color="auto" w:fill="auto"/>
            <w:tcMar>
              <w:left w:w="11" w:type="dxa"/>
              <w:right w:w="11" w:type="dxa"/>
            </w:tcMar>
            <w:vAlign w:val="center"/>
          </w:tcPr>
          <w:p w:rsidR="00586BCB" w:rsidRPr="005728DD" w:rsidRDefault="00586BCB" w:rsidP="00BE49EF">
            <w:pPr>
              <w:pStyle w:val="In-tableHeading"/>
              <w:keepLines/>
              <w:rPr>
                <w:b w:val="0"/>
                <w:lang w:val="en-AU"/>
              </w:rPr>
            </w:pPr>
            <w:r w:rsidRPr="005728DD">
              <w:rPr>
                <w:b w:val="0"/>
                <w:lang w:val="en-AU"/>
              </w:rPr>
              <w:t>Compliance (C)</w:t>
            </w:r>
          </w:p>
        </w:tc>
        <w:tc>
          <w:tcPr>
            <w:tcW w:w="696" w:type="pct"/>
            <w:gridSpan w:val="2"/>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100%</w:t>
            </w:r>
          </w:p>
        </w:tc>
        <w:tc>
          <w:tcPr>
            <w:tcW w:w="696" w:type="pct"/>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90%</w:t>
            </w:r>
          </w:p>
        </w:tc>
        <w:tc>
          <w:tcPr>
            <w:tcW w:w="696" w:type="pct"/>
            <w:gridSpan w:val="2"/>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90%</w:t>
            </w:r>
          </w:p>
        </w:tc>
        <w:tc>
          <w:tcPr>
            <w:tcW w:w="650" w:type="pct"/>
            <w:gridSpan w:val="2"/>
            <w:shd w:val="clear" w:color="auto" w:fill="auto"/>
            <w:tcMar>
              <w:left w:w="11" w:type="dxa"/>
              <w:right w:w="11" w:type="dxa"/>
            </w:tcMar>
            <w:vAlign w:val="center"/>
          </w:tcPr>
          <w:p w:rsidR="00586BCB" w:rsidRPr="005728DD" w:rsidRDefault="00586BCB" w:rsidP="00BE49EF">
            <w:pPr>
              <w:pStyle w:val="In-tableHeading"/>
              <w:keepLines/>
              <w:jc w:val="center"/>
              <w:rPr>
                <w:b w:val="0"/>
                <w:bCs/>
                <w:lang w:val="en-AU"/>
              </w:rPr>
            </w:pPr>
            <w:r w:rsidRPr="005728DD">
              <w:rPr>
                <w:b w:val="0"/>
                <w:bCs/>
                <w:lang w:val="en-AU"/>
              </w:rPr>
              <w:t>100%</w:t>
            </w:r>
          </w:p>
        </w:tc>
        <w:tc>
          <w:tcPr>
            <w:tcW w:w="650" w:type="pct"/>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90%</w:t>
            </w:r>
          </w:p>
        </w:tc>
        <w:tc>
          <w:tcPr>
            <w:tcW w:w="650" w:type="pct"/>
            <w:gridSpan w:val="2"/>
            <w:shd w:val="clear" w:color="auto" w:fill="auto"/>
            <w:vAlign w:val="center"/>
          </w:tcPr>
          <w:p w:rsidR="00586BCB" w:rsidRPr="005728DD" w:rsidRDefault="00586BCB" w:rsidP="00BE49EF">
            <w:pPr>
              <w:pStyle w:val="In-tableHeading"/>
              <w:keepLines/>
              <w:jc w:val="center"/>
              <w:rPr>
                <w:b w:val="0"/>
                <w:bCs/>
                <w:lang w:val="en-AU"/>
              </w:rPr>
            </w:pPr>
            <w:r w:rsidRPr="005728DD">
              <w:rPr>
                <w:b w:val="0"/>
                <w:bCs/>
                <w:lang w:val="en-AU"/>
              </w:rPr>
              <w:t>90%</w:t>
            </w:r>
          </w:p>
        </w:tc>
      </w:tr>
      <w:tr w:rsidR="00586BCB" w:rsidRPr="005728DD" w:rsidTr="00586BCB">
        <w:trPr>
          <w:gridAfter w:val="1"/>
          <w:wAfter w:w="4" w:type="pct"/>
          <w:cantSplit/>
          <w:tblHeader/>
          <w:jc w:val="center"/>
        </w:trPr>
        <w:tc>
          <w:tcPr>
            <w:tcW w:w="958" w:type="pct"/>
            <w:shd w:val="clear" w:color="auto" w:fill="auto"/>
            <w:tcMar>
              <w:left w:w="11" w:type="dxa"/>
              <w:right w:w="11" w:type="dxa"/>
            </w:tcMar>
            <w:vAlign w:val="center"/>
          </w:tcPr>
          <w:p w:rsidR="00586BCB" w:rsidRPr="005728DD" w:rsidRDefault="00586BCB" w:rsidP="00BE49EF">
            <w:pPr>
              <w:pStyle w:val="TableText0"/>
              <w:keepLines/>
            </w:pPr>
            <w:r w:rsidRPr="005728DD">
              <w:t>Cost/patient/ year (13.04 pack/year; D</w:t>
            </w:r>
          </w:p>
          <w:p w:rsidR="00586BCB" w:rsidRPr="005728DD" w:rsidRDefault="00586BCB" w:rsidP="00BE49EF">
            <w:pPr>
              <w:pStyle w:val="In-tableHeading"/>
              <w:keepLines/>
              <w:rPr>
                <w:b w:val="0"/>
                <w:lang w:val="en-AU"/>
              </w:rPr>
            </w:pPr>
            <w:r w:rsidRPr="005728DD">
              <w:rPr>
                <w:b w:val="0"/>
                <w:lang w:val="en-AU"/>
              </w:rPr>
              <w:t>A*(1-B)*C*D</w:t>
            </w:r>
          </w:p>
        </w:tc>
        <w:tc>
          <w:tcPr>
            <w:tcW w:w="696" w:type="pct"/>
            <w:gridSpan w:val="2"/>
            <w:shd w:val="clear" w:color="auto" w:fill="auto"/>
            <w:tcMar>
              <w:left w:w="11" w:type="dxa"/>
              <w:right w:w="11" w:type="dxa"/>
            </w:tcMar>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shd w:val="clear" w:color="auto" w:fill="auto"/>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gridSpan w:val="2"/>
            <w:shd w:val="clear" w:color="auto" w:fill="auto"/>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shd w:val="clear" w:color="auto" w:fill="auto"/>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vAlign w:val="center"/>
          </w:tcPr>
          <w:p w:rsidR="00586BCB" w:rsidRPr="00967E09" w:rsidRDefault="00586BCB" w:rsidP="00BE49EF">
            <w:pPr>
              <w:pStyle w:val="In-tableHeading"/>
              <w:keepLines/>
              <w:jc w:val="center"/>
              <w:rPr>
                <w:b w:val="0"/>
                <w:bCs/>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r>
      <w:tr w:rsidR="00DE3B52" w:rsidRPr="005728DD" w:rsidTr="00DE3B52">
        <w:trPr>
          <w:gridAfter w:val="1"/>
          <w:wAfter w:w="4" w:type="pct"/>
          <w:cantSplit/>
          <w:tblHeader/>
          <w:jc w:val="center"/>
        </w:trPr>
        <w:tc>
          <w:tcPr>
            <w:tcW w:w="4996" w:type="pct"/>
            <w:gridSpan w:val="11"/>
            <w:shd w:val="clear" w:color="auto" w:fill="auto"/>
            <w:tcMar>
              <w:left w:w="11" w:type="dxa"/>
              <w:right w:w="11" w:type="dxa"/>
            </w:tcMar>
            <w:vAlign w:val="center"/>
          </w:tcPr>
          <w:p w:rsidR="00DE3B52" w:rsidRPr="005728DD" w:rsidRDefault="00DE3B52" w:rsidP="00BE49EF">
            <w:pPr>
              <w:pStyle w:val="In-tableHeading"/>
              <w:keepLines/>
              <w:rPr>
                <w:rFonts w:cs="Calibri"/>
                <w:color w:val="000000"/>
                <w:szCs w:val="20"/>
                <w:lang w:val="en-AU"/>
              </w:rPr>
            </w:pPr>
            <w:r w:rsidRPr="005728DD">
              <w:rPr>
                <w:lang w:val="en-AU"/>
              </w:rPr>
              <w:t>F/RF</w:t>
            </w:r>
          </w:p>
        </w:tc>
      </w:tr>
      <w:tr w:rsidR="00DE3B52" w:rsidRPr="005728DD" w:rsidTr="00DE3B52">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Cost/patient/ 28-day supply (A)</w:t>
            </w:r>
          </w:p>
        </w:tc>
        <w:tc>
          <w:tcPr>
            <w:tcW w:w="2088" w:type="pct"/>
            <w:gridSpan w:val="5"/>
            <w:shd w:val="clear" w:color="auto" w:fill="auto"/>
            <w:tcMar>
              <w:left w:w="11" w:type="dxa"/>
              <w:right w:w="11" w:type="dxa"/>
            </w:tcMar>
            <w:vAlign w:val="center"/>
          </w:tcPr>
          <w:p w:rsidR="00DE3B52" w:rsidRPr="005728DD" w:rsidRDefault="00DE3B52" w:rsidP="00BE49EF">
            <w:pPr>
              <w:pStyle w:val="In-tableHeading"/>
              <w:keepLines/>
              <w:jc w:val="center"/>
              <w:rPr>
                <w:rFonts w:cs="Calibri"/>
                <w:color w:val="000000"/>
                <w:szCs w:val="20"/>
                <w:lang w:val="en-AU"/>
              </w:rPr>
            </w:pPr>
            <w:r w:rsidRPr="005728DD">
              <w:rPr>
                <w:b w:val="0"/>
                <w:bCs/>
                <w:lang w:val="en-AU"/>
              </w:rPr>
              <w:t>$</w:t>
            </w:r>
            <w:r w:rsidR="00967E09">
              <w:rPr>
                <w:b w:val="0"/>
                <w:bCs/>
                <w:noProof/>
                <w:color w:val="000000"/>
                <w:highlight w:val="black"/>
                <w:lang w:val="en-AU"/>
              </w:rPr>
              <w:t>'''''''''''''''''''''''''</w:t>
            </w:r>
          </w:p>
        </w:tc>
        <w:tc>
          <w:tcPr>
            <w:tcW w:w="1950" w:type="pct"/>
            <w:gridSpan w:val="5"/>
            <w:shd w:val="clear" w:color="auto" w:fill="auto"/>
            <w:tcMar>
              <w:left w:w="11" w:type="dxa"/>
              <w:right w:w="11" w:type="dxa"/>
            </w:tcMar>
            <w:vAlign w:val="center"/>
          </w:tcPr>
          <w:p w:rsidR="00DE3B52" w:rsidRPr="005728DD" w:rsidRDefault="00DE3B52" w:rsidP="00BE49EF">
            <w:pPr>
              <w:pStyle w:val="In-tableHeading"/>
              <w:keepLines/>
              <w:jc w:val="center"/>
              <w:rPr>
                <w:rFonts w:cs="Calibri"/>
                <w:color w:val="000000"/>
                <w:szCs w:val="20"/>
                <w:lang w:val="en-AU"/>
              </w:rPr>
            </w:pPr>
            <w:r w:rsidRPr="005728DD">
              <w:rPr>
                <w:b w:val="0"/>
                <w:bCs/>
                <w:lang w:val="en-AU"/>
              </w:rPr>
              <w:t>TEZ/IVA: $</w:t>
            </w:r>
            <w:r w:rsidR="00967E09">
              <w:rPr>
                <w:b w:val="0"/>
                <w:bCs/>
                <w:noProof/>
                <w:color w:val="000000"/>
                <w:highlight w:val="black"/>
                <w:lang w:val="en-AU"/>
              </w:rPr>
              <w:t>'''''''''''''</w:t>
            </w:r>
            <w:r w:rsidRPr="005728DD">
              <w:rPr>
                <w:b w:val="0"/>
                <w:bCs/>
                <w:vertAlign w:val="superscript"/>
                <w:lang w:val="en-AU"/>
              </w:rPr>
              <w:t>b</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Treatment interruption (B)</w:t>
            </w:r>
          </w:p>
        </w:tc>
        <w:tc>
          <w:tcPr>
            <w:tcW w:w="696"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0.8%</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Compliance (C)</w:t>
            </w:r>
          </w:p>
        </w:tc>
        <w:tc>
          <w:tcPr>
            <w:tcW w:w="696"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Cost/patient/ year (13.04 pack/year; D</w:t>
            </w:r>
          </w:p>
          <w:p w:rsidR="00DE3B52" w:rsidRPr="005728DD" w:rsidRDefault="00DE3B52" w:rsidP="00BE49EF">
            <w:pPr>
              <w:pStyle w:val="TableText0"/>
              <w:keepLines/>
            </w:pPr>
            <w:r w:rsidRPr="005728DD">
              <w:t>A*(1-B)*C*D</w:t>
            </w:r>
          </w:p>
        </w:tc>
        <w:tc>
          <w:tcPr>
            <w:tcW w:w="696" w:type="pct"/>
            <w:gridSpan w:val="2"/>
            <w:shd w:val="clear" w:color="auto" w:fill="auto"/>
            <w:tcMar>
              <w:left w:w="11" w:type="dxa"/>
              <w:right w:w="11" w:type="dxa"/>
            </w:tcMar>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gridSpan w:val="2"/>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r>
      <w:tr w:rsidR="00DE3B52" w:rsidRPr="005728DD" w:rsidTr="00DE3B52">
        <w:trPr>
          <w:gridAfter w:val="1"/>
          <w:wAfter w:w="4" w:type="pct"/>
          <w:cantSplit/>
          <w:tblHeader/>
          <w:jc w:val="center"/>
        </w:trPr>
        <w:tc>
          <w:tcPr>
            <w:tcW w:w="4996" w:type="pct"/>
            <w:gridSpan w:val="11"/>
            <w:shd w:val="clear" w:color="auto" w:fill="auto"/>
            <w:tcMar>
              <w:left w:w="11" w:type="dxa"/>
              <w:right w:w="11" w:type="dxa"/>
            </w:tcMar>
            <w:vAlign w:val="center"/>
          </w:tcPr>
          <w:p w:rsidR="00DE3B52" w:rsidRPr="005728DD" w:rsidRDefault="00DE3B52" w:rsidP="00BE49EF">
            <w:pPr>
              <w:pStyle w:val="In-tableHeading"/>
              <w:keepLines/>
              <w:rPr>
                <w:rFonts w:cs="Calibri"/>
                <w:color w:val="000000"/>
                <w:szCs w:val="20"/>
                <w:lang w:val="en-AU"/>
              </w:rPr>
            </w:pPr>
            <w:r w:rsidRPr="005728DD">
              <w:rPr>
                <w:lang w:val="en-AU"/>
              </w:rPr>
              <w:t>F/G</w:t>
            </w:r>
          </w:p>
        </w:tc>
      </w:tr>
      <w:tr w:rsidR="00DE3B52" w:rsidRPr="005728DD" w:rsidTr="00DE3B52">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Cost/patient/ 28-day supply (A)</w:t>
            </w:r>
          </w:p>
        </w:tc>
        <w:tc>
          <w:tcPr>
            <w:tcW w:w="2088" w:type="pct"/>
            <w:gridSpan w:val="5"/>
            <w:shd w:val="clear" w:color="auto" w:fill="auto"/>
            <w:tcMar>
              <w:left w:w="11" w:type="dxa"/>
              <w:right w:w="11" w:type="dxa"/>
            </w:tcMar>
            <w:vAlign w:val="center"/>
          </w:tcPr>
          <w:p w:rsidR="00DE3B52" w:rsidRPr="005728DD" w:rsidRDefault="00DE3B52" w:rsidP="00BE49EF">
            <w:pPr>
              <w:pStyle w:val="In-tableHeading"/>
              <w:keepLines/>
              <w:jc w:val="center"/>
              <w:rPr>
                <w:rFonts w:cs="Calibri"/>
                <w:color w:val="000000"/>
                <w:szCs w:val="20"/>
                <w:lang w:val="en-AU"/>
              </w:rPr>
            </w:pPr>
            <w:r w:rsidRPr="005728DD">
              <w:rPr>
                <w:b w:val="0"/>
                <w:bCs/>
                <w:lang w:val="en-AU"/>
              </w:rPr>
              <w:t>$</w:t>
            </w:r>
            <w:r w:rsidR="00967E09">
              <w:rPr>
                <w:b w:val="0"/>
                <w:bCs/>
                <w:noProof/>
                <w:color w:val="000000"/>
                <w:highlight w:val="black"/>
                <w:lang w:val="en-AU"/>
              </w:rPr>
              <w:t>''''''''''''''''''''''''</w:t>
            </w:r>
          </w:p>
        </w:tc>
        <w:tc>
          <w:tcPr>
            <w:tcW w:w="1950" w:type="pct"/>
            <w:gridSpan w:val="5"/>
            <w:shd w:val="clear" w:color="auto" w:fill="auto"/>
            <w:tcMar>
              <w:left w:w="11" w:type="dxa"/>
              <w:right w:w="11" w:type="dxa"/>
            </w:tcMar>
            <w:vAlign w:val="center"/>
          </w:tcPr>
          <w:p w:rsidR="00DE3B52" w:rsidRPr="005728DD" w:rsidRDefault="003F760F" w:rsidP="00BE49EF">
            <w:pPr>
              <w:pStyle w:val="In-tableHeading"/>
              <w:keepLines/>
              <w:jc w:val="center"/>
              <w:rPr>
                <w:rFonts w:cs="Calibri"/>
                <w:b w:val="0"/>
                <w:color w:val="000000"/>
                <w:szCs w:val="20"/>
                <w:lang w:val="en-AU"/>
              </w:rPr>
            </w:pPr>
            <w:r w:rsidRPr="005728DD">
              <w:rPr>
                <w:rFonts w:cs="Calibri"/>
                <w:b w:val="0"/>
                <w:color w:val="000000"/>
                <w:szCs w:val="20"/>
                <w:lang w:val="en-AU"/>
              </w:rPr>
              <w:t xml:space="preserve">IVA: </w:t>
            </w:r>
            <w:r w:rsidR="00DE3B52" w:rsidRPr="005728DD">
              <w:rPr>
                <w:rFonts w:cs="Calibri"/>
                <w:b w:val="0"/>
                <w:color w:val="000000"/>
                <w:szCs w:val="20"/>
                <w:lang w:val="en-AU"/>
              </w:rPr>
              <w:t>$</w:t>
            </w:r>
            <w:r w:rsidR="00967E09">
              <w:rPr>
                <w:rFonts w:cs="Calibri"/>
                <w:b w:val="0"/>
                <w:noProof/>
                <w:color w:val="000000"/>
                <w:szCs w:val="20"/>
                <w:highlight w:val="black"/>
                <w:lang w:val="en-AU"/>
              </w:rPr>
              <w:t>'''''''''''''''</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Treatment interruption (B)</w:t>
            </w:r>
          </w:p>
        </w:tc>
        <w:tc>
          <w:tcPr>
            <w:tcW w:w="696"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w:t>
            </w:r>
          </w:p>
        </w:tc>
        <w:tc>
          <w:tcPr>
            <w:tcW w:w="696"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4.9%</w:t>
            </w:r>
            <w:r w:rsidRPr="005728DD">
              <w:rPr>
                <w:b w:val="0"/>
                <w:bCs/>
                <w:vertAlign w:val="superscript"/>
                <w:lang w:val="en-AU"/>
              </w:rPr>
              <w:t xml:space="preserve"> a</w:t>
            </w:r>
          </w:p>
        </w:tc>
        <w:tc>
          <w:tcPr>
            <w:tcW w:w="696"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0.8%</w:t>
            </w:r>
          </w:p>
        </w:tc>
        <w:tc>
          <w:tcPr>
            <w:tcW w:w="650"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1.25%</w:t>
            </w:r>
          </w:p>
        </w:tc>
        <w:tc>
          <w:tcPr>
            <w:tcW w:w="650"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8.1%</w:t>
            </w:r>
            <w:r w:rsidRPr="005728DD">
              <w:rPr>
                <w:b w:val="0"/>
                <w:bCs/>
                <w:vertAlign w:val="superscript"/>
                <w:lang w:val="en-AU"/>
              </w:rPr>
              <w:t xml:space="preserve"> a</w:t>
            </w:r>
          </w:p>
        </w:tc>
        <w:tc>
          <w:tcPr>
            <w:tcW w:w="650"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0.8%</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Compliance (C)</w:t>
            </w:r>
          </w:p>
        </w:tc>
        <w:tc>
          <w:tcPr>
            <w:tcW w:w="696"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99.4%</w:t>
            </w:r>
          </w:p>
        </w:tc>
        <w:tc>
          <w:tcPr>
            <w:tcW w:w="696"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99.7%</w:t>
            </w:r>
          </w:p>
        </w:tc>
        <w:tc>
          <w:tcPr>
            <w:tcW w:w="650" w:type="pct"/>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vAlign w:val="center"/>
          </w:tcPr>
          <w:p w:rsidR="00DE3B52" w:rsidRPr="005728DD" w:rsidRDefault="00DE3B52" w:rsidP="00BE49EF">
            <w:pPr>
              <w:pStyle w:val="In-tableHeading"/>
              <w:keepLines/>
              <w:jc w:val="center"/>
              <w:rPr>
                <w:rFonts w:cs="Calibri"/>
                <w:b w:val="0"/>
                <w:color w:val="000000"/>
                <w:szCs w:val="20"/>
                <w:lang w:val="en-AU"/>
              </w:rPr>
            </w:pPr>
            <w:r w:rsidRPr="005728DD">
              <w:rPr>
                <w:b w:val="0"/>
                <w:bCs/>
                <w:lang w:val="en-AU"/>
              </w:rPr>
              <w:t>90%</w:t>
            </w:r>
          </w:p>
        </w:tc>
      </w:tr>
      <w:tr w:rsidR="00DE3B52" w:rsidRPr="005728DD" w:rsidTr="00586BCB">
        <w:trPr>
          <w:gridAfter w:val="1"/>
          <w:wAfter w:w="4" w:type="pct"/>
          <w:cantSplit/>
          <w:tblHeader/>
          <w:jc w:val="center"/>
        </w:trPr>
        <w:tc>
          <w:tcPr>
            <w:tcW w:w="958" w:type="pct"/>
            <w:shd w:val="clear" w:color="auto" w:fill="auto"/>
            <w:tcMar>
              <w:left w:w="11" w:type="dxa"/>
              <w:right w:w="11" w:type="dxa"/>
            </w:tcMar>
            <w:vAlign w:val="center"/>
          </w:tcPr>
          <w:p w:rsidR="00DE3B52" w:rsidRPr="005728DD" w:rsidRDefault="00DE3B52" w:rsidP="00BE49EF">
            <w:pPr>
              <w:pStyle w:val="TableText0"/>
              <w:keepLines/>
            </w:pPr>
            <w:r w:rsidRPr="005728DD">
              <w:t>Cost/patient/ year (13.04 pack/year; D</w:t>
            </w:r>
          </w:p>
          <w:p w:rsidR="00DE3B52" w:rsidRPr="005728DD" w:rsidRDefault="00DE3B52" w:rsidP="00BE49EF">
            <w:pPr>
              <w:pStyle w:val="TableText0"/>
              <w:keepLines/>
            </w:pPr>
            <w:r w:rsidRPr="005728DD">
              <w:t>A*(1-B)*C*D</w:t>
            </w:r>
          </w:p>
        </w:tc>
        <w:tc>
          <w:tcPr>
            <w:tcW w:w="696" w:type="pct"/>
            <w:gridSpan w:val="2"/>
            <w:shd w:val="clear" w:color="auto" w:fill="auto"/>
            <w:tcMar>
              <w:left w:w="11" w:type="dxa"/>
              <w:right w:w="11" w:type="dxa"/>
            </w:tcMar>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gridSpan w:val="2"/>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iCs/>
                <w:noProof/>
                <w:color w:val="000000"/>
                <w:szCs w:val="20"/>
                <w:highlight w:val="black"/>
                <w:lang w:val="en-AU"/>
              </w:rPr>
              <w:t>''''''''''''''''''''</w:t>
            </w:r>
          </w:p>
        </w:tc>
        <w:tc>
          <w:tcPr>
            <w:tcW w:w="650" w:type="pct"/>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iCs/>
                <w:noProof/>
                <w:color w:val="000000"/>
                <w:szCs w:val="20"/>
                <w:highlight w:val="black"/>
                <w:lang w:val="en-AU"/>
              </w:rPr>
              <w:t>''''''''''''''''''</w:t>
            </w:r>
          </w:p>
        </w:tc>
        <w:tc>
          <w:tcPr>
            <w:tcW w:w="650" w:type="pct"/>
            <w:gridSpan w:val="2"/>
            <w:shd w:val="clear" w:color="auto" w:fill="auto"/>
            <w:vAlign w:val="center"/>
          </w:tcPr>
          <w:p w:rsidR="00DE3B52" w:rsidRPr="00967E09" w:rsidRDefault="00DE3B52"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iCs/>
                <w:noProof/>
                <w:color w:val="000000"/>
                <w:szCs w:val="20"/>
                <w:highlight w:val="black"/>
                <w:lang w:val="en-AU"/>
              </w:rPr>
              <w:t>''''''''''''''''''</w:t>
            </w:r>
          </w:p>
        </w:tc>
      </w:tr>
      <w:tr w:rsidR="00DE3B52" w:rsidRPr="005728DD" w:rsidTr="00DE3B52">
        <w:trPr>
          <w:gridAfter w:val="1"/>
          <w:wAfter w:w="4" w:type="pct"/>
          <w:cantSplit/>
          <w:tblHeader/>
          <w:jc w:val="center"/>
        </w:trPr>
        <w:tc>
          <w:tcPr>
            <w:tcW w:w="4996" w:type="pct"/>
            <w:gridSpan w:val="11"/>
            <w:shd w:val="clear" w:color="auto" w:fill="auto"/>
            <w:tcMar>
              <w:left w:w="11" w:type="dxa"/>
              <w:right w:w="11" w:type="dxa"/>
            </w:tcMar>
            <w:vAlign w:val="center"/>
          </w:tcPr>
          <w:p w:rsidR="00DE3B52" w:rsidRPr="005728DD" w:rsidRDefault="00DE3B52" w:rsidP="00BE49EF">
            <w:pPr>
              <w:pStyle w:val="In-tableHeading"/>
              <w:keepLines/>
              <w:rPr>
                <w:rFonts w:cs="Calibri"/>
                <w:color w:val="000000"/>
                <w:szCs w:val="20"/>
                <w:lang w:val="en-AU"/>
              </w:rPr>
            </w:pPr>
            <w:r w:rsidRPr="005728DD">
              <w:rPr>
                <w:lang w:val="en-AU"/>
              </w:rPr>
              <w:t>F/MF</w:t>
            </w:r>
          </w:p>
        </w:tc>
      </w:tr>
      <w:tr w:rsidR="00FF0E2C" w:rsidRPr="005728DD" w:rsidTr="00FF0E2C">
        <w:trPr>
          <w:gridAfter w:val="1"/>
          <w:wAfter w:w="4" w:type="pct"/>
          <w:cantSplit/>
          <w:tblHeader/>
          <w:jc w:val="center"/>
        </w:trPr>
        <w:tc>
          <w:tcPr>
            <w:tcW w:w="958" w:type="pct"/>
            <w:shd w:val="clear" w:color="auto" w:fill="auto"/>
            <w:tcMar>
              <w:left w:w="11" w:type="dxa"/>
              <w:right w:w="11" w:type="dxa"/>
            </w:tcMar>
            <w:vAlign w:val="center"/>
          </w:tcPr>
          <w:p w:rsidR="00FF0E2C" w:rsidRPr="005728DD" w:rsidRDefault="00FF0E2C" w:rsidP="00BE49EF">
            <w:pPr>
              <w:pStyle w:val="TableText0"/>
              <w:keepLines/>
              <w:rPr>
                <w:b/>
              </w:rPr>
            </w:pPr>
            <w:r w:rsidRPr="005728DD">
              <w:t>Cost/patient/ 28-day supply (A)</w:t>
            </w:r>
          </w:p>
        </w:tc>
        <w:tc>
          <w:tcPr>
            <w:tcW w:w="2088" w:type="pct"/>
            <w:gridSpan w:val="5"/>
            <w:shd w:val="clear" w:color="auto" w:fill="auto"/>
            <w:tcMar>
              <w:left w:w="11" w:type="dxa"/>
              <w:right w:w="11" w:type="dxa"/>
            </w:tcMar>
            <w:vAlign w:val="center"/>
          </w:tcPr>
          <w:p w:rsidR="00FF0E2C" w:rsidRPr="005728DD" w:rsidRDefault="00FF0E2C" w:rsidP="00BE49EF">
            <w:pPr>
              <w:pStyle w:val="In-tableHeading"/>
              <w:keepLines/>
              <w:jc w:val="center"/>
              <w:rPr>
                <w:rFonts w:cs="Calibri"/>
                <w:color w:val="000000"/>
                <w:szCs w:val="20"/>
                <w:lang w:val="en-AU"/>
              </w:rPr>
            </w:pPr>
            <w:r w:rsidRPr="005728DD">
              <w:rPr>
                <w:b w:val="0"/>
                <w:bCs/>
                <w:lang w:val="en-AU"/>
              </w:rPr>
              <w:t>$</w:t>
            </w:r>
            <w:r w:rsidR="00967E09">
              <w:rPr>
                <w:b w:val="0"/>
                <w:bCs/>
                <w:noProof/>
                <w:color w:val="000000"/>
                <w:highlight w:val="black"/>
                <w:lang w:val="en-AU"/>
              </w:rPr>
              <w:t>'''''''''''''''''''''''''</w:t>
            </w:r>
          </w:p>
        </w:tc>
        <w:tc>
          <w:tcPr>
            <w:tcW w:w="1950" w:type="pct"/>
            <w:gridSpan w:val="5"/>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rFonts w:cs="Calibri"/>
                <w:b w:val="0"/>
                <w:color w:val="000000"/>
                <w:szCs w:val="20"/>
                <w:lang w:val="en-AU"/>
              </w:rPr>
              <w:t>BSC: NA</w:t>
            </w:r>
          </w:p>
        </w:tc>
      </w:tr>
      <w:tr w:rsidR="00FF0E2C" w:rsidRPr="005728DD" w:rsidTr="00586BCB">
        <w:trPr>
          <w:gridAfter w:val="1"/>
          <w:wAfter w:w="4" w:type="pct"/>
          <w:cantSplit/>
          <w:tblHeader/>
          <w:jc w:val="center"/>
        </w:trPr>
        <w:tc>
          <w:tcPr>
            <w:tcW w:w="958" w:type="pct"/>
            <w:shd w:val="clear" w:color="auto" w:fill="auto"/>
            <w:tcMar>
              <w:left w:w="11" w:type="dxa"/>
              <w:right w:w="11" w:type="dxa"/>
            </w:tcMar>
            <w:vAlign w:val="center"/>
          </w:tcPr>
          <w:p w:rsidR="00FF0E2C" w:rsidRPr="005728DD" w:rsidRDefault="00FF0E2C" w:rsidP="00BE49EF">
            <w:pPr>
              <w:pStyle w:val="TableText0"/>
              <w:keepLines/>
            </w:pPr>
            <w:r w:rsidRPr="005728DD">
              <w:t>Treatment interruption (B)</w:t>
            </w:r>
          </w:p>
        </w:tc>
        <w:tc>
          <w:tcPr>
            <w:tcW w:w="696" w:type="pct"/>
            <w:gridSpan w:val="2"/>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1.67%</w:t>
            </w:r>
          </w:p>
        </w:tc>
        <w:tc>
          <w:tcPr>
            <w:tcW w:w="696" w:type="pct"/>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3.30%</w:t>
            </w:r>
            <w:r w:rsidRPr="005728DD">
              <w:rPr>
                <w:b w:val="0"/>
                <w:bCs/>
                <w:vertAlign w:val="superscript"/>
                <w:lang w:val="en-AU"/>
              </w:rPr>
              <w:t>a</w:t>
            </w:r>
          </w:p>
        </w:tc>
        <w:tc>
          <w:tcPr>
            <w:tcW w:w="696" w:type="pct"/>
            <w:gridSpan w:val="2"/>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1.00%</w:t>
            </w:r>
          </w:p>
        </w:tc>
        <w:tc>
          <w:tcPr>
            <w:tcW w:w="650" w:type="pct"/>
            <w:gridSpan w:val="2"/>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r>
      <w:tr w:rsidR="00FF0E2C" w:rsidRPr="005728DD" w:rsidTr="00586BCB">
        <w:trPr>
          <w:gridAfter w:val="1"/>
          <w:wAfter w:w="4" w:type="pct"/>
          <w:cantSplit/>
          <w:tblHeader/>
          <w:jc w:val="center"/>
        </w:trPr>
        <w:tc>
          <w:tcPr>
            <w:tcW w:w="958" w:type="pct"/>
            <w:shd w:val="clear" w:color="auto" w:fill="auto"/>
            <w:tcMar>
              <w:left w:w="11" w:type="dxa"/>
              <w:right w:w="11" w:type="dxa"/>
            </w:tcMar>
            <w:vAlign w:val="center"/>
          </w:tcPr>
          <w:p w:rsidR="00FF0E2C" w:rsidRPr="005728DD" w:rsidRDefault="00FF0E2C" w:rsidP="00BE49EF">
            <w:pPr>
              <w:pStyle w:val="TableText0"/>
              <w:keepLines/>
            </w:pPr>
            <w:r w:rsidRPr="005728DD">
              <w:t>Compliance (C)</w:t>
            </w:r>
          </w:p>
        </w:tc>
        <w:tc>
          <w:tcPr>
            <w:tcW w:w="696" w:type="pct"/>
            <w:gridSpan w:val="2"/>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98.8%</w:t>
            </w:r>
          </w:p>
        </w:tc>
        <w:tc>
          <w:tcPr>
            <w:tcW w:w="696" w:type="pct"/>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90%</w:t>
            </w:r>
          </w:p>
        </w:tc>
        <w:tc>
          <w:tcPr>
            <w:tcW w:w="696" w:type="pct"/>
            <w:gridSpan w:val="2"/>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90%</w:t>
            </w:r>
          </w:p>
        </w:tc>
        <w:tc>
          <w:tcPr>
            <w:tcW w:w="650" w:type="pct"/>
            <w:gridSpan w:val="2"/>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c>
          <w:tcPr>
            <w:tcW w:w="650" w:type="pct"/>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c>
          <w:tcPr>
            <w:tcW w:w="650" w:type="pct"/>
            <w:gridSpan w:val="2"/>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lang w:val="en-AU"/>
              </w:rPr>
              <w:t>NA</w:t>
            </w:r>
          </w:p>
        </w:tc>
      </w:tr>
      <w:tr w:rsidR="00FF0E2C" w:rsidRPr="005728DD" w:rsidTr="00586BCB">
        <w:trPr>
          <w:gridAfter w:val="1"/>
          <w:wAfter w:w="4" w:type="pct"/>
          <w:cantSplit/>
          <w:tblHeader/>
          <w:jc w:val="center"/>
        </w:trPr>
        <w:tc>
          <w:tcPr>
            <w:tcW w:w="958" w:type="pct"/>
            <w:shd w:val="clear" w:color="auto" w:fill="auto"/>
            <w:tcMar>
              <w:left w:w="11" w:type="dxa"/>
              <w:right w:w="11" w:type="dxa"/>
            </w:tcMar>
            <w:vAlign w:val="center"/>
          </w:tcPr>
          <w:p w:rsidR="00FF0E2C" w:rsidRPr="005728DD" w:rsidRDefault="00FF0E2C" w:rsidP="00BE49EF">
            <w:pPr>
              <w:pStyle w:val="TableText0"/>
              <w:keepLines/>
            </w:pPr>
            <w:r w:rsidRPr="005728DD">
              <w:t>Cost/patient/ year (13.04 pack/year; D</w:t>
            </w:r>
          </w:p>
          <w:p w:rsidR="00FF0E2C" w:rsidRPr="005728DD" w:rsidRDefault="00FF0E2C" w:rsidP="00BE49EF">
            <w:pPr>
              <w:pStyle w:val="TableText0"/>
              <w:keepLines/>
            </w:pPr>
            <w:r w:rsidRPr="005728DD">
              <w:t>A*(1-B)*C*D</w:t>
            </w:r>
          </w:p>
        </w:tc>
        <w:tc>
          <w:tcPr>
            <w:tcW w:w="696" w:type="pct"/>
            <w:gridSpan w:val="2"/>
            <w:shd w:val="clear" w:color="auto" w:fill="auto"/>
            <w:tcMar>
              <w:left w:w="11" w:type="dxa"/>
              <w:right w:w="11" w:type="dxa"/>
            </w:tcMar>
            <w:vAlign w:val="center"/>
          </w:tcPr>
          <w:p w:rsidR="00FF0E2C" w:rsidRPr="00967E09" w:rsidRDefault="00FF0E2C"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shd w:val="clear" w:color="auto" w:fill="auto"/>
            <w:vAlign w:val="center"/>
          </w:tcPr>
          <w:p w:rsidR="00FF0E2C" w:rsidRPr="00967E09" w:rsidRDefault="00FF0E2C"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96" w:type="pct"/>
            <w:gridSpan w:val="2"/>
            <w:shd w:val="clear" w:color="auto" w:fill="auto"/>
            <w:vAlign w:val="center"/>
          </w:tcPr>
          <w:p w:rsidR="00FF0E2C" w:rsidRPr="00967E09" w:rsidRDefault="00FF0E2C" w:rsidP="00BE49EF">
            <w:pPr>
              <w:pStyle w:val="In-tableHeading"/>
              <w:keepLines/>
              <w:jc w:val="center"/>
              <w:rPr>
                <w:rFonts w:cs="Calibri"/>
                <w:b w:val="0"/>
                <w:color w:val="000000"/>
                <w:szCs w:val="20"/>
                <w:lang w:val="en-AU"/>
              </w:rPr>
            </w:pPr>
            <w:r w:rsidRPr="00C45F10">
              <w:rPr>
                <w:rFonts w:cs="Calibri"/>
                <w:b w:val="0"/>
                <w:color w:val="000000"/>
                <w:szCs w:val="20"/>
                <w:lang w:val="en-AU"/>
              </w:rPr>
              <w:t>$</w:t>
            </w:r>
            <w:r w:rsidR="00967E09">
              <w:rPr>
                <w:rFonts w:cs="Calibri"/>
                <w:b w:val="0"/>
                <w:noProof/>
                <w:color w:val="000000"/>
                <w:szCs w:val="20"/>
                <w:highlight w:val="black"/>
                <w:lang w:val="en-AU"/>
              </w:rPr>
              <w:t>'''''''''''''''''''</w:t>
            </w:r>
          </w:p>
        </w:tc>
        <w:tc>
          <w:tcPr>
            <w:tcW w:w="650" w:type="pct"/>
            <w:gridSpan w:val="2"/>
            <w:shd w:val="clear" w:color="auto" w:fill="auto"/>
            <w:tcMar>
              <w:left w:w="11" w:type="dxa"/>
              <w:right w:w="11" w:type="dxa"/>
            </w:tcMar>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iCs/>
                <w:lang w:val="en-AU"/>
              </w:rPr>
              <w:t>NA</w:t>
            </w:r>
          </w:p>
        </w:tc>
        <w:tc>
          <w:tcPr>
            <w:tcW w:w="650" w:type="pct"/>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iCs/>
                <w:lang w:val="en-AU"/>
              </w:rPr>
              <w:t>NA</w:t>
            </w:r>
          </w:p>
        </w:tc>
        <w:tc>
          <w:tcPr>
            <w:tcW w:w="650" w:type="pct"/>
            <w:gridSpan w:val="2"/>
            <w:shd w:val="clear" w:color="auto" w:fill="auto"/>
            <w:vAlign w:val="center"/>
          </w:tcPr>
          <w:p w:rsidR="00FF0E2C" w:rsidRPr="005728DD" w:rsidRDefault="00FF0E2C" w:rsidP="00BE49EF">
            <w:pPr>
              <w:pStyle w:val="In-tableHeading"/>
              <w:keepLines/>
              <w:jc w:val="center"/>
              <w:rPr>
                <w:rFonts w:cs="Calibri"/>
                <w:b w:val="0"/>
                <w:color w:val="000000"/>
                <w:szCs w:val="20"/>
                <w:lang w:val="en-AU"/>
              </w:rPr>
            </w:pPr>
            <w:r w:rsidRPr="005728DD">
              <w:rPr>
                <w:b w:val="0"/>
                <w:bCs/>
                <w:iCs/>
                <w:lang w:val="en-AU"/>
              </w:rPr>
              <w:t>NA</w:t>
            </w:r>
          </w:p>
        </w:tc>
      </w:tr>
    </w:tbl>
    <w:p w:rsidR="00AF4320" w:rsidRPr="005728DD" w:rsidRDefault="00494207" w:rsidP="00BE49EF">
      <w:pPr>
        <w:pStyle w:val="TableFigureFooter"/>
        <w:keepNext/>
        <w:keepLines/>
      </w:pPr>
      <w:r w:rsidRPr="005728DD">
        <w:t xml:space="preserve">Source: </w:t>
      </w:r>
      <w:r w:rsidR="004439FA" w:rsidRPr="005728DD">
        <w:t>developed during the evaluation</w:t>
      </w:r>
    </w:p>
    <w:p w:rsidR="004439FA" w:rsidRPr="005728DD" w:rsidRDefault="004439FA" w:rsidP="00BE49EF">
      <w:pPr>
        <w:pStyle w:val="TableFigureFooter"/>
        <w:keepNext/>
        <w:keepLines/>
      </w:pPr>
      <w:r w:rsidRPr="005728DD">
        <w:t xml:space="preserve">Abbreviations: </w:t>
      </w:r>
      <w:r w:rsidR="001B4079" w:rsidRPr="005728DD">
        <w:rPr>
          <w:sz w:val="20"/>
          <w:szCs w:val="20"/>
        </w:rPr>
        <w:t>ELX = ele</w:t>
      </w:r>
      <w:r w:rsidR="005B38D5" w:rsidRPr="005728DD">
        <w:rPr>
          <w:sz w:val="20"/>
          <w:szCs w:val="20"/>
        </w:rPr>
        <w:t>x</w:t>
      </w:r>
      <w:r w:rsidR="001B4079" w:rsidRPr="005728DD">
        <w:rPr>
          <w:sz w:val="20"/>
          <w:szCs w:val="20"/>
        </w:rPr>
        <w:t>acaftor; F/F = homozygous for F508del-CFTR mutations; F/MF = heterozygous for F508del-CFTR mutation with a second minimal function allele; F/RF = heterozygous for F508del-CFTR with a second residual function mutation; IVA = ivacaftor; mg = milligram; NA = not applicable; TEZ = tezacaftor</w:t>
      </w:r>
    </w:p>
    <w:p w:rsidR="00AF4320" w:rsidRPr="005728DD" w:rsidRDefault="00B8367C" w:rsidP="00BE49EF">
      <w:pPr>
        <w:pStyle w:val="TableFigureFooter"/>
        <w:keepNext/>
        <w:keepLines/>
      </w:pPr>
      <w:r w:rsidRPr="005728DD">
        <w:t xml:space="preserve">Note: </w:t>
      </w:r>
      <w:r w:rsidRPr="005728DD">
        <w:rPr>
          <w:bCs/>
          <w:vertAlign w:val="superscript"/>
        </w:rPr>
        <w:t>a</w:t>
      </w:r>
      <w:r w:rsidRPr="005728DD">
        <w:rPr>
          <w:bCs/>
        </w:rPr>
        <w:t xml:space="preserve"> applied only within trial period</w:t>
      </w:r>
      <w:r w:rsidR="00F4606B" w:rsidRPr="005728DD">
        <w:rPr>
          <w:bCs/>
        </w:rPr>
        <w:t xml:space="preserve">; </w:t>
      </w:r>
      <w:r w:rsidR="00F4606B" w:rsidRPr="005728DD">
        <w:rPr>
          <w:bCs/>
          <w:vertAlign w:val="superscript"/>
        </w:rPr>
        <w:t>b</w:t>
      </w:r>
      <w:r w:rsidR="00F4606B" w:rsidRPr="005728DD">
        <w:rPr>
          <w:bCs/>
        </w:rPr>
        <w:t xml:space="preserve"> 11 pack/year maximum</w:t>
      </w:r>
      <w:r w:rsidR="00142556" w:rsidRPr="005728DD">
        <w:rPr>
          <w:bCs/>
        </w:rPr>
        <w:t xml:space="preserve">; </w:t>
      </w:r>
    </w:p>
    <w:p w:rsidR="00B60939" w:rsidRPr="005728DD" w:rsidRDefault="00B60939" w:rsidP="002B05A1">
      <w:pPr>
        <w:pStyle w:val="4-SubsectionHeading"/>
      </w:pPr>
      <w:bookmarkStart w:id="46" w:name="_Toc22897647"/>
      <w:bookmarkStart w:id="47" w:name="_Toc62035736"/>
      <w:r w:rsidRPr="005728DD">
        <w:t>Estimated PBS usage &amp; financial implications</w:t>
      </w:r>
      <w:bookmarkEnd w:id="46"/>
      <w:bookmarkEnd w:id="47"/>
    </w:p>
    <w:p w:rsidR="00BA23FF" w:rsidRPr="005728DD" w:rsidRDefault="00C25D9C" w:rsidP="00E1386C">
      <w:pPr>
        <w:pStyle w:val="3-BodyText"/>
      </w:pPr>
      <w:r w:rsidRPr="005728DD">
        <w:t xml:space="preserve">This submission </w:t>
      </w:r>
      <w:r w:rsidR="00D23A74" w:rsidRPr="005728DD">
        <w:t xml:space="preserve">was </w:t>
      </w:r>
      <w:r w:rsidRPr="005728DD">
        <w:t xml:space="preserve">not considered by </w:t>
      </w:r>
      <w:r w:rsidR="00C30221" w:rsidRPr="005728DD">
        <w:t xml:space="preserve">the </w:t>
      </w:r>
      <w:r w:rsidR="00C30221" w:rsidRPr="005728DD">
        <w:rPr>
          <w:iCs/>
        </w:rPr>
        <w:t>Drug Utilisation Sub Committee</w:t>
      </w:r>
      <w:r w:rsidR="00C30221" w:rsidRPr="005728DD">
        <w:t xml:space="preserve"> (</w:t>
      </w:r>
      <w:r w:rsidRPr="005728DD">
        <w:t>DUSC</w:t>
      </w:r>
      <w:r w:rsidR="00C30221" w:rsidRPr="005728DD">
        <w:t>)</w:t>
      </w:r>
      <w:r w:rsidRPr="005728DD">
        <w:t>.</w:t>
      </w:r>
      <w:r w:rsidR="00BC591F" w:rsidRPr="005728DD">
        <w:t xml:space="preserve"> </w:t>
      </w:r>
      <w:r w:rsidR="003A0F1F" w:rsidRPr="005728DD">
        <w:t xml:space="preserve">The submission used an epidemiological approach to estimate the financial impact of the proposed listing. A summary of the data sources and parameter values applied in the financial estimates is presented in </w:t>
      </w:r>
      <w:r w:rsidR="005C56C0" w:rsidRPr="005728DD">
        <w:t xml:space="preserve">Table </w:t>
      </w:r>
      <w:r w:rsidR="005C56C0">
        <w:rPr>
          <w:noProof/>
        </w:rPr>
        <w:t>23</w:t>
      </w:r>
      <w:r w:rsidR="003A0F1F" w:rsidRPr="005728DD">
        <w:t>.</w:t>
      </w:r>
    </w:p>
    <w:p w:rsidR="00E42F73" w:rsidRPr="005728DD" w:rsidRDefault="00594A70" w:rsidP="007925DF">
      <w:pPr>
        <w:pStyle w:val="TableFigureHeading"/>
        <w:rPr>
          <w:rStyle w:val="CommentReference"/>
          <w:b/>
          <w:szCs w:val="24"/>
        </w:rPr>
      </w:pPr>
      <w:bookmarkStart w:id="48" w:name="_Ref64497856"/>
      <w:r w:rsidRPr="005728DD">
        <w:lastRenderedPageBreak/>
        <w:t xml:space="preserve">Table </w:t>
      </w:r>
      <w:r w:rsidR="005C56C0">
        <w:rPr>
          <w:noProof/>
        </w:rPr>
        <w:t>23</w:t>
      </w:r>
      <w:bookmarkEnd w:id="48"/>
      <w:r w:rsidR="00F5166C" w:rsidRPr="005728DD">
        <w:rPr>
          <w:rStyle w:val="CommentReference"/>
          <w:b/>
          <w:szCs w:val="24"/>
        </w:rPr>
        <w:t xml:space="preserve">: </w:t>
      </w:r>
      <w:r w:rsidR="00E42F73" w:rsidRPr="005728DD">
        <w:rPr>
          <w:rStyle w:val="CommentReference"/>
          <w:b/>
          <w:szCs w:val="24"/>
        </w:rPr>
        <w:t>Key inputs for financial estimates</w:t>
      </w:r>
    </w:p>
    <w:tbl>
      <w:tblPr>
        <w:tblStyle w:val="HTATableshaded"/>
        <w:tblW w:w="9351" w:type="dxa"/>
        <w:tblLayout w:type="fixed"/>
        <w:tblLook w:val="04A0" w:firstRow="1" w:lastRow="0" w:firstColumn="1" w:lastColumn="0" w:noHBand="0" w:noVBand="1"/>
        <w:tblCaption w:val="Table 23: Key inputs for financial estimates"/>
      </w:tblPr>
      <w:tblGrid>
        <w:gridCol w:w="1555"/>
        <w:gridCol w:w="1134"/>
        <w:gridCol w:w="861"/>
        <w:gridCol w:w="861"/>
        <w:gridCol w:w="861"/>
        <w:gridCol w:w="819"/>
        <w:gridCol w:w="3260"/>
      </w:tblGrid>
      <w:tr w:rsidR="00AF6236" w:rsidRPr="005728DD" w:rsidTr="00C24A1D">
        <w:trPr>
          <w:cnfStyle w:val="100000000000" w:firstRow="1" w:lastRow="0" w:firstColumn="0" w:lastColumn="0" w:oddVBand="0" w:evenVBand="0" w:oddHBand="0" w:evenHBand="0" w:firstRowFirstColumn="0" w:firstRowLastColumn="0" w:lastRowFirstColumn="0" w:lastRowLastColumn="0"/>
          <w:tblHeader/>
        </w:trPr>
        <w:tc>
          <w:tcPr>
            <w:tcW w:w="1555" w:type="dxa"/>
            <w:hideMark/>
          </w:tcPr>
          <w:p w:rsidR="00F5166C" w:rsidRPr="005728DD" w:rsidRDefault="00F5166C" w:rsidP="0012711C">
            <w:pPr>
              <w:pStyle w:val="TableHeadingleft"/>
              <w:keepNext/>
              <w:spacing w:before="0" w:after="0"/>
              <w:rPr>
                <w:szCs w:val="20"/>
                <w:lang w:val="en-AU"/>
              </w:rPr>
            </w:pPr>
            <w:r w:rsidRPr="005728DD">
              <w:rPr>
                <w:rFonts w:ascii="Arial Narrow" w:hAnsi="Arial Narrow"/>
                <w:sz w:val="20"/>
                <w:szCs w:val="20"/>
                <w:lang w:val="en-AU"/>
              </w:rPr>
              <w:t>Parameter</w:t>
            </w:r>
          </w:p>
        </w:tc>
        <w:tc>
          <w:tcPr>
            <w:tcW w:w="1134" w:type="dxa"/>
            <w:hideMark/>
          </w:tcPr>
          <w:p w:rsidR="00F5166C" w:rsidRPr="005728DD" w:rsidRDefault="00F5166C" w:rsidP="0012711C">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Source</w:t>
            </w:r>
          </w:p>
        </w:tc>
        <w:tc>
          <w:tcPr>
            <w:tcW w:w="3402" w:type="dxa"/>
            <w:gridSpan w:val="4"/>
            <w:hideMark/>
          </w:tcPr>
          <w:p w:rsidR="00F5166C" w:rsidRPr="005728DD" w:rsidRDefault="00F5166C" w:rsidP="0012711C">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Estimate</w:t>
            </w:r>
          </w:p>
        </w:tc>
        <w:tc>
          <w:tcPr>
            <w:tcW w:w="3260" w:type="dxa"/>
            <w:hideMark/>
          </w:tcPr>
          <w:p w:rsidR="00F5166C" w:rsidRPr="005728DD" w:rsidRDefault="00F5166C" w:rsidP="0012711C">
            <w:pPr>
              <w:pStyle w:val="Tableheadingcent"/>
              <w:spacing w:before="0" w:after="0"/>
              <w:rPr>
                <w:rFonts w:ascii="Arial Narrow" w:hAnsi="Arial Narrow"/>
                <w:sz w:val="20"/>
                <w:szCs w:val="20"/>
                <w:lang w:val="en-AU" w:eastAsia="en-GB"/>
              </w:rPr>
            </w:pPr>
            <w:r w:rsidRPr="005728DD">
              <w:rPr>
                <w:rFonts w:ascii="Arial Narrow" w:hAnsi="Arial Narrow"/>
                <w:bCs/>
                <w:sz w:val="20"/>
                <w:szCs w:val="20"/>
                <w:lang w:val="en-AU"/>
              </w:rPr>
              <w:t>Comments</w:t>
            </w:r>
          </w:p>
        </w:tc>
      </w:tr>
      <w:tr w:rsidR="00AF6236" w:rsidRPr="005728DD" w:rsidTr="00C24A1D">
        <w:tc>
          <w:tcPr>
            <w:tcW w:w="1555" w:type="dxa"/>
          </w:tcPr>
          <w:p w:rsidR="00AF6236" w:rsidRPr="005728DD" w:rsidRDefault="00AF6236" w:rsidP="0012711C">
            <w:pPr>
              <w:pStyle w:val="Tabletextleft"/>
              <w:spacing w:before="0" w:after="0"/>
              <w:rPr>
                <w:rFonts w:ascii="Arial Narrow" w:hAnsi="Arial Narrow"/>
                <w:color w:val="000000" w:themeColor="text1"/>
                <w:sz w:val="20"/>
              </w:rPr>
            </w:pPr>
          </w:p>
        </w:tc>
        <w:tc>
          <w:tcPr>
            <w:tcW w:w="1134" w:type="dxa"/>
          </w:tcPr>
          <w:p w:rsidR="00AF6236" w:rsidRPr="005728DD" w:rsidRDefault="00AF6236" w:rsidP="0012711C">
            <w:pPr>
              <w:pStyle w:val="Tabletextcent"/>
              <w:spacing w:before="0" w:after="0"/>
              <w:rPr>
                <w:rFonts w:ascii="Arial Narrow" w:hAnsi="Arial Narrow"/>
                <w:sz w:val="20"/>
                <w:lang w:val="en-AU"/>
              </w:rPr>
            </w:pPr>
          </w:p>
        </w:tc>
        <w:tc>
          <w:tcPr>
            <w:tcW w:w="861" w:type="dxa"/>
          </w:tcPr>
          <w:p w:rsidR="00AF6236" w:rsidRPr="005728DD" w:rsidRDefault="00AF6236" w:rsidP="0012711C">
            <w:pPr>
              <w:pStyle w:val="Tabletextcent"/>
              <w:spacing w:before="0" w:after="0"/>
              <w:rPr>
                <w:rFonts w:ascii="Arial Narrow" w:hAnsi="Arial Narrow"/>
                <w:b/>
                <w:sz w:val="20"/>
                <w:lang w:val="en-AU"/>
              </w:rPr>
            </w:pPr>
            <w:r w:rsidRPr="005728DD">
              <w:rPr>
                <w:rFonts w:ascii="Arial Narrow" w:hAnsi="Arial Narrow"/>
                <w:b/>
                <w:sz w:val="20"/>
                <w:lang w:val="en-AU"/>
              </w:rPr>
              <w:t>F/F</w:t>
            </w:r>
          </w:p>
        </w:tc>
        <w:tc>
          <w:tcPr>
            <w:tcW w:w="861" w:type="dxa"/>
          </w:tcPr>
          <w:p w:rsidR="00AF6236" w:rsidRPr="005728DD" w:rsidRDefault="00AF6236" w:rsidP="0012711C">
            <w:pPr>
              <w:pStyle w:val="Tabletextcent"/>
              <w:spacing w:before="0" w:after="0"/>
              <w:rPr>
                <w:rFonts w:ascii="Arial Narrow" w:hAnsi="Arial Narrow"/>
                <w:b/>
                <w:sz w:val="20"/>
                <w:lang w:val="en-AU"/>
              </w:rPr>
            </w:pPr>
            <w:r w:rsidRPr="005728DD">
              <w:rPr>
                <w:rFonts w:ascii="Arial Narrow" w:hAnsi="Arial Narrow"/>
                <w:b/>
                <w:sz w:val="20"/>
                <w:lang w:val="en-AU"/>
              </w:rPr>
              <w:t>F/RF</w:t>
            </w:r>
          </w:p>
        </w:tc>
        <w:tc>
          <w:tcPr>
            <w:tcW w:w="861" w:type="dxa"/>
          </w:tcPr>
          <w:p w:rsidR="00AF6236" w:rsidRPr="005728DD" w:rsidRDefault="00AF6236" w:rsidP="0012711C">
            <w:pPr>
              <w:pStyle w:val="Tabletextcent"/>
              <w:spacing w:before="0" w:after="0"/>
              <w:rPr>
                <w:rFonts w:ascii="Arial Narrow" w:hAnsi="Arial Narrow"/>
                <w:b/>
                <w:sz w:val="20"/>
                <w:lang w:val="en-AU"/>
              </w:rPr>
            </w:pPr>
            <w:r w:rsidRPr="005728DD">
              <w:rPr>
                <w:rFonts w:ascii="Arial Narrow" w:hAnsi="Arial Narrow"/>
                <w:b/>
                <w:sz w:val="20"/>
                <w:lang w:val="en-AU"/>
              </w:rPr>
              <w:t>F/G</w:t>
            </w:r>
          </w:p>
        </w:tc>
        <w:tc>
          <w:tcPr>
            <w:tcW w:w="819" w:type="dxa"/>
          </w:tcPr>
          <w:p w:rsidR="00AF6236" w:rsidRPr="005728DD" w:rsidRDefault="00AF6236" w:rsidP="0012711C">
            <w:pPr>
              <w:pStyle w:val="Tabletextcent"/>
              <w:spacing w:before="0" w:after="0"/>
              <w:rPr>
                <w:rFonts w:ascii="Arial Narrow" w:hAnsi="Arial Narrow"/>
                <w:b/>
                <w:sz w:val="20"/>
                <w:lang w:val="en-AU"/>
              </w:rPr>
            </w:pPr>
            <w:r w:rsidRPr="005728DD">
              <w:rPr>
                <w:rFonts w:ascii="Arial Narrow" w:hAnsi="Arial Narrow"/>
                <w:b/>
                <w:sz w:val="20"/>
                <w:lang w:val="en-AU"/>
              </w:rPr>
              <w:t>F/MF</w:t>
            </w:r>
          </w:p>
        </w:tc>
        <w:tc>
          <w:tcPr>
            <w:tcW w:w="3260" w:type="dxa"/>
          </w:tcPr>
          <w:p w:rsidR="00AF6236" w:rsidRPr="005728DD" w:rsidRDefault="00AF6236" w:rsidP="0010549D">
            <w:pPr>
              <w:pStyle w:val="Tabletextcent"/>
              <w:spacing w:before="0" w:after="0"/>
              <w:jc w:val="both"/>
              <w:rPr>
                <w:rFonts w:ascii="Arial Narrow" w:hAnsi="Arial Narrow"/>
                <w:iCs/>
                <w:sz w:val="20"/>
                <w:lang w:val="en-AU"/>
              </w:rPr>
            </w:pPr>
          </w:p>
        </w:tc>
      </w:tr>
      <w:tr w:rsidR="00AF6236" w:rsidRPr="005728DD" w:rsidTr="00C24A1D">
        <w:tc>
          <w:tcPr>
            <w:tcW w:w="1555" w:type="dxa"/>
            <w:hideMark/>
          </w:tcPr>
          <w:p w:rsidR="00AF6236" w:rsidRPr="005728DD" w:rsidRDefault="00AF6236" w:rsidP="0012711C">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Eligible patients</w:t>
            </w:r>
          </w:p>
        </w:tc>
        <w:tc>
          <w:tcPr>
            <w:tcW w:w="1134" w:type="dxa"/>
            <w:hideMark/>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ACFDR 2013–2017</w:t>
            </w:r>
          </w:p>
        </w:tc>
        <w:tc>
          <w:tcPr>
            <w:tcW w:w="3402" w:type="dxa"/>
            <w:gridSpan w:val="4"/>
            <w:hideMark/>
          </w:tcPr>
          <w:p w:rsidR="00AF6236" w:rsidRPr="005728DD" w:rsidRDefault="00AF6236" w:rsidP="0012711C">
            <w:pPr>
              <w:pStyle w:val="Tabletextcent"/>
              <w:spacing w:before="0" w:after="0"/>
              <w:rPr>
                <w:rFonts w:ascii="Arial Narrow" w:hAnsi="Arial Narrow"/>
                <w:sz w:val="20"/>
                <w:lang w:val="en-AU"/>
              </w:rPr>
            </w:pPr>
            <w:r w:rsidRPr="00A1225F">
              <w:rPr>
                <w:rFonts w:ascii="Arial Narrow" w:hAnsi="Arial Narrow"/>
                <w:sz w:val="20"/>
                <w:lang w:val="en-AU"/>
              </w:rPr>
              <w:t>2,182</w:t>
            </w:r>
            <w:r w:rsidRPr="005728DD">
              <w:rPr>
                <w:rFonts w:ascii="Arial Narrow" w:hAnsi="Arial Narrow"/>
                <w:sz w:val="20"/>
                <w:lang w:val="en-AU"/>
              </w:rPr>
              <w:t xml:space="preserve"> patients </w:t>
            </w:r>
          </w:p>
        </w:tc>
        <w:tc>
          <w:tcPr>
            <w:tcW w:w="3260" w:type="dxa"/>
            <w:hideMark/>
          </w:tcPr>
          <w:p w:rsidR="00AF6236" w:rsidRPr="005728DD" w:rsidRDefault="00AF6236" w:rsidP="00181132">
            <w:pPr>
              <w:pStyle w:val="Tabletextcent"/>
              <w:spacing w:before="0" w:after="0"/>
              <w:jc w:val="both"/>
              <w:rPr>
                <w:rFonts w:ascii="Arial Narrow" w:hAnsi="Arial Narrow"/>
                <w:i/>
                <w:iCs/>
                <w:color w:val="FF0000"/>
                <w:sz w:val="20"/>
                <w:lang w:val="en-AU"/>
              </w:rPr>
            </w:pPr>
            <w:r w:rsidRPr="005728DD">
              <w:rPr>
                <w:rFonts w:ascii="Arial Narrow" w:hAnsi="Arial Narrow"/>
                <w:iCs/>
                <w:sz w:val="20"/>
                <w:lang w:val="en-AU"/>
              </w:rPr>
              <w:t xml:space="preserve">Number of CF patients over 12 years of age with at least one F508del, who have not received an organ transplant. </w:t>
            </w:r>
          </w:p>
        </w:tc>
      </w:tr>
      <w:tr w:rsidR="00AF6236" w:rsidRPr="005728DD" w:rsidTr="00C24A1D">
        <w:tc>
          <w:tcPr>
            <w:tcW w:w="1555" w:type="dxa"/>
          </w:tcPr>
          <w:p w:rsidR="00AF6236" w:rsidRPr="005728DD" w:rsidRDefault="00AF6236" w:rsidP="0012711C">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Number of net new patients </w:t>
            </w:r>
          </w:p>
        </w:tc>
        <w:tc>
          <w:tcPr>
            <w:tcW w:w="1134" w:type="dxa"/>
          </w:tcPr>
          <w:p w:rsidR="00AF6236" w:rsidRPr="00C60BF8" w:rsidRDefault="00AF6236" w:rsidP="00C60BF8">
            <w:pPr>
              <w:pStyle w:val="Tabletextcent"/>
              <w:spacing w:before="0" w:after="0"/>
              <w:rPr>
                <w:rFonts w:ascii="Arial Narrow" w:hAnsi="Arial Narrow"/>
                <w:sz w:val="20"/>
                <w:vertAlign w:val="superscript"/>
                <w:lang w:val="en-AU"/>
              </w:rPr>
            </w:pPr>
            <w:r w:rsidRPr="005728DD">
              <w:rPr>
                <w:rFonts w:ascii="Arial Narrow" w:hAnsi="Arial Narrow"/>
                <w:sz w:val="20"/>
                <w:lang w:val="en-AU"/>
              </w:rPr>
              <w:t xml:space="preserve">ACFDR </w:t>
            </w:r>
          </w:p>
        </w:tc>
        <w:tc>
          <w:tcPr>
            <w:tcW w:w="3402" w:type="dxa"/>
            <w:gridSpan w:val="4"/>
          </w:tcPr>
          <w:p w:rsidR="00AF6236" w:rsidRPr="005728DD" w:rsidRDefault="00AF6236" w:rsidP="0012711C">
            <w:pPr>
              <w:pStyle w:val="Tabletextcent"/>
              <w:spacing w:before="0" w:after="0"/>
              <w:rPr>
                <w:rFonts w:ascii="Arial Narrow" w:hAnsi="Arial Narrow"/>
                <w:sz w:val="20"/>
                <w:lang w:val="en-AU"/>
              </w:rPr>
            </w:pPr>
            <w:r w:rsidRPr="00A1225F">
              <w:rPr>
                <w:rFonts w:ascii="Arial Narrow" w:hAnsi="Arial Narrow"/>
                <w:sz w:val="20"/>
                <w:lang w:val="en-AU"/>
              </w:rPr>
              <w:t>59</w:t>
            </w:r>
            <w:r w:rsidRPr="005728DD">
              <w:rPr>
                <w:rFonts w:ascii="Arial Narrow" w:hAnsi="Arial Narrow"/>
                <w:sz w:val="20"/>
                <w:lang w:val="en-AU"/>
              </w:rPr>
              <w:t>/year</w:t>
            </w:r>
          </w:p>
        </w:tc>
        <w:tc>
          <w:tcPr>
            <w:tcW w:w="3260" w:type="dxa"/>
          </w:tcPr>
          <w:p w:rsidR="00AF6236" w:rsidRPr="005728DD" w:rsidRDefault="00AF6236" w:rsidP="00181132">
            <w:pPr>
              <w:pStyle w:val="Tabletextcent"/>
              <w:spacing w:before="0" w:after="0"/>
              <w:jc w:val="both"/>
              <w:rPr>
                <w:rFonts w:ascii="Arial Narrow" w:hAnsi="Arial Narrow"/>
                <w:iCs/>
                <w:sz w:val="20"/>
                <w:lang w:val="en-AU"/>
              </w:rPr>
            </w:pPr>
          </w:p>
        </w:tc>
      </w:tr>
      <w:tr w:rsidR="00AF6236" w:rsidRPr="005728DD" w:rsidTr="00C24A1D">
        <w:tc>
          <w:tcPr>
            <w:tcW w:w="1555" w:type="dxa"/>
            <w:hideMark/>
          </w:tcPr>
          <w:p w:rsidR="00AF6236" w:rsidRPr="005728DD" w:rsidRDefault="00AF6236" w:rsidP="0012711C">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subpopulations </w:t>
            </w:r>
          </w:p>
        </w:tc>
        <w:tc>
          <w:tcPr>
            <w:tcW w:w="1134" w:type="dxa"/>
            <w:hideMark/>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ACFDR data request</w:t>
            </w:r>
          </w:p>
        </w:tc>
        <w:tc>
          <w:tcPr>
            <w:tcW w:w="861" w:type="dxa"/>
            <w:hideMark/>
          </w:tcPr>
          <w:p w:rsidR="00AF6236" w:rsidRPr="005728DD" w:rsidRDefault="00AF6236" w:rsidP="00AF6236">
            <w:pPr>
              <w:pStyle w:val="Tabletextcent"/>
              <w:spacing w:before="0" w:after="0"/>
              <w:rPr>
                <w:rFonts w:ascii="Arial Narrow" w:hAnsi="Arial Narrow"/>
                <w:sz w:val="20"/>
                <w:lang w:val="en-AU"/>
              </w:rPr>
            </w:pPr>
            <w:r w:rsidRPr="005728DD">
              <w:rPr>
                <w:rFonts w:ascii="Arial Narrow" w:hAnsi="Arial Narrow"/>
                <w:sz w:val="20"/>
                <w:lang w:val="en-AU"/>
              </w:rPr>
              <w:t xml:space="preserve">53.2% </w:t>
            </w:r>
          </w:p>
        </w:tc>
        <w:tc>
          <w:tcPr>
            <w:tcW w:w="861" w:type="dxa"/>
          </w:tcPr>
          <w:p w:rsidR="00AF6236" w:rsidRPr="005728DD" w:rsidRDefault="00AF6236" w:rsidP="00AF6236">
            <w:pPr>
              <w:pStyle w:val="Tabletextcent"/>
              <w:spacing w:before="0" w:after="0"/>
              <w:rPr>
                <w:rFonts w:ascii="Arial Narrow" w:hAnsi="Arial Narrow"/>
                <w:sz w:val="20"/>
                <w:lang w:val="en-AU"/>
              </w:rPr>
            </w:pPr>
            <w:r w:rsidRPr="005728DD">
              <w:rPr>
                <w:rFonts w:ascii="Arial Narrow" w:hAnsi="Arial Narrow"/>
                <w:sz w:val="20"/>
                <w:lang w:val="en-AU"/>
              </w:rPr>
              <w:t xml:space="preserve">5.5% </w:t>
            </w:r>
          </w:p>
        </w:tc>
        <w:tc>
          <w:tcPr>
            <w:tcW w:w="861" w:type="dxa"/>
          </w:tcPr>
          <w:p w:rsidR="00AF6236" w:rsidRPr="005728DD" w:rsidRDefault="00AF6236" w:rsidP="00AF6236">
            <w:pPr>
              <w:pStyle w:val="Tabletextcent"/>
              <w:spacing w:before="0" w:after="0"/>
              <w:rPr>
                <w:rFonts w:ascii="Arial Narrow" w:hAnsi="Arial Narrow"/>
                <w:sz w:val="20"/>
                <w:lang w:val="en-AU"/>
              </w:rPr>
            </w:pPr>
            <w:r w:rsidRPr="005728DD">
              <w:rPr>
                <w:rFonts w:ascii="Arial Narrow" w:hAnsi="Arial Narrow"/>
                <w:sz w:val="20"/>
                <w:lang w:val="en-AU"/>
              </w:rPr>
              <w:t xml:space="preserve">7.5% </w:t>
            </w:r>
          </w:p>
        </w:tc>
        <w:tc>
          <w:tcPr>
            <w:tcW w:w="819" w:type="dxa"/>
          </w:tcPr>
          <w:p w:rsidR="00AF6236" w:rsidRPr="005728DD" w:rsidRDefault="00AF6236" w:rsidP="00AF6236">
            <w:pPr>
              <w:pStyle w:val="Tabletextcent"/>
              <w:spacing w:before="0" w:after="0"/>
              <w:rPr>
                <w:rFonts w:ascii="Arial Narrow" w:hAnsi="Arial Narrow"/>
                <w:sz w:val="20"/>
                <w:lang w:val="en-AU"/>
              </w:rPr>
            </w:pPr>
            <w:r w:rsidRPr="005728DD">
              <w:rPr>
                <w:rFonts w:ascii="Arial Narrow" w:hAnsi="Arial Narrow"/>
                <w:sz w:val="20"/>
                <w:lang w:val="en-AU"/>
              </w:rPr>
              <w:t>33.8%</w:t>
            </w:r>
          </w:p>
          <w:p w:rsidR="002D5D52" w:rsidRPr="005728DD" w:rsidRDefault="002D5D52" w:rsidP="00AF6236">
            <w:pPr>
              <w:pStyle w:val="Tabletextcent"/>
              <w:spacing w:before="0" w:after="0"/>
              <w:rPr>
                <w:rFonts w:ascii="Arial Narrow" w:hAnsi="Arial Narrow"/>
                <w:sz w:val="20"/>
                <w:lang w:val="en-AU"/>
              </w:rPr>
            </w:pPr>
            <w:r w:rsidRPr="005728DD">
              <w:rPr>
                <w:rFonts w:ascii="Arial Narrow" w:hAnsi="Arial Narrow"/>
                <w:sz w:val="20"/>
                <w:lang w:val="en-AU"/>
              </w:rPr>
              <w:t>(17.8% F/MF and 16% F/not yet)</w:t>
            </w:r>
          </w:p>
        </w:tc>
        <w:tc>
          <w:tcPr>
            <w:tcW w:w="3260" w:type="dxa"/>
            <w:hideMark/>
          </w:tcPr>
          <w:p w:rsidR="00AF6236" w:rsidRPr="005728DD" w:rsidRDefault="00AF6236" w:rsidP="003B60F9">
            <w:pPr>
              <w:pStyle w:val="Tabletextcent"/>
              <w:spacing w:before="0" w:after="0"/>
              <w:jc w:val="both"/>
              <w:rPr>
                <w:rFonts w:ascii="Arial Narrow" w:hAnsi="Arial Narrow"/>
                <w:iCs/>
                <w:sz w:val="20"/>
                <w:lang w:val="en-AU"/>
              </w:rPr>
            </w:pPr>
            <w:r w:rsidRPr="005728DD">
              <w:rPr>
                <w:rFonts w:ascii="Arial Narrow" w:hAnsi="Arial Narrow"/>
                <w:iCs/>
                <w:sz w:val="20"/>
                <w:lang w:val="en-AU"/>
              </w:rPr>
              <w:t>The number of patients for F/MF likely overestimated as the submission included mutation-unidentified patients in F/MF. F/MF represents only 21% of known mutation in Australia.</w:t>
            </w:r>
            <w:r w:rsidR="008B5EF9" w:rsidRPr="005728DD">
              <w:rPr>
                <w:rFonts w:ascii="Arial Narrow" w:hAnsi="Arial Narrow"/>
                <w:iCs/>
                <w:sz w:val="20"/>
                <w:lang w:val="en-AU"/>
              </w:rPr>
              <w:t xml:space="preserve"> </w:t>
            </w:r>
          </w:p>
        </w:tc>
      </w:tr>
      <w:tr w:rsidR="00AF6236" w:rsidRPr="005728DD" w:rsidTr="00C24A1D">
        <w:tc>
          <w:tcPr>
            <w:tcW w:w="1555" w:type="dxa"/>
          </w:tcPr>
          <w:p w:rsidR="004770AF" w:rsidRPr="005728DD" w:rsidRDefault="004770AF" w:rsidP="0012711C">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Compliance rate for ELX/TEZ/IVA</w:t>
            </w:r>
          </w:p>
        </w:tc>
        <w:tc>
          <w:tcPr>
            <w:tcW w:w="1134" w:type="dxa"/>
          </w:tcPr>
          <w:p w:rsidR="004770AF" w:rsidRPr="005728DD" w:rsidRDefault="004770AF" w:rsidP="0012711C">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3402" w:type="dxa"/>
            <w:gridSpan w:val="4"/>
          </w:tcPr>
          <w:p w:rsidR="004770AF" w:rsidRPr="005728DD" w:rsidRDefault="004770AF" w:rsidP="0012711C">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3260" w:type="dxa"/>
          </w:tcPr>
          <w:p w:rsidR="004770AF" w:rsidRPr="005728DD" w:rsidRDefault="004770AF" w:rsidP="003A4DE2">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Same as in the economic model. </w:t>
            </w:r>
          </w:p>
        </w:tc>
      </w:tr>
      <w:tr w:rsidR="00AF6236" w:rsidRPr="005728DD" w:rsidTr="00C24A1D">
        <w:tc>
          <w:tcPr>
            <w:tcW w:w="1555" w:type="dxa"/>
            <w:hideMark/>
          </w:tcPr>
          <w:p w:rsidR="00AF6236" w:rsidRPr="005728DD" w:rsidRDefault="00AF6236" w:rsidP="0012711C">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Discontinuation rate (yearly) for ELX/TEZ/IVA</w:t>
            </w:r>
          </w:p>
        </w:tc>
        <w:tc>
          <w:tcPr>
            <w:tcW w:w="1134" w:type="dxa"/>
            <w:hideMark/>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Study 109, Study 104, Study 102</w:t>
            </w:r>
          </w:p>
        </w:tc>
        <w:tc>
          <w:tcPr>
            <w:tcW w:w="861" w:type="dxa"/>
            <w:hideMark/>
          </w:tcPr>
          <w:p w:rsidR="00AF6236" w:rsidRPr="005728DD" w:rsidRDefault="00AF6236" w:rsidP="00AF6236">
            <w:pPr>
              <w:pStyle w:val="Tabletextcent"/>
              <w:spacing w:before="0" w:after="0"/>
              <w:rPr>
                <w:rFonts w:ascii="Arial Narrow" w:hAnsi="Arial Narrow"/>
                <w:sz w:val="20"/>
                <w:lang w:val="en-AU"/>
              </w:rPr>
            </w:pPr>
            <w:r w:rsidRPr="005728DD">
              <w:rPr>
                <w:rFonts w:ascii="Arial Narrow" w:hAnsi="Arial Narrow"/>
                <w:sz w:val="20"/>
                <w:lang w:val="en-AU"/>
              </w:rPr>
              <w:t xml:space="preserve">1.1% </w:t>
            </w:r>
          </w:p>
        </w:tc>
        <w:tc>
          <w:tcPr>
            <w:tcW w:w="861" w:type="dxa"/>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61" w:type="dxa"/>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0.8%</w:t>
            </w:r>
          </w:p>
        </w:tc>
        <w:tc>
          <w:tcPr>
            <w:tcW w:w="819" w:type="dxa"/>
          </w:tcPr>
          <w:p w:rsidR="00AF6236" w:rsidRPr="005728DD" w:rsidRDefault="00AF6236" w:rsidP="0012711C">
            <w:pPr>
              <w:pStyle w:val="Tabletextcent"/>
              <w:spacing w:before="0" w:after="0"/>
              <w:rPr>
                <w:rFonts w:ascii="Arial Narrow" w:hAnsi="Arial Narrow"/>
                <w:sz w:val="20"/>
                <w:lang w:val="en-AU"/>
              </w:rPr>
            </w:pPr>
            <w:r w:rsidRPr="005728DD">
              <w:rPr>
                <w:rFonts w:ascii="Arial Narrow" w:hAnsi="Arial Narrow"/>
                <w:sz w:val="20"/>
                <w:lang w:val="en-AU"/>
              </w:rPr>
              <w:t>1.0%</w:t>
            </w:r>
          </w:p>
        </w:tc>
        <w:tc>
          <w:tcPr>
            <w:tcW w:w="3260" w:type="dxa"/>
            <w:hideMark/>
          </w:tcPr>
          <w:p w:rsidR="00AF6236" w:rsidRPr="005728DD" w:rsidRDefault="00AF6236" w:rsidP="00CD2496">
            <w:pPr>
              <w:pStyle w:val="Tabletextcent"/>
              <w:spacing w:before="0" w:after="0"/>
              <w:jc w:val="left"/>
              <w:rPr>
                <w:rFonts w:ascii="Arial Narrow" w:hAnsi="Arial Narrow"/>
                <w:iCs/>
                <w:sz w:val="20"/>
                <w:lang w:val="en-AU"/>
              </w:rPr>
            </w:pPr>
            <w:r w:rsidRPr="005728DD">
              <w:rPr>
                <w:rFonts w:ascii="Arial Narrow" w:hAnsi="Arial Narrow"/>
                <w:iCs/>
                <w:sz w:val="20"/>
                <w:lang w:val="en-AU"/>
              </w:rPr>
              <w:t xml:space="preserve">Higher discontinuation rates were presented to the PBAC in previous CFTR submission (6.8% from TRAFFIC and TRANSPORT and 14.9% from PROGRESS; paragraph 6.68, </w:t>
            </w:r>
            <w:r w:rsidR="00CD2496" w:rsidRPr="005728DD">
              <w:rPr>
                <w:rFonts w:ascii="Arial Narrow" w:hAnsi="Arial Narrow"/>
                <w:iCs/>
                <w:sz w:val="20"/>
                <w:lang w:val="en-AU"/>
              </w:rPr>
              <w:t xml:space="preserve">LUM/IVA </w:t>
            </w:r>
            <w:r w:rsidRPr="005728DD">
              <w:rPr>
                <w:rFonts w:ascii="Arial Narrow" w:hAnsi="Arial Narrow"/>
                <w:iCs/>
                <w:sz w:val="20"/>
                <w:lang w:val="en-AU"/>
              </w:rPr>
              <w:t>PSD, July 2018 PBAC meeting).</w:t>
            </w:r>
            <w:r w:rsidR="008B5EF9" w:rsidRPr="005728DD">
              <w:rPr>
                <w:rFonts w:ascii="Arial Narrow" w:hAnsi="Arial Narrow"/>
                <w:iCs/>
                <w:sz w:val="20"/>
                <w:lang w:val="en-AU"/>
              </w:rPr>
              <w:t xml:space="preserve"> </w:t>
            </w:r>
          </w:p>
        </w:tc>
      </w:tr>
      <w:tr w:rsidR="002D5D52" w:rsidRPr="005728DD" w:rsidTr="00C24A1D">
        <w:tc>
          <w:tcPr>
            <w:tcW w:w="1555" w:type="dxa"/>
          </w:tcPr>
          <w:p w:rsidR="002D5D52" w:rsidRPr="005728DD" w:rsidRDefault="002D5D52" w:rsidP="002D5D52">
            <w:pPr>
              <w:pStyle w:val="Tabletextleft"/>
              <w:spacing w:before="0" w:after="0"/>
              <w:rPr>
                <w:rFonts w:ascii="Arial Narrow" w:hAnsi="Arial Narrow"/>
                <w:color w:val="000000" w:themeColor="text1"/>
                <w:sz w:val="20"/>
              </w:rPr>
            </w:pPr>
            <w:r w:rsidRPr="005728DD">
              <w:rPr>
                <w:rFonts w:ascii="Arial Narrow" w:hAnsi="Arial Narrow"/>
                <w:color w:val="000000" w:themeColor="text1"/>
                <w:sz w:val="20"/>
              </w:rPr>
              <w:t xml:space="preserve">Proportion of patients expected to be treated with ELX/TEZ/IVA who will have reduced CTRF use. </w:t>
            </w:r>
          </w:p>
        </w:tc>
        <w:tc>
          <w:tcPr>
            <w:tcW w:w="1134" w:type="dxa"/>
          </w:tcPr>
          <w:p w:rsidR="002D5D52" w:rsidRPr="005728DD" w:rsidRDefault="002D5D52" w:rsidP="009E2A20">
            <w:pPr>
              <w:pStyle w:val="Tabletextcent"/>
              <w:spacing w:before="0" w:after="0"/>
              <w:rPr>
                <w:rFonts w:ascii="Arial Narrow" w:hAnsi="Arial Narrow"/>
                <w:sz w:val="20"/>
                <w:lang w:val="en-AU"/>
              </w:rPr>
            </w:pPr>
            <w:r w:rsidRPr="005728DD">
              <w:rPr>
                <w:rFonts w:ascii="Arial Narrow" w:hAnsi="Arial Narrow"/>
                <w:sz w:val="20"/>
                <w:lang w:val="en-AU"/>
              </w:rPr>
              <w:t>Assumption</w:t>
            </w:r>
          </w:p>
        </w:tc>
        <w:tc>
          <w:tcPr>
            <w:tcW w:w="861" w:type="dxa"/>
          </w:tcPr>
          <w:p w:rsidR="002D5D52" w:rsidRPr="005728DD" w:rsidRDefault="002D5D52" w:rsidP="009E2A20">
            <w:pPr>
              <w:pStyle w:val="Tabletextcent"/>
              <w:spacing w:before="0" w:after="0"/>
              <w:rPr>
                <w:rFonts w:ascii="Arial Narrow" w:hAnsi="Arial Narrow"/>
                <w:sz w:val="20"/>
                <w:lang w:val="en-AU"/>
              </w:rPr>
            </w:pPr>
            <w:r w:rsidRPr="005728DD">
              <w:rPr>
                <w:rFonts w:ascii="Arial Narrow" w:hAnsi="Arial Narrow"/>
                <w:sz w:val="20"/>
                <w:lang w:val="en-AU"/>
              </w:rPr>
              <w:t xml:space="preserve">95% </w:t>
            </w:r>
          </w:p>
        </w:tc>
        <w:tc>
          <w:tcPr>
            <w:tcW w:w="861" w:type="dxa"/>
          </w:tcPr>
          <w:p w:rsidR="002D5D52" w:rsidRPr="005728DD" w:rsidRDefault="002D5D52" w:rsidP="009E2A20">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61" w:type="dxa"/>
          </w:tcPr>
          <w:p w:rsidR="002D5D52" w:rsidRPr="005728DD" w:rsidRDefault="002D5D52" w:rsidP="009E2A20">
            <w:pPr>
              <w:pStyle w:val="Tabletextcent"/>
              <w:spacing w:before="0" w:after="0"/>
              <w:rPr>
                <w:rFonts w:ascii="Arial Narrow" w:hAnsi="Arial Narrow"/>
                <w:sz w:val="20"/>
                <w:lang w:val="en-AU"/>
              </w:rPr>
            </w:pPr>
            <w:r w:rsidRPr="005728DD">
              <w:rPr>
                <w:rFonts w:ascii="Arial Narrow" w:hAnsi="Arial Narrow"/>
                <w:sz w:val="20"/>
                <w:lang w:val="en-AU"/>
              </w:rPr>
              <w:t>90%</w:t>
            </w:r>
          </w:p>
        </w:tc>
        <w:tc>
          <w:tcPr>
            <w:tcW w:w="819" w:type="dxa"/>
          </w:tcPr>
          <w:p w:rsidR="002D5D52" w:rsidRPr="005728DD" w:rsidRDefault="002D5D52" w:rsidP="009E2A20">
            <w:pPr>
              <w:pStyle w:val="Tabletextcent"/>
              <w:spacing w:before="0" w:after="0"/>
              <w:rPr>
                <w:rFonts w:ascii="Arial Narrow" w:hAnsi="Arial Narrow"/>
                <w:sz w:val="20"/>
                <w:lang w:val="en-AU"/>
              </w:rPr>
            </w:pPr>
            <w:r w:rsidRPr="005728DD">
              <w:rPr>
                <w:rFonts w:ascii="Arial Narrow" w:hAnsi="Arial Narrow"/>
                <w:sz w:val="20"/>
                <w:lang w:val="en-AU"/>
              </w:rPr>
              <w:t>NA</w:t>
            </w:r>
          </w:p>
        </w:tc>
        <w:tc>
          <w:tcPr>
            <w:tcW w:w="3260" w:type="dxa"/>
          </w:tcPr>
          <w:p w:rsidR="002D5D52" w:rsidRPr="005728DD" w:rsidRDefault="002D5D52" w:rsidP="009E2A20">
            <w:pPr>
              <w:pStyle w:val="Tabletextcent"/>
              <w:spacing w:before="0" w:after="0"/>
              <w:jc w:val="left"/>
              <w:rPr>
                <w:rFonts w:ascii="Arial Narrow" w:hAnsi="Arial Narrow"/>
                <w:iCs/>
                <w:sz w:val="20"/>
                <w:lang w:val="en-AU"/>
              </w:rPr>
            </w:pPr>
            <w:r w:rsidRPr="005728DD">
              <w:rPr>
                <w:rFonts w:ascii="Arial Narrow" w:hAnsi="Arial Narrow"/>
                <w:iCs/>
                <w:sz w:val="20"/>
                <w:lang w:val="en-AU"/>
              </w:rPr>
              <w:t>Used to determine offset.</w:t>
            </w:r>
            <w:r w:rsidR="008B5EF9" w:rsidRPr="005728DD">
              <w:rPr>
                <w:rFonts w:ascii="Arial Narrow" w:hAnsi="Arial Narrow"/>
                <w:iCs/>
                <w:sz w:val="20"/>
                <w:lang w:val="en-AU"/>
              </w:rPr>
              <w:t xml:space="preserve"> </w:t>
            </w:r>
          </w:p>
        </w:tc>
      </w:tr>
    </w:tbl>
    <w:p w:rsidR="00841460" w:rsidRPr="005728DD" w:rsidRDefault="00841460" w:rsidP="00841460">
      <w:pPr>
        <w:pStyle w:val="TableFigureFooter"/>
      </w:pPr>
      <w:r w:rsidRPr="005728DD">
        <w:t xml:space="preserve">Source: </w:t>
      </w:r>
      <w:r w:rsidR="00DE63C7" w:rsidRPr="005728DD">
        <w:t xml:space="preserve">Developed during the evaluation based on </w:t>
      </w:r>
      <w:r w:rsidRPr="005728DD">
        <w:t>Table 4.1.1, Table 4.2.5, Table 4.2.11, Table 4.2.7 of the submission.</w:t>
      </w:r>
    </w:p>
    <w:p w:rsidR="009F1785" w:rsidRDefault="00841460" w:rsidP="001A55BA">
      <w:pPr>
        <w:pStyle w:val="TableFigureFooter"/>
        <w:spacing w:before="240"/>
      </w:pPr>
      <w:r w:rsidRPr="005728DD">
        <w:t xml:space="preserve">Abbreviations: ACFDR = Australian Cystic Fibrosis Data Registry; AEMP = Approved ex-manufacturer price; CFTR = Cystic fibrosis transmembrane conductance regulator; ELX/TEZ/IVA = </w:t>
      </w:r>
      <w:r w:rsidR="00D669C8" w:rsidRPr="005728DD">
        <w:t>elexacaftor</w:t>
      </w:r>
      <w:r w:rsidRPr="005728DD">
        <w:t>/tezacaftor/ivacaftor</w:t>
      </w:r>
      <w:r w:rsidRPr="005728DD">
        <w:rPr>
          <w:szCs w:val="18"/>
        </w:rPr>
        <w:t xml:space="preserve">; F/G = CF patient heterozygous for the F508del in the CFTR gene with a gating mutation; F/F = homozygous for F508del-CFTR mutations; F/MF = heterozygous for F508del-CFTR mutation with a second minimal function allele; F/RF = heterozygous for F508del-CFTR with a second residual function mutation; PBS = Pharmaceutical Benefits Scheme; RPBS = Repatriation Schedule of Pharmaceutical Benefits; </w:t>
      </w:r>
      <w:r w:rsidRPr="005728DD">
        <w:t>TEZ/IVA = tezacaftor/ivacaftor</w:t>
      </w:r>
    </w:p>
    <w:p w:rsidR="00C60BF8" w:rsidRPr="00C60BF8" w:rsidRDefault="00C60BF8" w:rsidP="001A55BA">
      <w:pPr>
        <w:pStyle w:val="TableFigureFooter"/>
        <w:spacing w:before="240"/>
        <w:rPr>
          <w:i/>
          <w:szCs w:val="18"/>
        </w:rPr>
      </w:pPr>
    </w:p>
    <w:p w:rsidR="00B505C8" w:rsidRPr="005728DD" w:rsidRDefault="00A01739" w:rsidP="00B505C8">
      <w:pPr>
        <w:pStyle w:val="3-BodyText"/>
      </w:pPr>
      <w:r w:rsidRPr="005728DD">
        <w:t xml:space="preserve">A summary of the estimated use and financial implications is presented in </w:t>
      </w:r>
      <w:r w:rsidR="005C56C0" w:rsidRPr="005728DD">
        <w:t xml:space="preserve">Table </w:t>
      </w:r>
      <w:r w:rsidR="005C56C0">
        <w:rPr>
          <w:noProof/>
        </w:rPr>
        <w:t>24</w:t>
      </w:r>
      <w:r w:rsidRPr="005728DD">
        <w:t>.</w:t>
      </w:r>
    </w:p>
    <w:p w:rsidR="002D7438" w:rsidRPr="005728DD" w:rsidRDefault="00594A70" w:rsidP="002B0E13">
      <w:pPr>
        <w:pStyle w:val="TableFigureHeading"/>
        <w:keepLines/>
      </w:pPr>
      <w:bookmarkStart w:id="49" w:name="_Ref64497947"/>
      <w:r w:rsidRPr="005728DD">
        <w:lastRenderedPageBreak/>
        <w:t xml:space="preserve">Table </w:t>
      </w:r>
      <w:r w:rsidR="005C56C0">
        <w:rPr>
          <w:noProof/>
        </w:rPr>
        <w:t>24</w:t>
      </w:r>
      <w:bookmarkEnd w:id="49"/>
      <w:r w:rsidR="002A2F50" w:rsidRPr="005728DD">
        <w:rPr>
          <w:rStyle w:val="CommentReference"/>
          <w:b/>
          <w:szCs w:val="24"/>
        </w:rPr>
        <w:t>: Estimated use and financial implications</w:t>
      </w:r>
      <w:r w:rsidR="00056CAE" w:rsidRPr="005728DD">
        <w:rPr>
          <w:rStyle w:val="CommentReference"/>
          <w:b/>
          <w:szCs w:val="24"/>
        </w:rPr>
        <w:t xml:space="preserve"> (based on ELX/TEZ/IVA pack price of $</w:t>
      </w:r>
      <w:r w:rsidR="00967E09">
        <w:rPr>
          <w:rStyle w:val="CommentReference"/>
          <w:b/>
          <w:noProof/>
          <w:color w:val="000000"/>
          <w:szCs w:val="24"/>
          <w:highlight w:val="black"/>
        </w:rPr>
        <w:t>''''''''''''''''''</w:t>
      </w:r>
      <w:r w:rsidR="00056CAE" w:rsidRPr="005728DD">
        <w:rPr>
          <w:rStyle w:val="CommentReference"/>
          <w:b/>
          <w:szCs w:val="24"/>
        </w:rPr>
        <w:t>)</w:t>
      </w:r>
    </w:p>
    <w:tbl>
      <w:tblPr>
        <w:tblStyle w:val="HTATableshaded"/>
        <w:tblW w:w="5000" w:type="pct"/>
        <w:tblLayout w:type="fixed"/>
        <w:tblLook w:val="04A0" w:firstRow="1" w:lastRow="0" w:firstColumn="1" w:lastColumn="0" w:noHBand="0" w:noVBand="1"/>
        <w:tblCaption w:val="Table 24: Estimated use and financial implications "/>
      </w:tblPr>
      <w:tblGrid>
        <w:gridCol w:w="1129"/>
        <w:gridCol w:w="1232"/>
        <w:gridCol w:w="1308"/>
        <w:gridCol w:w="1306"/>
        <w:gridCol w:w="1258"/>
        <w:gridCol w:w="1418"/>
        <w:gridCol w:w="1247"/>
      </w:tblGrid>
      <w:tr w:rsidR="002D7438" w:rsidRPr="005728DD" w:rsidTr="005C66A3">
        <w:trPr>
          <w:cnfStyle w:val="100000000000" w:firstRow="1" w:lastRow="0" w:firstColumn="0" w:lastColumn="0" w:oddVBand="0" w:evenVBand="0" w:oddHBand="0" w:evenHBand="0" w:firstRowFirstColumn="0" w:firstRowLastColumn="0" w:lastRowFirstColumn="0" w:lastRowLastColumn="0"/>
          <w:trHeight w:val="255"/>
          <w:tblHeader/>
        </w:trPr>
        <w:tc>
          <w:tcPr>
            <w:tcW w:w="634"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 </w:t>
            </w:r>
          </w:p>
        </w:tc>
        <w:tc>
          <w:tcPr>
            <w:tcW w:w="692"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1</w:t>
            </w:r>
          </w:p>
        </w:tc>
        <w:tc>
          <w:tcPr>
            <w:tcW w:w="735"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2</w:t>
            </w:r>
          </w:p>
        </w:tc>
        <w:tc>
          <w:tcPr>
            <w:tcW w:w="734"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3</w:t>
            </w:r>
          </w:p>
        </w:tc>
        <w:tc>
          <w:tcPr>
            <w:tcW w:w="707"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4</w:t>
            </w:r>
          </w:p>
        </w:tc>
        <w:tc>
          <w:tcPr>
            <w:tcW w:w="797"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5</w:t>
            </w:r>
          </w:p>
        </w:tc>
        <w:tc>
          <w:tcPr>
            <w:tcW w:w="701" w:type="pct"/>
            <w:hideMark/>
          </w:tcPr>
          <w:p w:rsidR="002D7438" w:rsidRPr="005728DD" w:rsidRDefault="002D7438" w:rsidP="002B0E13">
            <w:pPr>
              <w:keepNext/>
              <w:keepLines/>
              <w:jc w:val="center"/>
              <w:rPr>
                <w:rFonts w:ascii="Arial Narrow" w:hAnsi="Arial Narrow"/>
                <w:b/>
                <w:bCs/>
                <w:color w:val="000000"/>
                <w:sz w:val="20"/>
                <w:szCs w:val="20"/>
              </w:rPr>
            </w:pPr>
            <w:r w:rsidRPr="005728DD">
              <w:rPr>
                <w:rFonts w:ascii="Arial Narrow" w:hAnsi="Arial Narrow"/>
                <w:b/>
                <w:bCs/>
                <w:color w:val="000000"/>
                <w:sz w:val="20"/>
                <w:szCs w:val="20"/>
              </w:rPr>
              <w:t>Year 6</w:t>
            </w:r>
          </w:p>
        </w:tc>
      </w:tr>
      <w:tr w:rsidR="002D7438" w:rsidRPr="005728DD" w:rsidTr="00FF007E">
        <w:trPr>
          <w:trHeight w:val="255"/>
        </w:trPr>
        <w:tc>
          <w:tcPr>
            <w:tcW w:w="5000" w:type="pct"/>
            <w:gridSpan w:val="7"/>
            <w:shd w:val="clear" w:color="auto" w:fill="D9D9D9" w:themeFill="background1" w:themeFillShade="D9"/>
            <w:hideMark/>
          </w:tcPr>
          <w:p w:rsidR="002D7438" w:rsidRPr="005728DD" w:rsidRDefault="002D7438" w:rsidP="002B0E13">
            <w:pPr>
              <w:keepNext/>
              <w:keepLines/>
              <w:jc w:val="left"/>
              <w:rPr>
                <w:rFonts w:ascii="Arial Narrow" w:hAnsi="Arial Narrow"/>
                <w:b/>
                <w:bCs/>
                <w:color w:val="000000"/>
                <w:sz w:val="20"/>
                <w:szCs w:val="20"/>
              </w:rPr>
            </w:pPr>
            <w:r w:rsidRPr="005728DD">
              <w:rPr>
                <w:rFonts w:ascii="Arial Narrow" w:hAnsi="Arial Narrow"/>
                <w:b/>
                <w:bCs/>
                <w:color w:val="000000"/>
                <w:sz w:val="20"/>
                <w:szCs w:val="20"/>
              </w:rPr>
              <w:t>TOTAL</w:t>
            </w:r>
            <w:r w:rsidR="00240082" w:rsidRPr="005728DD">
              <w:rPr>
                <w:rFonts w:ascii="Arial Narrow" w:hAnsi="Arial Narrow"/>
                <w:b/>
                <w:bCs/>
                <w:color w:val="000000"/>
                <w:sz w:val="20"/>
                <w:szCs w:val="20"/>
              </w:rPr>
              <w:t xml:space="preserve"> F/any population </w:t>
            </w:r>
          </w:p>
        </w:tc>
      </w:tr>
      <w:tr w:rsidR="002D7438" w:rsidRPr="005728DD" w:rsidTr="00FF007E">
        <w:trPr>
          <w:trHeight w:val="255"/>
        </w:trPr>
        <w:tc>
          <w:tcPr>
            <w:tcW w:w="5000" w:type="pct"/>
            <w:gridSpan w:val="7"/>
            <w:hideMark/>
          </w:tcPr>
          <w:p w:rsidR="002D7438" w:rsidRPr="005728DD" w:rsidRDefault="002D7438" w:rsidP="002B0E13">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extent of use</w:t>
            </w:r>
          </w:p>
        </w:tc>
      </w:tr>
      <w:tr w:rsidR="002D7438" w:rsidRPr="005728DD" w:rsidTr="000229B9">
        <w:trPr>
          <w:trHeight w:val="255"/>
        </w:trPr>
        <w:tc>
          <w:tcPr>
            <w:tcW w:w="634" w:type="pct"/>
            <w:hideMark/>
          </w:tcPr>
          <w:p w:rsidR="002D7438" w:rsidRPr="00C45F10" w:rsidRDefault="002D7438" w:rsidP="00C45F10">
            <w:pPr>
              <w:keepNext/>
              <w:keepLines/>
              <w:jc w:val="left"/>
              <w:rPr>
                <w:rFonts w:ascii="Arial Narrow" w:hAnsi="Arial Narrow"/>
                <w:color w:val="000000"/>
                <w:sz w:val="20"/>
                <w:szCs w:val="20"/>
                <w:vertAlign w:val="superscript"/>
              </w:rPr>
            </w:pPr>
            <w:r w:rsidRPr="005728DD">
              <w:rPr>
                <w:rFonts w:ascii="Arial Narrow" w:hAnsi="Arial Narrow"/>
                <w:color w:val="000000"/>
                <w:sz w:val="20"/>
                <w:szCs w:val="20"/>
              </w:rPr>
              <w:t>Number of patients treated</w:t>
            </w:r>
          </w:p>
        </w:tc>
        <w:tc>
          <w:tcPr>
            <w:tcW w:w="692"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c>
          <w:tcPr>
            <w:tcW w:w="735"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c>
          <w:tcPr>
            <w:tcW w:w="734"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c>
          <w:tcPr>
            <w:tcW w:w="707"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c>
          <w:tcPr>
            <w:tcW w:w="797"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c>
          <w:tcPr>
            <w:tcW w:w="701"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1</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Number of scripts dispensed</w:t>
            </w:r>
          </w:p>
        </w:tc>
        <w:tc>
          <w:tcPr>
            <w:tcW w:w="692"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c>
          <w:tcPr>
            <w:tcW w:w="735"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c>
          <w:tcPr>
            <w:tcW w:w="734"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c>
          <w:tcPr>
            <w:tcW w:w="707"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c>
          <w:tcPr>
            <w:tcW w:w="797"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c>
          <w:tcPr>
            <w:tcW w:w="701" w:type="pct"/>
            <w:hideMark/>
          </w:tcPr>
          <w:p w:rsidR="002D7438" w:rsidRPr="00967E09" w:rsidRDefault="00967E09" w:rsidP="002B0E13">
            <w:pPr>
              <w:keepNext/>
              <w:keepLines/>
              <w:jc w:val="center"/>
              <w:rPr>
                <w:rFonts w:ascii="Arial Narrow" w:hAnsi="Arial Narrow"/>
                <w:color w:val="000000"/>
                <w:sz w:val="20"/>
                <w:szCs w:val="20"/>
              </w:rPr>
            </w:pPr>
            <w:r>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2</w:t>
            </w:r>
          </w:p>
        </w:tc>
      </w:tr>
      <w:tr w:rsidR="002D7438" w:rsidRPr="005728DD" w:rsidTr="00FF007E">
        <w:trPr>
          <w:trHeight w:val="255"/>
        </w:trPr>
        <w:tc>
          <w:tcPr>
            <w:tcW w:w="5000" w:type="pct"/>
            <w:gridSpan w:val="7"/>
            <w:hideMark/>
          </w:tcPr>
          <w:p w:rsidR="002D7438" w:rsidRPr="005728DD" w:rsidRDefault="002D7438" w:rsidP="002B0E13">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of ELX/TEZ/IVA</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c>
          <w:tcPr>
            <w:tcW w:w="735"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c>
          <w:tcPr>
            <w:tcW w:w="734"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c>
          <w:tcPr>
            <w:tcW w:w="70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c>
          <w:tcPr>
            <w:tcW w:w="79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c>
          <w:tcPr>
            <w:tcW w:w="701"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3</w:t>
            </w:r>
          </w:p>
        </w:tc>
      </w:tr>
      <w:tr w:rsidR="002D7438" w:rsidRPr="005728DD" w:rsidTr="00FF007E">
        <w:trPr>
          <w:trHeight w:val="255"/>
        </w:trPr>
        <w:tc>
          <w:tcPr>
            <w:tcW w:w="5000" w:type="pct"/>
            <w:gridSpan w:val="7"/>
            <w:hideMark/>
          </w:tcPr>
          <w:p w:rsidR="002D7438" w:rsidRPr="005728DD" w:rsidRDefault="002D7438" w:rsidP="002B0E13">
            <w:pPr>
              <w:keepNext/>
              <w:keepLines/>
              <w:jc w:val="left"/>
              <w:rPr>
                <w:rFonts w:ascii="Arial Narrow" w:hAnsi="Arial Narrow"/>
                <w:b/>
                <w:bCs/>
                <w:color w:val="000000"/>
                <w:sz w:val="20"/>
                <w:szCs w:val="20"/>
              </w:rPr>
            </w:pPr>
            <w:r w:rsidRPr="005728DD">
              <w:rPr>
                <w:rFonts w:ascii="Arial Narrow" w:hAnsi="Arial Narrow"/>
                <w:b/>
                <w:bCs/>
                <w:color w:val="000000"/>
                <w:sz w:val="20"/>
                <w:szCs w:val="20"/>
              </w:rPr>
              <w:t>Estimated financial implications for TEZ/IVA, LUM/IVA, IVA</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Cost to PBS less copayments</w:t>
            </w:r>
          </w:p>
        </w:tc>
        <w:tc>
          <w:tcPr>
            <w:tcW w:w="692"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color w:val="000000"/>
                <w:sz w:val="20"/>
                <w:szCs w:val="20"/>
              </w:rPr>
              <w:t>-$</w:t>
            </w:r>
            <w:r w:rsidR="00B14C0B">
              <w:rPr>
                <w:rFonts w:ascii="Arial Narrow" w:hAnsi="Arial Narrow"/>
                <w:noProof/>
                <w:color w:val="000000"/>
                <w:sz w:val="18"/>
                <w:szCs w:val="18"/>
                <w:highlight w:val="black"/>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c>
          <w:tcPr>
            <w:tcW w:w="735"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color w:val="000000"/>
                <w:sz w:val="20"/>
                <w:szCs w:val="20"/>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c>
          <w:tcPr>
            <w:tcW w:w="734"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color w:val="000000"/>
                <w:sz w:val="20"/>
                <w:szCs w:val="20"/>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c>
          <w:tcPr>
            <w:tcW w:w="707"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sz w:val="18"/>
                <w:szCs w:val="18"/>
              </w:rPr>
              <w:t>-</w:t>
            </w:r>
            <w:r w:rsidRPr="00C45F10">
              <w:rPr>
                <w:rFonts w:ascii="Arial Narrow" w:hAnsi="Arial Narrow"/>
                <w:color w:val="000000"/>
                <w:sz w:val="20"/>
                <w:szCs w:val="20"/>
              </w:rPr>
              <w:t>$</w:t>
            </w:r>
            <w:r w:rsidR="00B14C0B">
              <w:rPr>
                <w:rFonts w:ascii="Arial Narrow" w:hAnsi="Arial Narrow"/>
                <w:noProof/>
                <w:color w:val="000000"/>
                <w:sz w:val="18"/>
                <w:szCs w:val="18"/>
                <w:highlight w:val="black"/>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c>
          <w:tcPr>
            <w:tcW w:w="797"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color w:val="000000"/>
                <w:sz w:val="20"/>
                <w:szCs w:val="20"/>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c>
          <w:tcPr>
            <w:tcW w:w="701" w:type="pct"/>
            <w:hideMark/>
          </w:tcPr>
          <w:p w:rsidR="002D7438" w:rsidRPr="00967E09" w:rsidRDefault="002D7438" w:rsidP="002B0E13">
            <w:pPr>
              <w:keepNext/>
              <w:keepLines/>
              <w:jc w:val="center"/>
              <w:rPr>
                <w:rFonts w:ascii="Arial Narrow" w:hAnsi="Arial Narrow"/>
                <w:sz w:val="18"/>
                <w:szCs w:val="18"/>
              </w:rPr>
            </w:pPr>
            <w:r w:rsidRPr="00C45F10">
              <w:rPr>
                <w:rFonts w:ascii="Arial Narrow" w:hAnsi="Arial Narrow"/>
                <w:color w:val="000000"/>
                <w:sz w:val="20"/>
                <w:szCs w:val="20"/>
              </w:rPr>
              <w:t>-$</w:t>
            </w:r>
            <w:r w:rsidR="00B14C0B">
              <w:rPr>
                <w:rFonts w:ascii="Arial Narrow" w:hAnsi="Arial Narrow"/>
                <w:noProof/>
                <w:color w:val="000000"/>
                <w:sz w:val="18"/>
                <w:szCs w:val="18"/>
                <w:highlight w:val="black"/>
              </w:rPr>
              <w:t>'''''''''''''''''</w:t>
            </w:r>
            <w:r w:rsidR="00967E09">
              <w:rPr>
                <w:rFonts w:ascii="Arial Narrow" w:hAnsi="Arial Narrow"/>
                <w:noProof/>
                <w:color w:val="000000"/>
                <w:sz w:val="18"/>
                <w:szCs w:val="18"/>
                <w:highlight w:val="black"/>
              </w:rPr>
              <w:t>''''''''''''</w:t>
            </w:r>
            <w:r w:rsidR="00C45F10">
              <w:rPr>
                <w:rFonts w:ascii="Arial Narrow" w:hAnsi="Arial Narrow"/>
                <w:color w:val="000000"/>
                <w:sz w:val="20"/>
                <w:szCs w:val="20"/>
                <w:vertAlign w:val="superscript"/>
              </w:rPr>
              <w:t>4</w:t>
            </w:r>
          </w:p>
        </w:tc>
      </w:tr>
      <w:tr w:rsidR="002D7438" w:rsidRPr="005728DD" w:rsidTr="00FF007E">
        <w:trPr>
          <w:trHeight w:val="255"/>
        </w:trPr>
        <w:tc>
          <w:tcPr>
            <w:tcW w:w="5000" w:type="pct"/>
            <w:gridSpan w:val="7"/>
            <w:hideMark/>
          </w:tcPr>
          <w:p w:rsidR="002D7438" w:rsidRPr="005728DD" w:rsidRDefault="002D7438" w:rsidP="002B0E13">
            <w:pPr>
              <w:keepNext/>
              <w:keepLines/>
              <w:jc w:val="left"/>
              <w:rPr>
                <w:rFonts w:ascii="Arial Narrow" w:hAnsi="Arial Narrow"/>
                <w:b/>
                <w:bCs/>
                <w:color w:val="000000"/>
                <w:sz w:val="20"/>
                <w:szCs w:val="20"/>
              </w:rPr>
            </w:pPr>
            <w:r w:rsidRPr="005728DD">
              <w:rPr>
                <w:rFonts w:ascii="Arial Narrow" w:hAnsi="Arial Narrow"/>
                <w:b/>
                <w:bCs/>
                <w:color w:val="000000"/>
                <w:sz w:val="20"/>
                <w:szCs w:val="20"/>
              </w:rPr>
              <w:t>Net financial implications</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Net cost to PBS</w:t>
            </w:r>
          </w:p>
        </w:tc>
        <w:tc>
          <w:tcPr>
            <w:tcW w:w="692"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35"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34"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0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9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01"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Net cost to MBS</w:t>
            </w:r>
          </w:p>
        </w:tc>
        <w:tc>
          <w:tcPr>
            <w:tcW w:w="692"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c>
          <w:tcPr>
            <w:tcW w:w="735"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c>
          <w:tcPr>
            <w:tcW w:w="734"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c>
          <w:tcPr>
            <w:tcW w:w="70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c>
          <w:tcPr>
            <w:tcW w:w="79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c>
          <w:tcPr>
            <w:tcW w:w="701"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5</w:t>
            </w:r>
          </w:p>
        </w:tc>
      </w:tr>
      <w:tr w:rsidR="002D7438" w:rsidRPr="005728DD" w:rsidTr="000229B9">
        <w:trPr>
          <w:trHeight w:val="255"/>
        </w:trPr>
        <w:tc>
          <w:tcPr>
            <w:tcW w:w="634" w:type="pct"/>
            <w:hideMark/>
          </w:tcPr>
          <w:p w:rsidR="002D7438" w:rsidRPr="005728DD" w:rsidRDefault="002D7438" w:rsidP="002B0E13">
            <w:pPr>
              <w:keepNext/>
              <w:keepLines/>
              <w:jc w:val="left"/>
              <w:rPr>
                <w:rFonts w:ascii="Arial Narrow" w:hAnsi="Arial Narrow"/>
                <w:color w:val="000000"/>
                <w:sz w:val="20"/>
                <w:szCs w:val="20"/>
              </w:rPr>
            </w:pPr>
            <w:r w:rsidRPr="005728DD">
              <w:rPr>
                <w:rFonts w:ascii="Arial Narrow" w:hAnsi="Arial Narrow"/>
                <w:color w:val="000000"/>
                <w:sz w:val="20"/>
                <w:szCs w:val="20"/>
              </w:rPr>
              <w:t>Net cost to PBS/MBS</w:t>
            </w:r>
          </w:p>
        </w:tc>
        <w:tc>
          <w:tcPr>
            <w:tcW w:w="692"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35"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34"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0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97"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c>
          <w:tcPr>
            <w:tcW w:w="701" w:type="pct"/>
            <w:hideMark/>
          </w:tcPr>
          <w:p w:rsidR="002D7438" w:rsidRPr="00967E09" w:rsidRDefault="002D7438" w:rsidP="002B0E13">
            <w:pPr>
              <w:keepNext/>
              <w:keepLines/>
              <w:jc w:val="center"/>
              <w:rPr>
                <w:rFonts w:ascii="Arial Narrow" w:hAnsi="Arial Narrow"/>
                <w:color w:val="000000"/>
                <w:sz w:val="20"/>
                <w:szCs w:val="20"/>
              </w:rPr>
            </w:pPr>
            <w:r w:rsidRPr="00C45F10">
              <w:rPr>
                <w:rFonts w:ascii="Arial Narrow" w:hAnsi="Arial Narrow"/>
                <w:color w:val="000000"/>
                <w:sz w:val="20"/>
                <w:szCs w:val="20"/>
              </w:rPr>
              <w:t>$</w:t>
            </w:r>
            <w:r w:rsidR="00B14C0B">
              <w:rPr>
                <w:rFonts w:ascii="Arial Narrow" w:hAnsi="Arial Narrow"/>
                <w:noProof/>
                <w:color w:val="000000"/>
                <w:sz w:val="20"/>
                <w:szCs w:val="20"/>
                <w:highlight w:val="black"/>
              </w:rPr>
              <w:t>''''''''''''''</w:t>
            </w:r>
            <w:r w:rsidR="00967E09">
              <w:rPr>
                <w:rFonts w:ascii="Arial Narrow" w:hAnsi="Arial Narrow"/>
                <w:noProof/>
                <w:color w:val="000000"/>
                <w:sz w:val="20"/>
                <w:szCs w:val="20"/>
                <w:highlight w:val="black"/>
              </w:rPr>
              <w:t>''''''''''''''</w:t>
            </w:r>
            <w:r w:rsidR="00C45F10">
              <w:rPr>
                <w:rFonts w:ascii="Arial Narrow" w:hAnsi="Arial Narrow"/>
                <w:color w:val="000000"/>
                <w:sz w:val="20"/>
                <w:szCs w:val="20"/>
                <w:vertAlign w:val="superscript"/>
              </w:rPr>
              <w:t>4</w:t>
            </w:r>
          </w:p>
        </w:tc>
      </w:tr>
    </w:tbl>
    <w:p w:rsidR="007919CE" w:rsidRPr="005728DD" w:rsidRDefault="007919CE" w:rsidP="002B0E13">
      <w:pPr>
        <w:keepNext/>
        <w:keepLines/>
        <w:rPr>
          <w:rFonts w:ascii="Arial Narrow" w:hAnsi="Arial Narrow"/>
          <w:sz w:val="18"/>
          <w:szCs w:val="18"/>
        </w:rPr>
      </w:pPr>
      <w:r w:rsidRPr="005728DD">
        <w:rPr>
          <w:rFonts w:ascii="Arial Narrow" w:hAnsi="Arial Narrow"/>
          <w:sz w:val="18"/>
          <w:szCs w:val="18"/>
        </w:rPr>
        <w:t>Source: Table 4.2.6, Table 4.4.2, Table 4.5.3  of the submission</w:t>
      </w:r>
    </w:p>
    <w:p w:rsidR="007919CE" w:rsidRDefault="007919CE" w:rsidP="002B0E13">
      <w:pPr>
        <w:pStyle w:val="TableFigNotes0"/>
        <w:rPr>
          <w:rFonts w:ascii="Arial Narrow" w:hAnsi="Arial Narrow"/>
          <w:sz w:val="18"/>
          <w:lang w:val="en-AU"/>
        </w:rPr>
      </w:pPr>
      <w:r w:rsidRPr="005728DD">
        <w:rPr>
          <w:rFonts w:ascii="Arial Narrow" w:hAnsi="Arial Narrow"/>
          <w:sz w:val="18"/>
          <w:lang w:val="en-AU"/>
        </w:rPr>
        <w:t>Abbreviations: ELX/TEZ/IVA = elexacaftor/tezacaftor/ivacaftor; MBS = Medicare Benefits Schedule; PBS = Pharmaceutical Benefits Scheme; TEZ/IVA = tezacaftor/ivacaftor</w:t>
      </w:r>
    </w:p>
    <w:p w:rsidR="00C45F10" w:rsidRPr="009868C4" w:rsidRDefault="00C45F10" w:rsidP="00C45F10">
      <w:pPr>
        <w:pStyle w:val="TableFigureFooter"/>
        <w:spacing w:after="0"/>
        <w:contextualSpacing w:val="0"/>
      </w:pPr>
      <w:r w:rsidRPr="009868C4">
        <w:rPr>
          <w:i/>
        </w:rPr>
        <w:t>The redacted values correspond to the following ranges</w:t>
      </w:r>
      <w:r>
        <w:rPr>
          <w:i/>
        </w:rPr>
        <w:t xml:space="preserve">: </w:t>
      </w:r>
    </w:p>
    <w:p w:rsidR="00C45F10" w:rsidRDefault="00C45F10" w:rsidP="002B0E13">
      <w:pPr>
        <w:pStyle w:val="TableFigNotes0"/>
        <w:rPr>
          <w:rFonts w:ascii="Arial Narrow" w:hAnsi="Arial Narrow"/>
          <w:i/>
          <w:sz w:val="18"/>
          <w:lang w:val="en-AU"/>
        </w:rPr>
      </w:pPr>
      <w:r>
        <w:rPr>
          <w:rFonts w:ascii="Arial Narrow" w:hAnsi="Arial Narrow"/>
          <w:i/>
          <w:sz w:val="18"/>
          <w:vertAlign w:val="superscript"/>
          <w:lang w:val="en-AU"/>
        </w:rPr>
        <w:t xml:space="preserve">1 </w:t>
      </w:r>
      <w:r w:rsidRPr="00C45F10">
        <w:rPr>
          <w:rFonts w:ascii="Arial Narrow" w:hAnsi="Arial Narrow"/>
          <w:i/>
          <w:sz w:val="18"/>
          <w:lang w:val="en-AU"/>
        </w:rPr>
        <w:t>500 to &lt; 5,000</w:t>
      </w:r>
    </w:p>
    <w:p w:rsidR="00C45F10" w:rsidRDefault="00C45F10" w:rsidP="002B0E13">
      <w:pPr>
        <w:pStyle w:val="TableFigNotes0"/>
        <w:rPr>
          <w:rFonts w:ascii="Arial Narrow" w:hAnsi="Arial Narrow"/>
          <w:i/>
          <w:sz w:val="18"/>
          <w:lang w:val="en-AU"/>
        </w:rPr>
      </w:pPr>
      <w:r>
        <w:rPr>
          <w:rFonts w:ascii="Arial Narrow" w:hAnsi="Arial Narrow"/>
          <w:i/>
          <w:sz w:val="18"/>
          <w:vertAlign w:val="superscript"/>
          <w:lang w:val="en-AU"/>
        </w:rPr>
        <w:t xml:space="preserve">2 </w:t>
      </w:r>
      <w:r w:rsidRPr="00C45F10">
        <w:rPr>
          <w:rFonts w:ascii="Arial Narrow" w:hAnsi="Arial Narrow"/>
          <w:i/>
          <w:sz w:val="18"/>
          <w:lang w:val="en-AU"/>
        </w:rPr>
        <w:t>20,000 to &lt; 30,000</w:t>
      </w:r>
    </w:p>
    <w:p w:rsidR="00C45F10" w:rsidRDefault="00C45F10" w:rsidP="002B0E13">
      <w:pPr>
        <w:pStyle w:val="TableFigNotes0"/>
        <w:rPr>
          <w:rFonts w:ascii="Arial Narrow" w:hAnsi="Arial Narrow"/>
          <w:i/>
          <w:sz w:val="18"/>
          <w:lang w:val="en-AU"/>
        </w:rPr>
      </w:pPr>
      <w:r>
        <w:rPr>
          <w:rFonts w:ascii="Arial Narrow" w:hAnsi="Arial Narrow"/>
          <w:i/>
          <w:sz w:val="18"/>
          <w:vertAlign w:val="superscript"/>
          <w:lang w:val="en-AU"/>
        </w:rPr>
        <w:t xml:space="preserve">3 </w:t>
      </w:r>
      <w:r w:rsidRPr="00C45F10">
        <w:rPr>
          <w:rFonts w:ascii="Arial Narrow" w:hAnsi="Arial Narrow"/>
          <w:i/>
          <w:sz w:val="18"/>
          <w:lang w:val="en-AU"/>
        </w:rPr>
        <w:t>$200 million to &lt; $300 million</w:t>
      </w:r>
    </w:p>
    <w:p w:rsidR="00C45F10" w:rsidRDefault="00C45F10" w:rsidP="002B0E13">
      <w:pPr>
        <w:pStyle w:val="TableFigNotes0"/>
        <w:rPr>
          <w:rFonts w:ascii="Arial Narrow" w:hAnsi="Arial Narrow"/>
          <w:i/>
          <w:sz w:val="18"/>
          <w:lang w:val="en-AU"/>
        </w:rPr>
      </w:pPr>
      <w:r>
        <w:rPr>
          <w:rFonts w:ascii="Arial Narrow" w:hAnsi="Arial Narrow"/>
          <w:i/>
          <w:sz w:val="18"/>
          <w:vertAlign w:val="superscript"/>
          <w:lang w:val="en-AU"/>
        </w:rPr>
        <w:t xml:space="preserve">4 </w:t>
      </w:r>
      <w:r w:rsidRPr="00C45F10">
        <w:rPr>
          <w:rFonts w:ascii="Arial Narrow" w:hAnsi="Arial Narrow"/>
          <w:i/>
          <w:sz w:val="18"/>
          <w:lang w:val="en-AU"/>
        </w:rPr>
        <w:t>$100 million to &lt; $200 million</w:t>
      </w:r>
    </w:p>
    <w:p w:rsidR="00C45F10" w:rsidRPr="00C45F10" w:rsidRDefault="00C45F10" w:rsidP="002B0E13">
      <w:pPr>
        <w:pStyle w:val="TableFigNotes0"/>
        <w:rPr>
          <w:rFonts w:ascii="Arial Narrow" w:hAnsi="Arial Narrow"/>
          <w:i/>
          <w:sz w:val="18"/>
          <w:lang w:val="en-AU"/>
        </w:rPr>
      </w:pPr>
      <w:r>
        <w:rPr>
          <w:rFonts w:ascii="Arial Narrow" w:hAnsi="Arial Narrow"/>
          <w:i/>
          <w:sz w:val="18"/>
          <w:vertAlign w:val="superscript"/>
          <w:lang w:val="en-AU"/>
        </w:rPr>
        <w:t xml:space="preserve">5 </w:t>
      </w:r>
      <w:r w:rsidRPr="00C45F10">
        <w:rPr>
          <w:rFonts w:ascii="Arial Narrow" w:hAnsi="Arial Narrow"/>
          <w:i/>
          <w:sz w:val="18"/>
          <w:lang w:val="en-AU"/>
        </w:rPr>
        <w:t>$0 to &lt; $10 million</w:t>
      </w:r>
    </w:p>
    <w:p w:rsidR="00A9794C" w:rsidRPr="005728DD" w:rsidRDefault="00A9794C" w:rsidP="002B0E13">
      <w:pPr>
        <w:pStyle w:val="TableFigNotes0"/>
        <w:rPr>
          <w:rFonts w:ascii="Arial Narrow" w:hAnsi="Arial Narrow"/>
          <w:sz w:val="18"/>
          <w:lang w:val="en-AU"/>
        </w:rPr>
      </w:pPr>
    </w:p>
    <w:p w:rsidR="002D7438" w:rsidRPr="005728DD" w:rsidRDefault="000902D9" w:rsidP="00A9794C">
      <w:pPr>
        <w:pStyle w:val="3-BodyText"/>
      </w:pPr>
      <w:r w:rsidRPr="005728DD">
        <w:t xml:space="preserve">The total cost to the PBS/RPBS of listing </w:t>
      </w:r>
      <w:r w:rsidR="00754D4C" w:rsidRPr="005728DD">
        <w:t>ELX/TEZ/IVA</w:t>
      </w:r>
      <w:r w:rsidRPr="005728DD">
        <w:t xml:space="preserve"> was estimated </w:t>
      </w:r>
      <w:r w:rsidR="00A05C32" w:rsidRPr="005728DD">
        <w:t>to be</w:t>
      </w:r>
      <w:r w:rsidRPr="005728DD">
        <w:t xml:space="preserve"> </w:t>
      </w:r>
      <w:r w:rsidR="00A9794C" w:rsidRPr="00A9794C">
        <w:t>$200 million to &lt; $300 million</w:t>
      </w:r>
      <w:r w:rsidRPr="005728DD">
        <w:t xml:space="preserve"> in Year 6, and a total of </w:t>
      </w:r>
      <w:r w:rsidR="00A9794C">
        <w:t xml:space="preserve">&gt; </w:t>
      </w:r>
      <w:r w:rsidR="00A9794C" w:rsidRPr="00A9794C">
        <w:t>$1 billion</w:t>
      </w:r>
      <w:r w:rsidR="00A9794C">
        <w:t xml:space="preserve"> </w:t>
      </w:r>
      <w:r w:rsidRPr="005728DD">
        <w:t>in the first 6 years of listing</w:t>
      </w:r>
      <w:r w:rsidR="00016621" w:rsidRPr="005728DD">
        <w:t>.</w:t>
      </w:r>
      <w:r w:rsidR="002068A0" w:rsidRPr="005728DD">
        <w:t xml:space="preserve"> </w:t>
      </w:r>
      <w:r w:rsidR="002068A0" w:rsidRPr="005728DD">
        <w:rPr>
          <w:iCs/>
        </w:rPr>
        <w:t xml:space="preserve">The net cost to the PBS </w:t>
      </w:r>
      <w:r w:rsidR="00C7060A" w:rsidRPr="005728DD">
        <w:rPr>
          <w:iCs/>
        </w:rPr>
        <w:t>using</w:t>
      </w:r>
      <w:r w:rsidR="002068A0" w:rsidRPr="005728DD">
        <w:rPr>
          <w:iCs/>
        </w:rPr>
        <w:t xml:space="preserve"> the effective price of the comparator </w:t>
      </w:r>
      <w:r w:rsidR="00016621" w:rsidRPr="005728DD">
        <w:rPr>
          <w:iCs/>
        </w:rPr>
        <w:t xml:space="preserve">was estimated at </w:t>
      </w:r>
      <w:r w:rsidR="00A9794C" w:rsidRPr="00A9794C">
        <w:rPr>
          <w:iCs/>
        </w:rPr>
        <w:t>$100 million to &lt; $200 million</w:t>
      </w:r>
      <w:r w:rsidR="00A9794C">
        <w:rPr>
          <w:iCs/>
        </w:rPr>
        <w:t xml:space="preserve"> </w:t>
      </w:r>
      <w:r w:rsidR="00016621" w:rsidRPr="005728DD">
        <w:rPr>
          <w:iCs/>
        </w:rPr>
        <w:t xml:space="preserve">in Year 6, and a total of </w:t>
      </w:r>
      <w:r w:rsidR="00A9794C" w:rsidRPr="00A9794C">
        <w:rPr>
          <w:iCs/>
        </w:rPr>
        <w:t>$800 million to &lt; $900 million</w:t>
      </w:r>
      <w:r w:rsidR="00A9794C">
        <w:rPr>
          <w:iCs/>
        </w:rPr>
        <w:t xml:space="preserve"> </w:t>
      </w:r>
      <w:r w:rsidR="00016621" w:rsidRPr="005728DD">
        <w:rPr>
          <w:iCs/>
        </w:rPr>
        <w:t>in the first 6 years of listing.</w:t>
      </w:r>
      <w:r w:rsidR="008B5EF9" w:rsidRPr="005728DD">
        <w:rPr>
          <w:iCs/>
        </w:rPr>
        <w:t xml:space="preserve"> </w:t>
      </w:r>
      <w:r w:rsidR="000E17D0" w:rsidRPr="005728DD">
        <w:rPr>
          <w:iCs/>
        </w:rPr>
        <w:t xml:space="preserve">The pre-PBAC response stated the net cost to the PBS using the revised effective price was </w:t>
      </w:r>
      <w:r w:rsidR="00A9794C" w:rsidRPr="00A9794C">
        <w:rPr>
          <w:iCs/>
        </w:rPr>
        <w:t>$600 million to &lt; $700 million</w:t>
      </w:r>
      <w:r w:rsidR="00A9794C">
        <w:rPr>
          <w:iCs/>
        </w:rPr>
        <w:t xml:space="preserve"> </w:t>
      </w:r>
      <w:r w:rsidR="000E17D0" w:rsidRPr="005728DD">
        <w:rPr>
          <w:iCs/>
        </w:rPr>
        <w:t xml:space="preserve">in the first 6 years of listing. </w:t>
      </w:r>
    </w:p>
    <w:p w:rsidR="004A588C" w:rsidRPr="005728DD" w:rsidRDefault="004A588C" w:rsidP="00C60BF8">
      <w:pPr>
        <w:pStyle w:val="3-BodyText"/>
      </w:pPr>
      <w:r w:rsidRPr="005728DD">
        <w:t xml:space="preserve">The submission estimated </w:t>
      </w:r>
      <w:r w:rsidR="009E7945" w:rsidRPr="005728DD">
        <w:t xml:space="preserve">the </w:t>
      </w:r>
      <w:r w:rsidRPr="005728DD">
        <w:t xml:space="preserve">number of F/F, F/RF and F/G treated patients </w:t>
      </w:r>
      <w:r w:rsidR="00182F2B" w:rsidRPr="005728DD">
        <w:t>i.e.</w:t>
      </w:r>
      <w:r w:rsidR="00D615DE" w:rsidRPr="005728DD">
        <w:t>,</w:t>
      </w:r>
      <w:r w:rsidR="00182F2B" w:rsidRPr="005728DD">
        <w:t xml:space="preserve"> </w:t>
      </w:r>
      <w:r w:rsidR="00D615DE" w:rsidRPr="005728DD">
        <w:t xml:space="preserve">the </w:t>
      </w:r>
      <w:r w:rsidR="00182F2B" w:rsidRPr="005728DD">
        <w:t>currently PBS-subsidised population</w:t>
      </w:r>
      <w:r w:rsidR="00D615DE" w:rsidRPr="005728DD">
        <w:t>,</w:t>
      </w:r>
      <w:r w:rsidR="00182F2B" w:rsidRPr="005728DD">
        <w:t xml:space="preserve"> </w:t>
      </w:r>
      <w:r w:rsidR="00145EC4" w:rsidRPr="005728DD">
        <w:t>at</w:t>
      </w:r>
      <w:r w:rsidRPr="005728DD">
        <w:t xml:space="preserve"> </w:t>
      </w:r>
      <w:r w:rsidR="00C60BF8" w:rsidRPr="00C60BF8">
        <w:t>500 to &lt; 5,000</w:t>
      </w:r>
      <w:r w:rsidR="00C60BF8">
        <w:t xml:space="preserve"> </w:t>
      </w:r>
      <w:r w:rsidR="00181132" w:rsidRPr="005728DD">
        <w:t>(</w:t>
      </w:r>
      <w:r w:rsidR="005C56C0" w:rsidRPr="005728DD">
        <w:t xml:space="preserve">Table </w:t>
      </w:r>
      <w:r w:rsidR="005C56C0">
        <w:t>25</w:t>
      </w:r>
      <w:r w:rsidR="00181132" w:rsidRPr="005728DD">
        <w:t>).</w:t>
      </w:r>
      <w:r w:rsidR="00E418E4" w:rsidRPr="005728DD">
        <w:t xml:space="preserve"> The </w:t>
      </w:r>
      <w:r w:rsidR="00D615DE" w:rsidRPr="005728DD">
        <w:t xml:space="preserve">submission’s </w:t>
      </w:r>
      <w:r w:rsidR="00E418E4" w:rsidRPr="005728DD">
        <w:t>estimate</w:t>
      </w:r>
      <w:r w:rsidR="00D615DE" w:rsidRPr="005728DD">
        <w:t xml:space="preserve"> of the </w:t>
      </w:r>
      <w:r w:rsidR="00E418E4" w:rsidRPr="005728DD">
        <w:t xml:space="preserve">treated F/G patients appeared to </w:t>
      </w:r>
      <w:r w:rsidR="00112529" w:rsidRPr="005728DD">
        <w:t xml:space="preserve">be </w:t>
      </w:r>
      <w:r w:rsidR="00E418E4" w:rsidRPr="005728DD">
        <w:t xml:space="preserve">close to the </w:t>
      </w:r>
      <w:r w:rsidR="006B33E7" w:rsidRPr="005728DD">
        <w:t xml:space="preserve">PBS utilisation data provided by the </w:t>
      </w:r>
      <w:r w:rsidR="00D615DE" w:rsidRPr="005728DD">
        <w:t xml:space="preserve">DUSC </w:t>
      </w:r>
      <w:r w:rsidR="00B6418B" w:rsidRPr="005728DD">
        <w:t>Secretariat</w:t>
      </w:r>
      <w:r w:rsidR="00E418E4" w:rsidRPr="005728DD">
        <w:t xml:space="preserve">. However, </w:t>
      </w:r>
      <w:r w:rsidR="00D615DE" w:rsidRPr="005728DD">
        <w:t xml:space="preserve">the estimate for the </w:t>
      </w:r>
      <w:r w:rsidR="00E418E4" w:rsidRPr="005728DD">
        <w:t>F/F and F/RF</w:t>
      </w:r>
      <w:r w:rsidRPr="005728DD">
        <w:t xml:space="preserve"> </w:t>
      </w:r>
      <w:r w:rsidR="00834D4C" w:rsidRPr="005728DD">
        <w:t xml:space="preserve">patients </w:t>
      </w:r>
      <w:r w:rsidRPr="005728DD">
        <w:t xml:space="preserve">was about </w:t>
      </w:r>
      <w:r w:rsidR="000F266D" w:rsidRPr="005728DD">
        <w:t>40</w:t>
      </w:r>
      <w:r w:rsidRPr="005728DD">
        <w:t>% higher than the currently CFTR-treated patients</w:t>
      </w:r>
      <w:r w:rsidR="000C1E82" w:rsidRPr="005728DD">
        <w:t xml:space="preserve"> (TEZ/IVA and LUM/IVA)</w:t>
      </w:r>
      <w:r w:rsidRPr="005728DD">
        <w:t xml:space="preserve"> suggested by the</w:t>
      </w:r>
      <w:r w:rsidR="006B33E7" w:rsidRPr="005728DD">
        <w:t xml:space="preserve"> utilisation data</w:t>
      </w:r>
      <w:r w:rsidRPr="005728DD">
        <w:t xml:space="preserve"> </w:t>
      </w:r>
      <w:r w:rsidR="002D5D52" w:rsidRPr="005728DD">
        <w:t xml:space="preserve">as </w:t>
      </w:r>
      <w:r w:rsidRPr="005728DD">
        <w:t xml:space="preserve">approximately </w:t>
      </w:r>
      <w:r w:rsidR="00C60BF8" w:rsidRPr="00C60BF8">
        <w:t>500 to &lt; 5,000</w:t>
      </w:r>
      <w:r w:rsidR="000F266D" w:rsidRPr="005728DD">
        <w:t xml:space="preserve"> </w:t>
      </w:r>
      <w:r w:rsidRPr="005728DD">
        <w:t>patients.</w:t>
      </w:r>
      <w:r w:rsidR="00182F2B" w:rsidRPr="005728DD">
        <w:t xml:space="preserve"> </w:t>
      </w:r>
      <w:r w:rsidR="00AD2354" w:rsidRPr="005728DD">
        <w:rPr>
          <w:iCs/>
        </w:rPr>
        <w:t xml:space="preserve">The </w:t>
      </w:r>
      <w:r w:rsidR="009714E5" w:rsidRPr="005728DD">
        <w:rPr>
          <w:iCs/>
        </w:rPr>
        <w:t>PSCR stated the s</w:t>
      </w:r>
      <w:r w:rsidR="00AD2354" w:rsidRPr="005728DD">
        <w:rPr>
          <w:iCs/>
        </w:rPr>
        <w:t xml:space="preserve">ponsor is open to discussions regarding a Risk Share </w:t>
      </w:r>
      <w:r w:rsidR="00AD2354" w:rsidRPr="005728DD">
        <w:rPr>
          <w:iCs/>
        </w:rPr>
        <w:lastRenderedPageBreak/>
        <w:t>Arrangement for ELX/TEZ/IVA, TEZ/IVA, LUM/IVA and IVA that mitigates the uncertainty surrounding the utilisation and financial impact of all CFTR modulators.</w:t>
      </w:r>
      <w:r w:rsidR="000D5900" w:rsidRPr="005728DD">
        <w:t xml:space="preserve"> </w:t>
      </w:r>
    </w:p>
    <w:p w:rsidR="00FA2B57" w:rsidRPr="005728DD" w:rsidRDefault="00594A70" w:rsidP="003F760F">
      <w:pPr>
        <w:pStyle w:val="TableFigureHeading"/>
      </w:pPr>
      <w:bookmarkStart w:id="50" w:name="_Ref64730615"/>
      <w:r w:rsidRPr="005728DD">
        <w:t xml:space="preserve">Table </w:t>
      </w:r>
      <w:r w:rsidR="005C56C0">
        <w:rPr>
          <w:noProof/>
        </w:rPr>
        <w:t>25</w:t>
      </w:r>
      <w:bookmarkEnd w:id="50"/>
      <w:r w:rsidR="00FA2B57" w:rsidRPr="005728DD">
        <w:t xml:space="preserve">: </w:t>
      </w:r>
      <w:r w:rsidR="009714E5" w:rsidRPr="005728DD">
        <w:t xml:space="preserve">Comparison of the number of treated patients for the F/F, F/RF and F/G populations </w:t>
      </w:r>
    </w:p>
    <w:tbl>
      <w:tblPr>
        <w:tblStyle w:val="TableGrid"/>
        <w:tblW w:w="5000" w:type="pct"/>
        <w:tblLook w:val="04A0" w:firstRow="1" w:lastRow="0" w:firstColumn="1" w:lastColumn="0" w:noHBand="0" w:noVBand="1"/>
        <w:tblCaption w:val="Table 25: Comparison of the number of treated patients for the F/F, F/RF and F/G populations "/>
      </w:tblPr>
      <w:tblGrid>
        <w:gridCol w:w="2122"/>
        <w:gridCol w:w="2210"/>
        <w:gridCol w:w="4566"/>
      </w:tblGrid>
      <w:tr w:rsidR="00FA2B57" w:rsidRPr="005728DD" w:rsidTr="005950B9">
        <w:trPr>
          <w:tblHeader/>
        </w:trPr>
        <w:tc>
          <w:tcPr>
            <w:tcW w:w="1192" w:type="pct"/>
          </w:tcPr>
          <w:p w:rsidR="00FA2B57" w:rsidRPr="005728DD" w:rsidRDefault="00FA2B57" w:rsidP="00FA2B57">
            <w:pPr>
              <w:pStyle w:val="2-SectionHeading"/>
              <w:numPr>
                <w:ilvl w:val="0"/>
                <w:numId w:val="0"/>
              </w:numPr>
              <w:rPr>
                <w:rStyle w:val="CommentReference"/>
                <w:b/>
                <w:szCs w:val="24"/>
              </w:rPr>
            </w:pPr>
          </w:p>
        </w:tc>
        <w:tc>
          <w:tcPr>
            <w:tcW w:w="1242" w:type="pct"/>
          </w:tcPr>
          <w:p w:rsidR="00FA2B57" w:rsidRPr="005728DD" w:rsidRDefault="00FA2B57" w:rsidP="00B80AE4">
            <w:pPr>
              <w:pStyle w:val="2-SectionHeading"/>
              <w:numPr>
                <w:ilvl w:val="0"/>
                <w:numId w:val="0"/>
              </w:numPr>
              <w:jc w:val="center"/>
              <w:rPr>
                <w:rStyle w:val="CommentReference"/>
                <w:b/>
                <w:szCs w:val="24"/>
              </w:rPr>
            </w:pPr>
            <w:r w:rsidRPr="005728DD">
              <w:rPr>
                <w:rStyle w:val="CommentReference"/>
                <w:b/>
                <w:szCs w:val="24"/>
              </w:rPr>
              <w:t>Estimated number</w:t>
            </w:r>
            <w:r w:rsidR="008B5EF9" w:rsidRPr="005728DD">
              <w:rPr>
                <w:rStyle w:val="CommentReference"/>
                <w:b/>
                <w:szCs w:val="24"/>
              </w:rPr>
              <w:t xml:space="preserve"> </w:t>
            </w:r>
            <w:r w:rsidRPr="005728DD">
              <w:rPr>
                <w:rStyle w:val="CommentReference"/>
                <w:b/>
                <w:szCs w:val="24"/>
              </w:rPr>
              <w:t>of patients treated with ELX/TEZ/</w:t>
            </w:r>
            <w:r w:rsidR="002D5D52" w:rsidRPr="005728DD">
              <w:rPr>
                <w:rStyle w:val="CommentReference"/>
                <w:b/>
                <w:szCs w:val="24"/>
              </w:rPr>
              <w:t>IVA</w:t>
            </w:r>
            <w:r w:rsidRPr="005728DD">
              <w:rPr>
                <w:rStyle w:val="CommentReference"/>
                <w:b/>
                <w:szCs w:val="24"/>
              </w:rPr>
              <w:t xml:space="preserve"> in </w:t>
            </w:r>
            <w:r w:rsidR="00B80AE4" w:rsidRPr="005728DD">
              <w:rPr>
                <w:rStyle w:val="CommentReference"/>
                <w:b/>
                <w:szCs w:val="24"/>
              </w:rPr>
              <w:t>Year 1</w:t>
            </w:r>
          </w:p>
        </w:tc>
        <w:tc>
          <w:tcPr>
            <w:tcW w:w="2566" w:type="pct"/>
          </w:tcPr>
          <w:p w:rsidR="00FA2B57" w:rsidRPr="005728DD" w:rsidRDefault="00B80AE4" w:rsidP="00FA2B57">
            <w:pPr>
              <w:pStyle w:val="2-SectionHeading"/>
              <w:numPr>
                <w:ilvl w:val="0"/>
                <w:numId w:val="0"/>
              </w:numPr>
              <w:rPr>
                <w:rStyle w:val="CommentReference"/>
                <w:b/>
                <w:szCs w:val="24"/>
              </w:rPr>
            </w:pPr>
            <w:r w:rsidRPr="005728DD">
              <w:rPr>
                <w:rStyle w:val="CommentReference"/>
                <w:b/>
                <w:szCs w:val="24"/>
              </w:rPr>
              <w:t>Estimated number of treated patients based on PBS utilisation data</w:t>
            </w:r>
          </w:p>
        </w:tc>
      </w:tr>
      <w:tr w:rsidR="00FA2B57" w:rsidRPr="005728DD" w:rsidTr="005950B9">
        <w:tc>
          <w:tcPr>
            <w:tcW w:w="1192" w:type="pct"/>
          </w:tcPr>
          <w:p w:rsidR="00FA2B57" w:rsidRPr="005728DD" w:rsidRDefault="00FA2B57" w:rsidP="006250BF">
            <w:pPr>
              <w:pStyle w:val="2-SectionHeading"/>
              <w:numPr>
                <w:ilvl w:val="0"/>
                <w:numId w:val="0"/>
              </w:numPr>
              <w:spacing w:before="0" w:after="0"/>
              <w:rPr>
                <w:rStyle w:val="CommentReference"/>
                <w:b/>
                <w:szCs w:val="24"/>
              </w:rPr>
            </w:pPr>
            <w:r w:rsidRPr="005728DD">
              <w:rPr>
                <w:rStyle w:val="CommentReference"/>
                <w:b/>
                <w:szCs w:val="24"/>
              </w:rPr>
              <w:t xml:space="preserve">F/F </w:t>
            </w:r>
            <w:r w:rsidR="00B80AE4" w:rsidRPr="005728DD">
              <w:rPr>
                <w:rStyle w:val="CommentReference"/>
                <w:b/>
                <w:szCs w:val="24"/>
              </w:rPr>
              <w:t xml:space="preserve">and F/RF </w:t>
            </w:r>
            <w:r w:rsidRPr="005728DD">
              <w:rPr>
                <w:rStyle w:val="CommentReference"/>
                <w:b/>
                <w:szCs w:val="24"/>
              </w:rPr>
              <w:t>population</w:t>
            </w:r>
          </w:p>
        </w:tc>
        <w:tc>
          <w:tcPr>
            <w:tcW w:w="1242" w:type="pct"/>
          </w:tcPr>
          <w:p w:rsidR="003863BA" w:rsidRPr="005728DD" w:rsidRDefault="003863BA" w:rsidP="006250BF">
            <w:pPr>
              <w:pStyle w:val="2-SectionHeading"/>
              <w:numPr>
                <w:ilvl w:val="0"/>
                <w:numId w:val="0"/>
              </w:numPr>
              <w:spacing w:before="0" w:after="0"/>
              <w:rPr>
                <w:rStyle w:val="CommentReference"/>
                <w:szCs w:val="24"/>
              </w:rPr>
            </w:pPr>
            <w:r w:rsidRPr="005728DD">
              <w:rPr>
                <w:rStyle w:val="CommentReference"/>
                <w:szCs w:val="24"/>
              </w:rPr>
              <w:t xml:space="preserve">F/F: </w:t>
            </w:r>
            <w:r w:rsidR="00967E09">
              <w:rPr>
                <w:rStyle w:val="CommentReference"/>
                <w:noProof/>
                <w:color w:val="000000"/>
                <w:szCs w:val="24"/>
                <w:highlight w:val="black"/>
              </w:rPr>
              <w:t>'''''''''''''''</w:t>
            </w:r>
            <w:r w:rsidR="00C60BF8">
              <w:rPr>
                <w:rStyle w:val="CommentReference"/>
                <w:szCs w:val="24"/>
                <w:vertAlign w:val="superscript"/>
              </w:rPr>
              <w:t>1</w:t>
            </w:r>
          </w:p>
          <w:p w:rsidR="003863BA" w:rsidRPr="005728DD" w:rsidRDefault="002D5D52" w:rsidP="006250BF">
            <w:pPr>
              <w:pStyle w:val="2-SectionHeading"/>
              <w:numPr>
                <w:ilvl w:val="0"/>
                <w:numId w:val="0"/>
              </w:numPr>
              <w:spacing w:before="0" w:after="0"/>
              <w:rPr>
                <w:rStyle w:val="CommentReference"/>
                <w:szCs w:val="24"/>
              </w:rPr>
            </w:pPr>
            <w:r w:rsidRPr="005728DD">
              <w:rPr>
                <w:rStyle w:val="CommentReference"/>
                <w:szCs w:val="24"/>
              </w:rPr>
              <w:t xml:space="preserve">F/RF: </w:t>
            </w:r>
            <w:r w:rsidR="00967E09">
              <w:rPr>
                <w:rStyle w:val="CommentReference"/>
                <w:noProof/>
                <w:color w:val="000000"/>
                <w:szCs w:val="24"/>
                <w:highlight w:val="black"/>
              </w:rPr>
              <w:t>'''''</w:t>
            </w:r>
            <w:r w:rsidR="00C60BF8">
              <w:rPr>
                <w:rStyle w:val="CommentReference"/>
                <w:szCs w:val="24"/>
                <w:vertAlign w:val="superscript"/>
              </w:rPr>
              <w:t>2</w:t>
            </w:r>
          </w:p>
          <w:p w:rsidR="00FA2B57" w:rsidRPr="005728DD" w:rsidRDefault="003863BA" w:rsidP="006250BF">
            <w:pPr>
              <w:pStyle w:val="2-SectionHeading"/>
              <w:numPr>
                <w:ilvl w:val="0"/>
                <w:numId w:val="0"/>
              </w:numPr>
              <w:spacing w:before="0" w:after="0"/>
              <w:rPr>
                <w:rStyle w:val="CommentReference"/>
                <w:szCs w:val="24"/>
              </w:rPr>
            </w:pPr>
            <w:r w:rsidRPr="005728DD">
              <w:rPr>
                <w:rStyle w:val="CommentReference"/>
                <w:szCs w:val="24"/>
              </w:rPr>
              <w:t xml:space="preserve">Total: </w:t>
            </w:r>
            <w:r w:rsidR="00967E09">
              <w:rPr>
                <w:rStyle w:val="CommentReference"/>
                <w:noProof/>
                <w:color w:val="000000"/>
                <w:szCs w:val="24"/>
                <w:highlight w:val="black"/>
              </w:rPr>
              <w:t>'''''''''''''</w:t>
            </w:r>
            <w:r w:rsidR="00C60BF8">
              <w:rPr>
                <w:rStyle w:val="CommentReference"/>
                <w:szCs w:val="24"/>
                <w:vertAlign w:val="superscript"/>
              </w:rPr>
              <w:t>1</w:t>
            </w:r>
          </w:p>
        </w:tc>
        <w:tc>
          <w:tcPr>
            <w:tcW w:w="2566" w:type="pct"/>
          </w:tcPr>
          <w:p w:rsidR="00B80AE4" w:rsidRPr="00C60BF8" w:rsidRDefault="00967E09" w:rsidP="006250BF">
            <w:pPr>
              <w:pStyle w:val="2-SectionHeading"/>
              <w:numPr>
                <w:ilvl w:val="0"/>
                <w:numId w:val="0"/>
              </w:numPr>
              <w:spacing w:before="0" w:after="0"/>
              <w:rPr>
                <w:rStyle w:val="CommentReference"/>
                <w:szCs w:val="24"/>
                <w:vertAlign w:val="superscript"/>
              </w:rPr>
            </w:pPr>
            <w:r>
              <w:rPr>
                <w:rStyle w:val="CommentReference"/>
                <w:noProof/>
                <w:color w:val="000000"/>
                <w:szCs w:val="24"/>
                <w:highlight w:val="black"/>
              </w:rPr>
              <w:t>''''''''''</w:t>
            </w:r>
            <w:r w:rsidR="00C60BF8">
              <w:rPr>
                <w:rStyle w:val="CommentReference"/>
                <w:szCs w:val="24"/>
                <w:vertAlign w:val="superscript"/>
              </w:rPr>
              <w:t>1</w:t>
            </w:r>
            <w:r w:rsidR="00B613FE" w:rsidRPr="005728DD">
              <w:rPr>
                <w:rStyle w:val="CommentReference"/>
                <w:szCs w:val="24"/>
              </w:rPr>
              <w:t xml:space="preserve"> patients treated with LUM</w:t>
            </w:r>
            <w:r w:rsidR="00B80AE4" w:rsidRPr="005728DD">
              <w:rPr>
                <w:rStyle w:val="CommentReference"/>
                <w:szCs w:val="24"/>
              </w:rPr>
              <w:t>/IVA (as of November 2020) (which includes patients 2 years and older).</w:t>
            </w:r>
            <w:r w:rsidR="008B5EF9" w:rsidRPr="005728DD">
              <w:rPr>
                <w:rStyle w:val="CommentReference"/>
                <w:szCs w:val="24"/>
              </w:rPr>
              <w:t xml:space="preserve"> </w:t>
            </w:r>
            <w:r w:rsidR="00B80AE4" w:rsidRPr="005728DD">
              <w:rPr>
                <w:rStyle w:val="CommentReference"/>
                <w:szCs w:val="24"/>
              </w:rPr>
              <w:t xml:space="preserve">Estimated </w:t>
            </w:r>
            <w:r>
              <w:rPr>
                <w:rStyle w:val="CommentReference"/>
                <w:noProof/>
                <w:color w:val="000000"/>
                <w:szCs w:val="24"/>
                <w:highlight w:val="black"/>
              </w:rPr>
              <w:t>''''''''''</w:t>
            </w:r>
            <w:r w:rsidR="00C60BF8">
              <w:rPr>
                <w:rStyle w:val="CommentReference"/>
                <w:szCs w:val="24"/>
                <w:vertAlign w:val="superscript"/>
              </w:rPr>
              <w:t>2</w:t>
            </w:r>
            <w:r w:rsidR="00B80AE4" w:rsidRPr="005728DD">
              <w:rPr>
                <w:rStyle w:val="CommentReference"/>
                <w:szCs w:val="24"/>
              </w:rPr>
              <w:t xml:space="preserve"> patients &gt; 12 years of age.</w:t>
            </w:r>
          </w:p>
          <w:p w:rsidR="006250BF" w:rsidRPr="005728DD" w:rsidRDefault="006250BF" w:rsidP="006250BF">
            <w:pPr>
              <w:pStyle w:val="2-SectionHeading"/>
              <w:numPr>
                <w:ilvl w:val="0"/>
                <w:numId w:val="0"/>
              </w:numPr>
              <w:spacing w:before="0" w:after="0"/>
              <w:rPr>
                <w:rStyle w:val="CommentReference"/>
                <w:szCs w:val="24"/>
              </w:rPr>
            </w:pPr>
          </w:p>
          <w:p w:rsidR="00B80AE4" w:rsidRPr="005728DD" w:rsidRDefault="00967E09" w:rsidP="006250BF">
            <w:pPr>
              <w:pStyle w:val="2-SectionHeading"/>
              <w:numPr>
                <w:ilvl w:val="0"/>
                <w:numId w:val="0"/>
              </w:numPr>
              <w:spacing w:before="0" w:after="0"/>
              <w:rPr>
                <w:rStyle w:val="CommentReference"/>
                <w:szCs w:val="24"/>
              </w:rPr>
            </w:pPr>
            <w:r>
              <w:rPr>
                <w:rStyle w:val="CommentReference"/>
                <w:noProof/>
                <w:color w:val="000000"/>
                <w:szCs w:val="24"/>
                <w:highlight w:val="black"/>
              </w:rPr>
              <w:t>''''''''''</w:t>
            </w:r>
            <w:r w:rsidR="00C60BF8">
              <w:rPr>
                <w:rStyle w:val="CommentReference"/>
                <w:szCs w:val="24"/>
                <w:vertAlign w:val="superscript"/>
              </w:rPr>
              <w:t>2</w:t>
            </w:r>
            <w:r w:rsidR="00B80AE4" w:rsidRPr="005728DD">
              <w:rPr>
                <w:rStyle w:val="CommentReference"/>
                <w:szCs w:val="24"/>
              </w:rPr>
              <w:t xml:space="preserve"> patients treated with TEZ/IVA</w:t>
            </w:r>
            <w:r w:rsidR="007F2E62" w:rsidRPr="005728DD">
              <w:rPr>
                <w:rStyle w:val="CommentReference"/>
                <w:szCs w:val="24"/>
              </w:rPr>
              <w:t xml:space="preserve"> (as of October 2020)</w:t>
            </w:r>
            <w:r w:rsidR="00B80AE4" w:rsidRPr="005728DD">
              <w:rPr>
                <w:rStyle w:val="CommentReference"/>
                <w:szCs w:val="24"/>
              </w:rPr>
              <w:t xml:space="preserve">. </w:t>
            </w:r>
          </w:p>
          <w:p w:rsidR="00AD2354" w:rsidRPr="005728DD" w:rsidRDefault="00AD2354" w:rsidP="006250BF">
            <w:pPr>
              <w:pStyle w:val="2-SectionHeading"/>
              <w:numPr>
                <w:ilvl w:val="0"/>
                <w:numId w:val="0"/>
              </w:numPr>
              <w:spacing w:before="0" w:after="0"/>
              <w:rPr>
                <w:rStyle w:val="CommentReference"/>
                <w:szCs w:val="24"/>
              </w:rPr>
            </w:pPr>
          </w:p>
          <w:p w:rsidR="00B80AE4" w:rsidRPr="005728DD" w:rsidRDefault="00B80AE4" w:rsidP="006250BF">
            <w:pPr>
              <w:pStyle w:val="2-SectionHeading"/>
              <w:numPr>
                <w:ilvl w:val="0"/>
                <w:numId w:val="0"/>
              </w:numPr>
              <w:spacing w:before="0" w:after="0"/>
              <w:rPr>
                <w:rStyle w:val="CommentReference"/>
                <w:szCs w:val="24"/>
              </w:rPr>
            </w:pPr>
            <w:r w:rsidRPr="005728DD">
              <w:rPr>
                <w:rStyle w:val="CommentReference"/>
                <w:szCs w:val="24"/>
              </w:rPr>
              <w:t>Total:</w:t>
            </w:r>
            <w:r w:rsidR="00967E09">
              <w:rPr>
                <w:rStyle w:val="CommentReference"/>
                <w:noProof/>
                <w:color w:val="000000"/>
                <w:szCs w:val="24"/>
                <w:highlight w:val="black"/>
              </w:rPr>
              <w:t xml:space="preserve"> ''''''''''</w:t>
            </w:r>
            <w:r w:rsidR="00C60BF8">
              <w:rPr>
                <w:rStyle w:val="CommentReference"/>
                <w:szCs w:val="24"/>
                <w:vertAlign w:val="superscript"/>
              </w:rPr>
              <w:t>1</w:t>
            </w:r>
            <w:r w:rsidRPr="005728DD">
              <w:rPr>
                <w:rStyle w:val="CommentReference"/>
                <w:szCs w:val="24"/>
              </w:rPr>
              <w:t xml:space="preserve"> treated patients. </w:t>
            </w:r>
          </w:p>
        </w:tc>
      </w:tr>
      <w:tr w:rsidR="00FA2B57" w:rsidRPr="005728DD" w:rsidTr="005950B9">
        <w:tc>
          <w:tcPr>
            <w:tcW w:w="1192" w:type="pct"/>
          </w:tcPr>
          <w:p w:rsidR="00FA2B57" w:rsidRPr="005728DD" w:rsidRDefault="00FA2B57" w:rsidP="006250BF">
            <w:pPr>
              <w:pStyle w:val="2-SectionHeading"/>
              <w:numPr>
                <w:ilvl w:val="0"/>
                <w:numId w:val="0"/>
              </w:numPr>
              <w:spacing w:before="0" w:after="0"/>
              <w:rPr>
                <w:rStyle w:val="CommentReference"/>
                <w:b/>
                <w:szCs w:val="24"/>
              </w:rPr>
            </w:pPr>
            <w:r w:rsidRPr="005728DD">
              <w:rPr>
                <w:rStyle w:val="CommentReference"/>
                <w:b/>
                <w:szCs w:val="24"/>
              </w:rPr>
              <w:t xml:space="preserve">F/G population </w:t>
            </w:r>
          </w:p>
        </w:tc>
        <w:tc>
          <w:tcPr>
            <w:tcW w:w="1242" w:type="pct"/>
          </w:tcPr>
          <w:p w:rsidR="00FA2B57" w:rsidRPr="005728DD" w:rsidRDefault="00967E09" w:rsidP="006250BF">
            <w:pPr>
              <w:pStyle w:val="2-SectionHeading"/>
              <w:numPr>
                <w:ilvl w:val="0"/>
                <w:numId w:val="0"/>
              </w:numPr>
              <w:spacing w:before="0" w:after="0"/>
              <w:rPr>
                <w:rStyle w:val="CommentReference"/>
                <w:szCs w:val="24"/>
              </w:rPr>
            </w:pPr>
            <w:r>
              <w:rPr>
                <w:rStyle w:val="CommentReference"/>
                <w:noProof/>
                <w:color w:val="000000"/>
                <w:szCs w:val="24"/>
                <w:highlight w:val="black"/>
              </w:rPr>
              <w:t>''''''''''</w:t>
            </w:r>
            <w:r w:rsidR="00C60BF8">
              <w:rPr>
                <w:rStyle w:val="CommentReference"/>
                <w:szCs w:val="24"/>
                <w:vertAlign w:val="superscript"/>
              </w:rPr>
              <w:t>2</w:t>
            </w:r>
          </w:p>
        </w:tc>
        <w:tc>
          <w:tcPr>
            <w:tcW w:w="2566" w:type="pct"/>
          </w:tcPr>
          <w:p w:rsidR="00FA2B57" w:rsidRPr="005728DD" w:rsidRDefault="00967E09" w:rsidP="006250BF">
            <w:pPr>
              <w:pStyle w:val="2-SectionHeading"/>
              <w:numPr>
                <w:ilvl w:val="0"/>
                <w:numId w:val="0"/>
              </w:numPr>
              <w:spacing w:before="0" w:after="0"/>
              <w:rPr>
                <w:rStyle w:val="CommentReference"/>
                <w:szCs w:val="24"/>
              </w:rPr>
            </w:pPr>
            <w:r>
              <w:rPr>
                <w:rStyle w:val="CommentReference"/>
                <w:noProof/>
                <w:color w:val="000000"/>
                <w:szCs w:val="24"/>
                <w:highlight w:val="black"/>
              </w:rPr>
              <w:t>''''''''</w:t>
            </w:r>
            <w:r w:rsidR="00C60BF8">
              <w:rPr>
                <w:rStyle w:val="CommentReference"/>
                <w:szCs w:val="24"/>
                <w:vertAlign w:val="superscript"/>
              </w:rPr>
              <w:t>2</w:t>
            </w:r>
            <w:r w:rsidR="00B80AE4" w:rsidRPr="005728DD">
              <w:rPr>
                <w:rStyle w:val="CommentReference"/>
                <w:szCs w:val="24"/>
              </w:rPr>
              <w:t xml:space="preserve"> patients </w:t>
            </w:r>
            <w:r w:rsidR="007F2E62" w:rsidRPr="005728DD">
              <w:rPr>
                <w:rStyle w:val="CommentReference"/>
                <w:szCs w:val="24"/>
              </w:rPr>
              <w:t xml:space="preserve">treated with IVA (as of Q4 2020) (which includes patients </w:t>
            </w:r>
            <w:r w:rsidR="00B80AE4" w:rsidRPr="005728DD">
              <w:rPr>
                <w:rStyle w:val="CommentReference"/>
                <w:szCs w:val="24"/>
              </w:rPr>
              <w:t xml:space="preserve">aged </w:t>
            </w:r>
            <w:r w:rsidR="00C24A1D" w:rsidRPr="005728DD">
              <w:rPr>
                <w:rStyle w:val="CommentReference"/>
                <w:szCs w:val="24"/>
              </w:rPr>
              <w:t>12 months old</w:t>
            </w:r>
            <w:r w:rsidR="00B80AE4" w:rsidRPr="005728DD">
              <w:rPr>
                <w:rStyle w:val="CommentReference"/>
                <w:szCs w:val="24"/>
              </w:rPr>
              <w:t xml:space="preserve"> and older</w:t>
            </w:r>
            <w:r w:rsidR="007F2E62" w:rsidRPr="005728DD">
              <w:rPr>
                <w:rStyle w:val="CommentReference"/>
                <w:szCs w:val="24"/>
              </w:rPr>
              <w:t xml:space="preserve">). </w:t>
            </w:r>
          </w:p>
        </w:tc>
      </w:tr>
    </w:tbl>
    <w:p w:rsidR="00240082" w:rsidRDefault="00240082" w:rsidP="00AA523A">
      <w:pPr>
        <w:pStyle w:val="TableFigureFooter"/>
      </w:pPr>
      <w:r w:rsidRPr="005728DD">
        <w:t>Abbreviations: ELX/TEZ/IVA = elexacaftor/tezacaftor/ivacaftor</w:t>
      </w:r>
      <w:r w:rsidRPr="005728DD">
        <w:rPr>
          <w:szCs w:val="18"/>
        </w:rPr>
        <w:t>; F/G = CF patient heterozygous for the F508del in the CFTR gene with a gating mutation; F/F = homozygo</w:t>
      </w:r>
      <w:r w:rsidR="00AA523A" w:rsidRPr="005728DD">
        <w:rPr>
          <w:szCs w:val="18"/>
        </w:rPr>
        <w:t xml:space="preserve">us for F508del-CFTR mutations; </w:t>
      </w:r>
      <w:r w:rsidRPr="005728DD">
        <w:rPr>
          <w:szCs w:val="18"/>
        </w:rPr>
        <w:t xml:space="preserve">F/RF = heterozygous for F508del-CFTR with a second residual function mutation; </w:t>
      </w:r>
      <w:r w:rsidR="00AA523A" w:rsidRPr="005728DD">
        <w:rPr>
          <w:szCs w:val="18"/>
        </w:rPr>
        <w:t xml:space="preserve">LUM/IVA=lumacaftor/ivacaftor; IVA=ivacaftor; </w:t>
      </w:r>
      <w:r w:rsidRPr="005728DD">
        <w:rPr>
          <w:szCs w:val="18"/>
        </w:rPr>
        <w:t xml:space="preserve">PBS = Pharmaceutical Benefits Scheme; </w:t>
      </w:r>
      <w:r w:rsidRPr="005728DD">
        <w:t>TEZ/IVA = tezacaftor/ivacaftor</w:t>
      </w:r>
    </w:p>
    <w:p w:rsidR="00C60BF8" w:rsidRDefault="00C60BF8" w:rsidP="00C60BF8">
      <w:pPr>
        <w:pStyle w:val="TableFigureFooter"/>
        <w:spacing w:before="240"/>
        <w:rPr>
          <w:i/>
        </w:rPr>
      </w:pPr>
      <w:r w:rsidRPr="009868C4">
        <w:rPr>
          <w:i/>
        </w:rPr>
        <w:t>The redacted values correspond to the following ranges</w:t>
      </w:r>
      <w:r>
        <w:rPr>
          <w:i/>
        </w:rPr>
        <w:t>:</w:t>
      </w:r>
    </w:p>
    <w:p w:rsidR="00C60BF8" w:rsidRDefault="00C60BF8" w:rsidP="00C60BF8">
      <w:pPr>
        <w:pStyle w:val="TableFigureFooter"/>
        <w:spacing w:before="240"/>
        <w:rPr>
          <w:i/>
          <w:szCs w:val="18"/>
        </w:rPr>
      </w:pPr>
      <w:r>
        <w:rPr>
          <w:i/>
          <w:szCs w:val="18"/>
          <w:vertAlign w:val="superscript"/>
        </w:rPr>
        <w:t xml:space="preserve">1 </w:t>
      </w:r>
      <w:r w:rsidRPr="00C60BF8">
        <w:rPr>
          <w:i/>
          <w:szCs w:val="18"/>
        </w:rPr>
        <w:t>500 to &lt; 5,000</w:t>
      </w:r>
    </w:p>
    <w:p w:rsidR="00C60BF8" w:rsidRPr="00C60BF8" w:rsidRDefault="00C60BF8" w:rsidP="00C60BF8">
      <w:pPr>
        <w:pStyle w:val="TableFigureFooter"/>
        <w:spacing w:before="240"/>
        <w:rPr>
          <w:i/>
          <w:szCs w:val="18"/>
        </w:rPr>
      </w:pPr>
      <w:r>
        <w:rPr>
          <w:i/>
          <w:szCs w:val="18"/>
          <w:vertAlign w:val="superscript"/>
        </w:rPr>
        <w:t xml:space="preserve">2 </w:t>
      </w:r>
      <w:r w:rsidRPr="00C60BF8">
        <w:rPr>
          <w:i/>
          <w:szCs w:val="18"/>
        </w:rPr>
        <w:t>&lt; 500</w:t>
      </w:r>
    </w:p>
    <w:p w:rsidR="00C60BF8" w:rsidRPr="005728DD" w:rsidRDefault="00C60BF8" w:rsidP="00AA523A">
      <w:pPr>
        <w:pStyle w:val="TableFigureFooter"/>
        <w:rPr>
          <w:szCs w:val="18"/>
        </w:rPr>
      </w:pPr>
    </w:p>
    <w:p w:rsidR="00BF4491" w:rsidRPr="005728DD" w:rsidRDefault="00BE49EF" w:rsidP="00B14C0B">
      <w:pPr>
        <w:pStyle w:val="3-BodyText"/>
      </w:pPr>
      <w:r w:rsidRPr="005728DD">
        <w:t xml:space="preserve">The distribution of the different F508del mutations was obtained from the ACFDR </w:t>
      </w:r>
      <w:r w:rsidR="00AF3F7B" w:rsidRPr="005728DD">
        <w:t>(</w:t>
      </w:r>
      <w:r w:rsidR="005C56C0" w:rsidRPr="005728DD">
        <w:t xml:space="preserve">Table </w:t>
      </w:r>
      <w:r w:rsidR="005C56C0">
        <w:t>26</w:t>
      </w:r>
      <w:r w:rsidR="00AF3F7B" w:rsidRPr="005728DD">
        <w:t>)</w:t>
      </w:r>
      <w:r w:rsidRPr="005728DD">
        <w:t xml:space="preserve">. The submission assumed patients classified as F/not yet characterised should be added to the F/MF population. This resulted in the F/MF population accounting for 33.8% of the total population. </w:t>
      </w:r>
      <w:r w:rsidR="00F95063" w:rsidRPr="005728DD">
        <w:t xml:space="preserve">The ESC noted the approach used in the submission may have overestimated </w:t>
      </w:r>
      <w:r w:rsidR="00675537">
        <w:t xml:space="preserve">the </w:t>
      </w:r>
      <w:r w:rsidR="00F95063" w:rsidRPr="005728DD">
        <w:t xml:space="preserve">proportion of F/MF patients which resulted in underestimating the proportion of use accounted for by other populations which would underestimate the offsets for TEZ/IVA, LUM/IVA and IVA. The PSCR acknowledged that </w:t>
      </w:r>
      <w:r w:rsidR="00F95063" w:rsidRPr="005728DD">
        <w:rPr>
          <w:iCs/>
        </w:rPr>
        <w:t xml:space="preserve">as genotyping of the second allele increases, together with characterisation of these mutations, patients will eventually be characterised as either F/G, F/RF or F/MF genotype. </w:t>
      </w:r>
      <w:r w:rsidR="006F0191" w:rsidRPr="005728DD">
        <w:t xml:space="preserve">To determine the proportion of each phenotype within the F/any population, the PBAC considered it was reasonable to </w:t>
      </w:r>
      <w:r w:rsidR="00384D43" w:rsidRPr="005728DD">
        <w:t>consider that</w:t>
      </w:r>
      <w:r w:rsidR="006F0191" w:rsidRPr="005728DD">
        <w:t xml:space="preserve"> 50% of the 354 patients in the ACFDR registry assumed by the submission to be in the F/not yet characterised population </w:t>
      </w:r>
      <w:r w:rsidR="00384D43" w:rsidRPr="005728DD">
        <w:t xml:space="preserve">would be subsequently characterised </w:t>
      </w:r>
      <w:r w:rsidR="006F0191" w:rsidRPr="005728DD">
        <w:t>to the F/MF population, 25% to the F/ G population and 25% to the F/RF population.</w:t>
      </w:r>
      <w:r w:rsidR="008B5EF9" w:rsidRPr="005728DD">
        <w:t xml:space="preserve"> </w:t>
      </w:r>
      <w:r w:rsidR="006F0191" w:rsidRPr="005728DD">
        <w:t>Based on this allocation,</w:t>
      </w:r>
      <w:r w:rsidR="00384D43" w:rsidRPr="005728DD">
        <w:t xml:space="preserve"> the PBAC considered that within the F/any population </w:t>
      </w:r>
      <w:r w:rsidR="006F0191" w:rsidRPr="005728DD">
        <w:t>53.2% would be F/F, 9.5% would be F/RF, 25.8% would be F/MF and 11.5% would be F/G.</w:t>
      </w:r>
      <w:r w:rsidR="008B5EF9" w:rsidRPr="005728DD">
        <w:t xml:space="preserve"> </w:t>
      </w:r>
      <w:r w:rsidR="006F0191" w:rsidRPr="005728DD">
        <w:t xml:space="preserve">For the purpose of calculating a weighted price (as described in </w:t>
      </w:r>
      <w:r w:rsidR="006F0191" w:rsidRPr="007728CB">
        <w:t>paragraph 6.5</w:t>
      </w:r>
      <w:r w:rsidR="007728CB" w:rsidRPr="007728CB">
        <w:t>4</w:t>
      </w:r>
      <w:r w:rsidR="006F0191" w:rsidRPr="007728CB">
        <w:t>),</w:t>
      </w:r>
      <w:r w:rsidR="006F0191" w:rsidRPr="005728DD">
        <w:t xml:space="preserve"> this reallocation would result in the F/F population accounting for 60.1% of the cost per patient per year, the F/RF population accounting for 10.7% and F/MF population accounting for 29.1%</w:t>
      </w:r>
      <w:r w:rsidR="000478FB">
        <w:rPr>
          <w:rStyle w:val="FootnoteReference"/>
        </w:rPr>
        <w:footnoteReference w:id="5"/>
      </w:r>
      <w:r w:rsidR="006F0191" w:rsidRPr="005728DD">
        <w:t xml:space="preserve">. </w:t>
      </w:r>
    </w:p>
    <w:p w:rsidR="009714E5" w:rsidRPr="005728DD" w:rsidRDefault="009714E5" w:rsidP="003F760F">
      <w:pPr>
        <w:pStyle w:val="TableFigureHeading"/>
      </w:pPr>
      <w:bookmarkStart w:id="51" w:name="_Ref64729156"/>
      <w:r w:rsidRPr="005728DD">
        <w:lastRenderedPageBreak/>
        <w:t xml:space="preserve">Table </w:t>
      </w:r>
      <w:r w:rsidR="005C56C0">
        <w:rPr>
          <w:noProof/>
        </w:rPr>
        <w:t>26</w:t>
      </w:r>
      <w:bookmarkEnd w:id="51"/>
      <w:r w:rsidRPr="005728DD">
        <w:t xml:space="preserve">: </w:t>
      </w:r>
      <w:r w:rsidR="000D5900" w:rsidRPr="005728DD">
        <w:t>Proportion of patients within each population</w:t>
      </w:r>
    </w:p>
    <w:tbl>
      <w:tblPr>
        <w:tblStyle w:val="TableGrid"/>
        <w:tblW w:w="0" w:type="auto"/>
        <w:tblLook w:val="04A0" w:firstRow="1" w:lastRow="0" w:firstColumn="1" w:lastColumn="0" w:noHBand="0" w:noVBand="1"/>
        <w:tblCaption w:val="Table 26: Proportion of patients within each population"/>
      </w:tblPr>
      <w:tblGrid>
        <w:gridCol w:w="1761"/>
        <w:gridCol w:w="1751"/>
        <w:gridCol w:w="769"/>
        <w:gridCol w:w="1062"/>
        <w:gridCol w:w="1777"/>
        <w:gridCol w:w="1778"/>
      </w:tblGrid>
      <w:tr w:rsidR="006F0191" w:rsidRPr="005728DD" w:rsidTr="005C66A3">
        <w:trPr>
          <w:tblHeader/>
        </w:trPr>
        <w:tc>
          <w:tcPr>
            <w:tcW w:w="1761" w:type="dxa"/>
          </w:tcPr>
          <w:p w:rsidR="006F0191" w:rsidRPr="005728DD" w:rsidRDefault="006F0191" w:rsidP="00240082">
            <w:pPr>
              <w:pStyle w:val="3-BodyText"/>
              <w:keepNext/>
              <w:keepLines/>
              <w:numPr>
                <w:ilvl w:val="0"/>
                <w:numId w:val="0"/>
              </w:numPr>
              <w:spacing w:after="0"/>
              <w:rPr>
                <w:rFonts w:ascii="Arial Narrow" w:hAnsi="Arial Narrow"/>
                <w:b/>
                <w:sz w:val="20"/>
                <w:szCs w:val="20"/>
              </w:rPr>
            </w:pPr>
          </w:p>
        </w:tc>
        <w:tc>
          <w:tcPr>
            <w:tcW w:w="3582" w:type="dxa"/>
            <w:gridSpan w:val="3"/>
          </w:tcPr>
          <w:p w:rsidR="006F0191" w:rsidRPr="005728DD" w:rsidRDefault="006F0191" w:rsidP="00AA523A">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used in submission (assumed F/not yet should be added to the F/MF population)</w:t>
            </w:r>
          </w:p>
        </w:tc>
        <w:tc>
          <w:tcPr>
            <w:tcW w:w="3555" w:type="dxa"/>
            <w:gridSpan w:val="2"/>
          </w:tcPr>
          <w:p w:rsidR="006F0191" w:rsidRPr="005728DD" w:rsidRDefault="006F0191" w:rsidP="00AA523A">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Approach considered reasonable by the PBAC</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Population (over 12 years of age)</w:t>
            </w:r>
          </w:p>
        </w:tc>
        <w:tc>
          <w:tcPr>
            <w:tcW w:w="1751" w:type="dxa"/>
          </w:tcPr>
          <w:p w:rsidR="006F0191" w:rsidRPr="005728DD" w:rsidRDefault="006F0191" w:rsidP="00240082">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831" w:type="dxa"/>
            <w:gridSpan w:val="2"/>
          </w:tcPr>
          <w:p w:rsidR="006F0191" w:rsidRPr="005728DD" w:rsidRDefault="006F0191" w:rsidP="00240082">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 </w:t>
            </w:r>
          </w:p>
        </w:tc>
        <w:tc>
          <w:tcPr>
            <w:tcW w:w="1777" w:type="dxa"/>
          </w:tcPr>
          <w:p w:rsidR="006F0191" w:rsidRPr="005728DD" w:rsidRDefault="006F0191" w:rsidP="00240082">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 xml:space="preserve">Number of patients in </w:t>
            </w:r>
            <w:r w:rsidRPr="005728DD">
              <w:rPr>
                <w:rFonts w:ascii="Arial Narrow" w:hAnsi="Arial Narrow"/>
                <w:b/>
                <w:iCs/>
                <w:sz w:val="20"/>
                <w:szCs w:val="20"/>
              </w:rPr>
              <w:t>ACFDR analysis</w:t>
            </w:r>
          </w:p>
        </w:tc>
        <w:tc>
          <w:tcPr>
            <w:tcW w:w="1778" w:type="dxa"/>
          </w:tcPr>
          <w:p w:rsidR="006F0191" w:rsidRPr="005728DD" w:rsidRDefault="006F0191" w:rsidP="00240082">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b/>
                <w:sz w:val="20"/>
                <w:szCs w:val="20"/>
              </w:rPr>
              <w:t>%</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F/F</w:t>
            </w:r>
          </w:p>
        </w:tc>
        <w:tc>
          <w:tcPr>
            <w:tcW w:w="1751"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831" w:type="dxa"/>
            <w:gridSpan w:val="2"/>
          </w:tcPr>
          <w:p w:rsidR="006F0191" w:rsidRPr="00C60BF8" w:rsidRDefault="006F0191" w:rsidP="00C60BF8">
            <w:pPr>
              <w:pStyle w:val="3-BodyText"/>
              <w:keepNext/>
              <w:keepLines/>
              <w:numPr>
                <w:ilvl w:val="0"/>
                <w:numId w:val="0"/>
              </w:numPr>
              <w:spacing w:after="0"/>
              <w:jc w:val="center"/>
              <w:rPr>
                <w:rFonts w:ascii="Arial Narrow" w:hAnsi="Arial Narrow"/>
                <w:sz w:val="20"/>
                <w:szCs w:val="20"/>
                <w:vertAlign w:val="superscript"/>
              </w:rPr>
            </w:pPr>
            <w:r w:rsidRPr="005728DD">
              <w:rPr>
                <w:rFonts w:ascii="Arial Narrow" w:hAnsi="Arial Narrow"/>
                <w:sz w:val="20"/>
                <w:szCs w:val="20"/>
              </w:rPr>
              <w:t>53.2</w:t>
            </w:r>
          </w:p>
        </w:tc>
        <w:tc>
          <w:tcPr>
            <w:tcW w:w="1777"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1,180</w:t>
            </w:r>
          </w:p>
        </w:tc>
        <w:tc>
          <w:tcPr>
            <w:tcW w:w="1778"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53.2</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F/RF</w:t>
            </w:r>
          </w:p>
        </w:tc>
        <w:tc>
          <w:tcPr>
            <w:tcW w:w="1751"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122</w:t>
            </w:r>
          </w:p>
        </w:tc>
        <w:tc>
          <w:tcPr>
            <w:tcW w:w="1831" w:type="dxa"/>
            <w:gridSpan w:val="2"/>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5.5</w:t>
            </w:r>
          </w:p>
        </w:tc>
        <w:tc>
          <w:tcPr>
            <w:tcW w:w="1777"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211</w:t>
            </w:r>
          </w:p>
        </w:tc>
        <w:tc>
          <w:tcPr>
            <w:tcW w:w="1778"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9.5</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F/G </w:t>
            </w:r>
          </w:p>
        </w:tc>
        <w:tc>
          <w:tcPr>
            <w:tcW w:w="1751"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166</w:t>
            </w:r>
          </w:p>
        </w:tc>
        <w:tc>
          <w:tcPr>
            <w:tcW w:w="1831" w:type="dxa"/>
            <w:gridSpan w:val="2"/>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7.5</w:t>
            </w:r>
          </w:p>
        </w:tc>
        <w:tc>
          <w:tcPr>
            <w:tcW w:w="1777"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255</w:t>
            </w:r>
          </w:p>
        </w:tc>
        <w:tc>
          <w:tcPr>
            <w:tcW w:w="1778"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11.5</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F/MF </w:t>
            </w:r>
          </w:p>
        </w:tc>
        <w:tc>
          <w:tcPr>
            <w:tcW w:w="1751"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395</w:t>
            </w:r>
          </w:p>
        </w:tc>
        <w:tc>
          <w:tcPr>
            <w:tcW w:w="769"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17.8</w:t>
            </w:r>
          </w:p>
        </w:tc>
        <w:tc>
          <w:tcPr>
            <w:tcW w:w="1062" w:type="dxa"/>
            <w:vMerge w:val="restart"/>
          </w:tcPr>
          <w:p w:rsidR="006F0191" w:rsidRPr="005728DD" w:rsidRDefault="006F0191" w:rsidP="00240082">
            <w:pPr>
              <w:pStyle w:val="3-BodyText"/>
              <w:keepNext/>
              <w:keepLines/>
              <w:numPr>
                <w:ilvl w:val="0"/>
                <w:numId w:val="0"/>
              </w:numPr>
              <w:spacing w:after="0"/>
              <w:jc w:val="left"/>
              <w:rPr>
                <w:rFonts w:ascii="Arial Narrow" w:hAnsi="Arial Narrow"/>
                <w:sz w:val="20"/>
                <w:szCs w:val="20"/>
              </w:rPr>
            </w:pPr>
            <w:r w:rsidRPr="005728DD">
              <w:rPr>
                <w:rFonts w:ascii="Arial Narrow" w:hAnsi="Arial Narrow"/>
                <w:sz w:val="20"/>
                <w:szCs w:val="20"/>
              </w:rPr>
              <w:t>F/ MF: 33.8</w:t>
            </w:r>
          </w:p>
        </w:tc>
        <w:tc>
          <w:tcPr>
            <w:tcW w:w="1777" w:type="dxa"/>
          </w:tcPr>
          <w:p w:rsidR="006F0191" w:rsidRPr="00C110E1" w:rsidRDefault="006F0191" w:rsidP="006F0191">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572</w:t>
            </w:r>
          </w:p>
        </w:tc>
        <w:tc>
          <w:tcPr>
            <w:tcW w:w="1778" w:type="dxa"/>
          </w:tcPr>
          <w:p w:rsidR="006F0191" w:rsidRPr="005728DD" w:rsidRDefault="006F0191" w:rsidP="006F019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25.8</w:t>
            </w: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F/not yet</w:t>
            </w:r>
          </w:p>
        </w:tc>
        <w:tc>
          <w:tcPr>
            <w:tcW w:w="1751" w:type="dxa"/>
          </w:tcPr>
          <w:p w:rsidR="006F0191" w:rsidRPr="00C110E1"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354</w:t>
            </w:r>
            <w:r w:rsidRPr="00C60BF8">
              <w:rPr>
                <w:rFonts w:ascii="Arial Narrow" w:hAnsi="Arial Narrow"/>
                <w:sz w:val="20"/>
                <w:szCs w:val="20"/>
                <w:vertAlign w:val="superscript"/>
              </w:rPr>
              <w:t>1</w:t>
            </w:r>
          </w:p>
        </w:tc>
        <w:tc>
          <w:tcPr>
            <w:tcW w:w="769"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16.0</w:t>
            </w:r>
          </w:p>
        </w:tc>
        <w:tc>
          <w:tcPr>
            <w:tcW w:w="1062" w:type="dxa"/>
            <w:vMerge/>
          </w:tcPr>
          <w:p w:rsidR="006F0191" w:rsidRPr="005728DD" w:rsidRDefault="006F0191" w:rsidP="00240082">
            <w:pPr>
              <w:pStyle w:val="3-BodyText"/>
              <w:keepNext/>
              <w:keepLines/>
              <w:numPr>
                <w:ilvl w:val="0"/>
                <w:numId w:val="0"/>
              </w:numPr>
              <w:spacing w:after="0"/>
              <w:rPr>
                <w:rFonts w:ascii="Arial Narrow" w:hAnsi="Arial Narrow"/>
                <w:sz w:val="20"/>
                <w:szCs w:val="20"/>
              </w:rPr>
            </w:pPr>
          </w:p>
        </w:tc>
        <w:tc>
          <w:tcPr>
            <w:tcW w:w="1777" w:type="dxa"/>
          </w:tcPr>
          <w:p w:rsidR="006F0191" w:rsidRPr="005728DD" w:rsidRDefault="006F0191" w:rsidP="006F0191">
            <w:pPr>
              <w:pStyle w:val="3-BodyText"/>
              <w:keepNext/>
              <w:keepLines/>
              <w:numPr>
                <w:ilvl w:val="0"/>
                <w:numId w:val="0"/>
              </w:numPr>
              <w:spacing w:after="0"/>
              <w:jc w:val="center"/>
              <w:rPr>
                <w:rFonts w:ascii="Arial Narrow" w:hAnsi="Arial Narrow"/>
                <w:sz w:val="20"/>
                <w:szCs w:val="20"/>
              </w:rPr>
            </w:pPr>
            <w:r w:rsidRPr="005728DD">
              <w:rPr>
                <w:rFonts w:ascii="Arial Narrow" w:hAnsi="Arial Narrow"/>
                <w:sz w:val="20"/>
                <w:szCs w:val="20"/>
              </w:rPr>
              <w:t>-</w:t>
            </w:r>
          </w:p>
        </w:tc>
        <w:tc>
          <w:tcPr>
            <w:tcW w:w="1778" w:type="dxa"/>
          </w:tcPr>
          <w:p w:rsidR="006F0191" w:rsidRPr="005728DD" w:rsidRDefault="006F0191" w:rsidP="00240082">
            <w:pPr>
              <w:pStyle w:val="3-BodyText"/>
              <w:keepNext/>
              <w:keepLines/>
              <w:numPr>
                <w:ilvl w:val="0"/>
                <w:numId w:val="0"/>
              </w:numPr>
              <w:spacing w:after="0"/>
              <w:rPr>
                <w:rFonts w:ascii="Arial Narrow" w:hAnsi="Arial Narrow"/>
                <w:sz w:val="20"/>
                <w:szCs w:val="20"/>
              </w:rPr>
            </w:pPr>
          </w:p>
        </w:tc>
      </w:tr>
      <w:tr w:rsidR="006F0191" w:rsidRPr="005728DD" w:rsidTr="00DF1F02">
        <w:tc>
          <w:tcPr>
            <w:tcW w:w="1761" w:type="dxa"/>
          </w:tcPr>
          <w:p w:rsidR="006F0191" w:rsidRPr="005728DD" w:rsidRDefault="006F0191" w:rsidP="00240082">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Total</w:t>
            </w:r>
          </w:p>
        </w:tc>
        <w:tc>
          <w:tcPr>
            <w:tcW w:w="1751"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831" w:type="dxa"/>
            <w:gridSpan w:val="2"/>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p>
        </w:tc>
        <w:tc>
          <w:tcPr>
            <w:tcW w:w="1777"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r w:rsidRPr="00C110E1">
              <w:rPr>
                <w:rFonts w:ascii="Arial Narrow" w:hAnsi="Arial Narrow"/>
                <w:sz w:val="20"/>
                <w:szCs w:val="20"/>
              </w:rPr>
              <w:t>2,217</w:t>
            </w:r>
          </w:p>
        </w:tc>
        <w:tc>
          <w:tcPr>
            <w:tcW w:w="1778" w:type="dxa"/>
          </w:tcPr>
          <w:p w:rsidR="006F0191" w:rsidRPr="005728DD" w:rsidRDefault="006F0191" w:rsidP="00240082">
            <w:pPr>
              <w:pStyle w:val="3-BodyText"/>
              <w:keepNext/>
              <w:keepLines/>
              <w:numPr>
                <w:ilvl w:val="0"/>
                <w:numId w:val="0"/>
              </w:numPr>
              <w:spacing w:after="0"/>
              <w:jc w:val="center"/>
              <w:rPr>
                <w:rFonts w:ascii="Arial Narrow" w:hAnsi="Arial Narrow"/>
                <w:sz w:val="20"/>
                <w:szCs w:val="20"/>
              </w:rPr>
            </w:pPr>
          </w:p>
        </w:tc>
      </w:tr>
    </w:tbl>
    <w:p w:rsidR="00240082" w:rsidRPr="003C3190" w:rsidRDefault="00AA523A" w:rsidP="00C67FFB">
      <w:pPr>
        <w:pStyle w:val="3-BodyText"/>
        <w:keepNext/>
        <w:keepLines/>
        <w:numPr>
          <w:ilvl w:val="0"/>
          <w:numId w:val="0"/>
        </w:numPr>
        <w:spacing w:after="0"/>
        <w:ind w:hanging="11"/>
        <w:rPr>
          <w:rFonts w:ascii="Arial Narrow" w:hAnsi="Arial Narrow"/>
          <w:sz w:val="18"/>
        </w:rPr>
      </w:pPr>
      <w:r w:rsidRPr="003C3190">
        <w:rPr>
          <w:rFonts w:ascii="Arial Narrow" w:hAnsi="Arial Narrow"/>
          <w:sz w:val="18"/>
        </w:rPr>
        <w:t>Abbreviations: ACFDR=</w:t>
      </w:r>
      <w:r w:rsidR="00240082" w:rsidRPr="003C3190">
        <w:rPr>
          <w:rFonts w:ascii="Arial Narrow" w:hAnsi="Arial Narrow"/>
          <w:sz w:val="18"/>
        </w:rPr>
        <w:t>Australian Cystic Fibrosis Data Registry</w:t>
      </w:r>
      <w:r w:rsidRPr="003C3190">
        <w:rPr>
          <w:rFonts w:ascii="Arial Narrow" w:hAnsi="Arial Narrow"/>
          <w:sz w:val="18"/>
        </w:rPr>
        <w:t>; F/F = homozygous for F508del-CFTR mutations; F/MF = heterozygous for F508del-CFTR mutation with a second minimal function allele; F/RF = heterozygous for F508del-CFTR with a second residual function mutation; F/not yet= heterozygous for F508del-CFTR mutation that is unknown or not yet characterised</w:t>
      </w:r>
      <w:r w:rsidR="003C3190">
        <w:rPr>
          <w:rFonts w:ascii="Arial Narrow" w:hAnsi="Arial Narrow"/>
          <w:sz w:val="18"/>
        </w:rPr>
        <w:t>; PBAC= Pharmaceutical Benefits Advisory Committee.</w:t>
      </w:r>
    </w:p>
    <w:p w:rsidR="00C60BF8" w:rsidRPr="00C60BF8" w:rsidRDefault="000D5900" w:rsidP="00C60BF8">
      <w:pPr>
        <w:pStyle w:val="3-BodyText"/>
        <w:keepNext/>
        <w:keepLines/>
        <w:numPr>
          <w:ilvl w:val="0"/>
          <w:numId w:val="0"/>
        </w:numPr>
        <w:rPr>
          <w:rFonts w:ascii="Arial Narrow" w:hAnsi="Arial Narrow"/>
          <w:sz w:val="18"/>
        </w:rPr>
      </w:pPr>
      <w:r w:rsidRPr="003C3190">
        <w:rPr>
          <w:rFonts w:ascii="Arial Narrow" w:hAnsi="Arial Narrow"/>
          <w:sz w:val="18"/>
        </w:rPr>
        <w:t xml:space="preserve">Calculated as </w:t>
      </w:r>
      <w:r w:rsidRPr="00C110E1">
        <w:rPr>
          <w:rFonts w:ascii="Arial Narrow" w:hAnsi="Arial Narrow"/>
          <w:sz w:val="18"/>
        </w:rPr>
        <w:t>2,217</w:t>
      </w:r>
      <w:r w:rsidRPr="003C3190">
        <w:rPr>
          <w:rFonts w:ascii="Arial Narrow" w:hAnsi="Arial Narrow"/>
          <w:sz w:val="18"/>
        </w:rPr>
        <w:t>-</w:t>
      </w:r>
      <w:r w:rsidRPr="00C110E1">
        <w:rPr>
          <w:rFonts w:ascii="Arial Narrow" w:hAnsi="Arial Narrow"/>
          <w:sz w:val="18"/>
        </w:rPr>
        <w:t>1,180</w:t>
      </w:r>
      <w:r w:rsidRPr="003C3190">
        <w:rPr>
          <w:rFonts w:ascii="Arial Narrow" w:hAnsi="Arial Narrow"/>
          <w:sz w:val="18"/>
        </w:rPr>
        <w:t>-</w:t>
      </w:r>
      <w:r w:rsidRPr="00C110E1">
        <w:rPr>
          <w:rFonts w:ascii="Arial Narrow" w:hAnsi="Arial Narrow"/>
          <w:sz w:val="18"/>
        </w:rPr>
        <w:t>122</w:t>
      </w:r>
      <w:r w:rsidRPr="003C3190">
        <w:rPr>
          <w:rFonts w:ascii="Arial Narrow" w:hAnsi="Arial Narrow"/>
          <w:sz w:val="18"/>
        </w:rPr>
        <w:t>-</w:t>
      </w:r>
      <w:r w:rsidRPr="00C110E1">
        <w:rPr>
          <w:rFonts w:ascii="Arial Narrow" w:hAnsi="Arial Narrow"/>
          <w:sz w:val="18"/>
        </w:rPr>
        <w:t>166</w:t>
      </w:r>
      <w:r w:rsidRPr="003C3190">
        <w:rPr>
          <w:rFonts w:ascii="Arial Narrow" w:hAnsi="Arial Narrow"/>
          <w:sz w:val="18"/>
        </w:rPr>
        <w:t>-</w:t>
      </w:r>
      <w:r w:rsidRPr="00C110E1">
        <w:rPr>
          <w:rFonts w:ascii="Arial Narrow" w:hAnsi="Arial Narrow"/>
          <w:sz w:val="18"/>
        </w:rPr>
        <w:t>395</w:t>
      </w:r>
    </w:p>
    <w:p w:rsidR="00181132" w:rsidRPr="005728DD" w:rsidRDefault="00E13511" w:rsidP="00CC6182">
      <w:pPr>
        <w:pStyle w:val="3-BodyText"/>
      </w:pPr>
      <w:r w:rsidRPr="005728DD">
        <w:t xml:space="preserve">The submission </w:t>
      </w:r>
      <w:r w:rsidR="004D4944" w:rsidRPr="005728DD">
        <w:t xml:space="preserve">stated </w:t>
      </w:r>
      <w:r w:rsidRPr="005728DD">
        <w:t xml:space="preserve">that there are </w:t>
      </w:r>
      <w:r w:rsidR="00C60BF8">
        <w:t>&lt; 500</w:t>
      </w:r>
      <w:r w:rsidR="00C60BF8" w:rsidRPr="005728DD">
        <w:t xml:space="preserve"> </w:t>
      </w:r>
      <w:r w:rsidRPr="005728DD">
        <w:t>patients receiving ELX/TEZ/IVA via a</w:t>
      </w:r>
      <w:r w:rsidR="00D6611C" w:rsidRPr="005728DD">
        <w:t>n</w:t>
      </w:r>
      <w:r w:rsidRPr="005728DD">
        <w:t xml:space="preserve"> </w:t>
      </w:r>
      <w:r w:rsidR="00D6611C" w:rsidRPr="005728DD">
        <w:t xml:space="preserve">early </w:t>
      </w:r>
      <w:r w:rsidRPr="005728DD">
        <w:t xml:space="preserve">access program run by the sponsor for which grandfathering onto the PBS will be required. </w:t>
      </w:r>
      <w:r w:rsidR="004A5003" w:rsidRPr="005728DD">
        <w:t xml:space="preserve">The PBAC noted that grandfathered patients would be captured in the revised patient numbers referred to in </w:t>
      </w:r>
      <w:r w:rsidR="004A5003" w:rsidRPr="007728CB">
        <w:t>paragraph 6.</w:t>
      </w:r>
      <w:r w:rsidR="006770EA" w:rsidRPr="007728CB">
        <w:t>7</w:t>
      </w:r>
      <w:r w:rsidR="007728CB" w:rsidRPr="007728CB">
        <w:t>4</w:t>
      </w:r>
      <w:r w:rsidR="004A5003" w:rsidRPr="005728DD">
        <w:t xml:space="preserve"> </w:t>
      </w:r>
    </w:p>
    <w:p w:rsidR="00595FED" w:rsidRPr="005728DD" w:rsidRDefault="00595FED" w:rsidP="00CC6182">
      <w:pPr>
        <w:pStyle w:val="3-BodyText"/>
      </w:pPr>
      <w:r w:rsidRPr="005728DD">
        <w:t xml:space="preserve">Overall, </w:t>
      </w:r>
      <w:r w:rsidR="005C6FBC" w:rsidRPr="005728DD">
        <w:t xml:space="preserve">the net financial impact </w:t>
      </w:r>
      <w:r w:rsidR="00056CAE" w:rsidRPr="005728DD">
        <w:t xml:space="preserve">in the submission </w:t>
      </w:r>
      <w:r w:rsidR="005C6FBC" w:rsidRPr="005728DD">
        <w:t xml:space="preserve">was </w:t>
      </w:r>
      <w:r w:rsidR="005C39FF" w:rsidRPr="005728DD">
        <w:t xml:space="preserve">overestimated mainly </w:t>
      </w:r>
      <w:r w:rsidR="00B217A6" w:rsidRPr="005728DD">
        <w:t>due to</w:t>
      </w:r>
      <w:r w:rsidR="005C39FF" w:rsidRPr="005728DD">
        <w:t xml:space="preserve"> the overestimated number of treated patients and the underestimated cost-offset. </w:t>
      </w:r>
    </w:p>
    <w:p w:rsidR="009B2B39" w:rsidRPr="005728DD" w:rsidRDefault="00022594" w:rsidP="003A506A">
      <w:pPr>
        <w:pStyle w:val="3-BodyText"/>
      </w:pPr>
      <w:r w:rsidRPr="005728DD">
        <w:t>The PBAC considered it would be reasonable to use the number of F/F, F/RF and F/G patients accounted for</w:t>
      </w:r>
      <w:r w:rsidR="00A9158F" w:rsidRPr="005728DD">
        <w:t xml:space="preserve"> at the time of listing of </w:t>
      </w:r>
      <w:r w:rsidRPr="005728DD">
        <w:t>TEZ/IVA, LUM/IVA and IVA</w:t>
      </w:r>
      <w:r w:rsidR="00A9158F" w:rsidRPr="005728DD">
        <w:t xml:space="preserve"> and agreed by the sponsor for the purposes of the current RSAs for those products, in order </w:t>
      </w:r>
      <w:r w:rsidRPr="005728DD">
        <w:t xml:space="preserve">to calculate the incremental cost of listing ELX/TEZ/IVA for the F/any population. The PBAC noted the number of F/MF treated patients </w:t>
      </w:r>
      <w:r w:rsidR="009B2B39" w:rsidRPr="005728DD">
        <w:t xml:space="preserve">could be estimated based on the patient split outlined in </w:t>
      </w:r>
      <w:r w:rsidR="009B2B39" w:rsidRPr="007728CB">
        <w:t xml:space="preserve">paragraph </w:t>
      </w:r>
      <w:r w:rsidR="006F0191" w:rsidRPr="007728CB">
        <w:t>6.</w:t>
      </w:r>
      <w:r w:rsidR="006770EA" w:rsidRPr="007728CB">
        <w:t>6</w:t>
      </w:r>
      <w:r w:rsidR="007728CB" w:rsidRPr="007728CB">
        <w:t>8</w:t>
      </w:r>
      <w:r w:rsidR="009B2B39" w:rsidRPr="007728CB">
        <w:t>.</w:t>
      </w:r>
      <w:r w:rsidR="009B2B39" w:rsidRPr="005728DD">
        <w:t xml:space="preserve"> </w:t>
      </w:r>
    </w:p>
    <w:p w:rsidR="009B2B39" w:rsidRPr="005728DD" w:rsidRDefault="009B2B39" w:rsidP="009B2B39">
      <w:pPr>
        <w:pStyle w:val="3-BodyText"/>
        <w:numPr>
          <w:ilvl w:val="0"/>
          <w:numId w:val="0"/>
        </w:numPr>
        <w:rPr>
          <w:rFonts w:ascii="Arial Narrow" w:eastAsiaTheme="majorEastAsia" w:hAnsi="Arial Narrow" w:cstheme="majorBidi"/>
          <w:b/>
          <w:bCs/>
          <w:snapToGrid/>
          <w:sz w:val="20"/>
        </w:rPr>
      </w:pPr>
      <w:r w:rsidRPr="005728DD">
        <w:rPr>
          <w:rFonts w:ascii="Arial Narrow" w:eastAsiaTheme="majorEastAsia" w:hAnsi="Arial Narrow" w:cstheme="majorBidi"/>
          <w:b/>
          <w:bCs/>
          <w:snapToGrid/>
          <w:sz w:val="20"/>
        </w:rPr>
        <w:t xml:space="preserve">Table </w:t>
      </w:r>
      <w:r w:rsidR="005C56C0">
        <w:rPr>
          <w:rFonts w:ascii="Arial Narrow" w:eastAsiaTheme="majorEastAsia" w:hAnsi="Arial Narrow" w:cstheme="majorBidi"/>
          <w:b/>
          <w:bCs/>
          <w:noProof/>
          <w:snapToGrid/>
          <w:sz w:val="20"/>
        </w:rPr>
        <w:t>27</w:t>
      </w:r>
      <w:r w:rsidRPr="005728DD">
        <w:rPr>
          <w:rFonts w:ascii="Arial Narrow" w:eastAsiaTheme="majorEastAsia" w:hAnsi="Arial Narrow" w:cstheme="majorBidi"/>
          <w:b/>
          <w:bCs/>
          <w:snapToGrid/>
          <w:sz w:val="20"/>
        </w:rPr>
        <w:t>:</w:t>
      </w:r>
      <w:r w:rsidR="006F0191" w:rsidRPr="005728DD">
        <w:rPr>
          <w:rFonts w:ascii="Arial Narrow" w:eastAsiaTheme="majorEastAsia" w:hAnsi="Arial Narrow" w:cstheme="majorBidi"/>
          <w:b/>
          <w:bCs/>
          <w:snapToGrid/>
          <w:sz w:val="20"/>
        </w:rPr>
        <w:t xml:space="preserve"> Estimated number of patients </w:t>
      </w:r>
      <w:r w:rsidR="000407BE" w:rsidRPr="005728DD">
        <w:rPr>
          <w:rFonts w:ascii="Arial Narrow" w:eastAsiaTheme="majorEastAsia" w:hAnsi="Arial Narrow" w:cstheme="majorBidi"/>
          <w:b/>
          <w:bCs/>
          <w:snapToGrid/>
          <w:sz w:val="20"/>
        </w:rPr>
        <w:t>that would be eligible for treatment with ELX/TEZ/IVA.</w:t>
      </w:r>
    </w:p>
    <w:tbl>
      <w:tblPr>
        <w:tblStyle w:val="Summarybox1"/>
        <w:tblW w:w="0" w:type="auto"/>
        <w:tblLook w:val="04A0" w:firstRow="1" w:lastRow="0" w:firstColumn="1" w:lastColumn="0" w:noHBand="0" w:noVBand="1"/>
        <w:tblCaption w:val="Table 27: Estimated number of patients that would be eligible for treatment with ELX/TEZ/IVA."/>
      </w:tblPr>
      <w:tblGrid>
        <w:gridCol w:w="5098"/>
        <w:gridCol w:w="760"/>
        <w:gridCol w:w="760"/>
        <w:gridCol w:w="760"/>
        <w:gridCol w:w="760"/>
        <w:gridCol w:w="760"/>
      </w:tblGrid>
      <w:tr w:rsidR="00C67214" w:rsidRPr="005728DD" w:rsidTr="005C66A3">
        <w:trPr>
          <w:tblHeader/>
        </w:trPr>
        <w:tc>
          <w:tcPr>
            <w:tcW w:w="5098" w:type="dxa"/>
          </w:tcPr>
          <w:p w:rsidR="00C67214" w:rsidRPr="005728DD" w:rsidRDefault="00C67214" w:rsidP="009B2B39">
            <w:pPr>
              <w:pStyle w:val="3-BodyText"/>
              <w:numPr>
                <w:ilvl w:val="0"/>
                <w:numId w:val="0"/>
              </w:numPr>
              <w:rPr>
                <w:rFonts w:ascii="Arial Narrow" w:hAnsi="Arial Narrow"/>
                <w:sz w:val="20"/>
                <w:szCs w:val="20"/>
              </w:rPr>
            </w:pPr>
          </w:p>
        </w:tc>
        <w:tc>
          <w:tcPr>
            <w:tcW w:w="760" w:type="dxa"/>
          </w:tcPr>
          <w:p w:rsidR="00C67214" w:rsidRPr="005728DD" w:rsidRDefault="00C67214" w:rsidP="009B2B39">
            <w:pPr>
              <w:pStyle w:val="3-BodyText"/>
              <w:numPr>
                <w:ilvl w:val="0"/>
                <w:numId w:val="0"/>
              </w:numPr>
              <w:rPr>
                <w:rFonts w:ascii="Arial Narrow" w:hAnsi="Arial Narrow"/>
                <w:b/>
                <w:sz w:val="20"/>
                <w:szCs w:val="20"/>
              </w:rPr>
            </w:pPr>
            <w:r w:rsidRPr="005728DD">
              <w:rPr>
                <w:rFonts w:ascii="Arial Narrow" w:hAnsi="Arial Narrow"/>
                <w:b/>
                <w:sz w:val="20"/>
                <w:szCs w:val="20"/>
              </w:rPr>
              <w:t>Year 1</w:t>
            </w:r>
          </w:p>
        </w:tc>
        <w:tc>
          <w:tcPr>
            <w:tcW w:w="760" w:type="dxa"/>
          </w:tcPr>
          <w:p w:rsidR="00C67214" w:rsidRPr="005728DD" w:rsidRDefault="00C67214" w:rsidP="009B2B39">
            <w:pPr>
              <w:pStyle w:val="3-BodyText"/>
              <w:numPr>
                <w:ilvl w:val="0"/>
                <w:numId w:val="0"/>
              </w:numPr>
              <w:rPr>
                <w:rFonts w:ascii="Arial Narrow" w:hAnsi="Arial Narrow"/>
                <w:b/>
                <w:sz w:val="20"/>
                <w:szCs w:val="20"/>
              </w:rPr>
            </w:pPr>
            <w:r w:rsidRPr="005728DD">
              <w:rPr>
                <w:rFonts w:ascii="Arial Narrow" w:hAnsi="Arial Narrow"/>
                <w:b/>
                <w:sz w:val="20"/>
                <w:szCs w:val="20"/>
              </w:rPr>
              <w:t>Year 2</w:t>
            </w:r>
          </w:p>
        </w:tc>
        <w:tc>
          <w:tcPr>
            <w:tcW w:w="760" w:type="dxa"/>
          </w:tcPr>
          <w:p w:rsidR="00C67214" w:rsidRPr="005728DD" w:rsidRDefault="00C67214" w:rsidP="009B2B39">
            <w:pPr>
              <w:pStyle w:val="3-BodyText"/>
              <w:numPr>
                <w:ilvl w:val="0"/>
                <w:numId w:val="0"/>
              </w:numPr>
              <w:rPr>
                <w:rFonts w:ascii="Arial Narrow" w:hAnsi="Arial Narrow"/>
                <w:b/>
                <w:sz w:val="20"/>
                <w:szCs w:val="20"/>
              </w:rPr>
            </w:pPr>
            <w:r w:rsidRPr="005728DD">
              <w:rPr>
                <w:rFonts w:ascii="Arial Narrow" w:hAnsi="Arial Narrow"/>
                <w:b/>
                <w:sz w:val="20"/>
                <w:szCs w:val="20"/>
              </w:rPr>
              <w:t>Year 3</w:t>
            </w:r>
          </w:p>
        </w:tc>
        <w:tc>
          <w:tcPr>
            <w:tcW w:w="760" w:type="dxa"/>
          </w:tcPr>
          <w:p w:rsidR="00C67214" w:rsidRPr="005728DD" w:rsidRDefault="00C67214" w:rsidP="009B2B39">
            <w:pPr>
              <w:pStyle w:val="3-BodyText"/>
              <w:numPr>
                <w:ilvl w:val="0"/>
                <w:numId w:val="0"/>
              </w:numPr>
              <w:rPr>
                <w:rFonts w:ascii="Arial Narrow" w:hAnsi="Arial Narrow"/>
                <w:b/>
                <w:sz w:val="20"/>
                <w:szCs w:val="20"/>
              </w:rPr>
            </w:pPr>
            <w:r w:rsidRPr="005728DD">
              <w:rPr>
                <w:rFonts w:ascii="Arial Narrow" w:hAnsi="Arial Narrow"/>
                <w:b/>
                <w:sz w:val="20"/>
                <w:szCs w:val="20"/>
              </w:rPr>
              <w:t>Year 4</w:t>
            </w:r>
          </w:p>
        </w:tc>
        <w:tc>
          <w:tcPr>
            <w:tcW w:w="760" w:type="dxa"/>
          </w:tcPr>
          <w:p w:rsidR="00C67214" w:rsidRPr="005728DD" w:rsidRDefault="00C67214" w:rsidP="009B2B39">
            <w:pPr>
              <w:pStyle w:val="3-BodyText"/>
              <w:numPr>
                <w:ilvl w:val="0"/>
                <w:numId w:val="0"/>
              </w:numPr>
              <w:rPr>
                <w:rFonts w:ascii="Arial Narrow" w:hAnsi="Arial Narrow"/>
                <w:b/>
                <w:sz w:val="20"/>
                <w:szCs w:val="20"/>
              </w:rPr>
            </w:pPr>
            <w:r w:rsidRPr="005728DD">
              <w:rPr>
                <w:rFonts w:ascii="Arial Narrow" w:hAnsi="Arial Narrow"/>
                <w:b/>
                <w:sz w:val="20"/>
                <w:szCs w:val="20"/>
              </w:rPr>
              <w:t>Year 5</w:t>
            </w:r>
          </w:p>
        </w:tc>
      </w:tr>
      <w:tr w:rsidR="00C67214" w:rsidRPr="005728DD" w:rsidTr="00561EEC">
        <w:tc>
          <w:tcPr>
            <w:tcW w:w="5098" w:type="dxa"/>
          </w:tcPr>
          <w:p w:rsidR="00C67214" w:rsidRPr="00900E4C" w:rsidRDefault="00C67214" w:rsidP="00900E4C">
            <w:pPr>
              <w:pStyle w:val="3-BodyText"/>
              <w:numPr>
                <w:ilvl w:val="0"/>
                <w:numId w:val="0"/>
              </w:numPr>
              <w:rPr>
                <w:rFonts w:ascii="Arial Narrow" w:hAnsi="Arial Narrow"/>
                <w:sz w:val="20"/>
                <w:szCs w:val="20"/>
                <w:vertAlign w:val="superscript"/>
              </w:rPr>
            </w:pPr>
            <w:r w:rsidRPr="005728DD">
              <w:rPr>
                <w:rFonts w:ascii="Arial Narrow" w:hAnsi="Arial Narrow"/>
                <w:sz w:val="20"/>
                <w:szCs w:val="20"/>
              </w:rPr>
              <w:t xml:space="preserve">Number of F/F and F/RF patients over 12 years of age based on TEZ/IVA and LUM/IVA </w:t>
            </w:r>
            <w:r w:rsidR="000407BE" w:rsidRPr="005728DD">
              <w:rPr>
                <w:rFonts w:ascii="Arial Narrow" w:hAnsi="Arial Narrow"/>
                <w:sz w:val="20"/>
                <w:szCs w:val="20"/>
              </w:rPr>
              <w:t>RSA</w:t>
            </w:r>
          </w:p>
        </w:tc>
        <w:tc>
          <w:tcPr>
            <w:tcW w:w="760" w:type="dxa"/>
          </w:tcPr>
          <w:p w:rsidR="00C67214"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3</w:t>
            </w:r>
          </w:p>
        </w:tc>
      </w:tr>
      <w:tr w:rsidR="00C67214" w:rsidRPr="005728DD" w:rsidTr="00561EEC">
        <w:tc>
          <w:tcPr>
            <w:tcW w:w="5098" w:type="dxa"/>
          </w:tcPr>
          <w:p w:rsidR="00C67214" w:rsidRPr="005728DD" w:rsidRDefault="00C67214" w:rsidP="00772C0E">
            <w:pPr>
              <w:pStyle w:val="3-BodyText"/>
              <w:numPr>
                <w:ilvl w:val="0"/>
                <w:numId w:val="0"/>
              </w:numPr>
              <w:rPr>
                <w:rFonts w:ascii="Arial Narrow" w:hAnsi="Arial Narrow"/>
                <w:b/>
                <w:sz w:val="20"/>
                <w:szCs w:val="20"/>
              </w:rPr>
            </w:pPr>
            <w:r w:rsidRPr="005728DD">
              <w:rPr>
                <w:rFonts w:ascii="Arial Narrow" w:hAnsi="Arial Narrow"/>
                <w:b/>
                <w:sz w:val="20"/>
                <w:szCs w:val="20"/>
              </w:rPr>
              <w:t>Number of F/F patients</w:t>
            </w:r>
            <w:r w:rsidR="00772C0E" w:rsidRPr="005728DD">
              <w:rPr>
                <w:rFonts w:ascii="Arial Narrow" w:hAnsi="Arial Narrow"/>
                <w:b/>
                <w:sz w:val="20"/>
                <w:szCs w:val="20"/>
              </w:rPr>
              <w:t xml:space="preserve"> (</w:t>
            </w:r>
            <w:r w:rsidRPr="005728DD">
              <w:rPr>
                <w:rFonts w:ascii="Arial Narrow" w:hAnsi="Arial Narrow"/>
                <w:b/>
                <w:sz w:val="20"/>
                <w:szCs w:val="20"/>
              </w:rPr>
              <w:t>~</w:t>
            </w:r>
            <w:r w:rsidR="00772C0E" w:rsidRPr="005728DD">
              <w:rPr>
                <w:rFonts w:ascii="Arial Narrow" w:hAnsi="Arial Narrow"/>
                <w:b/>
                <w:sz w:val="20"/>
                <w:szCs w:val="20"/>
              </w:rPr>
              <w:t>85%)</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3</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3</w:t>
            </w:r>
          </w:p>
        </w:tc>
      </w:tr>
      <w:tr w:rsidR="00C67214" w:rsidRPr="005728DD" w:rsidTr="00561EEC">
        <w:tc>
          <w:tcPr>
            <w:tcW w:w="5098" w:type="dxa"/>
          </w:tcPr>
          <w:p w:rsidR="00C67214" w:rsidRPr="005728DD" w:rsidRDefault="00C67214" w:rsidP="00772C0E">
            <w:pPr>
              <w:pStyle w:val="3-BodyText"/>
              <w:numPr>
                <w:ilvl w:val="0"/>
                <w:numId w:val="0"/>
              </w:numPr>
              <w:rPr>
                <w:rFonts w:ascii="Arial Narrow" w:hAnsi="Arial Narrow"/>
                <w:b/>
                <w:sz w:val="20"/>
                <w:szCs w:val="20"/>
              </w:rPr>
            </w:pPr>
            <w:r w:rsidRPr="005728DD">
              <w:rPr>
                <w:rFonts w:ascii="Arial Narrow" w:hAnsi="Arial Narrow"/>
                <w:b/>
                <w:sz w:val="20"/>
                <w:szCs w:val="20"/>
              </w:rPr>
              <w:t>Number of F/RF patients</w:t>
            </w:r>
            <w:r w:rsidR="00772C0E" w:rsidRPr="005728DD">
              <w:rPr>
                <w:rFonts w:ascii="Arial Narrow" w:hAnsi="Arial Narrow"/>
                <w:b/>
                <w:sz w:val="20"/>
                <w:szCs w:val="20"/>
              </w:rPr>
              <w:t xml:space="preserve"> (</w:t>
            </w:r>
            <w:r w:rsidRPr="005728DD">
              <w:rPr>
                <w:rFonts w:ascii="Arial Narrow" w:hAnsi="Arial Narrow"/>
                <w:b/>
                <w:sz w:val="20"/>
                <w:szCs w:val="20"/>
              </w:rPr>
              <w:t>~15%</w:t>
            </w:r>
            <w:r w:rsidR="00772C0E" w:rsidRPr="005728DD">
              <w:rPr>
                <w:rFonts w:ascii="Arial Narrow" w:hAnsi="Arial Narrow"/>
                <w:b/>
                <w:sz w:val="20"/>
                <w:szCs w:val="20"/>
              </w:rPr>
              <w:t>)</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C67214"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r>
      <w:tr w:rsidR="00371B1E" w:rsidRPr="005728DD" w:rsidTr="00561EEC">
        <w:tc>
          <w:tcPr>
            <w:tcW w:w="5098" w:type="dxa"/>
          </w:tcPr>
          <w:p w:rsidR="00371B1E" w:rsidRPr="005728DD" w:rsidRDefault="00371B1E" w:rsidP="003A4DE2">
            <w:pPr>
              <w:pStyle w:val="3-BodyText"/>
              <w:numPr>
                <w:ilvl w:val="0"/>
                <w:numId w:val="0"/>
              </w:numPr>
              <w:rPr>
                <w:rFonts w:ascii="Arial Narrow" w:hAnsi="Arial Narrow"/>
                <w:sz w:val="20"/>
                <w:szCs w:val="20"/>
              </w:rPr>
            </w:pPr>
            <w:r w:rsidRPr="005728DD">
              <w:rPr>
                <w:rFonts w:ascii="Arial Narrow" w:hAnsi="Arial Narrow"/>
                <w:sz w:val="20"/>
                <w:szCs w:val="20"/>
              </w:rPr>
              <w:t xml:space="preserve">Number of F/G patients based on IVA </w:t>
            </w:r>
            <w:r w:rsidR="003A4DE2" w:rsidRPr="005728DD">
              <w:rPr>
                <w:rFonts w:ascii="Arial Narrow" w:hAnsi="Arial Narrow"/>
                <w:sz w:val="20"/>
                <w:szCs w:val="20"/>
              </w:rPr>
              <w:t>RSA</w:t>
            </w:r>
          </w:p>
        </w:tc>
        <w:tc>
          <w:tcPr>
            <w:tcW w:w="760" w:type="dxa"/>
          </w:tcPr>
          <w:p w:rsidR="00371B1E"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sz w:val="20"/>
                <w:szCs w:val="20"/>
              </w:rPr>
            </w:pPr>
            <w:r>
              <w:rPr>
                <w:rFonts w:ascii="Arial Narrow" w:hAnsi="Arial Narrow"/>
                <w:noProof/>
                <w:color w:val="000000"/>
                <w:sz w:val="20"/>
                <w:szCs w:val="20"/>
                <w:highlight w:val="black"/>
              </w:rPr>
              <w:t>'''''''''</w:t>
            </w:r>
            <w:r w:rsidR="00900E4C">
              <w:rPr>
                <w:rFonts w:ascii="Arial Narrow" w:hAnsi="Arial Narrow"/>
                <w:sz w:val="20"/>
                <w:szCs w:val="20"/>
                <w:vertAlign w:val="superscript"/>
              </w:rPr>
              <w:t>4</w:t>
            </w:r>
          </w:p>
        </w:tc>
      </w:tr>
      <w:tr w:rsidR="00371B1E" w:rsidRPr="005728DD" w:rsidTr="00561EEC">
        <w:tc>
          <w:tcPr>
            <w:tcW w:w="5098" w:type="dxa"/>
          </w:tcPr>
          <w:p w:rsidR="00371B1E" w:rsidRPr="005728DD" w:rsidRDefault="00371B1E" w:rsidP="00695247">
            <w:pPr>
              <w:pStyle w:val="3-BodyText"/>
              <w:numPr>
                <w:ilvl w:val="0"/>
                <w:numId w:val="0"/>
              </w:numPr>
              <w:rPr>
                <w:rFonts w:ascii="Arial Narrow" w:hAnsi="Arial Narrow"/>
                <w:b/>
                <w:sz w:val="20"/>
                <w:szCs w:val="20"/>
              </w:rPr>
            </w:pPr>
            <w:r w:rsidRPr="005728DD">
              <w:rPr>
                <w:rFonts w:ascii="Arial Narrow" w:hAnsi="Arial Narrow"/>
                <w:b/>
                <w:sz w:val="20"/>
                <w:szCs w:val="20"/>
              </w:rPr>
              <w:t>Number of F/G patients over 12 years of age</w:t>
            </w:r>
            <w:r w:rsidR="00695247" w:rsidRPr="005728DD">
              <w:rPr>
                <w:rFonts w:ascii="Arial Narrow" w:hAnsi="Arial Narrow"/>
                <w:b/>
                <w:sz w:val="20"/>
                <w:szCs w:val="20"/>
                <w:vertAlign w:val="superscript"/>
              </w:rPr>
              <w:t>1</w:t>
            </w:r>
          </w:p>
        </w:tc>
        <w:tc>
          <w:tcPr>
            <w:tcW w:w="760" w:type="dxa"/>
          </w:tcPr>
          <w:p w:rsidR="00371B1E"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371B1E"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r>
      <w:tr w:rsidR="00561EEC" w:rsidRPr="005728DD" w:rsidTr="00561EEC">
        <w:tc>
          <w:tcPr>
            <w:tcW w:w="5098" w:type="dxa"/>
          </w:tcPr>
          <w:p w:rsidR="00561EEC" w:rsidRPr="005728DD" w:rsidRDefault="00561EEC" w:rsidP="000407BE">
            <w:pPr>
              <w:pStyle w:val="3-BodyText"/>
              <w:numPr>
                <w:ilvl w:val="0"/>
                <w:numId w:val="0"/>
              </w:numPr>
              <w:rPr>
                <w:rFonts w:ascii="Arial Narrow" w:hAnsi="Arial Narrow"/>
                <w:b/>
                <w:sz w:val="20"/>
                <w:szCs w:val="20"/>
              </w:rPr>
            </w:pPr>
            <w:r w:rsidRPr="005728DD">
              <w:rPr>
                <w:rFonts w:ascii="Arial Narrow" w:hAnsi="Arial Narrow"/>
                <w:b/>
                <w:sz w:val="20"/>
                <w:szCs w:val="20"/>
              </w:rPr>
              <w:t>Number of F/MF patients over 12 years of age</w:t>
            </w:r>
            <w:r w:rsidR="00695247" w:rsidRPr="005728DD">
              <w:rPr>
                <w:rFonts w:ascii="Arial Narrow" w:hAnsi="Arial Narrow"/>
                <w:b/>
                <w:sz w:val="20"/>
                <w:szCs w:val="20"/>
                <w:vertAlign w:val="superscript"/>
              </w:rPr>
              <w:t>2</w:t>
            </w:r>
          </w:p>
        </w:tc>
        <w:tc>
          <w:tcPr>
            <w:tcW w:w="760" w:type="dxa"/>
          </w:tcPr>
          <w:p w:rsidR="00561EEC"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561EEC"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561EEC"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561EEC"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c>
          <w:tcPr>
            <w:tcW w:w="760" w:type="dxa"/>
          </w:tcPr>
          <w:p w:rsidR="00561EEC" w:rsidRPr="00967E09" w:rsidRDefault="00967E09" w:rsidP="00675537">
            <w:pPr>
              <w:pStyle w:val="3-BodyText"/>
              <w:numPr>
                <w:ilvl w:val="0"/>
                <w:numId w:val="0"/>
              </w:numPr>
              <w:jc w:val="center"/>
              <w:rPr>
                <w:rFonts w:ascii="Arial Narrow" w:hAnsi="Arial Narrow"/>
                <w:b/>
                <w:sz w:val="20"/>
                <w:szCs w:val="20"/>
              </w:rPr>
            </w:pPr>
            <w:r>
              <w:rPr>
                <w:rFonts w:ascii="Arial Narrow" w:hAnsi="Arial Narrow"/>
                <w:b/>
                <w:noProof/>
                <w:color w:val="000000"/>
                <w:sz w:val="20"/>
                <w:szCs w:val="20"/>
                <w:highlight w:val="black"/>
              </w:rPr>
              <w:t>'''''''</w:t>
            </w:r>
            <w:r w:rsidR="00900E4C">
              <w:rPr>
                <w:rFonts w:ascii="Arial Narrow" w:hAnsi="Arial Narrow"/>
                <w:sz w:val="20"/>
                <w:szCs w:val="20"/>
                <w:vertAlign w:val="superscript"/>
              </w:rPr>
              <w:t>4</w:t>
            </w:r>
          </w:p>
        </w:tc>
      </w:tr>
    </w:tbl>
    <w:p w:rsidR="009B2B39" w:rsidRPr="005728DD" w:rsidRDefault="00772C0E" w:rsidP="00772C0E">
      <w:pPr>
        <w:pStyle w:val="TableFigureFooter"/>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w:t>
      </w:r>
      <w:r w:rsidR="003A4DE2" w:rsidRPr="005728DD">
        <w:t>; RSA =risk sharing arrangement</w:t>
      </w:r>
    </w:p>
    <w:p w:rsidR="00695247" w:rsidRPr="007728CB" w:rsidRDefault="00695247" w:rsidP="00695247">
      <w:pPr>
        <w:pStyle w:val="TableFigureFooter"/>
        <w:numPr>
          <w:ilvl w:val="0"/>
          <w:numId w:val="42"/>
        </w:numPr>
        <w:rPr>
          <w:szCs w:val="18"/>
        </w:rPr>
      </w:pPr>
      <w:r w:rsidRPr="005728DD">
        <w:t xml:space="preserve">Assuming 71% of CF </w:t>
      </w:r>
      <w:r w:rsidR="000407BE" w:rsidRPr="005728DD">
        <w:t>patents</w:t>
      </w:r>
      <w:r w:rsidRPr="005728DD">
        <w:t xml:space="preserve"> over 12 months of age are over 12 years of age (</w:t>
      </w:r>
      <w:r w:rsidRPr="007728CB">
        <w:t>calculated based on data in the ACFRD publication)</w:t>
      </w:r>
    </w:p>
    <w:p w:rsidR="00695247" w:rsidRDefault="00695247" w:rsidP="00695247">
      <w:pPr>
        <w:pStyle w:val="TableFigureFooter"/>
        <w:numPr>
          <w:ilvl w:val="0"/>
          <w:numId w:val="42"/>
        </w:numPr>
        <w:rPr>
          <w:szCs w:val="18"/>
        </w:rPr>
      </w:pPr>
      <w:r w:rsidRPr="007728CB">
        <w:rPr>
          <w:szCs w:val="18"/>
        </w:rPr>
        <w:t xml:space="preserve">Assuming the F/MF population accounts for 25.8% of the F/any population (see paragraph </w:t>
      </w:r>
      <w:r w:rsidR="000407BE" w:rsidRPr="007728CB">
        <w:rPr>
          <w:szCs w:val="18"/>
        </w:rPr>
        <w:t>6.</w:t>
      </w:r>
      <w:r w:rsidR="00CD2496" w:rsidRPr="007728CB">
        <w:rPr>
          <w:szCs w:val="18"/>
        </w:rPr>
        <w:t>6</w:t>
      </w:r>
      <w:r w:rsidR="007728CB" w:rsidRPr="007728CB">
        <w:rPr>
          <w:szCs w:val="18"/>
        </w:rPr>
        <w:t>8</w:t>
      </w:r>
      <w:r w:rsidRPr="007728CB">
        <w:rPr>
          <w:szCs w:val="18"/>
        </w:rPr>
        <w:t>)</w:t>
      </w:r>
    </w:p>
    <w:p w:rsidR="00900E4C" w:rsidRPr="00900E4C" w:rsidRDefault="00900E4C" w:rsidP="00900E4C">
      <w:pPr>
        <w:pStyle w:val="TableFigureFooter"/>
        <w:rPr>
          <w:i/>
          <w:szCs w:val="18"/>
        </w:rPr>
      </w:pPr>
      <w:r w:rsidRPr="00900E4C">
        <w:rPr>
          <w:i/>
          <w:szCs w:val="18"/>
        </w:rPr>
        <w:t>The redacted values correspond to the following ranges:</w:t>
      </w:r>
    </w:p>
    <w:p w:rsidR="00900E4C" w:rsidRPr="00900E4C" w:rsidRDefault="00900E4C" w:rsidP="00900E4C">
      <w:pPr>
        <w:pStyle w:val="TableFigureFooter"/>
        <w:rPr>
          <w:i/>
          <w:szCs w:val="18"/>
        </w:rPr>
      </w:pPr>
      <w:r>
        <w:rPr>
          <w:i/>
          <w:szCs w:val="18"/>
          <w:vertAlign w:val="superscript"/>
        </w:rPr>
        <w:t>3</w:t>
      </w:r>
      <w:r w:rsidRPr="00900E4C">
        <w:rPr>
          <w:i/>
          <w:szCs w:val="18"/>
        </w:rPr>
        <w:t xml:space="preserve"> 500 to &lt; 5,000</w:t>
      </w:r>
    </w:p>
    <w:p w:rsidR="00900E4C" w:rsidRPr="00900E4C" w:rsidRDefault="00900E4C" w:rsidP="00900E4C">
      <w:pPr>
        <w:pStyle w:val="TableFigureFooter"/>
        <w:rPr>
          <w:i/>
          <w:szCs w:val="18"/>
        </w:rPr>
      </w:pPr>
      <w:r>
        <w:rPr>
          <w:i/>
          <w:szCs w:val="18"/>
          <w:vertAlign w:val="superscript"/>
        </w:rPr>
        <w:t>4</w:t>
      </w:r>
      <w:r w:rsidRPr="00900E4C">
        <w:rPr>
          <w:i/>
          <w:szCs w:val="18"/>
        </w:rPr>
        <w:t xml:space="preserve"> &lt; 500</w:t>
      </w:r>
    </w:p>
    <w:p w:rsidR="00371B1E" w:rsidRPr="005728DD" w:rsidRDefault="00371B1E" w:rsidP="00A23C1F">
      <w:pPr>
        <w:pStyle w:val="3-BodyText"/>
      </w:pPr>
      <w:r w:rsidRPr="005728DD">
        <w:lastRenderedPageBreak/>
        <w:t>The</w:t>
      </w:r>
      <w:r w:rsidR="009C442C" w:rsidRPr="005728DD">
        <w:t xml:space="preserve"> PBAC noted utilisation in the F/F, F/RF and F/G </w:t>
      </w:r>
      <w:r w:rsidRPr="005728DD">
        <w:t>populations has</w:t>
      </w:r>
      <w:r w:rsidR="00772C0E" w:rsidRPr="005728DD">
        <w:t xml:space="preserve"> </w:t>
      </w:r>
      <w:r w:rsidR="000E17D0" w:rsidRPr="005728DD">
        <w:t xml:space="preserve">been </w:t>
      </w:r>
      <w:r w:rsidR="00772C0E" w:rsidRPr="005728DD">
        <w:t>less than</w:t>
      </w:r>
      <w:r w:rsidRPr="005728DD">
        <w:t xml:space="preserve"> </w:t>
      </w:r>
      <w:r w:rsidR="00772C0E" w:rsidRPr="005728DD">
        <w:t xml:space="preserve">the </w:t>
      </w:r>
      <w:r w:rsidRPr="005728DD">
        <w:t xml:space="preserve">expected patient numbers </w:t>
      </w:r>
      <w:r w:rsidR="000901CD" w:rsidRPr="005728DD">
        <w:t>at time of listing and for the purposes of</w:t>
      </w:r>
      <w:r w:rsidR="00772C0E" w:rsidRPr="005728DD">
        <w:t xml:space="preserve"> the</w:t>
      </w:r>
      <w:r w:rsidR="000407BE" w:rsidRPr="005728DD">
        <w:t xml:space="preserve"> RSAs for LUM/IVA, TEZ/IVA and IVA</w:t>
      </w:r>
      <w:r w:rsidR="00772C0E" w:rsidRPr="005728DD">
        <w:t xml:space="preserve"> </w:t>
      </w:r>
      <w:r w:rsidRPr="005728DD">
        <w:t>a</w:t>
      </w:r>
      <w:r w:rsidR="000407BE" w:rsidRPr="005728DD">
        <w:t xml:space="preserve">nd </w:t>
      </w:r>
      <w:r w:rsidR="004A5003" w:rsidRPr="005728DD">
        <w:t xml:space="preserve">therefore the PBAC </w:t>
      </w:r>
      <w:r w:rsidR="009C442C" w:rsidRPr="005728DD">
        <w:t>considered a revision to the</w:t>
      </w:r>
      <w:r w:rsidR="00561EEC" w:rsidRPr="005728DD">
        <w:t xml:space="preserve"> </w:t>
      </w:r>
      <w:r w:rsidRPr="005728DD">
        <w:t xml:space="preserve">patient numbers </w:t>
      </w:r>
      <w:r w:rsidR="000E17D0" w:rsidRPr="005728DD">
        <w:t xml:space="preserve">to account for the listing of ELX/TEZ/IVA </w:t>
      </w:r>
      <w:r w:rsidR="000407BE" w:rsidRPr="005728DD">
        <w:t xml:space="preserve">for these populations </w:t>
      </w:r>
      <w:r w:rsidRPr="005728DD">
        <w:t>was not</w:t>
      </w:r>
      <w:r w:rsidR="004A5003" w:rsidRPr="005728DD">
        <w:t xml:space="preserve"> justified</w:t>
      </w:r>
      <w:r w:rsidRPr="005728DD">
        <w:t>.</w:t>
      </w:r>
      <w:r w:rsidR="008B5EF9" w:rsidRPr="005728DD">
        <w:t xml:space="preserve"> </w:t>
      </w:r>
      <w:r w:rsidR="00561EEC" w:rsidRPr="005728DD">
        <w:t xml:space="preserve">For example, </w:t>
      </w:r>
      <w:r w:rsidR="003A4DE2" w:rsidRPr="005728DD">
        <w:t xml:space="preserve">for the 12 months </w:t>
      </w:r>
      <w:r w:rsidR="00C636FD" w:rsidRPr="005728DD">
        <w:t xml:space="preserve">from </w:t>
      </w:r>
      <w:r w:rsidR="00561EEC" w:rsidRPr="005728DD">
        <w:t>December 2019, the</w:t>
      </w:r>
      <w:r w:rsidR="000407BE" w:rsidRPr="005728DD">
        <w:t xml:space="preserve"> </w:t>
      </w:r>
      <w:r w:rsidR="00C636FD" w:rsidRPr="005728DD">
        <w:t xml:space="preserve">previously agreed patient estimates </w:t>
      </w:r>
      <w:r w:rsidR="00561EEC" w:rsidRPr="005728DD">
        <w:t xml:space="preserve">covered a total of </w:t>
      </w:r>
      <w:r w:rsidR="00A23C1F" w:rsidRPr="00A23C1F">
        <w:t>500 to &lt; 5,000</w:t>
      </w:r>
      <w:r w:rsidR="00A23C1F">
        <w:t xml:space="preserve"> </w:t>
      </w:r>
      <w:r w:rsidR="00561EEC" w:rsidRPr="005728DD">
        <w:t>patients</w:t>
      </w:r>
      <w:r w:rsidR="000407BE" w:rsidRPr="005728DD">
        <w:t xml:space="preserve"> (across all </w:t>
      </w:r>
      <w:r w:rsidR="003A4DE2" w:rsidRPr="005728DD">
        <w:t xml:space="preserve">populations and </w:t>
      </w:r>
      <w:r w:rsidR="000407BE" w:rsidRPr="005728DD">
        <w:t>age groups)</w:t>
      </w:r>
      <w:r w:rsidR="00561EEC" w:rsidRPr="005728DD">
        <w:t xml:space="preserve">; however, approximately </w:t>
      </w:r>
      <w:r w:rsidR="00A23C1F" w:rsidRPr="00A23C1F">
        <w:t>500 to &lt; 5,000</w:t>
      </w:r>
      <w:r w:rsidR="00A23C1F">
        <w:t xml:space="preserve"> </w:t>
      </w:r>
      <w:r w:rsidR="00561EEC" w:rsidRPr="005728DD">
        <w:t>patients were treated</w:t>
      </w:r>
      <w:r w:rsidR="00BD609A" w:rsidRPr="005728DD">
        <w:t xml:space="preserve"> (calculated based on script numbers)</w:t>
      </w:r>
      <w:r w:rsidR="00561EEC" w:rsidRPr="005728DD">
        <w:t>.</w:t>
      </w:r>
      <w:r w:rsidR="008B5EF9" w:rsidRPr="005728DD">
        <w:t xml:space="preserve"> </w:t>
      </w:r>
      <w:r w:rsidR="000407BE" w:rsidRPr="005728DD">
        <w:t xml:space="preserve">The PBAC noted the F/MF population is not covered by any existing </w:t>
      </w:r>
      <w:r w:rsidR="00C636FD" w:rsidRPr="005728DD">
        <w:t>listing</w:t>
      </w:r>
      <w:r w:rsidR="000407BE" w:rsidRPr="005728DD">
        <w:t>.</w:t>
      </w:r>
      <w:r w:rsidR="008B5EF9" w:rsidRPr="005728DD">
        <w:t xml:space="preserve"> </w:t>
      </w:r>
    </w:p>
    <w:p w:rsidR="00371B1E" w:rsidRPr="005728DD" w:rsidRDefault="00561EEC" w:rsidP="00371B1E">
      <w:pPr>
        <w:pStyle w:val="3-BodyText"/>
      </w:pPr>
      <w:r w:rsidRPr="005728DD">
        <w:t xml:space="preserve">The PBAC considered it was reasonable to assume uptake of ELX/TEZ/IVA in the eligible F/F population would be 75% in Year 1, increasing to 85% in Year </w:t>
      </w:r>
      <w:r w:rsidR="00453639" w:rsidRPr="005728DD">
        <w:t>5</w:t>
      </w:r>
      <w:r w:rsidRPr="005728DD">
        <w:t xml:space="preserve">; in the eligible F/MF population would be </w:t>
      </w:r>
      <w:r w:rsidR="00ED457A" w:rsidRPr="005728DD">
        <w:t xml:space="preserve">75% in Year 1, increasing to 100% in Year </w:t>
      </w:r>
      <w:r w:rsidR="00453639" w:rsidRPr="005728DD">
        <w:t xml:space="preserve">5 </w:t>
      </w:r>
      <w:r w:rsidR="00ED457A" w:rsidRPr="005728DD">
        <w:t xml:space="preserve">and </w:t>
      </w:r>
      <w:r w:rsidRPr="005728DD">
        <w:t>in the eligible F/G and F/RF population would be 50% per year.</w:t>
      </w:r>
      <w:r w:rsidR="008B5EF9" w:rsidRPr="005728DD">
        <w:t xml:space="preserve"> </w:t>
      </w:r>
      <w:r w:rsidR="000E17D0" w:rsidRPr="005728DD">
        <w:t xml:space="preserve">The PBAC </w:t>
      </w:r>
      <w:r w:rsidR="00695247" w:rsidRPr="005728DD">
        <w:t xml:space="preserve">considered it was appropriate to assume 100% uptake in the F/MF population </w:t>
      </w:r>
      <w:r w:rsidR="002377D6" w:rsidRPr="005728DD">
        <w:t xml:space="preserve">in Year 5 </w:t>
      </w:r>
      <w:r w:rsidR="00695247" w:rsidRPr="005728DD">
        <w:t>as the number of patients was based on a treated population and, unlike the F/F, F/G and F/RF populations, the F/MF population have no other treatment option</w:t>
      </w:r>
      <w:r w:rsidR="003A4DE2" w:rsidRPr="005728DD">
        <w:t>s</w:t>
      </w:r>
      <w:r w:rsidR="000E17D0" w:rsidRPr="005728DD">
        <w:t xml:space="preserve">. </w:t>
      </w:r>
    </w:p>
    <w:p w:rsidR="000407BE" w:rsidRPr="005728DD" w:rsidRDefault="000407BE" w:rsidP="00371B1E">
      <w:pPr>
        <w:pStyle w:val="3-BodyText"/>
      </w:pPr>
      <w:r w:rsidRPr="005728DD">
        <w:t xml:space="preserve">The PBAC considered the number of patients electing treatment with ELX/TEZ/IVA as summarised in </w:t>
      </w:r>
      <w:r w:rsidR="005C56C0" w:rsidRPr="005C56C0">
        <w:t>Table 28</w:t>
      </w:r>
      <w:r w:rsidRPr="005728DD">
        <w:t xml:space="preserve"> provided a reasonable basis to </w:t>
      </w:r>
      <w:r w:rsidR="003A4DE2" w:rsidRPr="005728DD">
        <w:t xml:space="preserve">determine </w:t>
      </w:r>
      <w:r w:rsidR="00CB6CF3" w:rsidRPr="005728DD">
        <w:t xml:space="preserve">the net financial impact of the proposed listing and subsequent </w:t>
      </w:r>
      <w:r w:rsidRPr="005728DD">
        <w:t>changes to existing RSAs.</w:t>
      </w:r>
      <w:r w:rsidR="008B5EF9" w:rsidRPr="005728DD">
        <w:t xml:space="preserve"> </w:t>
      </w:r>
    </w:p>
    <w:p w:rsidR="000407BE" w:rsidRPr="005728DD" w:rsidRDefault="000407BE" w:rsidP="002B0E13">
      <w:pPr>
        <w:pStyle w:val="3-BodyText"/>
        <w:keepNext/>
        <w:keepLines/>
        <w:numPr>
          <w:ilvl w:val="0"/>
          <w:numId w:val="0"/>
        </w:numPr>
        <w:rPr>
          <w:rFonts w:ascii="Arial Narrow" w:eastAsiaTheme="majorEastAsia" w:hAnsi="Arial Narrow" w:cstheme="majorBidi"/>
          <w:b/>
          <w:bCs/>
          <w:snapToGrid/>
          <w:sz w:val="20"/>
        </w:rPr>
      </w:pPr>
      <w:bookmarkStart w:id="52" w:name="_Ref66825533"/>
      <w:r w:rsidRPr="005728DD">
        <w:rPr>
          <w:rFonts w:ascii="Arial Narrow" w:eastAsiaTheme="majorEastAsia" w:hAnsi="Arial Narrow" w:cstheme="majorBidi"/>
          <w:b/>
          <w:bCs/>
          <w:snapToGrid/>
          <w:sz w:val="20"/>
        </w:rPr>
        <w:t xml:space="preserve">Table </w:t>
      </w:r>
      <w:r w:rsidR="005C56C0">
        <w:rPr>
          <w:rFonts w:ascii="Arial Narrow" w:eastAsiaTheme="majorEastAsia" w:hAnsi="Arial Narrow" w:cstheme="majorBidi"/>
          <w:b/>
          <w:bCs/>
          <w:noProof/>
          <w:snapToGrid/>
          <w:sz w:val="20"/>
        </w:rPr>
        <w:t>28</w:t>
      </w:r>
      <w:bookmarkEnd w:id="52"/>
      <w:r w:rsidRPr="005728DD">
        <w:rPr>
          <w:rFonts w:ascii="Arial Narrow" w:eastAsiaTheme="majorEastAsia" w:hAnsi="Arial Narrow" w:cstheme="majorBidi"/>
          <w:b/>
          <w:bCs/>
          <w:snapToGrid/>
          <w:sz w:val="20"/>
        </w:rPr>
        <w:t>: Estimated number of patients electing treatment with ELX/ TEZ/ IVA</w:t>
      </w:r>
    </w:p>
    <w:tbl>
      <w:tblPr>
        <w:tblStyle w:val="Summarybox1"/>
        <w:tblW w:w="0" w:type="auto"/>
        <w:tblLook w:val="04A0" w:firstRow="1" w:lastRow="0" w:firstColumn="1" w:lastColumn="0" w:noHBand="0" w:noVBand="1"/>
        <w:tblCaption w:val="Table 28: Estimated number of patients electing treatment with ELX/ TEZ/ IVA"/>
      </w:tblPr>
      <w:tblGrid>
        <w:gridCol w:w="5098"/>
        <w:gridCol w:w="760"/>
        <w:gridCol w:w="760"/>
        <w:gridCol w:w="760"/>
        <w:gridCol w:w="760"/>
        <w:gridCol w:w="760"/>
      </w:tblGrid>
      <w:tr w:rsidR="000407BE" w:rsidRPr="005728DD" w:rsidTr="005C66A3">
        <w:trPr>
          <w:tblHeader/>
        </w:trPr>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p>
        </w:tc>
        <w:tc>
          <w:tcPr>
            <w:tcW w:w="760"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1</w:t>
            </w:r>
          </w:p>
        </w:tc>
        <w:tc>
          <w:tcPr>
            <w:tcW w:w="760"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2</w:t>
            </w:r>
          </w:p>
        </w:tc>
        <w:tc>
          <w:tcPr>
            <w:tcW w:w="760"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3</w:t>
            </w:r>
          </w:p>
        </w:tc>
        <w:tc>
          <w:tcPr>
            <w:tcW w:w="760"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4</w:t>
            </w:r>
          </w:p>
        </w:tc>
        <w:tc>
          <w:tcPr>
            <w:tcW w:w="760"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Year 5</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F/F population </w:t>
            </w:r>
          </w:p>
        </w:tc>
        <w:tc>
          <w:tcPr>
            <w:tcW w:w="760" w:type="dxa"/>
          </w:tcPr>
          <w:p w:rsidR="000407BE" w:rsidRPr="005728DD" w:rsidRDefault="000407BE" w:rsidP="00C67FFB">
            <w:pPr>
              <w:pStyle w:val="3-BodyText"/>
              <w:keepNext/>
              <w:keepLines/>
              <w:numPr>
                <w:ilvl w:val="0"/>
                <w:numId w:val="0"/>
              </w:numPr>
              <w:spacing w:after="0"/>
              <w:rPr>
                <w:rFonts w:ascii="Arial Narrow" w:hAnsi="Arial Narrow"/>
                <w:sz w:val="20"/>
                <w:szCs w:val="20"/>
              </w:rPr>
            </w:pPr>
          </w:p>
        </w:tc>
        <w:tc>
          <w:tcPr>
            <w:tcW w:w="760" w:type="dxa"/>
          </w:tcPr>
          <w:p w:rsidR="000407BE" w:rsidRPr="005728DD" w:rsidRDefault="000407BE" w:rsidP="00C67FFB">
            <w:pPr>
              <w:pStyle w:val="3-BodyText"/>
              <w:keepNext/>
              <w:keepLines/>
              <w:numPr>
                <w:ilvl w:val="0"/>
                <w:numId w:val="0"/>
              </w:numPr>
              <w:spacing w:after="0"/>
              <w:rPr>
                <w:rFonts w:ascii="Arial Narrow" w:hAnsi="Arial Narrow"/>
                <w:sz w:val="20"/>
                <w:szCs w:val="20"/>
              </w:rPr>
            </w:pPr>
          </w:p>
        </w:tc>
        <w:tc>
          <w:tcPr>
            <w:tcW w:w="760" w:type="dxa"/>
          </w:tcPr>
          <w:p w:rsidR="000407BE" w:rsidRPr="005728DD" w:rsidRDefault="000407BE" w:rsidP="00C67FFB">
            <w:pPr>
              <w:pStyle w:val="3-BodyText"/>
              <w:keepNext/>
              <w:keepLines/>
              <w:numPr>
                <w:ilvl w:val="0"/>
                <w:numId w:val="0"/>
              </w:numPr>
              <w:spacing w:after="0"/>
              <w:rPr>
                <w:rFonts w:ascii="Arial Narrow" w:hAnsi="Arial Narrow"/>
                <w:sz w:val="20"/>
                <w:szCs w:val="20"/>
              </w:rPr>
            </w:pPr>
          </w:p>
        </w:tc>
        <w:tc>
          <w:tcPr>
            <w:tcW w:w="760" w:type="dxa"/>
          </w:tcPr>
          <w:p w:rsidR="000407BE" w:rsidRPr="005728DD" w:rsidRDefault="000407BE" w:rsidP="00C67FFB">
            <w:pPr>
              <w:pStyle w:val="3-BodyText"/>
              <w:keepNext/>
              <w:keepLines/>
              <w:numPr>
                <w:ilvl w:val="0"/>
                <w:numId w:val="0"/>
              </w:numPr>
              <w:spacing w:after="0"/>
              <w:rPr>
                <w:rFonts w:ascii="Arial Narrow" w:hAnsi="Arial Narrow"/>
                <w:sz w:val="20"/>
                <w:szCs w:val="20"/>
              </w:rPr>
            </w:pPr>
          </w:p>
        </w:tc>
        <w:tc>
          <w:tcPr>
            <w:tcW w:w="760" w:type="dxa"/>
            <w:tcBorders>
              <w:bottom w:val="single" w:sz="4" w:space="0" w:color="auto"/>
            </w:tcBorders>
          </w:tcPr>
          <w:p w:rsidR="000407BE" w:rsidRPr="005728DD" w:rsidRDefault="000407BE" w:rsidP="00C67FFB">
            <w:pPr>
              <w:pStyle w:val="3-BodyText"/>
              <w:keepNext/>
              <w:keepLines/>
              <w:numPr>
                <w:ilvl w:val="0"/>
                <w:numId w:val="0"/>
              </w:numPr>
              <w:spacing w:after="0"/>
              <w:rPr>
                <w:rFonts w:ascii="Arial Narrow" w:hAnsi="Arial Narrow"/>
                <w:sz w:val="20"/>
                <w:szCs w:val="20"/>
              </w:rPr>
            </w:pP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1</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1</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1</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1</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1</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A23C1F" w:rsidRDefault="000407BE" w:rsidP="00A23C1F">
            <w:pPr>
              <w:pStyle w:val="3-BodyText"/>
              <w:keepNext/>
              <w:keepLines/>
              <w:numPr>
                <w:ilvl w:val="0"/>
                <w:numId w:val="0"/>
              </w:numPr>
              <w:spacing w:after="0"/>
              <w:jc w:val="center"/>
              <w:rPr>
                <w:rFonts w:ascii="Arial Narrow" w:hAnsi="Arial Narrow"/>
                <w:b/>
                <w:sz w:val="20"/>
                <w:szCs w:val="20"/>
                <w:vertAlign w:val="superscript"/>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1</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1</w:t>
            </w: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F/RF population </w:t>
            </w: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xml:space="preserve">Number of patients eligible for ELX/TEZ/IVA </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sz w:val="20"/>
                <w:szCs w:val="20"/>
              </w:rPr>
            </w:pPr>
            <w:r w:rsidRPr="005728DD">
              <w:rPr>
                <w:rFonts w:ascii="Arial Narrow" w:hAnsi="Arial Narrow" w:cs="Calibri"/>
                <w:sz w:val="20"/>
                <w:szCs w:val="20"/>
              </w:rPr>
              <w:t>50%</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F/G population </w:t>
            </w: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50%</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b/>
                <w:sz w:val="20"/>
                <w:szCs w:val="20"/>
              </w:rPr>
              <w:t xml:space="preserve">F/MF population </w:t>
            </w: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c>
          <w:tcPr>
            <w:tcW w:w="760" w:type="dxa"/>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p>
        </w:tc>
      </w:tr>
      <w:tr w:rsidR="000407BE" w:rsidRPr="005728DD" w:rsidTr="00DF1F02">
        <w:tc>
          <w:tcPr>
            <w:tcW w:w="5098" w:type="dxa"/>
          </w:tcPr>
          <w:p w:rsidR="000407BE" w:rsidRPr="005728DD" w:rsidRDefault="000407BE" w:rsidP="00C67FFB">
            <w:pPr>
              <w:pStyle w:val="3-BodyText"/>
              <w:keepNext/>
              <w:keepLines/>
              <w:numPr>
                <w:ilvl w:val="0"/>
                <w:numId w:val="0"/>
              </w:numPr>
              <w:spacing w:after="0"/>
              <w:rPr>
                <w:rFonts w:ascii="Arial Narrow" w:hAnsi="Arial Narrow"/>
                <w:b/>
                <w:sz w:val="20"/>
                <w:szCs w:val="20"/>
              </w:rPr>
            </w:pPr>
            <w:r w:rsidRPr="005728DD">
              <w:rPr>
                <w:rFonts w:ascii="Arial Narrow" w:hAnsi="Arial Narrow"/>
                <w:sz w:val="20"/>
                <w:szCs w:val="20"/>
              </w:rPr>
              <w:t xml:space="preserve">Number of patients eligible for ELX/TEZ/IVA </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c>
          <w:tcPr>
            <w:tcW w:w="760" w:type="dxa"/>
          </w:tcPr>
          <w:p w:rsidR="000407BE" w:rsidRPr="00967E09" w:rsidRDefault="00967E09" w:rsidP="00C67FFB">
            <w:pPr>
              <w:pStyle w:val="3-BodyText"/>
              <w:keepNext/>
              <w:keepLines/>
              <w:numPr>
                <w:ilvl w:val="0"/>
                <w:numId w:val="0"/>
              </w:numPr>
              <w:spacing w:after="0"/>
              <w:jc w:val="center"/>
              <w:rPr>
                <w:rFonts w:ascii="Arial Narrow" w:hAnsi="Arial Narrow"/>
                <w:sz w:val="20"/>
                <w:szCs w:val="20"/>
              </w:rPr>
            </w:pPr>
            <w:r>
              <w:rPr>
                <w:rFonts w:ascii="Arial Narrow" w:hAnsi="Arial Narrow"/>
                <w:noProof/>
                <w:color w:val="000000"/>
                <w:sz w:val="20"/>
                <w:szCs w:val="20"/>
                <w:highlight w:val="black"/>
              </w:rPr>
              <w:t>'''''''''</w:t>
            </w:r>
            <w:r w:rsidR="00A23C1F">
              <w:rPr>
                <w:rFonts w:ascii="Arial Narrow" w:hAnsi="Arial Narrow" w:cs="Calibri"/>
                <w:sz w:val="20"/>
                <w:szCs w:val="20"/>
                <w:vertAlign w:val="superscript"/>
              </w:rPr>
              <w:t>2</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75%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85%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95%</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5728DD" w:rsidRDefault="000407BE" w:rsidP="00C67FFB">
            <w:pPr>
              <w:pStyle w:val="3-BodyText"/>
              <w:keepNext/>
              <w:keepLines/>
              <w:numPr>
                <w:ilvl w:val="0"/>
                <w:numId w:val="0"/>
              </w:numPr>
              <w:spacing w:after="0"/>
              <w:jc w:val="center"/>
              <w:rPr>
                <w:rFonts w:ascii="Arial Narrow" w:hAnsi="Arial Narrow"/>
                <w:b/>
                <w:sz w:val="20"/>
                <w:szCs w:val="20"/>
              </w:rPr>
            </w:pPr>
            <w:r w:rsidRPr="005728DD">
              <w:rPr>
                <w:rFonts w:ascii="Arial Narrow" w:hAnsi="Arial Narrow" w:cs="Calibri"/>
                <w:sz w:val="20"/>
                <w:szCs w:val="20"/>
              </w:rPr>
              <w:t>100%</w:t>
            </w:r>
          </w:p>
        </w:tc>
      </w:tr>
      <w:tr w:rsidR="000407BE" w:rsidRPr="005728DD" w:rsidTr="00675537">
        <w:tc>
          <w:tcPr>
            <w:tcW w:w="5098" w:type="dxa"/>
          </w:tcPr>
          <w:p w:rsidR="000407BE" w:rsidRPr="005728DD" w:rsidRDefault="000407BE" w:rsidP="00C67FFB">
            <w:pPr>
              <w:pStyle w:val="3-BodyText"/>
              <w:keepNext/>
              <w:keepLines/>
              <w:numPr>
                <w:ilvl w:val="0"/>
                <w:numId w:val="0"/>
              </w:numPr>
              <w:spacing w:after="0"/>
              <w:rPr>
                <w:rFonts w:ascii="Arial Narrow" w:hAnsi="Arial Narrow"/>
                <w:sz w:val="20"/>
                <w:szCs w:val="20"/>
              </w:rPr>
            </w:pPr>
            <w:r w:rsidRPr="005728DD">
              <w:rPr>
                <w:rFonts w:ascii="Arial Narrow" w:hAnsi="Arial Narrow"/>
                <w:sz w:val="20"/>
                <w:szCs w:val="20"/>
              </w:rPr>
              <w:t>Number of patients electing treatment with ELX/TEZ/IVA</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c>
          <w:tcPr>
            <w:tcW w:w="760" w:type="dxa"/>
            <w:tcBorders>
              <w:top w:val="single" w:sz="4" w:space="0" w:color="auto"/>
              <w:left w:val="nil"/>
              <w:bottom w:val="single" w:sz="4" w:space="0" w:color="auto"/>
              <w:right w:val="single" w:sz="4" w:space="0" w:color="auto"/>
            </w:tcBorders>
            <w:shd w:val="clear" w:color="auto" w:fill="auto"/>
            <w:vAlign w:val="center"/>
          </w:tcPr>
          <w:p w:rsidR="000407BE" w:rsidRPr="00967E09" w:rsidRDefault="00967E09" w:rsidP="00C67FFB">
            <w:pPr>
              <w:pStyle w:val="3-BodyText"/>
              <w:keepNext/>
              <w:keepLines/>
              <w:numPr>
                <w:ilvl w:val="0"/>
                <w:numId w:val="0"/>
              </w:numPr>
              <w:spacing w:after="0"/>
              <w:jc w:val="center"/>
              <w:rPr>
                <w:rFonts w:ascii="Arial Narrow" w:hAnsi="Arial Narrow"/>
                <w:b/>
                <w:sz w:val="20"/>
                <w:szCs w:val="20"/>
              </w:rPr>
            </w:pPr>
            <w:r>
              <w:rPr>
                <w:rFonts w:ascii="Arial Narrow" w:hAnsi="Arial Narrow" w:cs="Calibri"/>
                <w:noProof/>
                <w:color w:val="000000"/>
                <w:sz w:val="20"/>
                <w:szCs w:val="20"/>
                <w:highlight w:val="black"/>
              </w:rPr>
              <w:t>'''''''''</w:t>
            </w:r>
            <w:r w:rsidR="00A23C1F">
              <w:rPr>
                <w:rFonts w:ascii="Arial Narrow" w:hAnsi="Arial Narrow" w:cs="Calibri"/>
                <w:sz w:val="20"/>
                <w:szCs w:val="20"/>
                <w:vertAlign w:val="superscript"/>
              </w:rPr>
              <w:t>2</w:t>
            </w:r>
          </w:p>
        </w:tc>
      </w:tr>
    </w:tbl>
    <w:p w:rsidR="00F95063" w:rsidRDefault="00F95063" w:rsidP="002B0E13">
      <w:pPr>
        <w:pStyle w:val="TableFigureFooter"/>
        <w:keepNext/>
        <w:keepLines/>
      </w:pPr>
      <w:r w:rsidRPr="005728DD">
        <w:t>Abbreviations: ELX/TEZ/IVA = elexacaftor/tezacaftor/ivacaftor; F/any = at least one F508del-CTFR mutation; F/F = homozygous for F508del-CFTR mutations; F/MF = heterozygous for F508del-CFTR mutation with a second minimal function allele; F/RF = heterozygous for F508del-CFTR with a second residual function mutation; LUM/IVA=lumacaftor/ivacaftor; IVA=ivacaftor; TEZ/IVA = tezacaftor/ivacaftor; RSA =risk sharing arrangement</w:t>
      </w:r>
    </w:p>
    <w:p w:rsidR="00A23C1F" w:rsidRPr="009868C4" w:rsidRDefault="00A23C1F" w:rsidP="00A23C1F">
      <w:pPr>
        <w:pStyle w:val="TableFigureFooter"/>
        <w:spacing w:after="0"/>
        <w:contextualSpacing w:val="0"/>
      </w:pPr>
      <w:r w:rsidRPr="009868C4">
        <w:rPr>
          <w:i/>
        </w:rPr>
        <w:t>The redacted values correspond to the following ranges</w:t>
      </w:r>
      <w:r>
        <w:rPr>
          <w:i/>
        </w:rPr>
        <w:t xml:space="preserve">: </w:t>
      </w:r>
    </w:p>
    <w:p w:rsidR="00A23C1F" w:rsidRDefault="00A23C1F" w:rsidP="002B0E13">
      <w:pPr>
        <w:pStyle w:val="TableFigureFooter"/>
        <w:keepNext/>
        <w:keepLines/>
        <w:rPr>
          <w:i/>
        </w:rPr>
      </w:pPr>
      <w:r>
        <w:rPr>
          <w:i/>
          <w:vertAlign w:val="superscript"/>
        </w:rPr>
        <w:t xml:space="preserve">1 </w:t>
      </w:r>
      <w:r w:rsidRPr="00A23C1F">
        <w:rPr>
          <w:i/>
        </w:rPr>
        <w:t>500 to &lt; 5,000</w:t>
      </w:r>
    </w:p>
    <w:p w:rsidR="00A23C1F" w:rsidRPr="00A23C1F" w:rsidRDefault="00A23C1F" w:rsidP="002B0E13">
      <w:pPr>
        <w:pStyle w:val="TableFigureFooter"/>
        <w:keepNext/>
        <w:keepLines/>
        <w:rPr>
          <w:i/>
        </w:rPr>
      </w:pPr>
      <w:r>
        <w:rPr>
          <w:i/>
          <w:vertAlign w:val="superscript"/>
        </w:rPr>
        <w:t xml:space="preserve">2 </w:t>
      </w:r>
      <w:r w:rsidRPr="00A23C1F">
        <w:rPr>
          <w:i/>
        </w:rPr>
        <w:t>&lt; 500</w:t>
      </w:r>
    </w:p>
    <w:p w:rsidR="00576972" w:rsidRPr="005728DD" w:rsidRDefault="00576972" w:rsidP="00606FBA">
      <w:pPr>
        <w:pStyle w:val="4-SubsectionHeading"/>
      </w:pPr>
      <w:bookmarkStart w:id="53" w:name="_Toc22897648"/>
      <w:bookmarkStart w:id="54" w:name="_Toc62035737"/>
      <w:r w:rsidRPr="005728DD">
        <w:t>Quality Use of Medicines</w:t>
      </w:r>
      <w:bookmarkEnd w:id="53"/>
      <w:bookmarkEnd w:id="54"/>
    </w:p>
    <w:p w:rsidR="00576972" w:rsidRPr="005728DD" w:rsidRDefault="00145295" w:rsidP="00606FBA">
      <w:pPr>
        <w:pStyle w:val="3-BodyText"/>
      </w:pPr>
      <w:r w:rsidRPr="005728DD">
        <w:t xml:space="preserve">The submission provided a list of activities proposed by the sponsor to support the quality use of medicines (QUM) on listing of ELX/TEZ/IVA. These activities appear to </w:t>
      </w:r>
      <w:r w:rsidRPr="005728DD">
        <w:lastRenderedPageBreak/>
        <w:t xml:space="preserve">be focused on patient support programs, including ‘holistic care packages’ and health care provider education. </w:t>
      </w:r>
      <w:r w:rsidR="000074C4" w:rsidRPr="005728DD">
        <w:t>T</w:t>
      </w:r>
      <w:r w:rsidRPr="005728DD">
        <w:t>he submission has not outlined the specific QUM issues associated with the prescription and use of ELX/TEZ/IVA that activities outline</w:t>
      </w:r>
      <w:r w:rsidR="00266AA4" w:rsidRPr="005728DD">
        <w:t>d</w:t>
      </w:r>
      <w:r w:rsidRPr="005728DD">
        <w:t xml:space="preserve"> are designed to address.</w:t>
      </w:r>
      <w:r w:rsidR="008B5EF9" w:rsidRPr="005728DD">
        <w:t xml:space="preserve"> </w:t>
      </w:r>
    </w:p>
    <w:p w:rsidR="00576972" w:rsidRPr="005728DD" w:rsidRDefault="00576972" w:rsidP="00606FBA">
      <w:pPr>
        <w:pStyle w:val="4-SubsectionHeading"/>
      </w:pPr>
      <w:bookmarkStart w:id="55" w:name="_Toc22897649"/>
      <w:bookmarkStart w:id="56" w:name="_Toc62035738"/>
      <w:r w:rsidRPr="005728DD">
        <w:t>Financial Management – Risk Sharing Arrangements</w:t>
      </w:r>
      <w:bookmarkEnd w:id="55"/>
      <w:bookmarkEnd w:id="56"/>
      <w:r w:rsidR="007A3B5D" w:rsidRPr="005728DD">
        <w:t xml:space="preserve"> </w:t>
      </w:r>
    </w:p>
    <w:p w:rsidR="00576972" w:rsidRPr="005728DD" w:rsidRDefault="00832B9F" w:rsidP="004B24F8">
      <w:pPr>
        <w:pStyle w:val="ListParagraph"/>
        <w:numPr>
          <w:ilvl w:val="1"/>
          <w:numId w:val="1"/>
        </w:numPr>
      </w:pPr>
      <w:r w:rsidRPr="005728DD">
        <w:t xml:space="preserve">The submission </w:t>
      </w:r>
      <w:r w:rsidR="004D4944" w:rsidRPr="005728DD">
        <w:t xml:space="preserve">stated </w:t>
      </w:r>
      <w:r w:rsidRPr="005728DD">
        <w:t>the sponsor is open to discussions regarding a Risk Sharing Arrangement to mitigate uncertainty surrounding the utilisation and financial impact of listing ELX/TEZ/IVA</w:t>
      </w:r>
      <w:r w:rsidR="00F95063" w:rsidRPr="005728DD">
        <w:t xml:space="preserve"> but did not pro</w:t>
      </w:r>
      <w:r w:rsidR="00FF4CA4" w:rsidRPr="005728DD">
        <w:t>vide any detail in the submissi</w:t>
      </w:r>
      <w:r w:rsidR="00F95063" w:rsidRPr="005728DD">
        <w:t>on</w:t>
      </w:r>
      <w:r w:rsidRPr="005728DD">
        <w:t xml:space="preserve">. </w:t>
      </w:r>
    </w:p>
    <w:p w:rsidR="00AE361C" w:rsidRPr="005728DD" w:rsidRDefault="009E7334" w:rsidP="004D4944">
      <w:pPr>
        <w:pStyle w:val="3-BodyText"/>
        <w:rPr>
          <w:snapToGrid/>
        </w:rPr>
      </w:pPr>
      <w:r w:rsidRPr="005728DD">
        <w:rPr>
          <w:snapToGrid/>
        </w:rPr>
        <w:t xml:space="preserve">During its consideration of LUM/IVA for F/F patients in July 2018 the PBAC was concerned that the </w:t>
      </w:r>
      <w:r w:rsidR="00441BD2" w:rsidRPr="005728DD">
        <w:rPr>
          <w:snapToGrid/>
        </w:rPr>
        <w:t xml:space="preserve">assumptions regarding the </w:t>
      </w:r>
      <w:r w:rsidRPr="005728DD">
        <w:rPr>
          <w:snapToGrid/>
        </w:rPr>
        <w:t xml:space="preserve">rate of decline </w:t>
      </w:r>
      <w:r w:rsidR="00441BD2" w:rsidRPr="005728DD">
        <w:rPr>
          <w:snapToGrid/>
        </w:rPr>
        <w:t xml:space="preserve">in lung function </w:t>
      </w:r>
      <w:r w:rsidRPr="005728DD">
        <w:rPr>
          <w:snapToGrid/>
        </w:rPr>
        <w:t xml:space="preserve">was overly optimistic and the rate of decline difference might not be sustained in the longer term (paragraph 7.7, LUM/IVA PSD, July 2018 PBAC meeting). </w:t>
      </w:r>
      <w:r w:rsidR="00441BD2" w:rsidRPr="005728DD">
        <w:rPr>
          <w:snapToGrid/>
        </w:rPr>
        <w:t>The PBAC considered LUM/IVA would be acceptably cost-effective at a cost of $</w:t>
      </w:r>
      <w:r w:rsidR="00967E09">
        <w:rPr>
          <w:noProof/>
          <w:snapToGrid/>
          <w:color w:val="000000"/>
          <w:highlight w:val="black"/>
        </w:rPr>
        <w:t>''''''''''''</w:t>
      </w:r>
      <w:r w:rsidR="00441BD2" w:rsidRPr="005728DD">
        <w:rPr>
          <w:snapToGrid/>
        </w:rPr>
        <w:t xml:space="preserve"> per patient per year for a period of two and a half years</w:t>
      </w:r>
      <w:r w:rsidR="00185AF2">
        <w:rPr>
          <w:snapToGrid/>
        </w:rPr>
        <w:t xml:space="preserve">. This </w:t>
      </w:r>
      <w:r w:rsidR="00441BD2" w:rsidRPr="005728DD">
        <w:rPr>
          <w:snapToGrid/>
        </w:rPr>
        <w:t>allow</w:t>
      </w:r>
      <w:r w:rsidR="00185AF2">
        <w:rPr>
          <w:snapToGrid/>
        </w:rPr>
        <w:t>s</w:t>
      </w:r>
      <w:r w:rsidR="00441BD2" w:rsidRPr="005728DD">
        <w:rPr>
          <w:snapToGrid/>
        </w:rPr>
        <w:t xml:space="preserve"> the sponsor to provide further data to satisfy the PBAC that the differences in the rate of decline in lung function and pulmonary exacerbations observed over the 96 week trial period are sustained over a longer time period of at least 4 years in clinical practice (paragraph 6.74, LUM/IVA PSD, July 2018 PBAC meeting). </w:t>
      </w:r>
    </w:p>
    <w:p w:rsidR="004D4944" w:rsidRPr="005728DD" w:rsidRDefault="009E7334" w:rsidP="004D4944">
      <w:pPr>
        <w:pStyle w:val="3-BodyText"/>
        <w:rPr>
          <w:snapToGrid/>
        </w:rPr>
      </w:pPr>
      <w:r w:rsidRPr="005728DD">
        <w:rPr>
          <w:snapToGrid/>
        </w:rPr>
        <w:t>During its consideration of TEZ/ IVA for F/F patients in March 2019, the PBAC noted the effectiveness of TEZ/IVA was even more uncertain tha</w:t>
      </w:r>
      <w:r w:rsidR="00112529" w:rsidRPr="005728DD">
        <w:rPr>
          <w:snapToGrid/>
        </w:rPr>
        <w:t>n</w:t>
      </w:r>
      <w:r w:rsidRPr="005728DD">
        <w:rPr>
          <w:snapToGrid/>
        </w:rPr>
        <w:t xml:space="preserve"> that for LUM/IVA. The PBAC</w:t>
      </w:r>
      <w:r w:rsidR="008B5EF9" w:rsidRPr="005728DD">
        <w:rPr>
          <w:snapToGrid/>
        </w:rPr>
        <w:t xml:space="preserve"> </w:t>
      </w:r>
      <w:r w:rsidRPr="005728DD">
        <w:rPr>
          <w:snapToGrid/>
        </w:rPr>
        <w:t>advised the same</w:t>
      </w:r>
      <w:r w:rsidR="00C506CF" w:rsidRPr="005728DD">
        <w:rPr>
          <w:snapToGrid/>
        </w:rPr>
        <w:t xml:space="preserve"> managed access</w:t>
      </w:r>
      <w:r w:rsidRPr="005728DD">
        <w:rPr>
          <w:snapToGrid/>
        </w:rPr>
        <w:t xml:space="preserve"> requirements that applied to LUM/IVA should also apply to TEZ/IVA to manage risks around the uncertain effectiveness and whether the treatment benefit in terms of the decrease in rate of decline in lung function would be sustained in the longer term (paragraph 7.9, TEZ/IVA PSD, March 2019 PBAC meeting). </w:t>
      </w:r>
    </w:p>
    <w:p w:rsidR="002C707F" w:rsidRPr="005728DD" w:rsidRDefault="002C707F" w:rsidP="00A22904">
      <w:pPr>
        <w:pStyle w:val="3-BodyText"/>
        <w:rPr>
          <w:snapToGrid/>
        </w:rPr>
      </w:pPr>
      <w:r w:rsidRPr="005728DD">
        <w:rPr>
          <w:snapToGrid/>
        </w:rPr>
        <w:t>Given there are similar uncertainties associated with EL</w:t>
      </w:r>
      <w:r w:rsidR="00DE25C5" w:rsidRPr="005728DD">
        <w:rPr>
          <w:snapToGrid/>
        </w:rPr>
        <w:t>X</w:t>
      </w:r>
      <w:r w:rsidRPr="005728DD">
        <w:rPr>
          <w:snapToGrid/>
        </w:rPr>
        <w:t xml:space="preserve">/TEZ/IVA </w:t>
      </w:r>
      <w:r w:rsidR="006A59CF" w:rsidRPr="005728DD">
        <w:rPr>
          <w:snapToGrid/>
        </w:rPr>
        <w:t xml:space="preserve">the PBAC considered </w:t>
      </w:r>
      <w:r w:rsidRPr="005728DD">
        <w:rPr>
          <w:snapToGrid/>
        </w:rPr>
        <w:t xml:space="preserve">it </w:t>
      </w:r>
      <w:r w:rsidR="0011537F" w:rsidRPr="005728DD">
        <w:rPr>
          <w:snapToGrid/>
        </w:rPr>
        <w:t>was</w:t>
      </w:r>
      <w:r w:rsidRPr="005728DD">
        <w:rPr>
          <w:snapToGrid/>
        </w:rPr>
        <w:t xml:space="preserve"> appropriate for similar managed access requirements that apply to TEZ/IVA and LUM/IVA apply to EL</w:t>
      </w:r>
      <w:r w:rsidR="00DE25C5" w:rsidRPr="005728DD">
        <w:rPr>
          <w:snapToGrid/>
        </w:rPr>
        <w:t>X</w:t>
      </w:r>
      <w:r w:rsidRPr="005728DD">
        <w:rPr>
          <w:snapToGrid/>
        </w:rPr>
        <w:t>/TEZ/IVA.</w:t>
      </w:r>
      <w:r w:rsidR="0040519B" w:rsidRPr="005728DD">
        <w:t xml:space="preserve"> </w:t>
      </w:r>
      <w:r w:rsidR="0040519B" w:rsidRPr="005728DD">
        <w:rPr>
          <w:snapToGrid/>
        </w:rPr>
        <w:t xml:space="preserve">Further, </w:t>
      </w:r>
      <w:r w:rsidR="006A59CF" w:rsidRPr="005728DD">
        <w:rPr>
          <w:snapToGrid/>
        </w:rPr>
        <w:t xml:space="preserve">the PBAC </w:t>
      </w:r>
      <w:r w:rsidR="0011537F" w:rsidRPr="005728DD">
        <w:rPr>
          <w:snapToGrid/>
        </w:rPr>
        <w:t>considered</w:t>
      </w:r>
      <w:r w:rsidR="0040519B" w:rsidRPr="005728DD">
        <w:rPr>
          <w:snapToGrid/>
        </w:rPr>
        <w:t xml:space="preserve"> </w:t>
      </w:r>
      <w:r w:rsidR="006A59CF" w:rsidRPr="005728DD">
        <w:rPr>
          <w:snapToGrid/>
        </w:rPr>
        <w:t xml:space="preserve">it was </w:t>
      </w:r>
      <w:r w:rsidR="0040519B" w:rsidRPr="005728DD">
        <w:rPr>
          <w:snapToGrid/>
        </w:rPr>
        <w:t>appropriate for any revisions to the circumstances associated with the listing of TEZ/IVA be flowed on to ELX/TEZ/IVA.</w:t>
      </w:r>
      <w:r w:rsidR="00A22904" w:rsidRPr="005728DD">
        <w:rPr>
          <w:snapToGrid/>
        </w:rPr>
        <w:t xml:space="preserve"> The pre-PBAC response stated that, as with previous submissions, the sponsor is willing to work with the PBAC and the Department if substantiation of benefit is required, but further noted this should not delay access of ELX/TEZ/IVA.</w:t>
      </w:r>
    </w:p>
    <w:p w:rsidR="00882D7E" w:rsidRPr="005728DD" w:rsidRDefault="00914841" w:rsidP="00882D7E">
      <w:pPr>
        <w:pStyle w:val="2-SectionHeading"/>
      </w:pPr>
      <w:r w:rsidRPr="005728DD">
        <w:br w:type="page"/>
      </w:r>
      <w:r w:rsidR="00882D7E" w:rsidRPr="005728DD">
        <w:lastRenderedPageBreak/>
        <w:t>PBAC outcome</w:t>
      </w:r>
    </w:p>
    <w:p w:rsidR="00C56B63" w:rsidRPr="005728DD" w:rsidRDefault="00C56B63" w:rsidP="00C56B63">
      <w:pPr>
        <w:pStyle w:val="3-BodyText"/>
      </w:pPr>
      <w:r w:rsidRPr="005728DD">
        <w:t xml:space="preserve">The PBAC deferred making a recommendation to list elexacaftor/tezacaftor/ivacaftor </w:t>
      </w:r>
      <w:r w:rsidR="00DB031D" w:rsidRPr="005728DD">
        <w:t>(ELX/</w:t>
      </w:r>
      <w:r w:rsidRPr="005728DD">
        <w:t xml:space="preserve">TEZ/IVA) for the treatment of cystic fibrosis (CF) patients aged 12 years and older who have at least one F508del mutation in the cystic fibrosis transmembrane conductance regulator (CFTR) gene. The PBAC considered ELX/TEZ/IVA provided a significant benefit for </w:t>
      </w:r>
      <w:r w:rsidR="00BA6CA0" w:rsidRPr="005728DD">
        <w:t xml:space="preserve">some patients, in particular, the F/F and F/MF populations. </w:t>
      </w:r>
      <w:r w:rsidRPr="005728DD">
        <w:t>The PBAC considered the safety and effectiveness of</w:t>
      </w:r>
      <w:r w:rsidR="00BA6CA0" w:rsidRPr="005728DD">
        <w:t xml:space="preserve"> ELX/TEZ/IVA </w:t>
      </w:r>
      <w:r w:rsidRPr="005728DD">
        <w:t xml:space="preserve">beyond 48 weeks was uncertain but this could be managed with an appropriate </w:t>
      </w:r>
      <w:r w:rsidR="00C66232" w:rsidRPr="005728DD">
        <w:t>Managed Access Program (MAP)</w:t>
      </w:r>
      <w:r w:rsidRPr="005728DD">
        <w:t xml:space="preserve"> similar to what is in place for the other CFTR modulators. The PBAC deferred making a recommendation </w:t>
      </w:r>
      <w:r w:rsidR="00443ACA" w:rsidRPr="005728DD">
        <w:t xml:space="preserve">in order to </w:t>
      </w:r>
      <w:r w:rsidR="00527868" w:rsidRPr="005728DD">
        <w:t xml:space="preserve">allow engagement with the sponsor </w:t>
      </w:r>
      <w:r w:rsidR="00603AB1">
        <w:t>to align the proposed listing of</w:t>
      </w:r>
      <w:r w:rsidR="00BA6CA0" w:rsidRPr="005728DD">
        <w:t xml:space="preserve"> ELX/TEZ/IVA</w:t>
      </w:r>
      <w:r w:rsidRPr="005728DD">
        <w:t xml:space="preserve">, </w:t>
      </w:r>
      <w:r w:rsidR="00603AB1">
        <w:t xml:space="preserve">and associated costs and </w:t>
      </w:r>
      <w:r w:rsidRPr="005728DD">
        <w:t xml:space="preserve">financial implications </w:t>
      </w:r>
      <w:r w:rsidR="00603AB1">
        <w:t>with the</w:t>
      </w:r>
      <w:r w:rsidR="00A22904" w:rsidRPr="005728DD">
        <w:t xml:space="preserve"> </w:t>
      </w:r>
      <w:r w:rsidR="00C66232" w:rsidRPr="005728DD">
        <w:t>MAP and risk share arrangement</w:t>
      </w:r>
      <w:r w:rsidR="00603AB1">
        <w:t>s</w:t>
      </w:r>
      <w:r w:rsidR="00C66232" w:rsidRPr="005728DD">
        <w:t xml:space="preserve"> (</w:t>
      </w:r>
      <w:r w:rsidR="00A22904" w:rsidRPr="005728DD">
        <w:t>RSA</w:t>
      </w:r>
      <w:r w:rsidR="00C66232" w:rsidRPr="005728DD">
        <w:t>)</w:t>
      </w:r>
      <w:r w:rsidR="00603AB1" w:rsidRPr="00603AB1">
        <w:t xml:space="preserve"> </w:t>
      </w:r>
      <w:r w:rsidR="00603AB1">
        <w:t xml:space="preserve">of the currently listed </w:t>
      </w:r>
      <w:r w:rsidR="00603AB1" w:rsidRPr="005728DD">
        <w:t xml:space="preserve">CFTR modulators, </w:t>
      </w:r>
      <w:r w:rsidR="00603AB1">
        <w:t xml:space="preserve">with the cost-effectiveness link with these comparators </w:t>
      </w:r>
      <w:r w:rsidR="002377D6">
        <w:t xml:space="preserve">having </w:t>
      </w:r>
      <w:r w:rsidR="00527868" w:rsidRPr="005728DD">
        <w:t>not satisfactorily</w:t>
      </w:r>
      <w:r w:rsidR="002377D6">
        <w:t xml:space="preserve"> been</w:t>
      </w:r>
      <w:r w:rsidR="00527868" w:rsidRPr="005728DD">
        <w:t xml:space="preserve"> established by the submission</w:t>
      </w:r>
      <w:r w:rsidR="00A22904" w:rsidRPr="005728DD">
        <w:t>.</w:t>
      </w:r>
      <w:r w:rsidRPr="005728DD">
        <w:t xml:space="preserve"> </w:t>
      </w:r>
    </w:p>
    <w:p w:rsidR="00C56B63" w:rsidRPr="005728DD" w:rsidRDefault="00A22904" w:rsidP="00162C15">
      <w:pPr>
        <w:pStyle w:val="3-BodyText"/>
      </w:pPr>
      <w:r w:rsidRPr="005728DD">
        <w:t xml:space="preserve">The PBAC noted the submission presented evidence for four distinct populations with at least one F508del mutation in the CFTR gene: F/F, F/RF, F/MF and F/G. </w:t>
      </w:r>
      <w:r w:rsidR="00C56B63" w:rsidRPr="005728DD">
        <w:t>The PBAC considered the clinical evidence, cost-effectiveness and financial impact separately for the</w:t>
      </w:r>
      <w:r w:rsidRPr="005728DD">
        <w:t xml:space="preserve"> four</w:t>
      </w:r>
      <w:r w:rsidR="00C56B63" w:rsidRPr="005728DD">
        <w:t xml:space="preserve"> populations making up the F/any population.</w:t>
      </w:r>
      <w:r w:rsidR="008B5EF9" w:rsidRPr="005728DD">
        <w:t xml:space="preserve"> </w:t>
      </w:r>
      <w:r w:rsidR="00EB5123" w:rsidRPr="005728DD">
        <w:t xml:space="preserve">The PBAC noted the submission included a fifth population, the F/not yet characterised population, and the submission assumed the efficacy, safety and cost-effectiveness of ELX/TEZ/IVA in </w:t>
      </w:r>
      <w:r w:rsidR="00162C15" w:rsidRPr="005728DD">
        <w:t xml:space="preserve">the </w:t>
      </w:r>
      <w:r w:rsidR="00EB5123" w:rsidRPr="005728DD">
        <w:t>F/MF population</w:t>
      </w:r>
      <w:r w:rsidR="00162C15" w:rsidRPr="005728DD">
        <w:t xml:space="preserve"> was representative</w:t>
      </w:r>
      <w:r w:rsidR="00E41DB9" w:rsidRPr="005728DD">
        <w:t xml:space="preserve"> of that in the F/not yet characterised population</w:t>
      </w:r>
      <w:r w:rsidR="00EB5123" w:rsidRPr="005728DD">
        <w:t xml:space="preserve">. </w:t>
      </w:r>
      <w:r w:rsidR="00162C15" w:rsidRPr="005728DD">
        <w:t xml:space="preserve">The PBAC </w:t>
      </w:r>
      <w:r w:rsidR="00527868" w:rsidRPr="005728DD">
        <w:t xml:space="preserve">assessed that </w:t>
      </w:r>
      <w:r w:rsidR="00162C15" w:rsidRPr="005728DD">
        <w:t xml:space="preserve">the F/not yet characterised population </w:t>
      </w:r>
      <w:r w:rsidR="00E41DB9" w:rsidRPr="005728DD">
        <w:t xml:space="preserve">should not be considered as a </w:t>
      </w:r>
      <w:r w:rsidR="00162C15" w:rsidRPr="005728DD">
        <w:t xml:space="preserve">distinct patient population but rather </w:t>
      </w:r>
      <w:r w:rsidR="00DB4718" w:rsidRPr="005728DD">
        <w:t xml:space="preserve">the underlying phenotype of </w:t>
      </w:r>
      <w:r w:rsidR="00162C15" w:rsidRPr="005728DD">
        <w:t>these patients would be</w:t>
      </w:r>
      <w:r w:rsidR="0072023F" w:rsidRPr="005728DD">
        <w:t xml:space="preserve"> </w:t>
      </w:r>
      <w:r w:rsidR="00162C15" w:rsidRPr="005728DD">
        <w:t>F/MF, F/RF or F/G</w:t>
      </w:r>
      <w:r w:rsidR="0072023F" w:rsidRPr="005728DD">
        <w:t xml:space="preserve"> and therefore their cost effectiveness </w:t>
      </w:r>
      <w:r w:rsidR="00DB4718" w:rsidRPr="005728DD">
        <w:t xml:space="preserve">should </w:t>
      </w:r>
      <w:r w:rsidR="0072023F" w:rsidRPr="005728DD">
        <w:t>be considered accordingly</w:t>
      </w:r>
      <w:r w:rsidR="00162C15" w:rsidRPr="005728DD">
        <w:t xml:space="preserve">. The PBAC considered it would be reasonable to assume that 50% of patients </w:t>
      </w:r>
      <w:r w:rsidR="00FE74B3" w:rsidRPr="005728DD">
        <w:t xml:space="preserve">included in the </w:t>
      </w:r>
      <w:r w:rsidR="00162C15" w:rsidRPr="005728DD">
        <w:t xml:space="preserve">F/not yet characterised </w:t>
      </w:r>
      <w:r w:rsidR="00FE74B3" w:rsidRPr="005728DD">
        <w:t xml:space="preserve">population in the submission </w:t>
      </w:r>
      <w:r w:rsidR="00162C15" w:rsidRPr="005728DD">
        <w:t>are allocated to the F/MF population, 25% to the F/RF population and 25% to the F/G population.</w:t>
      </w:r>
      <w:r w:rsidR="008B5EF9" w:rsidRPr="005728DD">
        <w:t xml:space="preserve"> </w:t>
      </w:r>
    </w:p>
    <w:p w:rsidR="00C56B63" w:rsidRPr="00185AF2" w:rsidRDefault="00C56B63" w:rsidP="00C56B63">
      <w:pPr>
        <w:pStyle w:val="3-BodyText"/>
        <w:numPr>
          <w:ilvl w:val="0"/>
          <w:numId w:val="0"/>
        </w:numPr>
        <w:rPr>
          <w:b/>
        </w:rPr>
      </w:pPr>
      <w:r w:rsidRPr="00185AF2">
        <w:rPr>
          <w:b/>
        </w:rPr>
        <w:t>Patients who are homozygous for the F508del-CFTR mutation (F/F population).</w:t>
      </w:r>
    </w:p>
    <w:p w:rsidR="00C56B63" w:rsidRPr="005728DD" w:rsidRDefault="00C56B63" w:rsidP="00C56B63">
      <w:pPr>
        <w:pStyle w:val="3-BodyText"/>
      </w:pPr>
      <w:r w:rsidRPr="005728DD">
        <w:t xml:space="preserve">The PBAC </w:t>
      </w:r>
      <w:r w:rsidR="00920CF2" w:rsidRPr="005728DD">
        <w:t xml:space="preserve">considered the nominated main comparator of </w:t>
      </w:r>
      <w:r w:rsidRPr="005728DD">
        <w:t xml:space="preserve">TEZ/IVA was </w:t>
      </w:r>
      <w:r w:rsidR="00920CF2" w:rsidRPr="005728DD">
        <w:t>reasonable</w:t>
      </w:r>
      <w:r w:rsidRPr="005728DD">
        <w:t xml:space="preserve"> in this population.</w:t>
      </w:r>
    </w:p>
    <w:p w:rsidR="00C56B63" w:rsidRPr="005728DD" w:rsidRDefault="00C56B63" w:rsidP="00C56B63">
      <w:pPr>
        <w:pStyle w:val="3-BodyText"/>
      </w:pPr>
      <w:r w:rsidRPr="005728DD">
        <w:t>The PBAC was satisfied that ELX/TEZ/IVA provides, for some patients, an improvement in efficacy over TEZ/IVA, however the PBAC noted the uncertainty around long term outcomes.</w:t>
      </w:r>
      <w:r w:rsidR="008B5EF9" w:rsidRPr="005728DD">
        <w:t xml:space="preserve"> </w:t>
      </w:r>
    </w:p>
    <w:p w:rsidR="00C56B63" w:rsidRPr="005728DD" w:rsidRDefault="00C56B63" w:rsidP="00C56B63">
      <w:pPr>
        <w:pStyle w:val="3-BodyText"/>
      </w:pPr>
      <w:r w:rsidRPr="005728DD">
        <w:t>The PBAC considered that treatment with ELX/TEZ/IVA provided a significant improvement in outcomes of ppFEV</w:t>
      </w:r>
      <w:r w:rsidRPr="005728DD">
        <w:rPr>
          <w:vertAlign w:val="subscript"/>
        </w:rPr>
        <w:t>1</w:t>
      </w:r>
      <w:r w:rsidRPr="005728DD">
        <w:t>, CFQ-R Respiratory Domain score and sweat chloride up to 24 weeks versus TEZ/IVA (based on Study 109). The PBAC noted the improvement in ppFEV</w:t>
      </w:r>
      <w:r w:rsidRPr="005728DD">
        <w:rPr>
          <w:vertAlign w:val="subscript"/>
        </w:rPr>
        <w:t>1</w:t>
      </w:r>
      <w:r w:rsidRPr="005728DD">
        <w:t xml:space="preserve"> was greater than the MCID of 10% at 24 weeks (10.2%). The PBAC noted there was limited evidence presented for the BMI outcome and </w:t>
      </w:r>
      <w:r w:rsidR="00A80BB4" w:rsidRPr="005728DD">
        <w:t xml:space="preserve">evidence </w:t>
      </w:r>
      <w:r w:rsidR="00AF3977" w:rsidRPr="005728DD">
        <w:t xml:space="preserve">for </w:t>
      </w:r>
      <w:r w:rsidRPr="005728DD">
        <w:t>the PEx outcome</w:t>
      </w:r>
      <w:r w:rsidR="00A80BB4" w:rsidRPr="005728DD">
        <w:t xml:space="preserve"> was limited to adverse event reporting</w:t>
      </w:r>
      <w:r w:rsidRPr="005728DD">
        <w:t xml:space="preserve">. The PBAC noted no </w:t>
      </w:r>
      <w:r w:rsidRPr="005728DD">
        <w:lastRenderedPageBreak/>
        <w:t>comparative evidence was presented for ELX/TEZ/IVA versus TEZ/IVA beyond 24 weeks. The PBAC noted no evidence was provided for ELX/TEZ/IVA regarding the rate of decline in ppFEV</w:t>
      </w:r>
      <w:r w:rsidRPr="005728DD">
        <w:rPr>
          <w:vertAlign w:val="subscript"/>
        </w:rPr>
        <w:t>1</w:t>
      </w:r>
      <w:r w:rsidRPr="005728DD">
        <w:t xml:space="preserve"> beyond 48 weeks.</w:t>
      </w:r>
      <w:r w:rsidR="008B5EF9" w:rsidRPr="005728DD">
        <w:t xml:space="preserve"> </w:t>
      </w:r>
    </w:p>
    <w:p w:rsidR="00C56B63" w:rsidRPr="005728DD" w:rsidRDefault="00C56B63" w:rsidP="00C56B63">
      <w:pPr>
        <w:pStyle w:val="3-BodyText"/>
      </w:pPr>
      <w:r w:rsidRPr="005728DD">
        <w:t xml:space="preserve">The PBAC considered the claim of non-inferior safety compared to TEZ/IVA was adequately supported for up to 24 weeks. The PBAC noted no data beyond 24 weeks was available for Study 109 but an additional 36 weeks of non-comparative safety data was available for Study 103 (a 4 week study). </w:t>
      </w:r>
    </w:p>
    <w:p w:rsidR="00C56B63" w:rsidRPr="005728DD" w:rsidDel="0039188C" w:rsidRDefault="00C56B63" w:rsidP="00C56B63">
      <w:pPr>
        <w:pStyle w:val="3-BodyText"/>
      </w:pPr>
      <w:r w:rsidRPr="005728DD" w:rsidDel="0039188C">
        <w:t>The PBAC noted no evidence was provided in patients with normal lung function (i.e., ppFEV</w:t>
      </w:r>
      <w:r w:rsidRPr="005728DD" w:rsidDel="0039188C">
        <w:rPr>
          <w:vertAlign w:val="subscript"/>
        </w:rPr>
        <w:t>1</w:t>
      </w:r>
      <w:r w:rsidRPr="005728DD" w:rsidDel="0039188C">
        <w:t xml:space="preserve">&gt;90%) and it was unknown if treatment with ELX/TEZ/IVA resulted in improved outcomes compared with TEZ/IVA in patients with normal lung function. </w:t>
      </w:r>
      <w:r w:rsidR="00DB031D" w:rsidRPr="005728DD">
        <w:t xml:space="preserve">The PBAC considered </w:t>
      </w:r>
      <w:r w:rsidR="00A80BB4" w:rsidRPr="005728DD">
        <w:t xml:space="preserve">exclusion of patients with normal lung function from the clinical trials was likely to overestimate the overall </w:t>
      </w:r>
      <w:r w:rsidR="00A22904" w:rsidRPr="005728DD">
        <w:t xml:space="preserve">comparative </w:t>
      </w:r>
      <w:r w:rsidR="00A80BB4" w:rsidRPr="005728DD">
        <w:t>treatment benefit</w:t>
      </w:r>
      <w:r w:rsidR="00A22904" w:rsidRPr="005728DD">
        <w:t xml:space="preserve"> for ELX/TEZ/IVA</w:t>
      </w:r>
      <w:r w:rsidR="00A80BB4" w:rsidRPr="005728DD">
        <w:t xml:space="preserve">. </w:t>
      </w:r>
      <w:r w:rsidRPr="005728DD" w:rsidDel="0039188C">
        <w:t xml:space="preserve">The PBAC noted that approximately 28% of all Australian CF patients and 52% of CF patients aged between 12 and 17 years have normal lung function. </w:t>
      </w:r>
      <w:r w:rsidRPr="005728DD">
        <w:t>Additionally, there was no data presented to support the comparative benefit in patients with ppFEV</w:t>
      </w:r>
      <w:r w:rsidRPr="005728DD">
        <w:rPr>
          <w:vertAlign w:val="subscript"/>
        </w:rPr>
        <w:t>1</w:t>
      </w:r>
      <w:r w:rsidRPr="005728DD">
        <w:t xml:space="preserve"> &lt;40.</w:t>
      </w:r>
    </w:p>
    <w:p w:rsidR="00C56B63" w:rsidRPr="005728DD" w:rsidRDefault="00C56B63" w:rsidP="00C56B63">
      <w:pPr>
        <w:pStyle w:val="3-BodyText"/>
      </w:pPr>
      <w:r w:rsidRPr="005728DD">
        <w:t>The PBAC noted a modelled economic evaluation was presented for the F/F population comparing TEZ/IVA with BSC and then ELX/TEZ/IVA with TEZ/IVA, and that the structure of the model was similar to that considered for previous CFTR modulator therapies</w:t>
      </w:r>
      <w:r w:rsidR="005728DD">
        <w:t xml:space="preserve">. </w:t>
      </w:r>
    </w:p>
    <w:p w:rsidR="00C56B63" w:rsidRPr="005728DD" w:rsidRDefault="00C56B63" w:rsidP="00FF6C23">
      <w:pPr>
        <w:pStyle w:val="3-BodyText"/>
      </w:pPr>
      <w:r w:rsidRPr="005728DD">
        <w:t xml:space="preserve">The PBAC considered </w:t>
      </w:r>
      <w:r w:rsidR="00522F2D" w:rsidRPr="005728DD">
        <w:t xml:space="preserve">the base case model presented in the submission should be revised to </w:t>
      </w:r>
      <w:r w:rsidR="00527868" w:rsidRPr="005728DD">
        <w:t xml:space="preserve">apply </w:t>
      </w:r>
      <w:r w:rsidR="00522F2D" w:rsidRPr="005728DD">
        <w:t xml:space="preserve">the </w:t>
      </w:r>
      <w:r w:rsidRPr="005728DD">
        <w:t>same model assumptions that were accepted for LUM/IVA (and resulted in a cost of $</w:t>
      </w:r>
      <w:r w:rsidR="00967E09">
        <w:rPr>
          <w:noProof/>
          <w:color w:val="000000"/>
          <w:highlight w:val="black"/>
        </w:rPr>
        <w:t>'''''''''''''</w:t>
      </w:r>
      <w:r w:rsidRPr="005728DD">
        <w:t xml:space="preserve"> per patient per year) to ELX/TEZ/IVA</w:t>
      </w:r>
      <w:r w:rsidR="00DB031D" w:rsidRPr="005728DD">
        <w:t xml:space="preserve"> (as outlined in para</w:t>
      </w:r>
      <w:r w:rsidR="00FF6C23" w:rsidRPr="005728DD">
        <w:t>graph</w:t>
      </w:r>
      <w:r w:rsidR="00DB031D" w:rsidRPr="005728DD">
        <w:t xml:space="preserve"> </w:t>
      </w:r>
      <w:r w:rsidR="00FF6C23" w:rsidRPr="007728CB">
        <w:t>6.6</w:t>
      </w:r>
      <w:r w:rsidR="007728CB" w:rsidRPr="007728CB">
        <w:t>2</w:t>
      </w:r>
      <w:r w:rsidRPr="005728DD">
        <w:t xml:space="preserve">, provided ELX/TEZ/IVA is subject to the same MAP </w:t>
      </w:r>
      <w:r w:rsidR="001B154B" w:rsidRPr="005728DD">
        <w:t>criteria</w:t>
      </w:r>
      <w:r w:rsidR="0072023F" w:rsidRPr="005728DD">
        <w:t xml:space="preserve"> as the current dual CFTR modulators</w:t>
      </w:r>
      <w:r w:rsidR="001B154B" w:rsidRPr="005728DD">
        <w:t xml:space="preserve"> and share</w:t>
      </w:r>
      <w:r w:rsidR="00DB4718" w:rsidRPr="005728DD">
        <w:t>s</w:t>
      </w:r>
      <w:r w:rsidR="001B154B" w:rsidRPr="005728DD">
        <w:t xml:space="preserve"> the same RSA</w:t>
      </w:r>
      <w:r w:rsidRPr="005728DD">
        <w:t>.</w:t>
      </w:r>
      <w:r w:rsidR="008B5EF9" w:rsidRPr="005728DD">
        <w:t xml:space="preserve"> </w:t>
      </w:r>
    </w:p>
    <w:p w:rsidR="00C56B63" w:rsidRPr="005728DD" w:rsidRDefault="00C56B63" w:rsidP="00A9794C">
      <w:pPr>
        <w:pStyle w:val="3-BodyText"/>
      </w:pPr>
      <w:r w:rsidRPr="005728DD">
        <w:t xml:space="preserve">The PBAC considered the cost-effectiveness of ELX/TEZ/IVA would be acceptable at an ICER of </w:t>
      </w:r>
      <w:r w:rsidR="00A9794C" w:rsidRPr="00A9794C">
        <w:t>$155,000 to &lt; $255,000</w:t>
      </w:r>
      <w:r w:rsidR="00A9794C">
        <w:t xml:space="preserve"> </w:t>
      </w:r>
      <w:r w:rsidRPr="005728DD">
        <w:t>per QALY and noted that it would be satisfied that this ICER is being met where:</w:t>
      </w:r>
    </w:p>
    <w:p w:rsidR="00C56B63" w:rsidRPr="005728DD" w:rsidRDefault="00C56B63" w:rsidP="00BA6CA0">
      <w:pPr>
        <w:pStyle w:val="3-BodyText"/>
        <w:numPr>
          <w:ilvl w:val="3"/>
          <w:numId w:val="1"/>
        </w:numPr>
        <w:ind w:left="993" w:hanging="284"/>
      </w:pPr>
      <w:r w:rsidRPr="005728DD">
        <w:t>The annual cost per patient requested by the sponsor in its pre-PBAC response of $</w:t>
      </w:r>
      <w:r w:rsidR="00967E09">
        <w:rPr>
          <w:noProof/>
          <w:color w:val="000000"/>
          <w:highlight w:val="black"/>
        </w:rPr>
        <w:t>''''''''''''''</w:t>
      </w:r>
      <w:r w:rsidRPr="005728DD">
        <w:t xml:space="preserve"> is implemented for the supply of ELX/TEZ/IVA for the F/F population for the first 24 weeks of PBS listing only, noting that within this timeframe in Study 109 </w:t>
      </w:r>
      <w:r w:rsidR="00A80BB4" w:rsidRPr="005728DD">
        <w:t>the improvement in ppFEV</w:t>
      </w:r>
      <w:r w:rsidR="00A80BB4" w:rsidRPr="005728DD">
        <w:rPr>
          <w:vertAlign w:val="subscript"/>
        </w:rPr>
        <w:t>1</w:t>
      </w:r>
      <w:r w:rsidR="00A80BB4" w:rsidRPr="005728DD">
        <w:t xml:space="preserve"> was clinically significant and </w:t>
      </w:r>
      <w:r w:rsidRPr="005728DD">
        <w:t xml:space="preserve">no decline in </w:t>
      </w:r>
      <w:r w:rsidR="00FF6C23" w:rsidRPr="005728DD">
        <w:t>pp</w:t>
      </w:r>
      <w:r w:rsidRPr="005728DD">
        <w:t>FEV</w:t>
      </w:r>
      <w:r w:rsidRPr="005728DD">
        <w:rPr>
          <w:vertAlign w:val="subscript"/>
        </w:rPr>
        <w:t>1</w:t>
      </w:r>
      <w:r w:rsidRPr="005728DD">
        <w:t xml:space="preserve"> was observed; and</w:t>
      </w:r>
    </w:p>
    <w:p w:rsidR="00C56B63" w:rsidRPr="007728CB" w:rsidRDefault="00A80BB4" w:rsidP="00BA6CA0">
      <w:pPr>
        <w:pStyle w:val="3-BodyText"/>
        <w:numPr>
          <w:ilvl w:val="3"/>
          <w:numId w:val="1"/>
        </w:numPr>
        <w:ind w:left="993" w:hanging="284"/>
      </w:pPr>
      <w:r w:rsidRPr="005728DD">
        <w:t xml:space="preserve">An </w:t>
      </w:r>
      <w:r w:rsidR="00C56B63" w:rsidRPr="005728DD">
        <w:t>annual cost per patient of $</w:t>
      </w:r>
      <w:r w:rsidR="00967E09">
        <w:rPr>
          <w:noProof/>
          <w:color w:val="000000"/>
          <w:highlight w:val="black"/>
        </w:rPr>
        <w:t>''''''''''''''</w:t>
      </w:r>
      <w:r w:rsidR="00C56B63" w:rsidRPr="005728DD">
        <w:t xml:space="preserve"> </w:t>
      </w:r>
      <w:r w:rsidRPr="005728DD">
        <w:t xml:space="preserve">is </w:t>
      </w:r>
      <w:r w:rsidR="00C56B63" w:rsidRPr="005728DD">
        <w:t xml:space="preserve">implemented </w:t>
      </w:r>
      <w:r w:rsidR="00C56B63" w:rsidRPr="007728CB">
        <w:t>for the supply of ELX/TEZ/IVA for the F/F population for a further 2 years of listing allowing for</w:t>
      </w:r>
      <w:r w:rsidRPr="007728CB">
        <w:t xml:space="preserve"> a</w:t>
      </w:r>
      <w:r w:rsidRPr="007728CB" w:rsidDel="00A80BB4">
        <w:t xml:space="preserve"> </w:t>
      </w:r>
      <w:r w:rsidR="003A506A" w:rsidRPr="007728CB">
        <w:t>decrease in rate of</w:t>
      </w:r>
      <w:r w:rsidR="008B5EF9" w:rsidRPr="007728CB">
        <w:t xml:space="preserve"> </w:t>
      </w:r>
      <w:r w:rsidR="00C56B63" w:rsidRPr="007728CB">
        <w:t xml:space="preserve">decline in </w:t>
      </w:r>
      <w:r w:rsidR="00FF6C23" w:rsidRPr="007728CB">
        <w:t>pp</w:t>
      </w:r>
      <w:r w:rsidR="00C56B63" w:rsidRPr="007728CB">
        <w:t>FEV</w:t>
      </w:r>
      <w:r w:rsidR="00C56B63" w:rsidRPr="007728CB">
        <w:rPr>
          <w:vertAlign w:val="subscript"/>
        </w:rPr>
        <w:t>1</w:t>
      </w:r>
      <w:r w:rsidR="008B5EF9" w:rsidRPr="007728CB">
        <w:t xml:space="preserve"> </w:t>
      </w:r>
      <w:r w:rsidRPr="007728CB">
        <w:t xml:space="preserve">of 61.5% </w:t>
      </w:r>
      <w:r w:rsidR="00FF6C23" w:rsidRPr="007728CB">
        <w:t>(paragraph 6.6</w:t>
      </w:r>
      <w:r w:rsidR="007728CB" w:rsidRPr="007728CB">
        <w:t>2</w:t>
      </w:r>
      <w:r w:rsidR="00FF6C23" w:rsidRPr="007728CB">
        <w:t>)</w:t>
      </w:r>
      <w:r w:rsidR="00C56B63" w:rsidRPr="007728CB">
        <w:t>; and</w:t>
      </w:r>
    </w:p>
    <w:p w:rsidR="00C56B63" w:rsidRPr="005728DD" w:rsidRDefault="00A80BB4" w:rsidP="00BA6CA0">
      <w:pPr>
        <w:pStyle w:val="3-BodyText"/>
        <w:numPr>
          <w:ilvl w:val="3"/>
          <w:numId w:val="1"/>
        </w:numPr>
        <w:ind w:left="993" w:hanging="284"/>
      </w:pPr>
      <w:r w:rsidRPr="007728CB">
        <w:t xml:space="preserve">An </w:t>
      </w:r>
      <w:r w:rsidR="00C56B63" w:rsidRPr="007728CB">
        <w:t>annual cost per patient of $</w:t>
      </w:r>
      <w:r w:rsidR="00967E09">
        <w:rPr>
          <w:noProof/>
          <w:color w:val="000000"/>
          <w:highlight w:val="black"/>
        </w:rPr>
        <w:t>''''''''''''</w:t>
      </w:r>
      <w:r w:rsidR="00C56B63" w:rsidRPr="007728CB">
        <w:t xml:space="preserve"> is implemented for the supply of ELX/TEZ/IVA for the F/F population for any supply beyond 2.5 years post listing on the PBS assuming </w:t>
      </w:r>
      <w:r w:rsidR="003A506A" w:rsidRPr="007728CB">
        <w:t>a decrease in rate of decline of</w:t>
      </w:r>
      <w:r w:rsidR="00C56B63" w:rsidRPr="007728CB">
        <w:t xml:space="preserve"> </w:t>
      </w:r>
      <w:r w:rsidR="003A506A" w:rsidRPr="007728CB">
        <w:t>ppFEV</w:t>
      </w:r>
      <w:r w:rsidR="003A506A" w:rsidRPr="007728CB">
        <w:rPr>
          <w:vertAlign w:val="subscript"/>
        </w:rPr>
        <w:t>1</w:t>
      </w:r>
      <w:r w:rsidR="00C56B63" w:rsidRPr="007728CB">
        <w:t xml:space="preserve"> </w:t>
      </w:r>
      <w:r w:rsidR="00AF3977" w:rsidRPr="007728CB">
        <w:t xml:space="preserve">of 42% </w:t>
      </w:r>
      <w:r w:rsidR="00FF6C23" w:rsidRPr="007728CB">
        <w:t>(paragraph 6.6</w:t>
      </w:r>
      <w:r w:rsidR="007728CB" w:rsidRPr="007728CB">
        <w:t>2</w:t>
      </w:r>
      <w:r w:rsidR="00FF6C23" w:rsidRPr="005728DD">
        <w:t>)</w:t>
      </w:r>
      <w:r w:rsidR="00C56B63" w:rsidRPr="005728DD">
        <w:t>.</w:t>
      </w:r>
    </w:p>
    <w:p w:rsidR="002F3185" w:rsidRPr="005728DD" w:rsidRDefault="002F3185" w:rsidP="002F3185">
      <w:pPr>
        <w:pStyle w:val="3-BodyText"/>
      </w:pPr>
      <w:r w:rsidRPr="005728DD">
        <w:lastRenderedPageBreak/>
        <w:t>The PBAC noted a key uncertainty with the economic model is the rate of decline in ppFEV</w:t>
      </w:r>
      <w:r w:rsidRPr="005728DD">
        <w:rPr>
          <w:vertAlign w:val="subscript"/>
        </w:rPr>
        <w:t xml:space="preserve">1 </w:t>
      </w:r>
      <w:r w:rsidRPr="005728DD">
        <w:t xml:space="preserve">over the long term </w:t>
      </w:r>
      <w:r w:rsidR="00A826D7" w:rsidRPr="005728DD">
        <w:t xml:space="preserve">with ELX/TEZ/IVA </w:t>
      </w:r>
      <w:r w:rsidRPr="005728DD">
        <w:t>and considered the uncertainty associated with the use of a 61.5% and a 42% rate of decline in ppFEV</w:t>
      </w:r>
      <w:r w:rsidRPr="005728DD">
        <w:rPr>
          <w:vertAlign w:val="subscript"/>
        </w:rPr>
        <w:t>1</w:t>
      </w:r>
      <w:r w:rsidRPr="005728DD">
        <w:t xml:space="preserve"> could be addressed by provision of additional data, similar to what is currently in place for the </w:t>
      </w:r>
      <w:r w:rsidR="002377D6">
        <w:t xml:space="preserve">MAP for the </w:t>
      </w:r>
      <w:r w:rsidRPr="005728DD">
        <w:t xml:space="preserve">dual CFTR modulator therapies (LUM/IVA and TEZ/IVA). </w:t>
      </w:r>
    </w:p>
    <w:p w:rsidR="002F3185" w:rsidRPr="005728DD" w:rsidRDefault="002F3185" w:rsidP="002F3185">
      <w:pPr>
        <w:pStyle w:val="3-BodyText"/>
      </w:pPr>
      <w:r w:rsidRPr="005728DD">
        <w:t>The PBAC noted the current RSA for TEZ/IVA is designed to achieve a maximum cost per patient per year of $</w:t>
      </w:r>
      <w:r w:rsidR="00967E09">
        <w:rPr>
          <w:noProof/>
          <w:color w:val="000000"/>
          <w:highlight w:val="black"/>
        </w:rPr>
        <w:t>''''''''''''''</w:t>
      </w:r>
      <w:r w:rsidRPr="005728DD">
        <w:t xml:space="preserve"> but this is subject to the outcome of the MAP for LUM/IVA and TEZ/IVA and may reduce to as low as $</w:t>
      </w:r>
      <w:r w:rsidR="00967E09">
        <w:rPr>
          <w:noProof/>
          <w:color w:val="000000"/>
          <w:highlight w:val="black"/>
        </w:rPr>
        <w:t>''''''''''''</w:t>
      </w:r>
      <w:r w:rsidRPr="005728DD">
        <w:t xml:space="preserve">. The PBAC considered it is appropriate for any reduction in the cost per patient per year of TEZ/IVA as a result of the MAP </w:t>
      </w:r>
      <w:r w:rsidR="00185AF2">
        <w:t>should</w:t>
      </w:r>
      <w:r w:rsidRPr="005728DD">
        <w:t xml:space="preserve"> flow to ELX/TEZ/IVA</w:t>
      </w:r>
      <w:r w:rsidR="00DB4718" w:rsidRPr="005728DD">
        <w:t xml:space="preserve"> such that there is no increase in the ICER</w:t>
      </w:r>
      <w:r w:rsidRPr="005728DD">
        <w:t>.</w:t>
      </w:r>
      <w:r w:rsidR="008B5EF9" w:rsidRPr="005728DD">
        <w:t xml:space="preserve"> </w:t>
      </w:r>
    </w:p>
    <w:p w:rsidR="00C56B63" w:rsidRPr="005728DD" w:rsidRDefault="00C56B63" w:rsidP="00C56B63">
      <w:pPr>
        <w:pStyle w:val="3-BodyText"/>
      </w:pPr>
      <w:r w:rsidRPr="005728DD">
        <w:t xml:space="preserve">The PBAC considered the RSA in place for LUM/IVA and TEZ/IVA adequately accounts for the eligible patient population and no increase in patient numbers would be justified for the F/F population. The PBAC noted that the </w:t>
      </w:r>
      <w:r w:rsidR="00522F2D" w:rsidRPr="005728DD">
        <w:t xml:space="preserve">expenditure caps </w:t>
      </w:r>
      <w:r w:rsidRPr="005728DD">
        <w:t>in place for LUM/IVA and TEZ/IVA would</w:t>
      </w:r>
      <w:r w:rsidR="00522F2D" w:rsidRPr="005728DD">
        <w:t xml:space="preserve"> need to</w:t>
      </w:r>
      <w:r w:rsidRPr="005728DD">
        <w:t xml:space="preserve"> increase </w:t>
      </w:r>
      <w:r w:rsidR="00522F2D" w:rsidRPr="005728DD">
        <w:t xml:space="preserve">to account for any additional cost </w:t>
      </w:r>
      <w:r w:rsidR="00162C15" w:rsidRPr="005728DD">
        <w:t xml:space="preserve">per patient per year </w:t>
      </w:r>
      <w:r w:rsidR="00522F2D" w:rsidRPr="005728DD">
        <w:t>for patients treated with ELX/TEZ/IVA</w:t>
      </w:r>
      <w:r w:rsidRPr="005728DD">
        <w:t>.</w:t>
      </w:r>
    </w:p>
    <w:p w:rsidR="00C56B63" w:rsidRPr="00185AF2" w:rsidRDefault="00C56B63" w:rsidP="00C56B63">
      <w:pPr>
        <w:pStyle w:val="3-BodyText"/>
        <w:numPr>
          <w:ilvl w:val="0"/>
          <w:numId w:val="0"/>
        </w:numPr>
        <w:rPr>
          <w:b/>
        </w:rPr>
      </w:pPr>
      <w:r w:rsidRPr="00185AF2">
        <w:rPr>
          <w:b/>
        </w:rPr>
        <w:t>Patients who are heterozygous for F508del in the CFTR gene with a residual function mutation (F/RF population).</w:t>
      </w:r>
    </w:p>
    <w:p w:rsidR="00C56B63" w:rsidRPr="005728DD" w:rsidRDefault="00C56B63" w:rsidP="00C56B63">
      <w:pPr>
        <w:pStyle w:val="3-BodyText"/>
      </w:pPr>
      <w:r w:rsidRPr="005728DD">
        <w:t xml:space="preserve">The PBAC </w:t>
      </w:r>
      <w:r w:rsidR="00522F2D" w:rsidRPr="005728DD">
        <w:t xml:space="preserve">considered the nominated main comparator of </w:t>
      </w:r>
      <w:r w:rsidRPr="005728DD">
        <w:t xml:space="preserve">TEZ/IVA was </w:t>
      </w:r>
      <w:r w:rsidR="00522F2D" w:rsidRPr="005728DD">
        <w:t xml:space="preserve">reasonable </w:t>
      </w:r>
      <w:r w:rsidRPr="005728DD">
        <w:t xml:space="preserve">in this population. </w:t>
      </w:r>
    </w:p>
    <w:p w:rsidR="00C56B63" w:rsidRPr="005728DD" w:rsidRDefault="00C56B63" w:rsidP="00C56B63">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(2.0%) was less than the 10% MCID, and that there was no evidence presented for BMI and </w:t>
      </w:r>
      <w:r w:rsidR="00A80BB4" w:rsidRPr="005728DD">
        <w:t>evidence for the PEx outcome was limited to adverse event reporting</w:t>
      </w:r>
      <w:r w:rsidRPr="005728DD">
        <w:t xml:space="preserve">. The PBAC considered the claim of superior effectiveness compared to TEZ/IVA was not adequately supported but a claim of non-inferiority was reasonable. </w:t>
      </w:r>
    </w:p>
    <w:p w:rsidR="00C56B63" w:rsidRPr="005728DD" w:rsidRDefault="00C56B63" w:rsidP="00C56B63">
      <w:pPr>
        <w:pStyle w:val="3-BodyText"/>
      </w:pPr>
      <w:r w:rsidRPr="005728DD">
        <w:t>The PBAC considered the claim of non-inferior safety compared to TEZ/IVA was adequately supported for up to 8 weeks and further supported by the comparative data to 24 weeks provided for the F/F population.</w:t>
      </w:r>
      <w:r w:rsidR="008B5EF9" w:rsidRPr="005728DD">
        <w:t xml:space="preserve"> </w:t>
      </w:r>
    </w:p>
    <w:p w:rsidR="00C56B63" w:rsidRPr="005728DD" w:rsidRDefault="00C56B63" w:rsidP="00C56B63">
      <w:pPr>
        <w:pStyle w:val="3-BodyText"/>
      </w:pPr>
      <w:r w:rsidRPr="005728DD">
        <w:t>The PBAC considered ELX/TEZ/IVA would be of acceptable cost-effectiveness if it was cost-minimised to TEZ/IVA for the F/RF population. The PBAC considered that</w:t>
      </w:r>
      <w:r w:rsidR="00AF3977" w:rsidRPr="005728DD">
        <w:t>, based on the data presented,</w:t>
      </w:r>
      <w:r w:rsidRPr="005728DD">
        <w:t xml:space="preserve"> it could not determine that ELX/TEZ/IVA provided any improved efficacy or safety over the comparator TEZ/IVA for the F/RF population. The PBAC noted that any reduction to the TEZ/IVA price, including through the outcome of the MAP, should be flowed on to ELX/TEZ/IVA.</w:t>
      </w:r>
    </w:p>
    <w:p w:rsidR="00C56B63" w:rsidRPr="005728DD" w:rsidRDefault="00C56B63" w:rsidP="00C56B63">
      <w:pPr>
        <w:pStyle w:val="3-BodyText"/>
      </w:pPr>
      <w:r w:rsidRPr="005728DD">
        <w:t xml:space="preserve">The PBAC considered the equi-effective doses were elexacaftor 200 mg once daily/ tezacaftor 100 mg once daily/ ivacaftor 150 mg every 12 hours and tezacaftor 100 mg once daily/ ivacaftor 150 mg every 12 hours. </w:t>
      </w:r>
    </w:p>
    <w:p w:rsidR="00C56B63" w:rsidRPr="005728DD" w:rsidRDefault="00C56B63" w:rsidP="00C56B63">
      <w:pPr>
        <w:pStyle w:val="3-BodyText"/>
      </w:pPr>
      <w:r w:rsidRPr="005728DD">
        <w:t xml:space="preserve">The PBAC considered the current RSA arrangement in place for LUM/IVA and TEZ/IVA adequately accounts for the eligible patient population and no increase in patient </w:t>
      </w:r>
      <w:r w:rsidRPr="005728DD">
        <w:lastRenderedPageBreak/>
        <w:t xml:space="preserve">numbers would be justified for the F/RF population. The PBAC noted that the </w:t>
      </w:r>
      <w:r w:rsidR="0087455D" w:rsidRPr="005728DD">
        <w:t xml:space="preserve">expenditure caps </w:t>
      </w:r>
      <w:r w:rsidRPr="005728DD">
        <w:t xml:space="preserve">in place for LUM/IVA and TEZ/IVA would </w:t>
      </w:r>
      <w:r w:rsidR="0087455D" w:rsidRPr="005728DD">
        <w:t xml:space="preserve">need to increase to account for the additional cost </w:t>
      </w:r>
      <w:r w:rsidR="00162C15" w:rsidRPr="005728DD">
        <w:t xml:space="preserve">per patient per year </w:t>
      </w:r>
      <w:r w:rsidR="0087455D" w:rsidRPr="005728DD">
        <w:t>for patients treated with ELX/TEZ/IVA</w:t>
      </w:r>
      <w:r w:rsidR="008E1DDF" w:rsidRPr="005728DD">
        <w:t>, driven by the weighted average price across the F/any population</w:t>
      </w:r>
      <w:r w:rsidRPr="005728DD">
        <w:t>.</w:t>
      </w:r>
    </w:p>
    <w:p w:rsidR="00C56B63" w:rsidRPr="00185AF2" w:rsidRDefault="00C56B63" w:rsidP="00C56B63">
      <w:pPr>
        <w:pStyle w:val="3-BodyText"/>
        <w:numPr>
          <w:ilvl w:val="0"/>
          <w:numId w:val="0"/>
        </w:numPr>
        <w:rPr>
          <w:b/>
        </w:rPr>
      </w:pPr>
      <w:r w:rsidRPr="00185AF2">
        <w:rPr>
          <w:b/>
        </w:rPr>
        <w:t>Patients who are heterozygous for F508del in the CFTR gene with a minimal function mutation (F/MF population).</w:t>
      </w:r>
    </w:p>
    <w:p w:rsidR="0087455D" w:rsidRPr="005728DD" w:rsidRDefault="0087455D" w:rsidP="0087455D">
      <w:pPr>
        <w:pStyle w:val="3-BodyText"/>
      </w:pPr>
      <w:r w:rsidRPr="005728DD">
        <w:t>The PBAC considered the nominated main comparator of BSC was reasonable in this population.</w:t>
      </w:r>
    </w:p>
    <w:p w:rsidR="00C56B63" w:rsidRPr="005728DD" w:rsidRDefault="00C56B63" w:rsidP="00C56B63">
      <w:pPr>
        <w:pStyle w:val="3-BodyText"/>
      </w:pPr>
      <w:r w:rsidRPr="005728DD">
        <w:t>The PBAC was satisfied that ELX/TEZ/IVA provides, for some patients, a significant improvement in efficacy over BSC.</w:t>
      </w:r>
      <w:r w:rsidR="008B5EF9" w:rsidRPr="005728DD">
        <w:t xml:space="preserve"> </w:t>
      </w:r>
    </w:p>
    <w:p w:rsidR="00C56B63" w:rsidRPr="005728DD" w:rsidRDefault="00C56B63" w:rsidP="00C56B63">
      <w:pPr>
        <w:pStyle w:val="3-BodyText"/>
      </w:pPr>
      <w:r w:rsidRPr="005728DD">
        <w:t>The PBAC considered the evidence presented indicated a significant improvement in all key outcomes including ppFEV</w:t>
      </w:r>
      <w:r w:rsidRPr="005728DD">
        <w:rPr>
          <w:vertAlign w:val="subscript"/>
        </w:rPr>
        <w:t>1</w:t>
      </w:r>
      <w:r w:rsidRPr="005728DD">
        <w:t>, CFQ-R Respiratory Domain score, sweat chloride, BMI, and PEx at 24 weeks versus BSC. The PBAC noted the improvement in ppFEV</w:t>
      </w:r>
      <w:r w:rsidRPr="005728DD">
        <w:rPr>
          <w:vertAlign w:val="subscript"/>
        </w:rPr>
        <w:t>1</w:t>
      </w:r>
      <w:r w:rsidRPr="005728DD">
        <w:t xml:space="preserve"> was greater than the MCID of 10% at 24 weeks (14.3%).</w:t>
      </w:r>
    </w:p>
    <w:p w:rsidR="00C56B63" w:rsidRPr="005728DD" w:rsidRDefault="00C56B63" w:rsidP="00C56B63">
      <w:pPr>
        <w:pStyle w:val="3-BodyText"/>
      </w:pPr>
      <w:r w:rsidRPr="005728DD">
        <w:t xml:space="preserve">The PBAC considered the claim of non-inferior safety compared to BSC was adequately supported for up to 24 weeks. The PBAC noted an additional 24 weeks of non-comparative safety data was available. </w:t>
      </w:r>
    </w:p>
    <w:p w:rsidR="00C56B63" w:rsidRPr="005728DD" w:rsidRDefault="00C56B63" w:rsidP="00C56B63">
      <w:pPr>
        <w:pStyle w:val="3-BodyText"/>
      </w:pPr>
      <w:r w:rsidRPr="005728DD">
        <w:t>The PBAC noted a modelled economic evaluation was presented for the F/MF population comparing ELX/TEZ/IVA with BSC, and that the structure of the model was similar to that considered by the PBAC for previous CFTR directed therapies.</w:t>
      </w:r>
    </w:p>
    <w:p w:rsidR="00C56B63" w:rsidRPr="005728DD" w:rsidRDefault="0087455D" w:rsidP="0087455D">
      <w:pPr>
        <w:pStyle w:val="3-BodyText"/>
      </w:pPr>
      <w:r w:rsidRPr="005728DD">
        <w:t>The PBAC considered the base case model presented in the submission should be revised to include the same model assumptions that were accepted for LUM/IVA (</w:t>
      </w:r>
      <w:r w:rsidR="003A506A" w:rsidRPr="005728DD">
        <w:t xml:space="preserve">as outlined in paragraph </w:t>
      </w:r>
      <w:r w:rsidR="003A506A" w:rsidRPr="007728CB">
        <w:t>6.6</w:t>
      </w:r>
      <w:r w:rsidR="007728CB" w:rsidRPr="007728CB">
        <w:t>2</w:t>
      </w:r>
      <w:r w:rsidR="003A506A" w:rsidRPr="007728CB">
        <w:t>),</w:t>
      </w:r>
      <w:r w:rsidR="003A506A" w:rsidRPr="005728DD">
        <w:t xml:space="preserve"> provided ELX/TEZ/IVA is subject to </w:t>
      </w:r>
      <w:r w:rsidR="00AF3977" w:rsidRPr="005728DD">
        <w:t xml:space="preserve">similar </w:t>
      </w:r>
      <w:r w:rsidR="003A506A" w:rsidRPr="005728DD">
        <w:t>MAP criteria</w:t>
      </w:r>
      <w:r w:rsidR="001B154B" w:rsidRPr="005728DD">
        <w:t xml:space="preserve"> and RSA</w:t>
      </w:r>
      <w:r w:rsidR="003A506A" w:rsidRPr="005728DD">
        <w:t xml:space="preserve">. </w:t>
      </w:r>
    </w:p>
    <w:p w:rsidR="00C56B63" w:rsidRPr="005728DD" w:rsidRDefault="00C56B63" w:rsidP="00A9794C">
      <w:pPr>
        <w:pStyle w:val="3-BodyText"/>
      </w:pPr>
      <w:r w:rsidRPr="005728DD">
        <w:t xml:space="preserve">The PBAC considered the cost-effectiveness of ELX/TEZ/IVA would be acceptable at an ICER of </w:t>
      </w:r>
      <w:r w:rsidR="00A9794C" w:rsidRPr="00A9794C">
        <w:t>$155,000 to &lt; $255,000</w:t>
      </w:r>
      <w:r w:rsidR="00A9794C">
        <w:t xml:space="preserve"> </w:t>
      </w:r>
      <w:r w:rsidRPr="005728DD">
        <w:t>per QALY and noted that it would be satisfied that this ICER is being met where:</w:t>
      </w:r>
    </w:p>
    <w:p w:rsidR="00C56B63" w:rsidRPr="005728DD" w:rsidRDefault="00C56B63" w:rsidP="00BA6CA0">
      <w:pPr>
        <w:pStyle w:val="3-BodyText"/>
        <w:numPr>
          <w:ilvl w:val="3"/>
          <w:numId w:val="1"/>
        </w:numPr>
        <w:ind w:left="993" w:hanging="284"/>
      </w:pPr>
      <w:r w:rsidRPr="005728DD">
        <w:t>The annual cost per patient requested by the sponsor in its pre-PBAC response of $</w:t>
      </w:r>
      <w:r w:rsidR="00967E09">
        <w:rPr>
          <w:noProof/>
          <w:color w:val="000000"/>
          <w:highlight w:val="black"/>
        </w:rPr>
        <w:t>'''''''''''''''''</w:t>
      </w:r>
      <w:r w:rsidRPr="005728DD">
        <w:t xml:space="preserve"> is implemented for the supply of ELX/TEZ/IVA for the F/MF population for the first 24 weeks of PBS listing only, noting that within this timeframe </w:t>
      </w:r>
      <w:r w:rsidR="00AF3977" w:rsidRPr="005728DD">
        <w:t>the improvement in ppFEV</w:t>
      </w:r>
      <w:r w:rsidR="00AF3977" w:rsidRPr="005728DD">
        <w:rPr>
          <w:vertAlign w:val="subscript"/>
        </w:rPr>
        <w:t>1</w:t>
      </w:r>
      <w:r w:rsidR="00AF3977" w:rsidRPr="005728DD">
        <w:t xml:space="preserve"> was clinically significant and </w:t>
      </w:r>
      <w:r w:rsidRPr="005728DD">
        <w:t xml:space="preserve">no decline in </w:t>
      </w:r>
      <w:r w:rsidR="003A506A" w:rsidRPr="005728DD">
        <w:t>pp</w:t>
      </w:r>
      <w:r w:rsidRPr="005728DD">
        <w:t>FEV</w:t>
      </w:r>
      <w:r w:rsidRPr="005728DD">
        <w:rPr>
          <w:vertAlign w:val="subscript"/>
        </w:rPr>
        <w:t>1</w:t>
      </w:r>
      <w:r w:rsidRPr="005728DD">
        <w:t xml:space="preserve"> was observed; and</w:t>
      </w:r>
    </w:p>
    <w:p w:rsidR="00C56B63" w:rsidRPr="005728DD" w:rsidRDefault="00AF3977" w:rsidP="00BA6CA0">
      <w:pPr>
        <w:pStyle w:val="3-BodyText"/>
        <w:numPr>
          <w:ilvl w:val="3"/>
          <w:numId w:val="1"/>
        </w:numPr>
        <w:ind w:left="993" w:hanging="284"/>
      </w:pPr>
      <w:r w:rsidRPr="005728DD">
        <w:t xml:space="preserve">An </w:t>
      </w:r>
      <w:r w:rsidR="00C56B63" w:rsidRPr="005728DD">
        <w:t>annual cost per patient of $</w:t>
      </w:r>
      <w:r w:rsidR="00967E09">
        <w:rPr>
          <w:noProof/>
          <w:color w:val="000000"/>
          <w:highlight w:val="black"/>
        </w:rPr>
        <w:t>''''''''''''''''</w:t>
      </w:r>
      <w:r w:rsidR="00C56B63" w:rsidRPr="005728DD">
        <w:t xml:space="preserve"> </w:t>
      </w:r>
      <w:r w:rsidRPr="005728DD">
        <w:t xml:space="preserve">is </w:t>
      </w:r>
      <w:r w:rsidR="00C56B63" w:rsidRPr="005728DD">
        <w:t xml:space="preserve">implemented for the supply of ELX/TEZ/IVA for the F/MF population for a further 2 years of listing, </w:t>
      </w:r>
      <w:r w:rsidR="001040A7" w:rsidRPr="005728DD">
        <w:t xml:space="preserve">assuming a </w:t>
      </w:r>
      <w:r w:rsidR="003A506A" w:rsidRPr="005728DD">
        <w:t>decrease in rate of decline in ppFEV</w:t>
      </w:r>
      <w:r w:rsidR="003A506A" w:rsidRPr="005728DD">
        <w:rPr>
          <w:vertAlign w:val="subscript"/>
        </w:rPr>
        <w:t>1</w:t>
      </w:r>
      <w:r w:rsidR="003A506A" w:rsidRPr="005728DD">
        <w:t xml:space="preserve"> </w:t>
      </w:r>
      <w:r w:rsidRPr="005728DD">
        <w:t xml:space="preserve">of 61.5% </w:t>
      </w:r>
      <w:r w:rsidR="003A506A" w:rsidRPr="005728DD">
        <w:t>(</w:t>
      </w:r>
      <w:r w:rsidR="003A506A" w:rsidRPr="007728CB">
        <w:t>paragraph 6.6</w:t>
      </w:r>
      <w:r w:rsidR="007728CB" w:rsidRPr="007728CB">
        <w:t>2</w:t>
      </w:r>
      <w:r w:rsidR="003A506A" w:rsidRPr="007728CB">
        <w:t>); and</w:t>
      </w:r>
      <w:r w:rsidR="003A506A" w:rsidRPr="005728DD">
        <w:t xml:space="preserve"> </w:t>
      </w:r>
    </w:p>
    <w:p w:rsidR="00C56B63" w:rsidRPr="005728DD" w:rsidRDefault="00AF3977" w:rsidP="00BA6CA0">
      <w:pPr>
        <w:pStyle w:val="3-BodyText"/>
        <w:numPr>
          <w:ilvl w:val="3"/>
          <w:numId w:val="1"/>
        </w:numPr>
        <w:ind w:left="993" w:hanging="284"/>
      </w:pPr>
      <w:r w:rsidRPr="005728DD">
        <w:t>An</w:t>
      </w:r>
      <w:r w:rsidR="00C56B63" w:rsidRPr="005728DD">
        <w:t xml:space="preserve"> annual cost per patient of $</w:t>
      </w:r>
      <w:r w:rsidR="00967E09">
        <w:rPr>
          <w:noProof/>
          <w:color w:val="000000"/>
          <w:highlight w:val="black"/>
        </w:rPr>
        <w:t>''''''''''''</w:t>
      </w:r>
      <w:r w:rsidR="00C56B63" w:rsidRPr="005728DD">
        <w:t xml:space="preserve"> is implemented for the supply of ELX/TEZ/IVA for the F/</w:t>
      </w:r>
      <w:r w:rsidRPr="005728DD">
        <w:t>MF</w:t>
      </w:r>
      <w:r w:rsidR="00C56B63" w:rsidRPr="005728DD">
        <w:t xml:space="preserve"> population for any supply beyond 2.5 years post listing</w:t>
      </w:r>
      <w:r w:rsidR="003A506A" w:rsidRPr="005728DD">
        <w:t xml:space="preserve"> on the PBS, assuming a decrease in rate of decline in ppFEV1</w:t>
      </w:r>
      <w:r w:rsidRPr="005728DD">
        <w:t xml:space="preserve"> of 42% (paragraph </w:t>
      </w:r>
      <w:r w:rsidRPr="007728CB">
        <w:t>6.6</w:t>
      </w:r>
      <w:r w:rsidR="007728CB" w:rsidRPr="007728CB">
        <w:t>2</w:t>
      </w:r>
      <w:r w:rsidRPr="007728CB">
        <w:t>)</w:t>
      </w:r>
      <w:r w:rsidR="00C56B63" w:rsidRPr="007728CB">
        <w:t>.</w:t>
      </w:r>
    </w:p>
    <w:p w:rsidR="002F3185" w:rsidRPr="005728DD" w:rsidRDefault="002F3185" w:rsidP="00C56B63">
      <w:pPr>
        <w:pStyle w:val="3-BodyText"/>
      </w:pPr>
      <w:r w:rsidRPr="005728DD">
        <w:lastRenderedPageBreak/>
        <w:t>The PBAC noted a key uncertainty with the economic model is the rate of decline in ppFEV</w:t>
      </w:r>
      <w:r w:rsidRPr="005728DD">
        <w:rPr>
          <w:vertAlign w:val="subscript"/>
        </w:rPr>
        <w:t xml:space="preserve">1 </w:t>
      </w:r>
      <w:r w:rsidRPr="005728DD">
        <w:t>over the long term</w:t>
      </w:r>
      <w:r w:rsidR="00A826D7" w:rsidRPr="005728DD">
        <w:t xml:space="preserve"> with ELX/TEZ/IVA</w:t>
      </w:r>
      <w:r w:rsidRPr="005728DD">
        <w:t>, and considered the uncertainty associated with the use of a 61.5% and a 42% rate of decline in ppFEV</w:t>
      </w:r>
      <w:r w:rsidRPr="005728DD">
        <w:rPr>
          <w:vertAlign w:val="subscript"/>
        </w:rPr>
        <w:t>1</w:t>
      </w:r>
      <w:r w:rsidRPr="005728DD">
        <w:t xml:space="preserve"> could be addressed by provision of additional data through a MAP, similar to what is currently in place for the dual CFTR modulator therapies (LUM/IVA and TEZ/IVA). </w:t>
      </w:r>
    </w:p>
    <w:p w:rsidR="00C56B63" w:rsidRPr="005728DD" w:rsidRDefault="00C56B63" w:rsidP="00C56B63">
      <w:pPr>
        <w:pStyle w:val="3-BodyText"/>
      </w:pPr>
      <w:r w:rsidRPr="005728DD">
        <w:t xml:space="preserve">The PBAC noted that the </w:t>
      </w:r>
      <w:r w:rsidR="0087455D" w:rsidRPr="005728DD">
        <w:t xml:space="preserve">expenditure caps </w:t>
      </w:r>
      <w:r w:rsidRPr="005728DD">
        <w:t>in place for LUM/IVA and TEZ/IVA would need to increase</w:t>
      </w:r>
      <w:r w:rsidR="00312F11" w:rsidRPr="005728DD">
        <w:t xml:space="preserve"> to account for the cost of treating this</w:t>
      </w:r>
      <w:r w:rsidRPr="005728DD">
        <w:t xml:space="preserve"> additional, currently untreated patient population</w:t>
      </w:r>
      <w:r w:rsidR="0087455D" w:rsidRPr="005728DD">
        <w:t>.</w:t>
      </w:r>
      <w:r w:rsidRPr="005728DD">
        <w:t xml:space="preserve"> The PBAC </w:t>
      </w:r>
      <w:r w:rsidR="00312F11" w:rsidRPr="005728DD">
        <w:t xml:space="preserve">considered </w:t>
      </w:r>
      <w:r w:rsidR="0087455D" w:rsidRPr="005728DD">
        <w:t xml:space="preserve">the number of </w:t>
      </w:r>
      <w:r w:rsidR="00312F11" w:rsidRPr="005728DD">
        <w:t xml:space="preserve">F/MF </w:t>
      </w:r>
      <w:r w:rsidR="0087455D" w:rsidRPr="005728DD">
        <w:t>patients</w:t>
      </w:r>
      <w:r w:rsidR="00312F11" w:rsidRPr="005728DD">
        <w:t xml:space="preserve"> likely to be treated with ELX/TEZ/IVA presented in </w:t>
      </w:r>
      <w:r w:rsidR="00312F11" w:rsidRPr="007728CB">
        <w:t>paragraph 6.</w:t>
      </w:r>
      <w:r w:rsidR="006770EA" w:rsidRPr="007728CB">
        <w:t>7</w:t>
      </w:r>
      <w:r w:rsidR="007728CB" w:rsidRPr="007728CB">
        <w:t>4</w:t>
      </w:r>
      <w:r w:rsidR="006770EA" w:rsidRPr="007728CB">
        <w:t xml:space="preserve"> </w:t>
      </w:r>
      <w:r w:rsidR="001B154B" w:rsidRPr="007728CB">
        <w:t>and Table 28</w:t>
      </w:r>
      <w:r w:rsidR="00312F11" w:rsidRPr="005728DD">
        <w:t xml:space="preserve"> was reasonable</w:t>
      </w:r>
      <w:r w:rsidR="005728DD">
        <w:t xml:space="preserve">. </w:t>
      </w:r>
    </w:p>
    <w:p w:rsidR="00C56B63" w:rsidRPr="001B2F26" w:rsidRDefault="00C56B63" w:rsidP="00C56B63">
      <w:pPr>
        <w:pStyle w:val="3-BodyText"/>
        <w:numPr>
          <w:ilvl w:val="0"/>
          <w:numId w:val="0"/>
        </w:numPr>
        <w:rPr>
          <w:b/>
        </w:rPr>
      </w:pPr>
      <w:r w:rsidRPr="001B2F26">
        <w:rPr>
          <w:b/>
        </w:rPr>
        <w:t>Patients who are heterozygous for F508del in the CFTR gene with a gating mutation (F/G population).</w:t>
      </w:r>
    </w:p>
    <w:p w:rsidR="00C56B63" w:rsidRPr="005728DD" w:rsidRDefault="00312F11" w:rsidP="00312F11">
      <w:pPr>
        <w:pStyle w:val="3-BodyText"/>
      </w:pPr>
      <w:r w:rsidRPr="005728DD">
        <w:t xml:space="preserve">The PBAC considered the nominated main comparator of IVA was reasonable in this population. </w:t>
      </w:r>
    </w:p>
    <w:p w:rsidR="00C56B63" w:rsidRPr="005728DD" w:rsidRDefault="00C56B63" w:rsidP="00C56B63">
      <w:pPr>
        <w:pStyle w:val="3-BodyText"/>
      </w:pPr>
      <w:r w:rsidRPr="005728DD">
        <w:t>The PBAC noted the evidence presented for outcomes of ppFEV</w:t>
      </w:r>
      <w:r w:rsidRPr="005728DD">
        <w:rPr>
          <w:vertAlign w:val="subscript"/>
        </w:rPr>
        <w:t>1</w:t>
      </w:r>
      <w:r w:rsidRPr="005728DD">
        <w:t>, CFQ-R Respiratory Domain score and sweat chloride were based on a short duration of treatment (8 weeks). The PBAC noted the improvement in ppFEV</w:t>
      </w:r>
      <w:r w:rsidRPr="005728DD">
        <w:rPr>
          <w:vertAlign w:val="subscript"/>
        </w:rPr>
        <w:t>1</w:t>
      </w:r>
      <w:r w:rsidRPr="005728DD">
        <w:t xml:space="preserve"> (5.8%) was less than the 10% MCID and that there was no evidence presented for BMI and </w:t>
      </w:r>
      <w:r w:rsidR="00AF3977" w:rsidRPr="005728DD">
        <w:t>evidence for the PEx outcome was limited to adverse event reporting</w:t>
      </w:r>
      <w:r w:rsidRPr="005728DD">
        <w:t>. The PBAC considered the claim of superior effectiveness compared to IVA was not adequately supported but a claim of non-inferiority was reasonable.</w:t>
      </w:r>
      <w:r w:rsidR="002F3185" w:rsidRPr="005728DD">
        <w:t xml:space="preserve"> </w:t>
      </w:r>
    </w:p>
    <w:p w:rsidR="00C56B63" w:rsidRPr="005728DD" w:rsidRDefault="00C56B63" w:rsidP="007B2D9E">
      <w:pPr>
        <w:pStyle w:val="3-BodyText"/>
      </w:pPr>
      <w:r w:rsidRPr="005728DD">
        <w:t xml:space="preserve">The PBAC </w:t>
      </w:r>
      <w:r w:rsidR="001040A7" w:rsidRPr="005728DD">
        <w:t xml:space="preserve">considered that, consistent with the methodology proposed in the submission, it was reasonable for </w:t>
      </w:r>
      <w:r w:rsidRPr="005728DD">
        <w:t xml:space="preserve">the cost of ELX/TEZ/IVA for the F/G population </w:t>
      </w:r>
      <w:r w:rsidR="001040A7" w:rsidRPr="005728DD">
        <w:t xml:space="preserve">to </w:t>
      </w:r>
      <w:r w:rsidRPr="005728DD">
        <w:t>be calculated as the weighted average price of that for the F/F, F/RF</w:t>
      </w:r>
      <w:r w:rsidR="001040A7" w:rsidRPr="005728DD">
        <w:t xml:space="preserve"> and </w:t>
      </w:r>
      <w:r w:rsidRPr="005728DD">
        <w:t>F/MF populations</w:t>
      </w:r>
      <w:r w:rsidR="00953F0B" w:rsidRPr="005728DD">
        <w:t xml:space="preserve"> (see </w:t>
      </w:r>
      <w:r w:rsidR="00953F0B" w:rsidRPr="007728CB">
        <w:t>paragraph 7.3</w:t>
      </w:r>
      <w:r w:rsidR="007728CB">
        <w:t>3</w:t>
      </w:r>
      <w:r w:rsidR="00953F0B" w:rsidRPr="007728CB">
        <w:t>)</w:t>
      </w:r>
      <w:r w:rsidRPr="007728CB">
        <w:t>.</w:t>
      </w:r>
      <w:r w:rsidRPr="005728DD">
        <w:t xml:space="preserve"> </w:t>
      </w:r>
      <w:r w:rsidR="007B2D9E" w:rsidRPr="005728DD">
        <w:t>The</w:t>
      </w:r>
      <w:r w:rsidR="008B5EF9" w:rsidRPr="005728DD">
        <w:t xml:space="preserve"> </w:t>
      </w:r>
      <w:r w:rsidR="007B2D9E" w:rsidRPr="005728DD">
        <w:t>submission stated that treatment with ELX/TEZ/IVA would be cost-saving compared to treatment with IVA and the PBAC considered ELX/TEZ/IVA would be cost-effective for this population at the weighted price if the savings are realised in practice.</w:t>
      </w:r>
      <w:r w:rsidR="008B5EF9" w:rsidRPr="005728DD">
        <w:t xml:space="preserve"> </w:t>
      </w:r>
      <w:r w:rsidR="007B2D9E" w:rsidRPr="005728DD">
        <w:t>The PBAC considered the current expenditure caps in place for IVA would need to reduce proportionately in order to realise these savings in practice.</w:t>
      </w:r>
      <w:r w:rsidR="008B5EF9" w:rsidRPr="005728DD">
        <w:t xml:space="preserve"> </w:t>
      </w:r>
      <w:r w:rsidR="007B2D9E" w:rsidRPr="005728DD">
        <w:t xml:space="preserve">The PBAC noted the expenditure caps in place for LUM/IVA and TEZ/IVA would need to increase as F/G patients are not currently accounted for. </w:t>
      </w:r>
    </w:p>
    <w:p w:rsidR="00C56B63" w:rsidRPr="001B2F26" w:rsidRDefault="00C56B63" w:rsidP="00C56B63">
      <w:pPr>
        <w:pStyle w:val="3-BodyText"/>
        <w:numPr>
          <w:ilvl w:val="0"/>
          <w:numId w:val="0"/>
        </w:numPr>
        <w:rPr>
          <w:b/>
        </w:rPr>
      </w:pPr>
      <w:r w:rsidRPr="001B2F26">
        <w:rPr>
          <w:b/>
        </w:rPr>
        <w:t>Weighted price calculation for ELX/TEZ/IVA.</w:t>
      </w:r>
    </w:p>
    <w:p w:rsidR="00C56B63" w:rsidRPr="005728DD" w:rsidRDefault="00C56B63" w:rsidP="00C56B63">
      <w:pPr>
        <w:pStyle w:val="3-BodyText"/>
      </w:pPr>
      <w:r w:rsidRPr="005728DD">
        <w:t xml:space="preserve">The PBAC </w:t>
      </w:r>
      <w:r w:rsidR="00953F0B" w:rsidRPr="005728DD">
        <w:t>considered it was reasonable to calculate the weighted price for ELX/TEZ/IVA based on a split of F/F:F/RF:F/M</w:t>
      </w:r>
      <w:r w:rsidR="002C1E9F" w:rsidRPr="005728DD">
        <w:t>F</w:t>
      </w:r>
      <w:r w:rsidR="00953F0B" w:rsidRPr="005728DD">
        <w:t xml:space="preserve"> of </w:t>
      </w:r>
      <w:r w:rsidR="002C1E9F" w:rsidRPr="005728DD">
        <w:t xml:space="preserve">60.1:10.7:29.1 </w:t>
      </w:r>
      <w:r w:rsidR="00953F0B" w:rsidRPr="005728DD">
        <w:t>(</w:t>
      </w:r>
      <w:r w:rsidR="00953F0B" w:rsidRPr="007728CB">
        <w:t>paragraph 6.</w:t>
      </w:r>
      <w:r w:rsidR="00CD2496" w:rsidRPr="007728CB">
        <w:t>6</w:t>
      </w:r>
      <w:r w:rsidR="007728CB" w:rsidRPr="007728CB">
        <w:t>8</w:t>
      </w:r>
      <w:r w:rsidR="00953F0B" w:rsidRPr="007728CB">
        <w:t>)</w:t>
      </w:r>
      <w:r w:rsidR="005728DD" w:rsidRPr="007728CB">
        <w:t>.</w:t>
      </w:r>
      <w:r w:rsidR="005728DD">
        <w:t xml:space="preserve"> </w:t>
      </w:r>
    </w:p>
    <w:p w:rsidR="00C56B63" w:rsidRPr="005728DD" w:rsidRDefault="00C56B63" w:rsidP="00C56B63">
      <w:pPr>
        <w:pStyle w:val="3-BodyText"/>
      </w:pPr>
      <w:r w:rsidRPr="005728DD">
        <w:t xml:space="preserve">The PBAC noted that based on this split that the following weighted costs can be calculated for ELX/TEZ/IVA to remain cost effective: </w:t>
      </w:r>
    </w:p>
    <w:p w:rsidR="00C56B63" w:rsidRPr="005728DD" w:rsidRDefault="00C56B63" w:rsidP="00A0357E">
      <w:pPr>
        <w:pStyle w:val="3-BodyText"/>
        <w:numPr>
          <w:ilvl w:val="3"/>
          <w:numId w:val="1"/>
        </w:numPr>
        <w:ind w:left="993" w:hanging="284"/>
      </w:pPr>
      <w:r w:rsidRPr="005728DD">
        <w:t>The annual cost per patient of $</w:t>
      </w:r>
      <w:r w:rsidR="00967E09">
        <w:rPr>
          <w:noProof/>
          <w:color w:val="000000"/>
          <w:highlight w:val="black"/>
        </w:rPr>
        <w:t>'''''''''''''''</w:t>
      </w:r>
      <w:r w:rsidRPr="005728DD">
        <w:t xml:space="preserve"> is implemented for the supply of ELX/TEZ/IVA for the F/any population for the first 24 weeks of PBS listing only; and</w:t>
      </w:r>
    </w:p>
    <w:p w:rsidR="00C56B63" w:rsidRPr="005728DD" w:rsidRDefault="00C56B63" w:rsidP="00A0357E">
      <w:pPr>
        <w:pStyle w:val="3-BodyText"/>
        <w:numPr>
          <w:ilvl w:val="3"/>
          <w:numId w:val="1"/>
        </w:numPr>
        <w:ind w:left="993" w:hanging="284"/>
      </w:pPr>
      <w:r w:rsidRPr="005728DD">
        <w:lastRenderedPageBreak/>
        <w:t>The annual cost per patient of $</w:t>
      </w:r>
      <w:r w:rsidR="00967E09">
        <w:rPr>
          <w:noProof/>
          <w:color w:val="000000"/>
          <w:highlight w:val="black"/>
        </w:rPr>
        <w:t>'''''''''''''''</w:t>
      </w:r>
      <w:r w:rsidRPr="005728DD">
        <w:t xml:space="preserve"> implemented for the supply of ELX/TEZ/IVA for the F/any population for a further 2 years of listing; and</w:t>
      </w:r>
    </w:p>
    <w:p w:rsidR="00C56B63" w:rsidRPr="005728DD" w:rsidRDefault="00C56B63" w:rsidP="00A0357E">
      <w:pPr>
        <w:pStyle w:val="3-BodyText"/>
        <w:numPr>
          <w:ilvl w:val="3"/>
          <w:numId w:val="1"/>
        </w:numPr>
        <w:ind w:left="993" w:hanging="284"/>
      </w:pPr>
      <w:r w:rsidRPr="005728DD">
        <w:t>That the annual cost per patient of $</w:t>
      </w:r>
      <w:r w:rsidR="00967E09">
        <w:rPr>
          <w:noProof/>
          <w:color w:val="000000"/>
          <w:highlight w:val="black"/>
        </w:rPr>
        <w:t>''''''''''''</w:t>
      </w:r>
      <w:r w:rsidR="00953F0B" w:rsidRPr="005728DD">
        <w:t xml:space="preserve"> </w:t>
      </w:r>
      <w:r w:rsidRPr="005728DD">
        <w:t>is implemented for the supply of ELX/TEZ/IVA for the F/any population for any supply beyond 2.5 years post listing on the PBS.</w:t>
      </w:r>
    </w:p>
    <w:p w:rsidR="00C56B63" w:rsidRPr="005728DD" w:rsidRDefault="00C56B63" w:rsidP="00C56B63">
      <w:pPr>
        <w:pStyle w:val="3-BodyText"/>
      </w:pPr>
      <w:r w:rsidRPr="005728DD">
        <w:t xml:space="preserve">The PBAC noted that the MAP in place for the dual CFTR modulator therapies (LUM/IVA and TEZ/IVA) is due to conclude, with outcomes of that MAP to be submitted to the PBAC for consideration at its July 2021 meeting. In the context of further </w:t>
      </w:r>
      <w:r w:rsidR="002748D3" w:rsidRPr="005728DD">
        <w:t xml:space="preserve">data </w:t>
      </w:r>
      <w:r w:rsidRPr="005728DD">
        <w:t xml:space="preserve">being made available that may provide a higher </w:t>
      </w:r>
      <w:r w:rsidR="001B154B" w:rsidRPr="005728DD">
        <w:t xml:space="preserve">level of </w:t>
      </w:r>
      <w:r w:rsidRPr="005728DD">
        <w:t xml:space="preserve">certainty </w:t>
      </w:r>
      <w:r w:rsidR="001B154B" w:rsidRPr="005728DD">
        <w:t>around the long term cost effectiveness</w:t>
      </w:r>
      <w:r w:rsidRPr="005728DD">
        <w:t xml:space="preserve"> and longer term health outcomes</w:t>
      </w:r>
      <w:r w:rsidR="002748D3" w:rsidRPr="005728DD">
        <w:t xml:space="preserve"> of these therapies</w:t>
      </w:r>
      <w:r w:rsidRPr="005728DD">
        <w:t>, in particular</w:t>
      </w:r>
      <w:r w:rsidR="003B48D4" w:rsidRPr="005728DD">
        <w:t xml:space="preserve"> </w:t>
      </w:r>
      <w:r w:rsidR="00C53D04" w:rsidRPr="005728DD">
        <w:t xml:space="preserve">the </w:t>
      </w:r>
      <w:r w:rsidR="003B48D4" w:rsidRPr="005728DD">
        <w:t xml:space="preserve">decrease </w:t>
      </w:r>
      <w:r w:rsidRPr="005728DD">
        <w:t>in rate of decline</w:t>
      </w:r>
      <w:r w:rsidR="00C66232" w:rsidRPr="005728DD">
        <w:t xml:space="preserve"> of ppFEV</w:t>
      </w:r>
      <w:r w:rsidR="00C66232" w:rsidRPr="005728DD">
        <w:rPr>
          <w:vertAlign w:val="subscript"/>
        </w:rPr>
        <w:t>1</w:t>
      </w:r>
      <w:r w:rsidRPr="005728DD">
        <w:t xml:space="preserve">, the PBAC considered </w:t>
      </w:r>
      <w:r w:rsidR="001B154B" w:rsidRPr="005728DD">
        <w:t>that it would likely be in a position to</w:t>
      </w:r>
      <w:r w:rsidRPr="005728DD">
        <w:t xml:space="preserve"> provide </w:t>
      </w:r>
      <w:r w:rsidR="002748D3" w:rsidRPr="005728DD">
        <w:t xml:space="preserve">updated </w:t>
      </w:r>
      <w:r w:rsidRPr="005728DD">
        <w:t xml:space="preserve">advice to the Minister </w:t>
      </w:r>
      <w:r w:rsidR="002748D3" w:rsidRPr="005728DD">
        <w:t xml:space="preserve">at that time. Such advice would likely cover </w:t>
      </w:r>
      <w:r w:rsidR="001B154B" w:rsidRPr="005728DD">
        <w:t xml:space="preserve">the cost effectiveness of </w:t>
      </w:r>
      <w:r w:rsidR="002748D3" w:rsidRPr="005728DD">
        <w:t xml:space="preserve">the broader group of CFTR modulator therapies, as well as </w:t>
      </w:r>
      <w:r w:rsidR="001B154B" w:rsidRPr="005728DD">
        <w:t>ELX/TEZ/IVA</w:t>
      </w:r>
      <w:r w:rsidR="002748D3" w:rsidRPr="005728DD">
        <w:t xml:space="preserve"> more specifically</w:t>
      </w:r>
      <w:r w:rsidR="001B154B" w:rsidRPr="005728DD">
        <w:t xml:space="preserve">, </w:t>
      </w:r>
      <w:r w:rsidR="002748D3" w:rsidRPr="005728DD">
        <w:t>taking into account</w:t>
      </w:r>
      <w:r w:rsidRPr="005728DD">
        <w:t xml:space="preserve"> the latest available evidence. The PBAC therefore considered that should the sponsor wish to provide </w:t>
      </w:r>
      <w:r w:rsidR="003B48D4" w:rsidRPr="005728DD">
        <w:t xml:space="preserve">a </w:t>
      </w:r>
      <w:r w:rsidR="002748D3" w:rsidRPr="005728DD">
        <w:t>submission</w:t>
      </w:r>
      <w:r w:rsidRPr="005728DD">
        <w:t xml:space="preserve"> based on the current advice for listing of ELX/TEZ/IVA on the PBS, it would need to do so at least six weeks prior to the July 2021 PBAC meeting.</w:t>
      </w:r>
    </w:p>
    <w:p w:rsidR="00C56B63" w:rsidRPr="001B2F26" w:rsidRDefault="00C56B63" w:rsidP="00C56B63">
      <w:pPr>
        <w:pStyle w:val="3-BodyText"/>
        <w:numPr>
          <w:ilvl w:val="0"/>
          <w:numId w:val="0"/>
        </w:numPr>
        <w:rPr>
          <w:b/>
        </w:rPr>
      </w:pPr>
      <w:r w:rsidRPr="001B2F26">
        <w:rPr>
          <w:b/>
        </w:rPr>
        <w:t xml:space="preserve">Financial implications of listing for the F/any population </w:t>
      </w:r>
    </w:p>
    <w:p w:rsidR="00162C15" w:rsidRPr="005728DD" w:rsidRDefault="00162C15" w:rsidP="00525583">
      <w:pPr>
        <w:pStyle w:val="3-BodyText"/>
      </w:pPr>
      <w:r w:rsidRPr="005728DD">
        <w:t xml:space="preserve">The </w:t>
      </w:r>
      <w:r w:rsidR="005259FF" w:rsidRPr="005728DD">
        <w:t>PBAC considered the epidemiology</w:t>
      </w:r>
      <w:r w:rsidRPr="005728DD">
        <w:t xml:space="preserve"> approach to estimating</w:t>
      </w:r>
      <w:r w:rsidR="00525583" w:rsidRPr="005728DD">
        <w:t xml:space="preserve"> the number of patients likely to be treated with ELX/TEZ/IVA resulted in a substantial overestimate of patient numbers and did not provide a reliable basis to estimate the financial implications of listing ELX/TEZ/IVA. The PBAC </w:t>
      </w:r>
      <w:r w:rsidR="005259FF" w:rsidRPr="005728DD">
        <w:t xml:space="preserve">noted </w:t>
      </w:r>
      <w:r w:rsidR="00525583" w:rsidRPr="005728DD">
        <w:t xml:space="preserve">patient numbers have been </w:t>
      </w:r>
      <w:r w:rsidR="005259FF" w:rsidRPr="005728DD">
        <w:t xml:space="preserve">previously </w:t>
      </w:r>
      <w:r w:rsidR="00525583" w:rsidRPr="005728DD">
        <w:t xml:space="preserve">agreed to for the F/F and </w:t>
      </w:r>
      <w:r w:rsidR="00A44FF5" w:rsidRPr="005728DD">
        <w:t xml:space="preserve">the </w:t>
      </w:r>
      <w:r w:rsidR="00525583" w:rsidRPr="005728DD">
        <w:t>F/RF populations (</w:t>
      </w:r>
      <w:r w:rsidR="00453639" w:rsidRPr="005728DD">
        <w:t>at the time of listing</w:t>
      </w:r>
      <w:r w:rsidR="00525583" w:rsidRPr="005728DD">
        <w:t xml:space="preserve"> TEZ/IVA + LUM/IVA) and the F/G population (</w:t>
      </w:r>
      <w:r w:rsidR="00453639" w:rsidRPr="005728DD">
        <w:t>for the purposes of the current</w:t>
      </w:r>
      <w:r w:rsidR="005259FF" w:rsidRPr="005728DD">
        <w:t xml:space="preserve"> </w:t>
      </w:r>
      <w:r w:rsidR="00525583" w:rsidRPr="005728DD">
        <w:t xml:space="preserve">IVA </w:t>
      </w:r>
      <w:r w:rsidR="00453639" w:rsidRPr="005728DD">
        <w:t>RSA</w:t>
      </w:r>
      <w:r w:rsidR="00747D40" w:rsidRPr="005728DD">
        <w:t xml:space="preserve">). The PBAC noted the </w:t>
      </w:r>
      <w:r w:rsidR="00525583" w:rsidRPr="005728DD">
        <w:t xml:space="preserve">current use is </w:t>
      </w:r>
      <w:r w:rsidR="00C66232" w:rsidRPr="005728DD">
        <w:t>less than</w:t>
      </w:r>
      <w:r w:rsidR="00525583" w:rsidRPr="005728DD">
        <w:t xml:space="preserve"> </w:t>
      </w:r>
      <w:r w:rsidR="00747D40" w:rsidRPr="005728DD">
        <w:t xml:space="preserve">the agreed </w:t>
      </w:r>
      <w:r w:rsidR="005259FF" w:rsidRPr="005728DD">
        <w:t xml:space="preserve">patient </w:t>
      </w:r>
      <w:r w:rsidR="00525583" w:rsidRPr="005728DD">
        <w:t>numbers</w:t>
      </w:r>
      <w:r w:rsidR="00747D40" w:rsidRPr="005728DD">
        <w:t xml:space="preserve"> and considered there was no justification for an increase in patient numbers for the F/F, F/R and F/G populations</w:t>
      </w:r>
      <w:r w:rsidR="00525583" w:rsidRPr="005728DD">
        <w:t>.</w:t>
      </w:r>
    </w:p>
    <w:p w:rsidR="00C56B63" w:rsidRPr="005728DD" w:rsidRDefault="00C56B63" w:rsidP="00C56B63">
      <w:pPr>
        <w:pStyle w:val="3-BodyText"/>
      </w:pPr>
      <w:r w:rsidRPr="005728DD">
        <w:t>The PBAC considered it was reasonable to estimate the number of patients expected to be treated with ELX/TEZ/IVA using the patient numbers that were previously agreed for the F/F, F/RF and F/G populations</w:t>
      </w:r>
      <w:r w:rsidR="002C1E9F" w:rsidRPr="005728DD">
        <w:t xml:space="preserve"> as described in </w:t>
      </w:r>
      <w:r w:rsidR="002C1E9F" w:rsidRPr="007728CB">
        <w:t>paragraph 6.</w:t>
      </w:r>
      <w:r w:rsidR="00072101" w:rsidRPr="007728CB">
        <w:t>7</w:t>
      </w:r>
      <w:r w:rsidR="007728CB" w:rsidRPr="007728CB">
        <w:t>1</w:t>
      </w:r>
      <w:r w:rsidRPr="007728CB">
        <w:t>.</w:t>
      </w:r>
      <w:r w:rsidR="002C1E9F" w:rsidRPr="005728DD">
        <w:t xml:space="preserve"> The PBAC considered the number of patients expected to be treated with ELX/TEZ/IVA, applying uptake as outlined in </w:t>
      </w:r>
      <w:r w:rsidR="002C1E9F" w:rsidRPr="007728CB">
        <w:t>paragraph 6.</w:t>
      </w:r>
      <w:r w:rsidR="00701563">
        <w:t>73</w:t>
      </w:r>
      <w:r w:rsidR="002C1E9F" w:rsidRPr="007728CB">
        <w:t>, as</w:t>
      </w:r>
      <w:r w:rsidR="002C1E9F" w:rsidRPr="005728DD">
        <w:t xml:space="preserve"> summarised in</w:t>
      </w:r>
      <w:r w:rsidR="005259FF" w:rsidRPr="005728DD">
        <w:t xml:space="preserve"> </w:t>
      </w:r>
      <w:r w:rsidR="005C56C0" w:rsidRPr="005C56C0">
        <w:t>Table 28</w:t>
      </w:r>
      <w:r w:rsidR="002C1E9F" w:rsidRPr="005728DD">
        <w:t xml:space="preserve">, was reasonable. </w:t>
      </w:r>
    </w:p>
    <w:p w:rsidR="002C1E9F" w:rsidRPr="005728DD" w:rsidRDefault="002C1E9F" w:rsidP="002C1E9F">
      <w:pPr>
        <w:pStyle w:val="3-BodyText"/>
        <w:numPr>
          <w:ilvl w:val="0"/>
          <w:numId w:val="0"/>
        </w:numPr>
      </w:pPr>
    </w:p>
    <w:p w:rsidR="002C1E9F" w:rsidRPr="005728DD" w:rsidRDefault="002C1E9F" w:rsidP="002C1E9F">
      <w:pPr>
        <w:pStyle w:val="3-BodyText"/>
        <w:numPr>
          <w:ilvl w:val="0"/>
          <w:numId w:val="0"/>
        </w:numPr>
      </w:pPr>
      <w:bookmarkStart w:id="57" w:name="_GoBack"/>
      <w:bookmarkEnd w:id="57"/>
    </w:p>
    <w:p w:rsidR="00606FBA" w:rsidRPr="005728DD" w:rsidRDefault="00606FBA">
      <w:pPr>
        <w:jc w:val="left"/>
        <w:rPr>
          <w:i/>
        </w:rPr>
      </w:pPr>
      <w:r w:rsidRPr="005728DD">
        <w:rPr>
          <w:i/>
        </w:rPr>
        <w:br w:type="page"/>
      </w:r>
    </w:p>
    <w:p w:rsidR="005259FF" w:rsidRPr="005728DD" w:rsidRDefault="00454016" w:rsidP="00454016">
      <w:pPr>
        <w:pStyle w:val="3-BodyText"/>
      </w:pPr>
      <w:r w:rsidRPr="005728DD">
        <w:lastRenderedPageBreak/>
        <w:t>The PBAC</w:t>
      </w:r>
      <w:r w:rsidR="005259FF" w:rsidRPr="005728DD">
        <w:t xml:space="preserve"> advised</w:t>
      </w:r>
      <w:r w:rsidRPr="005728DD">
        <w:t xml:space="preserve"> </w:t>
      </w:r>
      <w:r w:rsidR="005259FF" w:rsidRPr="005728DD">
        <w:t>the sponsor should provide the following information for further consideration:</w:t>
      </w:r>
    </w:p>
    <w:p w:rsidR="006A741B" w:rsidRPr="00701563" w:rsidRDefault="005259FF" w:rsidP="005259FF">
      <w:pPr>
        <w:pStyle w:val="3-BodyText"/>
        <w:numPr>
          <w:ilvl w:val="0"/>
          <w:numId w:val="44"/>
        </w:numPr>
      </w:pPr>
      <w:r w:rsidRPr="005728DD">
        <w:t xml:space="preserve">Revised </w:t>
      </w:r>
      <w:r w:rsidR="00FF4CA4" w:rsidRPr="005728DD">
        <w:t xml:space="preserve">estimate </w:t>
      </w:r>
      <w:r w:rsidRPr="005728DD">
        <w:t xml:space="preserve">of </w:t>
      </w:r>
      <w:r w:rsidR="00FF4CA4" w:rsidRPr="005728DD">
        <w:t xml:space="preserve">the cost of </w:t>
      </w:r>
      <w:r w:rsidRPr="005728DD">
        <w:t>listing ELX/TEZ/</w:t>
      </w:r>
      <w:r w:rsidRPr="00701563">
        <w:t>IVA for the F/any population based on</w:t>
      </w:r>
      <w:r w:rsidR="00FF4CA4" w:rsidRPr="00701563">
        <w:t xml:space="preserve"> the number of treated patients in paragraph 6.</w:t>
      </w:r>
      <w:r w:rsidR="00072101" w:rsidRPr="00701563">
        <w:t>7</w:t>
      </w:r>
      <w:r w:rsidR="00701563" w:rsidRPr="00701563">
        <w:t>4</w:t>
      </w:r>
      <w:r w:rsidR="00072101" w:rsidRPr="00701563">
        <w:t xml:space="preserve"> </w:t>
      </w:r>
      <w:r w:rsidR="00FF4CA4" w:rsidRPr="00701563">
        <w:t>and the ELX/TEZ/IVA costs per patient per year in paragraph 7.</w:t>
      </w:r>
      <w:r w:rsidR="00072101" w:rsidRPr="00701563">
        <w:t>3</w:t>
      </w:r>
      <w:r w:rsidR="00701563" w:rsidRPr="00701563">
        <w:t>3</w:t>
      </w:r>
      <w:r w:rsidR="00FF4CA4" w:rsidRPr="00701563">
        <w:t>.</w:t>
      </w:r>
    </w:p>
    <w:p w:rsidR="005259FF" w:rsidRPr="005728DD" w:rsidRDefault="00FF4CA4" w:rsidP="005259FF">
      <w:pPr>
        <w:pStyle w:val="3-BodyText"/>
        <w:numPr>
          <w:ilvl w:val="0"/>
          <w:numId w:val="44"/>
        </w:numPr>
      </w:pPr>
      <w:r w:rsidRPr="005728DD">
        <w:t>Revised estimate of cost-offsets based on a TEZ/IVA cost per patient per year of $</w:t>
      </w:r>
      <w:r w:rsidR="00967E09">
        <w:rPr>
          <w:noProof/>
          <w:color w:val="000000"/>
          <w:highlight w:val="black"/>
        </w:rPr>
        <w:t>''''''''''''''</w:t>
      </w:r>
      <w:r w:rsidRPr="005728DD">
        <w:t xml:space="preserve"> and an IVA cost per patient per year of $</w:t>
      </w:r>
      <w:r w:rsidR="00967E09">
        <w:rPr>
          <w:noProof/>
          <w:color w:val="000000"/>
          <w:highlight w:val="black"/>
        </w:rPr>
        <w:t>''''''''''''''''</w:t>
      </w:r>
      <w:r w:rsidR="005728DD">
        <w:t xml:space="preserve">. </w:t>
      </w:r>
    </w:p>
    <w:p w:rsidR="00FF4CA4" w:rsidRPr="005728DD" w:rsidRDefault="00FF4CA4" w:rsidP="00FF4CA4">
      <w:pPr>
        <w:pStyle w:val="3-BodyText"/>
        <w:numPr>
          <w:ilvl w:val="0"/>
          <w:numId w:val="44"/>
        </w:numPr>
      </w:pPr>
      <w:r w:rsidRPr="005728DD">
        <w:t>Revised expenditure caps for the TEZ/IVA and LUM/IVA RSA and the IVA RSA accounting for the net cost of listing ELX/TEZ/IVA.</w:t>
      </w:r>
    </w:p>
    <w:p w:rsidR="00C66232" w:rsidRPr="005728DD" w:rsidRDefault="005259FF" w:rsidP="00C66232">
      <w:pPr>
        <w:pStyle w:val="3-BodyText"/>
        <w:numPr>
          <w:ilvl w:val="0"/>
          <w:numId w:val="44"/>
        </w:numPr>
      </w:pPr>
      <w:r w:rsidRPr="005728DD">
        <w:t xml:space="preserve">Propose an </w:t>
      </w:r>
      <w:r w:rsidR="00FF4CA4" w:rsidRPr="005728DD">
        <w:t xml:space="preserve">appropriate </w:t>
      </w:r>
      <w:r w:rsidRPr="005728DD">
        <w:t xml:space="preserve">MAP </w:t>
      </w:r>
      <w:r w:rsidR="00FF4CA4" w:rsidRPr="005728DD">
        <w:t>to manage the uncertainty associated with the rate of decline in ppFEV</w:t>
      </w:r>
      <w:r w:rsidR="00FF4CA4" w:rsidRPr="005728DD">
        <w:rPr>
          <w:vertAlign w:val="subscript"/>
        </w:rPr>
        <w:t>1</w:t>
      </w:r>
      <w:r w:rsidR="00FF4CA4" w:rsidRPr="005728DD">
        <w:t xml:space="preserve"> over the longer term. </w:t>
      </w:r>
    </w:p>
    <w:p w:rsidR="006A741B" w:rsidRPr="005728DD" w:rsidRDefault="006A741B" w:rsidP="006A741B">
      <w:pPr>
        <w:tabs>
          <w:tab w:val="left" w:pos="1080"/>
        </w:tabs>
        <w:autoSpaceDE w:val="0"/>
        <w:autoSpaceDN w:val="0"/>
        <w:adjustRightInd w:val="0"/>
        <w:spacing w:before="240"/>
        <w:rPr>
          <w:rFonts w:asciiTheme="minorHAnsi" w:hAnsiTheme="minorHAnsi" w:cstheme="minorHAnsi"/>
          <w:b/>
          <w:bCs/>
        </w:rPr>
      </w:pPr>
      <w:r w:rsidRPr="005728DD">
        <w:rPr>
          <w:rFonts w:asciiTheme="minorHAnsi" w:hAnsiTheme="minorHAnsi" w:cstheme="minorHAnsi"/>
          <w:b/>
          <w:bCs/>
        </w:rPr>
        <w:t>Outcome:</w:t>
      </w:r>
    </w:p>
    <w:p w:rsidR="006A741B" w:rsidRPr="005728DD" w:rsidRDefault="006A741B" w:rsidP="006A741B">
      <w:pPr>
        <w:autoSpaceDE w:val="0"/>
        <w:autoSpaceDN w:val="0"/>
        <w:adjustRightInd w:val="0"/>
        <w:spacing w:after="120"/>
        <w:jc w:val="left"/>
        <w:rPr>
          <w:rFonts w:asciiTheme="minorHAnsi" w:hAnsiTheme="minorHAnsi" w:cstheme="minorHAnsi"/>
        </w:rPr>
      </w:pPr>
      <w:r w:rsidRPr="005728DD">
        <w:rPr>
          <w:rFonts w:asciiTheme="minorHAnsi" w:hAnsiTheme="minorHAnsi" w:cstheme="minorHAnsi"/>
        </w:rPr>
        <w:t xml:space="preserve">Deferred </w:t>
      </w:r>
    </w:p>
    <w:p w:rsidR="00BC158E" w:rsidRPr="00BC158E" w:rsidRDefault="00BC158E" w:rsidP="00BC158E">
      <w:pPr>
        <w:pStyle w:val="2-SectionHeading"/>
      </w:pPr>
      <w:r w:rsidRPr="00C07617">
        <w:t>Context for Decision</w:t>
      </w:r>
    </w:p>
    <w:p w:rsidR="00BC158E" w:rsidRPr="007129F2" w:rsidRDefault="00BC158E" w:rsidP="00BC158E">
      <w:pPr>
        <w:spacing w:after="120"/>
        <w:ind w:left="426"/>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C158E" w:rsidRPr="00BC158E" w:rsidRDefault="00BC158E" w:rsidP="00BC158E">
      <w:pPr>
        <w:pStyle w:val="2-SectionHeading"/>
      </w:pPr>
      <w:r>
        <w:t>Sponsor’s Comment</w:t>
      </w:r>
    </w:p>
    <w:p w:rsidR="00511807" w:rsidRPr="00511807" w:rsidRDefault="00511807" w:rsidP="00511807">
      <w:pPr>
        <w:spacing w:after="120"/>
        <w:ind w:left="426"/>
        <w:rPr>
          <w:bCs/>
          <w:lang w:val="en-GB"/>
        </w:rPr>
      </w:pPr>
      <w:r w:rsidRPr="00511807">
        <w:rPr>
          <w:bCs/>
          <w:lang w:val="en-GB"/>
        </w:rPr>
        <w:t>Vertex is pleased that the PBAC has acknowledged the significant benefits that Trikafta® (elexacaftor/tezacaftor/ivacaftor) can bring to Cystic Fibrosis (CF) patients.</w:t>
      </w:r>
    </w:p>
    <w:p w:rsidR="00511807" w:rsidRPr="00511807" w:rsidRDefault="00511807" w:rsidP="00511807">
      <w:pPr>
        <w:spacing w:after="120"/>
        <w:ind w:left="426"/>
        <w:rPr>
          <w:bCs/>
          <w:lang w:val="en-GB"/>
        </w:rPr>
      </w:pPr>
      <w:r w:rsidRPr="00511807">
        <w:rPr>
          <w:bCs/>
          <w:lang w:val="en-GB"/>
        </w:rPr>
        <w:t>Vertex, along with the CF community, was hopeful for a first time PBAC recommendation for Trikafta, particularly given our involvement in the TGAPBAC Alignment Pilot, which has the overall objective of aligning the regulation and reimbursement process to ensure patients have access to medicines as soon as possible.</w:t>
      </w:r>
    </w:p>
    <w:p w:rsidR="00511807" w:rsidRPr="00511807" w:rsidRDefault="00511807" w:rsidP="00511807">
      <w:pPr>
        <w:spacing w:after="120"/>
        <w:ind w:left="426"/>
        <w:rPr>
          <w:bCs/>
          <w:lang w:val="en-GB"/>
        </w:rPr>
      </w:pPr>
      <w:r w:rsidRPr="00511807">
        <w:rPr>
          <w:bCs/>
          <w:lang w:val="en-GB"/>
        </w:rPr>
        <w:t>Vertex is also disappointed that the long term data provided for LUM/IVA and TEZ/IVA in this submission were not considered by PBAC. These data, from multiple independent sources, clearly substantiate the long term benefits of LUM/IVA and TEZ/IVA and addressed the question of cost-effectiveness of the comparators.</w:t>
      </w:r>
    </w:p>
    <w:p w:rsidR="00553E68" w:rsidRPr="005728DD" w:rsidRDefault="00511807" w:rsidP="00A21E37">
      <w:pPr>
        <w:pStyle w:val="3-BodyText"/>
        <w:numPr>
          <w:ilvl w:val="0"/>
          <w:numId w:val="0"/>
        </w:numPr>
        <w:ind w:left="426"/>
      </w:pPr>
      <w:r w:rsidRPr="00511807">
        <w:rPr>
          <w:bCs/>
          <w:lang w:val="en-GB"/>
        </w:rPr>
        <w:t>We are committed to continuing to work collaboratively with the PBAC to ensure all eligible patients (estimated 2,200 patients based on the Australian Cystic Fibrosis Disease Registry Annual Report 2019) who can benefit from treatment have government-funded access to Trikafta as quickly as possible</w:t>
      </w:r>
      <w:r>
        <w:rPr>
          <w:bCs/>
          <w:lang w:val="en-GB"/>
        </w:rPr>
        <w:t>.</w:t>
      </w:r>
    </w:p>
    <w:p w:rsidR="00924969" w:rsidRPr="005728DD" w:rsidRDefault="00924969" w:rsidP="00924969">
      <w:pPr>
        <w:jc w:val="left"/>
        <w:rPr>
          <w:color w:val="3366FF"/>
        </w:rPr>
      </w:pPr>
    </w:p>
    <w:sectPr w:rsidR="00924969" w:rsidRPr="005728DD" w:rsidSect="00580907">
      <w:headerReference w:type="even" r:id="rId16"/>
      <w:headerReference w:type="default" r:id="rId17"/>
      <w:footerReference w:type="even" r:id="rId18"/>
      <w:footerReference w:type="default" r:id="rId19"/>
      <w:headerReference w:type="first" r:id="rId20"/>
      <w:footerReference w:type="first" r:id="rId21"/>
      <w:pgSz w:w="11907" w:h="16840" w:code="9"/>
      <w:pgMar w:top="1440" w:right="1559"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666B" w16cex:dateUtc="2021-03-19T07:05:00Z"/>
  <w16cex:commentExtensible w16cex:durableId="23FF66E4" w16cex:dateUtc="2021-03-19T07:07:00Z"/>
  <w16cex:commentExtensible w16cex:durableId="2402DC94" w16cex:dateUtc="2021-03-21T22:06:00Z"/>
  <w16cex:commentExtensible w16cex:durableId="2402E7B6" w16cex:dateUtc="2021-03-21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9E2016" w16cid:durableId="23FF662A"/>
  <w16cid:commentId w16cid:paraId="74DA31FF" w16cid:durableId="23FF666B"/>
  <w16cid:commentId w16cid:paraId="79D642AF" w16cid:durableId="23FF662B"/>
  <w16cid:commentId w16cid:paraId="537C6EE8" w16cid:durableId="23FF66E4"/>
  <w16cid:commentId w16cid:paraId="4E4E12CD" w16cid:durableId="2402DC94"/>
  <w16cid:commentId w16cid:paraId="51A36FD8" w16cid:durableId="23FF662C"/>
  <w16cid:commentId w16cid:paraId="7C9AA3C0" w16cid:durableId="2402E7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A3" w:rsidRDefault="005C66A3" w:rsidP="00124A51">
      <w:r>
        <w:separator/>
      </w:r>
    </w:p>
    <w:p w:rsidR="005C66A3" w:rsidRDefault="005C66A3"/>
  </w:endnote>
  <w:endnote w:type="continuationSeparator" w:id="0">
    <w:p w:rsidR="005C66A3" w:rsidRDefault="005C66A3" w:rsidP="00124A51">
      <w:r>
        <w:continuationSeparator/>
      </w:r>
    </w:p>
    <w:p w:rsidR="005C66A3" w:rsidRDefault="005C6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ތ"/>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Default="005C6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Default="005C66A3" w:rsidP="003E6AD0">
    <w:pPr>
      <w:pStyle w:val="Footer"/>
      <w:jc w:val="center"/>
    </w:pPr>
    <w:r>
      <w:fldChar w:fldCharType="begin"/>
    </w:r>
    <w:r>
      <w:instrText xml:space="preserve"> PAGE   \* MERGEFORMAT </w:instrText>
    </w:r>
    <w:r>
      <w:fldChar w:fldCharType="separate"/>
    </w:r>
    <w:r w:rsidR="00C81BF6">
      <w:rPr>
        <w:noProof/>
      </w:rPr>
      <w:t>53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Default="005C6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A3" w:rsidRDefault="005C66A3" w:rsidP="00124A51">
      <w:r>
        <w:separator/>
      </w:r>
    </w:p>
    <w:p w:rsidR="005C66A3" w:rsidRDefault="005C66A3"/>
  </w:footnote>
  <w:footnote w:type="continuationSeparator" w:id="0">
    <w:p w:rsidR="005C66A3" w:rsidRDefault="005C66A3" w:rsidP="00124A51">
      <w:r>
        <w:continuationSeparator/>
      </w:r>
    </w:p>
    <w:p w:rsidR="005C66A3" w:rsidRDefault="005C66A3"/>
  </w:footnote>
  <w:footnote w:id="1">
    <w:p w:rsidR="005C66A3" w:rsidRDefault="005C66A3">
      <w:pPr>
        <w:pStyle w:val="FootnoteText"/>
      </w:pPr>
      <w:r>
        <w:rPr>
          <w:rStyle w:val="FootnoteReference"/>
        </w:rPr>
        <w:footnoteRef/>
      </w:r>
      <w:r>
        <w:t xml:space="preserve"> </w:t>
      </w:r>
      <w:hyperlink r:id="rId1" w:history="1">
        <w:r w:rsidRPr="007C5053">
          <w:rPr>
            <w:rStyle w:val="Hyperlink"/>
          </w:rPr>
          <w:t>https://clinicaltrials.gov/ct2/show/NCT04362761</w:t>
        </w:r>
      </w:hyperlink>
      <w:r>
        <w:t xml:space="preserve"> and </w:t>
      </w:r>
      <w:hyperlink r:id="rId2" w:history="1">
        <w:r w:rsidRPr="007C5053">
          <w:rPr>
            <w:rStyle w:val="Hyperlink"/>
          </w:rPr>
          <w:t>https://clinicaltrials.gov/ct2/show/NCT04058366</w:t>
        </w:r>
      </w:hyperlink>
      <w:r>
        <w:t xml:space="preserve"> </w:t>
      </w:r>
    </w:p>
  </w:footnote>
  <w:footnote w:id="2">
    <w:p w:rsidR="005C66A3" w:rsidRPr="00965D71" w:rsidRDefault="005C66A3" w:rsidP="00354009">
      <w:pPr>
        <w:pStyle w:val="CommentText"/>
        <w:rPr>
          <w:rFonts w:asciiTheme="minorHAnsi" w:eastAsiaTheme="minorHAnsi" w:hAnsiTheme="minorHAnsi" w:cstheme="minorHAnsi"/>
          <w:color w:val="000000"/>
          <w:szCs w:val="22"/>
        </w:rPr>
      </w:pPr>
      <w:r w:rsidRPr="00965D71">
        <w:rPr>
          <w:rStyle w:val="FootnoteReference"/>
          <w:rFonts w:asciiTheme="minorHAnsi" w:hAnsiTheme="minorHAnsi" w:cstheme="minorHAnsi"/>
        </w:rPr>
        <w:footnoteRef/>
      </w:r>
      <w:r>
        <w:rPr>
          <w:rFonts w:asciiTheme="minorHAnsi" w:hAnsiTheme="minorHAnsi" w:cstheme="minorHAnsi"/>
        </w:rPr>
        <w:t>Calculated as</w:t>
      </w:r>
      <w:r w:rsidRPr="00965D71">
        <w:rPr>
          <w:rFonts w:asciiTheme="minorHAnsi" w:hAnsiTheme="minorHAnsi" w:cstheme="minorHAnsi"/>
        </w:rPr>
        <w:t xml:space="preserve"> F/F=53.2/(53.2+5.5+33.8), F</w:t>
      </w:r>
      <w:r>
        <w:rPr>
          <w:rFonts w:asciiTheme="minorHAnsi" w:hAnsiTheme="minorHAnsi" w:cstheme="minorHAnsi"/>
        </w:rPr>
        <w:t>/</w:t>
      </w:r>
      <w:r w:rsidRPr="00965D71">
        <w:rPr>
          <w:rFonts w:asciiTheme="minorHAnsi" w:hAnsiTheme="minorHAnsi" w:cstheme="minorHAnsi"/>
        </w:rPr>
        <w:t>RF=5.5/(53.2+5.5+33.8), F/MF</w:t>
      </w:r>
      <w:r>
        <w:rPr>
          <w:rFonts w:asciiTheme="minorHAnsi" w:hAnsiTheme="minorHAnsi" w:cstheme="minorHAnsi"/>
        </w:rPr>
        <w:t xml:space="preserve"> and F/not yet characterised</w:t>
      </w:r>
      <w:r w:rsidRPr="00965D71">
        <w:rPr>
          <w:rFonts w:asciiTheme="minorHAnsi" w:hAnsiTheme="minorHAnsi" w:cstheme="minorHAnsi"/>
        </w:rPr>
        <w:t>=33.8/(53.2+5.5+33.8)</w:t>
      </w:r>
      <w:r>
        <w:rPr>
          <w:rFonts w:asciiTheme="minorHAnsi" w:hAnsiTheme="minorHAnsi" w:cstheme="minorHAnsi"/>
        </w:rPr>
        <w:t xml:space="preserve"> using proportions from </w:t>
      </w:r>
      <w:r w:rsidRPr="00FC08D6">
        <w:rPr>
          <w:rFonts w:asciiTheme="minorHAnsi" w:hAnsiTheme="minorHAnsi" w:cstheme="minorHAnsi"/>
        </w:rPr>
        <w:fldChar w:fldCharType="begin"/>
      </w:r>
      <w:r w:rsidRPr="00BE49EF">
        <w:rPr>
          <w:rFonts w:asciiTheme="minorHAnsi" w:hAnsiTheme="minorHAnsi" w:cstheme="minorHAnsi"/>
        </w:rPr>
        <w:instrText xml:space="preserve"> REF _Ref64729156 \h </w:instrText>
      </w:r>
      <w:r w:rsidRPr="00FC08D6">
        <w:rPr>
          <w:rFonts w:asciiTheme="minorHAnsi" w:hAnsiTheme="minorHAnsi" w:cstheme="minorHAnsi"/>
        </w:rPr>
        <w:instrText xml:space="preserve"> \* MERGEFORMAT </w:instrText>
      </w:r>
      <w:r w:rsidRPr="00FC08D6">
        <w:rPr>
          <w:rFonts w:asciiTheme="minorHAnsi" w:hAnsiTheme="minorHAnsi" w:cstheme="minorHAnsi"/>
        </w:rPr>
      </w:r>
      <w:r w:rsidRPr="00FC08D6">
        <w:rPr>
          <w:rFonts w:asciiTheme="minorHAnsi" w:hAnsiTheme="minorHAnsi" w:cstheme="minorHAnsi"/>
        </w:rPr>
        <w:fldChar w:fldCharType="separate"/>
      </w:r>
      <w:r w:rsidR="00C81BF6" w:rsidRPr="00C81BF6">
        <w:rPr>
          <w:rFonts w:asciiTheme="minorHAnsi" w:hAnsiTheme="minorHAnsi" w:cstheme="minorHAnsi"/>
        </w:rPr>
        <w:t>Table 26</w:t>
      </w:r>
      <w:r w:rsidRPr="00FC08D6">
        <w:rPr>
          <w:rFonts w:asciiTheme="minorHAnsi" w:hAnsiTheme="minorHAnsi" w:cstheme="minorHAnsi"/>
        </w:rPr>
        <w:fldChar w:fldCharType="end"/>
      </w:r>
      <w:r w:rsidRPr="00BE49EF">
        <w:rPr>
          <w:rFonts w:asciiTheme="minorHAnsi" w:hAnsiTheme="minorHAnsi" w:cstheme="minorHAnsi"/>
        </w:rPr>
        <w:t>.</w:t>
      </w:r>
      <w:r>
        <w:rPr>
          <w:rFonts w:asciiTheme="minorHAnsi" w:hAnsiTheme="minorHAnsi" w:cstheme="minorHAnsi"/>
        </w:rPr>
        <w:t xml:space="preserve"> </w:t>
      </w:r>
    </w:p>
  </w:footnote>
  <w:footnote w:id="3">
    <w:p w:rsidR="005C66A3" w:rsidRDefault="005C66A3">
      <w:pPr>
        <w:pStyle w:val="FootnoteText"/>
      </w:pPr>
      <w:r w:rsidRPr="00BE49EF">
        <w:rPr>
          <w:vertAlign w:val="superscript"/>
        </w:rPr>
        <w:footnoteRef/>
      </w:r>
      <w:r>
        <w:t>Calculated as (365.25/28) x $</w:t>
      </w:r>
      <w:r>
        <w:rPr>
          <w:noProof/>
          <w:highlight w:val="black"/>
        </w:rPr>
        <w:t>''''''''''''''''''''</w:t>
      </w:r>
    </w:p>
  </w:footnote>
  <w:footnote w:id="4">
    <w:p w:rsidR="005C66A3" w:rsidRDefault="005C66A3" w:rsidP="006B53BB">
      <w:pPr>
        <w:pStyle w:val="CommentText"/>
      </w:pPr>
      <w:r>
        <w:rPr>
          <w:rStyle w:val="FootnoteReference"/>
        </w:rPr>
        <w:footnoteRef/>
      </w:r>
      <w:r>
        <w:t xml:space="preserve"> </w:t>
      </w:r>
      <w:r w:rsidRPr="002A5CE1">
        <w:rPr>
          <w:rFonts w:ascii="Calibri" w:hAnsi="Calibri" w:cs="Calibri"/>
        </w:rPr>
        <w:t>The submission used a yearly cost of IVA of $</w:t>
      </w:r>
      <w:r>
        <w:rPr>
          <w:rFonts w:ascii="Calibri" w:hAnsi="Calibri" w:cs="Calibri"/>
          <w:noProof/>
          <w:color w:val="000000"/>
          <w:highlight w:val="black"/>
        </w:rPr>
        <w:t>'''''''''''''''''''''</w:t>
      </w:r>
      <w:r w:rsidRPr="002A5CE1">
        <w:rPr>
          <w:rFonts w:ascii="Calibri" w:hAnsi="Calibri" w:cs="Calibri"/>
        </w:rPr>
        <w:t xml:space="preserve"> which was “calculated based on Year 1 cap in the Ivacaftor Deed of Agreement and the number of treated patients in the equivalent time period utilising Vertex dat</w:t>
      </w:r>
      <w:r>
        <w:rPr>
          <w:rFonts w:ascii="Calibri" w:hAnsi="Calibri" w:cs="Calibri"/>
        </w:rPr>
        <w:t xml:space="preserve">a </w:t>
      </w:r>
      <w:r w:rsidRPr="002A5CE1">
        <w:rPr>
          <w:rFonts w:ascii="Calibri" w:hAnsi="Calibri" w:cs="Calibri"/>
        </w:rPr>
        <w:t>gathered in field”</w:t>
      </w:r>
    </w:p>
  </w:footnote>
  <w:footnote w:id="5">
    <w:p w:rsidR="005C66A3" w:rsidRDefault="005C66A3">
      <w:pPr>
        <w:pStyle w:val="FootnoteText"/>
      </w:pPr>
      <w:r>
        <w:rPr>
          <w:rStyle w:val="FootnoteReference"/>
        </w:rPr>
        <w:footnoteRef/>
      </w:r>
      <w:r>
        <w:t xml:space="preserve"> Does not add to 100%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Default="005C6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Pr="00B44AAF" w:rsidRDefault="005C66A3">
    <w:pPr>
      <w:pStyle w:val="Header"/>
      <w:rPr>
        <w:i/>
      </w:rPr>
    </w:pPr>
    <w:r>
      <w:rPr>
        <w:i/>
      </w:rPr>
      <w:t>Public Summary Document</w:t>
    </w:r>
    <w:r w:rsidRPr="00B44AAF">
      <w:rPr>
        <w:i/>
      </w:rPr>
      <w:t xml:space="preserve"> – March 2021 PBAC Meeting</w:t>
    </w:r>
  </w:p>
  <w:p w:rsidR="005C66A3" w:rsidRPr="008C7ECB" w:rsidRDefault="005C6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A3" w:rsidRDefault="005C6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331C30E4"/>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88"/>
    <w:multiLevelType w:val="singleLevel"/>
    <w:tmpl w:val="A7980A88"/>
    <w:lvl w:ilvl="0">
      <w:start w:val="1"/>
      <w:numFmt w:val="decimal"/>
      <w:pStyle w:val="ListNumber"/>
      <w:lvlText w:val="%1."/>
      <w:lvlJc w:val="left"/>
      <w:pPr>
        <w:tabs>
          <w:tab w:val="num" w:pos="360"/>
        </w:tabs>
        <w:ind w:left="360" w:hanging="360"/>
      </w:pPr>
    </w:lvl>
  </w:abstractNum>
  <w:abstractNum w:abstractNumId="2" w15:restartNumberingAfterBreak="0">
    <w:nsid w:val="06105138"/>
    <w:multiLevelType w:val="hybridMultilevel"/>
    <w:tmpl w:val="CA2CA0CE"/>
    <w:lvl w:ilvl="0" w:tplc="D16227A0">
      <w:start w:val="1"/>
      <w:numFmt w:val="bullet"/>
      <w:pStyle w:val="Dash0"/>
      <w:lvlText w:val="–"/>
      <w:lvlJc w:val="left"/>
      <w:pPr>
        <w:tabs>
          <w:tab w:val="num" w:pos="216"/>
        </w:tabs>
        <w:ind w:left="360" w:firstLine="0"/>
      </w:pPr>
      <w:rPr>
        <w:rFonts w:ascii="Times New Roman" w:hAnsi="Times New Roman" w:cs="Times New Roman" w:hint="default"/>
        <w:sz w:val="16"/>
      </w:rPr>
    </w:lvl>
    <w:lvl w:ilvl="1" w:tplc="9B76AE9C" w:tentative="1">
      <w:start w:val="1"/>
      <w:numFmt w:val="bullet"/>
      <w:lvlText w:val="o"/>
      <w:lvlJc w:val="left"/>
      <w:pPr>
        <w:tabs>
          <w:tab w:val="num" w:pos="1440"/>
        </w:tabs>
        <w:ind w:left="1440" w:hanging="360"/>
      </w:pPr>
      <w:rPr>
        <w:rFonts w:ascii="Courier New" w:hAnsi="Courier New" w:cs="Courier New" w:hint="default"/>
      </w:rPr>
    </w:lvl>
    <w:lvl w:ilvl="2" w:tplc="33FEE97A" w:tentative="1">
      <w:start w:val="1"/>
      <w:numFmt w:val="bullet"/>
      <w:lvlText w:val=""/>
      <w:lvlJc w:val="left"/>
      <w:pPr>
        <w:tabs>
          <w:tab w:val="num" w:pos="2160"/>
        </w:tabs>
        <w:ind w:left="2160" w:hanging="360"/>
      </w:pPr>
      <w:rPr>
        <w:rFonts w:ascii="Wingdings" w:hAnsi="Wingdings" w:hint="default"/>
      </w:rPr>
    </w:lvl>
    <w:lvl w:ilvl="3" w:tplc="96EA1A3C" w:tentative="1">
      <w:start w:val="1"/>
      <w:numFmt w:val="bullet"/>
      <w:lvlText w:val=""/>
      <w:lvlJc w:val="left"/>
      <w:pPr>
        <w:tabs>
          <w:tab w:val="num" w:pos="2880"/>
        </w:tabs>
        <w:ind w:left="2880" w:hanging="360"/>
      </w:pPr>
      <w:rPr>
        <w:rFonts w:ascii="Symbol" w:hAnsi="Symbol" w:hint="default"/>
      </w:rPr>
    </w:lvl>
    <w:lvl w:ilvl="4" w:tplc="C73E3864" w:tentative="1">
      <w:start w:val="1"/>
      <w:numFmt w:val="bullet"/>
      <w:lvlText w:val="o"/>
      <w:lvlJc w:val="left"/>
      <w:pPr>
        <w:tabs>
          <w:tab w:val="num" w:pos="3600"/>
        </w:tabs>
        <w:ind w:left="3600" w:hanging="360"/>
      </w:pPr>
      <w:rPr>
        <w:rFonts w:ascii="Courier New" w:hAnsi="Courier New" w:cs="Courier New" w:hint="default"/>
      </w:rPr>
    </w:lvl>
    <w:lvl w:ilvl="5" w:tplc="9D146F32" w:tentative="1">
      <w:start w:val="1"/>
      <w:numFmt w:val="bullet"/>
      <w:lvlText w:val=""/>
      <w:lvlJc w:val="left"/>
      <w:pPr>
        <w:tabs>
          <w:tab w:val="num" w:pos="4320"/>
        </w:tabs>
        <w:ind w:left="4320" w:hanging="360"/>
      </w:pPr>
      <w:rPr>
        <w:rFonts w:ascii="Wingdings" w:hAnsi="Wingdings" w:hint="default"/>
      </w:rPr>
    </w:lvl>
    <w:lvl w:ilvl="6" w:tplc="4F44683C" w:tentative="1">
      <w:start w:val="1"/>
      <w:numFmt w:val="bullet"/>
      <w:lvlText w:val=""/>
      <w:lvlJc w:val="left"/>
      <w:pPr>
        <w:tabs>
          <w:tab w:val="num" w:pos="5040"/>
        </w:tabs>
        <w:ind w:left="5040" w:hanging="360"/>
      </w:pPr>
      <w:rPr>
        <w:rFonts w:ascii="Symbol" w:hAnsi="Symbol" w:hint="default"/>
      </w:rPr>
    </w:lvl>
    <w:lvl w:ilvl="7" w:tplc="5802A302" w:tentative="1">
      <w:start w:val="1"/>
      <w:numFmt w:val="bullet"/>
      <w:lvlText w:val="o"/>
      <w:lvlJc w:val="left"/>
      <w:pPr>
        <w:tabs>
          <w:tab w:val="num" w:pos="5760"/>
        </w:tabs>
        <w:ind w:left="5760" w:hanging="360"/>
      </w:pPr>
      <w:rPr>
        <w:rFonts w:ascii="Courier New" w:hAnsi="Courier New" w:cs="Courier New" w:hint="default"/>
      </w:rPr>
    </w:lvl>
    <w:lvl w:ilvl="8" w:tplc="0E2644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1819"/>
    <w:multiLevelType w:val="hybridMultilevel"/>
    <w:tmpl w:val="7BC836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B237187"/>
    <w:multiLevelType w:val="hybridMultilevel"/>
    <w:tmpl w:val="038669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2A6BE6"/>
    <w:multiLevelType w:val="hybridMultilevel"/>
    <w:tmpl w:val="2D186822"/>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6" w15:restartNumberingAfterBreak="0">
    <w:nsid w:val="137F212E"/>
    <w:multiLevelType w:val="hybridMultilevel"/>
    <w:tmpl w:val="69208B60"/>
    <w:lvl w:ilvl="0" w:tplc="0C09000F">
      <w:start w:val="1"/>
      <w:numFmt w:val="decimal"/>
      <w:lvlText w:val="%1."/>
      <w:lvlJc w:val="left"/>
      <w:pPr>
        <w:ind w:left="720"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4E6478"/>
    <w:multiLevelType w:val="hybridMultilevel"/>
    <w:tmpl w:val="1952CAB2"/>
    <w:lvl w:ilvl="0" w:tplc="842865A6">
      <w:start w:val="1"/>
      <w:numFmt w:val="bullet"/>
      <w:pStyle w:val="Bullet0"/>
      <w:lvlText w:val=""/>
      <w:lvlJc w:val="left"/>
      <w:pPr>
        <w:ind w:left="720" w:hanging="360"/>
      </w:pPr>
      <w:rPr>
        <w:rFonts w:ascii="Symbol" w:hAnsi="Symbol" w:hint="default"/>
        <w:spacing w:val="0"/>
        <w:w w:val="100"/>
        <w:position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276904"/>
    <w:multiLevelType w:val="hybridMultilevel"/>
    <w:tmpl w:val="0372A108"/>
    <w:lvl w:ilvl="0" w:tplc="C39E16E6">
      <w:start w:val="1"/>
      <w:numFmt w:val="decimal"/>
      <w:lvlText w:val="%1."/>
      <w:lvlJc w:val="left"/>
      <w:pPr>
        <w:ind w:left="1080" w:hanging="360"/>
      </w:pPr>
      <w:rPr>
        <w:rFonts w:hint="default"/>
      </w:rPr>
    </w:lvl>
    <w:lvl w:ilvl="1" w:tplc="0C090003" w:tentative="1">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9" w15:restartNumberingAfterBreak="0">
    <w:nsid w:val="1B105BFD"/>
    <w:multiLevelType w:val="hybridMultilevel"/>
    <w:tmpl w:val="90E2A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7976D7"/>
    <w:multiLevelType w:val="hybridMultilevel"/>
    <w:tmpl w:val="3424A8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3DD11E3"/>
    <w:multiLevelType w:val="hybridMultilevel"/>
    <w:tmpl w:val="CC22AED4"/>
    <w:lvl w:ilvl="0" w:tplc="0C09000F">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A9202A"/>
    <w:multiLevelType w:val="hybridMultilevel"/>
    <w:tmpl w:val="647ECB16"/>
    <w:lvl w:ilvl="0" w:tplc="8E90AB3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193F81"/>
    <w:multiLevelType w:val="hybridMultilevel"/>
    <w:tmpl w:val="647ECB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B006661"/>
    <w:multiLevelType w:val="hybridMultilevel"/>
    <w:tmpl w:val="F9420D5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6618E2"/>
    <w:multiLevelType w:val="hybridMultilevel"/>
    <w:tmpl w:val="853CCA2E"/>
    <w:lvl w:ilvl="0" w:tplc="0C090001">
      <w:start w:val="1"/>
      <w:numFmt w:val="bullet"/>
      <w:lvlText w:val=""/>
      <w:lvlJc w:val="left"/>
      <w:pPr>
        <w:ind w:left="273" w:hanging="360"/>
      </w:pPr>
      <w:rPr>
        <w:rFonts w:ascii="Symbol" w:hAnsi="Symbol" w:hint="default"/>
      </w:rPr>
    </w:lvl>
    <w:lvl w:ilvl="1" w:tplc="0C090019" w:tentative="1">
      <w:start w:val="1"/>
      <w:numFmt w:val="lowerLetter"/>
      <w:lvlText w:val="%2."/>
      <w:lvlJc w:val="left"/>
      <w:pPr>
        <w:ind w:left="993" w:hanging="360"/>
      </w:pPr>
    </w:lvl>
    <w:lvl w:ilvl="2" w:tplc="0C09001B" w:tentative="1">
      <w:start w:val="1"/>
      <w:numFmt w:val="lowerRoman"/>
      <w:lvlText w:val="%3."/>
      <w:lvlJc w:val="right"/>
      <w:pPr>
        <w:ind w:left="1713" w:hanging="180"/>
      </w:pPr>
    </w:lvl>
    <w:lvl w:ilvl="3" w:tplc="0C09000F" w:tentative="1">
      <w:start w:val="1"/>
      <w:numFmt w:val="decimal"/>
      <w:lvlText w:val="%4."/>
      <w:lvlJc w:val="left"/>
      <w:pPr>
        <w:ind w:left="2433" w:hanging="360"/>
      </w:pPr>
    </w:lvl>
    <w:lvl w:ilvl="4" w:tplc="0C090019" w:tentative="1">
      <w:start w:val="1"/>
      <w:numFmt w:val="lowerLetter"/>
      <w:lvlText w:val="%5."/>
      <w:lvlJc w:val="left"/>
      <w:pPr>
        <w:ind w:left="3153" w:hanging="360"/>
      </w:pPr>
    </w:lvl>
    <w:lvl w:ilvl="5" w:tplc="0C09001B" w:tentative="1">
      <w:start w:val="1"/>
      <w:numFmt w:val="lowerRoman"/>
      <w:lvlText w:val="%6."/>
      <w:lvlJc w:val="right"/>
      <w:pPr>
        <w:ind w:left="3873" w:hanging="180"/>
      </w:pPr>
    </w:lvl>
    <w:lvl w:ilvl="6" w:tplc="0C09000F" w:tentative="1">
      <w:start w:val="1"/>
      <w:numFmt w:val="decimal"/>
      <w:lvlText w:val="%7."/>
      <w:lvlJc w:val="left"/>
      <w:pPr>
        <w:ind w:left="4593" w:hanging="360"/>
      </w:pPr>
    </w:lvl>
    <w:lvl w:ilvl="7" w:tplc="0C090019" w:tentative="1">
      <w:start w:val="1"/>
      <w:numFmt w:val="lowerLetter"/>
      <w:lvlText w:val="%8."/>
      <w:lvlJc w:val="left"/>
      <w:pPr>
        <w:ind w:left="5313" w:hanging="360"/>
      </w:pPr>
    </w:lvl>
    <w:lvl w:ilvl="8" w:tplc="0C09001B" w:tentative="1">
      <w:start w:val="1"/>
      <w:numFmt w:val="lowerRoman"/>
      <w:lvlText w:val="%9."/>
      <w:lvlJc w:val="right"/>
      <w:pPr>
        <w:ind w:left="6033" w:hanging="180"/>
      </w:pPr>
    </w:lvl>
  </w:abstractNum>
  <w:abstractNum w:abstractNumId="16" w15:restartNumberingAfterBreak="0">
    <w:nsid w:val="31473B89"/>
    <w:multiLevelType w:val="hybridMultilevel"/>
    <w:tmpl w:val="78D62476"/>
    <w:lvl w:ilvl="0" w:tplc="4C9C7AD6">
      <w:start w:val="1"/>
      <w:numFmt w:val="bullet"/>
      <w:lvlText w:val="•"/>
      <w:lvlJc w:val="left"/>
      <w:pPr>
        <w:tabs>
          <w:tab w:val="num" w:pos="720"/>
        </w:tabs>
        <w:ind w:left="720" w:hanging="360"/>
      </w:pPr>
      <w:rPr>
        <w:rFonts w:ascii="Arial" w:hAnsi="Arial" w:hint="default"/>
      </w:rPr>
    </w:lvl>
    <w:lvl w:ilvl="1" w:tplc="F8A6902A" w:tentative="1">
      <w:start w:val="1"/>
      <w:numFmt w:val="bullet"/>
      <w:lvlText w:val="•"/>
      <w:lvlJc w:val="left"/>
      <w:pPr>
        <w:tabs>
          <w:tab w:val="num" w:pos="1440"/>
        </w:tabs>
        <w:ind w:left="1440" w:hanging="360"/>
      </w:pPr>
      <w:rPr>
        <w:rFonts w:ascii="Arial" w:hAnsi="Arial" w:hint="default"/>
      </w:rPr>
    </w:lvl>
    <w:lvl w:ilvl="2" w:tplc="1B0C0744" w:tentative="1">
      <w:start w:val="1"/>
      <w:numFmt w:val="bullet"/>
      <w:lvlText w:val="•"/>
      <w:lvlJc w:val="left"/>
      <w:pPr>
        <w:tabs>
          <w:tab w:val="num" w:pos="2160"/>
        </w:tabs>
        <w:ind w:left="2160" w:hanging="360"/>
      </w:pPr>
      <w:rPr>
        <w:rFonts w:ascii="Arial" w:hAnsi="Arial" w:hint="default"/>
      </w:rPr>
    </w:lvl>
    <w:lvl w:ilvl="3" w:tplc="304C4EEE" w:tentative="1">
      <w:start w:val="1"/>
      <w:numFmt w:val="bullet"/>
      <w:lvlText w:val="•"/>
      <w:lvlJc w:val="left"/>
      <w:pPr>
        <w:tabs>
          <w:tab w:val="num" w:pos="2880"/>
        </w:tabs>
        <w:ind w:left="2880" w:hanging="360"/>
      </w:pPr>
      <w:rPr>
        <w:rFonts w:ascii="Arial" w:hAnsi="Arial" w:hint="default"/>
      </w:rPr>
    </w:lvl>
    <w:lvl w:ilvl="4" w:tplc="623AB5E0" w:tentative="1">
      <w:start w:val="1"/>
      <w:numFmt w:val="bullet"/>
      <w:lvlText w:val="•"/>
      <w:lvlJc w:val="left"/>
      <w:pPr>
        <w:tabs>
          <w:tab w:val="num" w:pos="3600"/>
        </w:tabs>
        <w:ind w:left="3600" w:hanging="360"/>
      </w:pPr>
      <w:rPr>
        <w:rFonts w:ascii="Arial" w:hAnsi="Arial" w:hint="default"/>
      </w:rPr>
    </w:lvl>
    <w:lvl w:ilvl="5" w:tplc="EF38FC4C" w:tentative="1">
      <w:start w:val="1"/>
      <w:numFmt w:val="bullet"/>
      <w:lvlText w:val="•"/>
      <w:lvlJc w:val="left"/>
      <w:pPr>
        <w:tabs>
          <w:tab w:val="num" w:pos="4320"/>
        </w:tabs>
        <w:ind w:left="4320" w:hanging="360"/>
      </w:pPr>
      <w:rPr>
        <w:rFonts w:ascii="Arial" w:hAnsi="Arial" w:hint="default"/>
      </w:rPr>
    </w:lvl>
    <w:lvl w:ilvl="6" w:tplc="78F001FE" w:tentative="1">
      <w:start w:val="1"/>
      <w:numFmt w:val="bullet"/>
      <w:lvlText w:val="•"/>
      <w:lvlJc w:val="left"/>
      <w:pPr>
        <w:tabs>
          <w:tab w:val="num" w:pos="5040"/>
        </w:tabs>
        <w:ind w:left="5040" w:hanging="360"/>
      </w:pPr>
      <w:rPr>
        <w:rFonts w:ascii="Arial" w:hAnsi="Arial" w:hint="default"/>
      </w:rPr>
    </w:lvl>
    <w:lvl w:ilvl="7" w:tplc="B436EB4A" w:tentative="1">
      <w:start w:val="1"/>
      <w:numFmt w:val="bullet"/>
      <w:lvlText w:val="•"/>
      <w:lvlJc w:val="left"/>
      <w:pPr>
        <w:tabs>
          <w:tab w:val="num" w:pos="5760"/>
        </w:tabs>
        <w:ind w:left="5760" w:hanging="360"/>
      </w:pPr>
      <w:rPr>
        <w:rFonts w:ascii="Arial" w:hAnsi="Arial" w:hint="default"/>
      </w:rPr>
    </w:lvl>
    <w:lvl w:ilvl="8" w:tplc="F2C63BB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7D0667"/>
    <w:multiLevelType w:val="hybridMultilevel"/>
    <w:tmpl w:val="C4D6D546"/>
    <w:lvl w:ilvl="0" w:tplc="DCBEEDBC">
      <w:start w:val="1"/>
      <w:numFmt w:val="bullet"/>
      <w:pStyle w:val="TableListParagraph"/>
      <w:lvlText w:val=""/>
      <w:lvlJc w:val="left"/>
      <w:pPr>
        <w:ind w:left="144" w:hanging="144"/>
      </w:pPr>
      <w:rPr>
        <w:rFonts w:ascii="Symbol" w:hAnsi="Symbol" w:hint="default"/>
        <w:color w:val="auto"/>
        <w:sz w:val="18"/>
      </w:rPr>
    </w:lvl>
    <w:lvl w:ilvl="1" w:tplc="0C090019">
      <w:start w:val="1"/>
      <w:numFmt w:val="bullet"/>
      <w:lvlText w:val="–"/>
      <w:lvlJc w:val="left"/>
      <w:pPr>
        <w:ind w:left="504" w:hanging="144"/>
      </w:pPr>
      <w:rPr>
        <w:rFonts w:ascii="Times New Roman" w:hAnsi="Times New Roman" w:cs="Times New Roman" w:hint="default"/>
        <w:color w:val="auto"/>
        <w:sz w:val="18"/>
      </w:rPr>
    </w:lvl>
    <w:lvl w:ilvl="2" w:tplc="0C09001B">
      <w:start w:val="1"/>
      <w:numFmt w:val="bullet"/>
      <w:lvlText w:val="–"/>
      <w:lvlJc w:val="left"/>
      <w:pPr>
        <w:ind w:left="864" w:hanging="144"/>
      </w:pPr>
      <w:rPr>
        <w:rFonts w:ascii="Times New Roman" w:hAnsi="Times New Roman" w:cs="Times New Roman" w:hint="default"/>
        <w:color w:val="auto"/>
        <w:sz w:val="18"/>
      </w:rPr>
    </w:lvl>
    <w:lvl w:ilvl="3" w:tplc="0C09000F">
      <w:start w:val="1"/>
      <w:numFmt w:val="bullet"/>
      <w:lvlText w:val="–"/>
      <w:lvlJc w:val="left"/>
      <w:pPr>
        <w:ind w:left="1224" w:hanging="144"/>
      </w:pPr>
      <w:rPr>
        <w:rFonts w:asciiTheme="minorHAnsi" w:hAnsiTheme="minorHAnsi" w:hint="default"/>
        <w:color w:val="auto"/>
        <w:sz w:val="18"/>
      </w:rPr>
    </w:lvl>
    <w:lvl w:ilvl="4" w:tplc="0C090019">
      <w:start w:val="1"/>
      <w:numFmt w:val="bullet"/>
      <w:lvlText w:val="–"/>
      <w:lvlJc w:val="left"/>
      <w:pPr>
        <w:ind w:left="1584" w:hanging="144"/>
      </w:pPr>
      <w:rPr>
        <w:rFonts w:asciiTheme="minorHAnsi" w:hAnsiTheme="minorHAnsi" w:cs="Times New Roman" w:hint="default"/>
        <w:color w:val="auto"/>
        <w:sz w:val="18"/>
      </w:rPr>
    </w:lvl>
    <w:lvl w:ilvl="5" w:tplc="0C09001B">
      <w:start w:val="1"/>
      <w:numFmt w:val="bullet"/>
      <w:lvlText w:val="–"/>
      <w:lvlJc w:val="left"/>
      <w:pPr>
        <w:ind w:left="1944" w:hanging="144"/>
      </w:pPr>
      <w:rPr>
        <w:rFonts w:asciiTheme="minorHAnsi" w:hAnsiTheme="minorHAnsi" w:cs="Times New Roman" w:hint="default"/>
        <w:color w:val="auto"/>
        <w:sz w:val="18"/>
      </w:rPr>
    </w:lvl>
    <w:lvl w:ilvl="6" w:tplc="0C09000F">
      <w:start w:val="1"/>
      <w:numFmt w:val="bullet"/>
      <w:lvlText w:val="–"/>
      <w:lvlJc w:val="left"/>
      <w:pPr>
        <w:ind w:left="2304" w:hanging="144"/>
      </w:pPr>
      <w:rPr>
        <w:rFonts w:asciiTheme="minorHAnsi" w:hAnsiTheme="minorHAnsi" w:cs="Times New Roman" w:hint="default"/>
        <w:color w:val="auto"/>
        <w:sz w:val="18"/>
      </w:rPr>
    </w:lvl>
    <w:lvl w:ilvl="7" w:tplc="0C090019">
      <w:start w:val="1"/>
      <w:numFmt w:val="bullet"/>
      <w:lvlText w:val="–"/>
      <w:lvlJc w:val="left"/>
      <w:pPr>
        <w:ind w:left="2664" w:hanging="144"/>
      </w:pPr>
      <w:rPr>
        <w:rFonts w:asciiTheme="minorHAnsi" w:hAnsiTheme="minorHAnsi" w:cs="Times New Roman" w:hint="default"/>
        <w:color w:val="auto"/>
        <w:sz w:val="18"/>
      </w:rPr>
    </w:lvl>
    <w:lvl w:ilvl="8" w:tplc="0C09001B">
      <w:start w:val="1"/>
      <w:numFmt w:val="bullet"/>
      <w:lvlText w:val="–"/>
      <w:lvlJc w:val="left"/>
      <w:pPr>
        <w:ind w:left="3024" w:hanging="144"/>
      </w:pPr>
      <w:rPr>
        <w:rFonts w:asciiTheme="minorHAnsi" w:hAnsiTheme="minorHAnsi" w:cs="Times New Roman" w:hint="default"/>
        <w:color w:val="auto"/>
        <w:sz w:val="18"/>
      </w:rPr>
    </w:lvl>
  </w:abstractNum>
  <w:abstractNum w:abstractNumId="18" w15:restartNumberingAfterBreak="0">
    <w:nsid w:val="3BD06632"/>
    <w:multiLevelType w:val="hybridMultilevel"/>
    <w:tmpl w:val="A9826142"/>
    <w:lvl w:ilvl="0" w:tplc="A7E47610">
      <w:start w:val="1"/>
      <w:numFmt w:val="bullet"/>
      <w:lvlText w:val=""/>
      <w:lvlJc w:val="left"/>
      <w:pPr>
        <w:ind w:left="720" w:hanging="360"/>
      </w:pPr>
      <w:rPr>
        <w:rFonts w:ascii="Symbol" w:hAnsi="Symbol" w:hint="default"/>
        <w:vertAlign w:val="baseline"/>
      </w:rPr>
    </w:lvl>
    <w:lvl w:ilvl="1" w:tplc="9FCA93FA" w:tentative="1">
      <w:start w:val="1"/>
      <w:numFmt w:val="bullet"/>
      <w:lvlText w:val="o"/>
      <w:lvlJc w:val="left"/>
      <w:pPr>
        <w:ind w:left="1440" w:hanging="360"/>
      </w:pPr>
      <w:rPr>
        <w:rFonts w:ascii="Courier New" w:hAnsi="Courier New" w:cs="Courier New" w:hint="default"/>
      </w:rPr>
    </w:lvl>
    <w:lvl w:ilvl="2" w:tplc="48CE6B76" w:tentative="1">
      <w:start w:val="1"/>
      <w:numFmt w:val="bullet"/>
      <w:lvlText w:val=""/>
      <w:lvlJc w:val="left"/>
      <w:pPr>
        <w:ind w:left="2160" w:hanging="360"/>
      </w:pPr>
      <w:rPr>
        <w:rFonts w:ascii="Wingdings" w:hAnsi="Wingdings" w:hint="default"/>
      </w:rPr>
    </w:lvl>
    <w:lvl w:ilvl="3" w:tplc="F80C9834" w:tentative="1">
      <w:start w:val="1"/>
      <w:numFmt w:val="bullet"/>
      <w:lvlText w:val=""/>
      <w:lvlJc w:val="left"/>
      <w:pPr>
        <w:ind w:left="2880" w:hanging="360"/>
      </w:pPr>
      <w:rPr>
        <w:rFonts w:ascii="Symbol" w:hAnsi="Symbol" w:hint="default"/>
      </w:rPr>
    </w:lvl>
    <w:lvl w:ilvl="4" w:tplc="A642DBF4" w:tentative="1">
      <w:start w:val="1"/>
      <w:numFmt w:val="bullet"/>
      <w:lvlText w:val="o"/>
      <w:lvlJc w:val="left"/>
      <w:pPr>
        <w:ind w:left="3600" w:hanging="360"/>
      </w:pPr>
      <w:rPr>
        <w:rFonts w:ascii="Courier New" w:hAnsi="Courier New" w:cs="Courier New" w:hint="default"/>
      </w:rPr>
    </w:lvl>
    <w:lvl w:ilvl="5" w:tplc="A15A9566" w:tentative="1">
      <w:start w:val="1"/>
      <w:numFmt w:val="bullet"/>
      <w:lvlText w:val=""/>
      <w:lvlJc w:val="left"/>
      <w:pPr>
        <w:ind w:left="4320" w:hanging="360"/>
      </w:pPr>
      <w:rPr>
        <w:rFonts w:ascii="Wingdings" w:hAnsi="Wingdings" w:hint="default"/>
      </w:rPr>
    </w:lvl>
    <w:lvl w:ilvl="6" w:tplc="D1A064A4" w:tentative="1">
      <w:start w:val="1"/>
      <w:numFmt w:val="bullet"/>
      <w:lvlText w:val=""/>
      <w:lvlJc w:val="left"/>
      <w:pPr>
        <w:ind w:left="5040" w:hanging="360"/>
      </w:pPr>
      <w:rPr>
        <w:rFonts w:ascii="Symbol" w:hAnsi="Symbol" w:hint="default"/>
      </w:rPr>
    </w:lvl>
    <w:lvl w:ilvl="7" w:tplc="4DEE22C4" w:tentative="1">
      <w:start w:val="1"/>
      <w:numFmt w:val="bullet"/>
      <w:lvlText w:val="o"/>
      <w:lvlJc w:val="left"/>
      <w:pPr>
        <w:ind w:left="5760" w:hanging="360"/>
      </w:pPr>
      <w:rPr>
        <w:rFonts w:ascii="Courier New" w:hAnsi="Courier New" w:cs="Courier New" w:hint="default"/>
      </w:rPr>
    </w:lvl>
    <w:lvl w:ilvl="8" w:tplc="1CE01ABA" w:tentative="1">
      <w:start w:val="1"/>
      <w:numFmt w:val="bullet"/>
      <w:lvlText w:val=""/>
      <w:lvlJc w:val="left"/>
      <w:pPr>
        <w:ind w:left="6480" w:hanging="360"/>
      </w:pPr>
      <w:rPr>
        <w:rFonts w:ascii="Wingdings" w:hAnsi="Wingdings" w:hint="default"/>
      </w:rPr>
    </w:lvl>
  </w:abstractNum>
  <w:abstractNum w:abstractNumId="19" w15:restartNumberingAfterBreak="0">
    <w:nsid w:val="40703B9B"/>
    <w:multiLevelType w:val="hybridMultilevel"/>
    <w:tmpl w:val="B20ADA9E"/>
    <w:lvl w:ilvl="0" w:tplc="0C09000F">
      <w:start w:val="1"/>
      <w:numFmt w:val="upperLetter"/>
      <w:pStyle w:val="Bullet0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20E5268"/>
    <w:multiLevelType w:val="hybridMultilevel"/>
    <w:tmpl w:val="9B56DC26"/>
    <w:lvl w:ilvl="0" w:tplc="18CED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D34F7"/>
    <w:multiLevelType w:val="hybridMultilevel"/>
    <w:tmpl w:val="EA8CC278"/>
    <w:lvl w:ilvl="0" w:tplc="C3E254F4">
      <w:start w:val="1"/>
      <w:numFmt w:val="decimal"/>
      <w:lvlText w:val="%1."/>
      <w:lvlJc w:val="left"/>
      <w:pPr>
        <w:ind w:left="360" w:hanging="360"/>
      </w:pPr>
      <w:rPr>
        <w:rFonts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0C09000F">
      <w:start w:val="1"/>
      <w:numFmt w:val="bullet"/>
      <w:pStyle w:val="Bulle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D67A6"/>
    <w:multiLevelType w:val="hybridMultilevel"/>
    <w:tmpl w:val="51CA1480"/>
    <w:lvl w:ilvl="0" w:tplc="C324F4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36284"/>
    <w:multiLevelType w:val="hybridMultilevel"/>
    <w:tmpl w:val="B9A2F5C0"/>
    <w:lvl w:ilvl="0" w:tplc="0C090001">
      <w:start w:val="1"/>
      <w:numFmt w:val="bullet"/>
      <w:lvlText w:val=""/>
      <w:lvlJc w:val="left"/>
      <w:pPr>
        <w:ind w:left="360" w:hanging="360"/>
      </w:pPr>
      <w:rPr>
        <w:rFonts w:ascii="Symbol" w:hAnsi="Symbol" w:hint="default"/>
      </w:rPr>
    </w:lvl>
    <w:lvl w:ilvl="1" w:tplc="B0A8C722" w:tentative="1">
      <w:start w:val="1"/>
      <w:numFmt w:val="lowerLetter"/>
      <w:lvlText w:val="%2."/>
      <w:lvlJc w:val="left"/>
      <w:pPr>
        <w:ind w:left="1080" w:hanging="360"/>
      </w:pPr>
    </w:lvl>
    <w:lvl w:ilvl="2" w:tplc="E0BC4358" w:tentative="1">
      <w:start w:val="1"/>
      <w:numFmt w:val="lowerRoman"/>
      <w:lvlText w:val="%3."/>
      <w:lvlJc w:val="right"/>
      <w:pPr>
        <w:ind w:left="1800" w:hanging="180"/>
      </w:pPr>
    </w:lvl>
    <w:lvl w:ilvl="3" w:tplc="EB8CDDD0" w:tentative="1">
      <w:start w:val="1"/>
      <w:numFmt w:val="decimal"/>
      <w:lvlText w:val="%4."/>
      <w:lvlJc w:val="left"/>
      <w:pPr>
        <w:ind w:left="2520" w:hanging="360"/>
      </w:pPr>
    </w:lvl>
    <w:lvl w:ilvl="4" w:tplc="173E1550" w:tentative="1">
      <w:start w:val="1"/>
      <w:numFmt w:val="lowerLetter"/>
      <w:lvlText w:val="%5."/>
      <w:lvlJc w:val="left"/>
      <w:pPr>
        <w:ind w:left="3240" w:hanging="360"/>
      </w:pPr>
    </w:lvl>
    <w:lvl w:ilvl="5" w:tplc="08865432" w:tentative="1">
      <w:start w:val="1"/>
      <w:numFmt w:val="lowerRoman"/>
      <w:lvlText w:val="%6."/>
      <w:lvlJc w:val="right"/>
      <w:pPr>
        <w:ind w:left="3960" w:hanging="180"/>
      </w:pPr>
    </w:lvl>
    <w:lvl w:ilvl="6" w:tplc="677C8074" w:tentative="1">
      <w:start w:val="1"/>
      <w:numFmt w:val="decimal"/>
      <w:lvlText w:val="%7."/>
      <w:lvlJc w:val="left"/>
      <w:pPr>
        <w:ind w:left="4680" w:hanging="360"/>
      </w:pPr>
    </w:lvl>
    <w:lvl w:ilvl="7" w:tplc="7082A91C" w:tentative="1">
      <w:start w:val="1"/>
      <w:numFmt w:val="lowerLetter"/>
      <w:lvlText w:val="%8."/>
      <w:lvlJc w:val="left"/>
      <w:pPr>
        <w:ind w:left="5400" w:hanging="360"/>
      </w:pPr>
    </w:lvl>
    <w:lvl w:ilvl="8" w:tplc="46545CBA" w:tentative="1">
      <w:start w:val="1"/>
      <w:numFmt w:val="lowerRoman"/>
      <w:lvlText w:val="%9."/>
      <w:lvlJc w:val="right"/>
      <w:pPr>
        <w:ind w:left="6120" w:hanging="180"/>
      </w:pPr>
    </w:lvl>
  </w:abstractNum>
  <w:abstractNum w:abstractNumId="26" w15:restartNumberingAfterBreak="0">
    <w:nsid w:val="49EF0EDC"/>
    <w:multiLevelType w:val="hybridMultilevel"/>
    <w:tmpl w:val="924E2D5A"/>
    <w:lvl w:ilvl="0" w:tplc="04090001">
      <w:start w:val="1"/>
      <w:numFmt w:val="bullet"/>
      <w:pStyle w:val="Tablebulletlist"/>
      <w:lvlText w:val="•"/>
      <w:lvlJc w:val="left"/>
      <w:pPr>
        <w:ind w:left="468" w:hanging="360"/>
      </w:pPr>
      <w:rPr>
        <w:rFonts w:hint="default"/>
        <w:sz w:val="20"/>
        <w:szCs w:val="20"/>
      </w:rPr>
    </w:lvl>
    <w:lvl w:ilvl="1" w:tplc="04090003">
      <w:start w:val="1"/>
      <w:numFmt w:val="bullet"/>
      <w:lvlText w:val="•"/>
      <w:lvlJc w:val="left"/>
      <w:pPr>
        <w:ind w:left="1061" w:hanging="356"/>
      </w:pPr>
      <w:rPr>
        <w:rFonts w:hint="default"/>
      </w:rPr>
    </w:lvl>
    <w:lvl w:ilvl="2" w:tplc="04090005">
      <w:start w:val="1"/>
      <w:numFmt w:val="bullet"/>
      <w:lvlText w:val="•"/>
      <w:lvlJc w:val="left"/>
      <w:pPr>
        <w:ind w:left="1659" w:hanging="356"/>
      </w:pPr>
      <w:rPr>
        <w:rFonts w:hint="default"/>
      </w:rPr>
    </w:lvl>
    <w:lvl w:ilvl="3" w:tplc="04090001">
      <w:start w:val="1"/>
      <w:numFmt w:val="bullet"/>
      <w:lvlText w:val="•"/>
      <w:lvlJc w:val="left"/>
      <w:pPr>
        <w:ind w:left="2257" w:hanging="356"/>
      </w:pPr>
      <w:rPr>
        <w:rFonts w:hint="default"/>
      </w:rPr>
    </w:lvl>
    <w:lvl w:ilvl="4" w:tplc="04090003">
      <w:start w:val="1"/>
      <w:numFmt w:val="bullet"/>
      <w:lvlText w:val="•"/>
      <w:lvlJc w:val="left"/>
      <w:pPr>
        <w:ind w:left="2854" w:hanging="356"/>
      </w:pPr>
      <w:rPr>
        <w:rFonts w:hint="default"/>
      </w:rPr>
    </w:lvl>
    <w:lvl w:ilvl="5" w:tplc="04090005">
      <w:start w:val="1"/>
      <w:numFmt w:val="bullet"/>
      <w:lvlText w:val="•"/>
      <w:lvlJc w:val="left"/>
      <w:pPr>
        <w:ind w:left="3452" w:hanging="356"/>
      </w:pPr>
      <w:rPr>
        <w:rFonts w:hint="default"/>
      </w:rPr>
    </w:lvl>
    <w:lvl w:ilvl="6" w:tplc="04090001">
      <w:start w:val="1"/>
      <w:numFmt w:val="bullet"/>
      <w:lvlText w:val="•"/>
      <w:lvlJc w:val="left"/>
      <w:pPr>
        <w:ind w:left="4050" w:hanging="356"/>
      </w:pPr>
      <w:rPr>
        <w:rFonts w:hint="default"/>
      </w:rPr>
    </w:lvl>
    <w:lvl w:ilvl="7" w:tplc="04090003">
      <w:start w:val="1"/>
      <w:numFmt w:val="bullet"/>
      <w:lvlText w:val="•"/>
      <w:lvlJc w:val="left"/>
      <w:pPr>
        <w:ind w:left="4648" w:hanging="356"/>
      </w:pPr>
      <w:rPr>
        <w:rFonts w:hint="default"/>
      </w:rPr>
    </w:lvl>
    <w:lvl w:ilvl="8" w:tplc="04090005">
      <w:start w:val="1"/>
      <w:numFmt w:val="bullet"/>
      <w:lvlText w:val="•"/>
      <w:lvlJc w:val="left"/>
      <w:pPr>
        <w:ind w:left="5245" w:hanging="356"/>
      </w:pPr>
      <w:rPr>
        <w:rFonts w:hint="default"/>
      </w:rPr>
    </w:lvl>
  </w:abstractNum>
  <w:abstractNum w:abstractNumId="27" w15:restartNumberingAfterBreak="0">
    <w:nsid w:val="4D8D6EDE"/>
    <w:multiLevelType w:val="hybridMultilevel"/>
    <w:tmpl w:val="A24EF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E31AED"/>
    <w:multiLevelType w:val="hybridMultilevel"/>
    <w:tmpl w:val="E658522C"/>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364C04"/>
    <w:multiLevelType w:val="hybridMultilevel"/>
    <w:tmpl w:val="509016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B83976"/>
    <w:multiLevelType w:val="hybridMultilevel"/>
    <w:tmpl w:val="2A52DBB0"/>
    <w:lvl w:ilvl="0" w:tplc="9F063622">
      <w:start w:val="1"/>
      <w:numFmt w:val="bullet"/>
      <w:lvlText w:val="•"/>
      <w:lvlJc w:val="left"/>
      <w:pPr>
        <w:tabs>
          <w:tab w:val="num" w:pos="720"/>
        </w:tabs>
        <w:ind w:left="720" w:hanging="360"/>
      </w:pPr>
      <w:rPr>
        <w:rFonts w:ascii="Arial" w:hAnsi="Arial" w:hint="default"/>
      </w:rPr>
    </w:lvl>
    <w:lvl w:ilvl="1" w:tplc="405C7F9C" w:tentative="1">
      <w:start w:val="1"/>
      <w:numFmt w:val="bullet"/>
      <w:lvlText w:val="•"/>
      <w:lvlJc w:val="left"/>
      <w:pPr>
        <w:tabs>
          <w:tab w:val="num" w:pos="1440"/>
        </w:tabs>
        <w:ind w:left="1440" w:hanging="360"/>
      </w:pPr>
      <w:rPr>
        <w:rFonts w:ascii="Arial" w:hAnsi="Arial" w:hint="default"/>
      </w:rPr>
    </w:lvl>
    <w:lvl w:ilvl="2" w:tplc="E84C2CA2" w:tentative="1">
      <w:start w:val="1"/>
      <w:numFmt w:val="bullet"/>
      <w:lvlText w:val="•"/>
      <w:lvlJc w:val="left"/>
      <w:pPr>
        <w:tabs>
          <w:tab w:val="num" w:pos="2160"/>
        </w:tabs>
        <w:ind w:left="2160" w:hanging="360"/>
      </w:pPr>
      <w:rPr>
        <w:rFonts w:ascii="Arial" w:hAnsi="Arial" w:hint="default"/>
      </w:rPr>
    </w:lvl>
    <w:lvl w:ilvl="3" w:tplc="C5B07ACC" w:tentative="1">
      <w:start w:val="1"/>
      <w:numFmt w:val="bullet"/>
      <w:lvlText w:val="•"/>
      <w:lvlJc w:val="left"/>
      <w:pPr>
        <w:tabs>
          <w:tab w:val="num" w:pos="2880"/>
        </w:tabs>
        <w:ind w:left="2880" w:hanging="360"/>
      </w:pPr>
      <w:rPr>
        <w:rFonts w:ascii="Arial" w:hAnsi="Arial" w:hint="default"/>
      </w:rPr>
    </w:lvl>
    <w:lvl w:ilvl="4" w:tplc="6720C204" w:tentative="1">
      <w:start w:val="1"/>
      <w:numFmt w:val="bullet"/>
      <w:lvlText w:val="•"/>
      <w:lvlJc w:val="left"/>
      <w:pPr>
        <w:tabs>
          <w:tab w:val="num" w:pos="3600"/>
        </w:tabs>
        <w:ind w:left="3600" w:hanging="360"/>
      </w:pPr>
      <w:rPr>
        <w:rFonts w:ascii="Arial" w:hAnsi="Arial" w:hint="default"/>
      </w:rPr>
    </w:lvl>
    <w:lvl w:ilvl="5" w:tplc="97D2FF3E" w:tentative="1">
      <w:start w:val="1"/>
      <w:numFmt w:val="bullet"/>
      <w:lvlText w:val="•"/>
      <w:lvlJc w:val="left"/>
      <w:pPr>
        <w:tabs>
          <w:tab w:val="num" w:pos="4320"/>
        </w:tabs>
        <w:ind w:left="4320" w:hanging="360"/>
      </w:pPr>
      <w:rPr>
        <w:rFonts w:ascii="Arial" w:hAnsi="Arial" w:hint="default"/>
      </w:rPr>
    </w:lvl>
    <w:lvl w:ilvl="6" w:tplc="9224D428" w:tentative="1">
      <w:start w:val="1"/>
      <w:numFmt w:val="bullet"/>
      <w:lvlText w:val="•"/>
      <w:lvlJc w:val="left"/>
      <w:pPr>
        <w:tabs>
          <w:tab w:val="num" w:pos="5040"/>
        </w:tabs>
        <w:ind w:left="5040" w:hanging="360"/>
      </w:pPr>
      <w:rPr>
        <w:rFonts w:ascii="Arial" w:hAnsi="Arial" w:hint="default"/>
      </w:rPr>
    </w:lvl>
    <w:lvl w:ilvl="7" w:tplc="7BE0E4F6" w:tentative="1">
      <w:start w:val="1"/>
      <w:numFmt w:val="bullet"/>
      <w:lvlText w:val="•"/>
      <w:lvlJc w:val="left"/>
      <w:pPr>
        <w:tabs>
          <w:tab w:val="num" w:pos="5760"/>
        </w:tabs>
        <w:ind w:left="5760" w:hanging="360"/>
      </w:pPr>
      <w:rPr>
        <w:rFonts w:ascii="Arial" w:hAnsi="Arial" w:hint="default"/>
      </w:rPr>
    </w:lvl>
    <w:lvl w:ilvl="8" w:tplc="76366EE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2576699"/>
    <w:multiLevelType w:val="hybridMultilevel"/>
    <w:tmpl w:val="9BCA4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7894786"/>
    <w:multiLevelType w:val="hybridMultilevel"/>
    <w:tmpl w:val="7996F808"/>
    <w:lvl w:ilvl="0" w:tplc="0C09000F">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3" w15:restartNumberingAfterBreak="0">
    <w:nsid w:val="68E43DE9"/>
    <w:multiLevelType w:val="hybridMultilevel"/>
    <w:tmpl w:val="B6D2406E"/>
    <w:lvl w:ilvl="0" w:tplc="0C090001">
      <w:start w:val="1"/>
      <w:numFmt w:val="bullet"/>
      <w:lvlText w:val=""/>
      <w:lvlJc w:val="left"/>
      <w:pPr>
        <w:ind w:left="1080" w:hanging="360"/>
      </w:pPr>
      <w:rPr>
        <w:rFonts w:ascii="Symbol" w:hAnsi="Symbol" w:hint="default"/>
      </w:rPr>
    </w:lvl>
    <w:lvl w:ilvl="1" w:tplc="0C090003">
      <w:start w:val="1"/>
      <w:numFmt w:val="lowerLetter"/>
      <w:lvlText w:val="%2."/>
      <w:lvlJc w:val="left"/>
      <w:pPr>
        <w:ind w:left="1800" w:hanging="360"/>
      </w:pPr>
    </w:lvl>
    <w:lvl w:ilvl="2" w:tplc="0C090005" w:tentative="1">
      <w:start w:val="1"/>
      <w:numFmt w:val="lowerRoman"/>
      <w:lvlText w:val="%3."/>
      <w:lvlJc w:val="right"/>
      <w:pPr>
        <w:ind w:left="2520" w:hanging="180"/>
      </w:pPr>
    </w:lvl>
    <w:lvl w:ilvl="3" w:tplc="0C090001" w:tentative="1">
      <w:start w:val="1"/>
      <w:numFmt w:val="decimal"/>
      <w:lvlText w:val="%4."/>
      <w:lvlJc w:val="left"/>
      <w:pPr>
        <w:ind w:left="3240" w:hanging="360"/>
      </w:pPr>
    </w:lvl>
    <w:lvl w:ilvl="4" w:tplc="0C090003" w:tentative="1">
      <w:start w:val="1"/>
      <w:numFmt w:val="lowerLetter"/>
      <w:lvlText w:val="%5."/>
      <w:lvlJc w:val="left"/>
      <w:pPr>
        <w:ind w:left="3960" w:hanging="360"/>
      </w:pPr>
    </w:lvl>
    <w:lvl w:ilvl="5" w:tplc="0C090005" w:tentative="1">
      <w:start w:val="1"/>
      <w:numFmt w:val="lowerRoman"/>
      <w:lvlText w:val="%6."/>
      <w:lvlJc w:val="right"/>
      <w:pPr>
        <w:ind w:left="4680" w:hanging="180"/>
      </w:pPr>
    </w:lvl>
    <w:lvl w:ilvl="6" w:tplc="0C090001" w:tentative="1">
      <w:start w:val="1"/>
      <w:numFmt w:val="decimal"/>
      <w:lvlText w:val="%7."/>
      <w:lvlJc w:val="left"/>
      <w:pPr>
        <w:ind w:left="5400" w:hanging="360"/>
      </w:pPr>
    </w:lvl>
    <w:lvl w:ilvl="7" w:tplc="0C090003" w:tentative="1">
      <w:start w:val="1"/>
      <w:numFmt w:val="lowerLetter"/>
      <w:lvlText w:val="%8."/>
      <w:lvlJc w:val="left"/>
      <w:pPr>
        <w:ind w:left="6120" w:hanging="360"/>
      </w:pPr>
    </w:lvl>
    <w:lvl w:ilvl="8" w:tplc="0C090005" w:tentative="1">
      <w:start w:val="1"/>
      <w:numFmt w:val="lowerRoman"/>
      <w:lvlText w:val="%9."/>
      <w:lvlJc w:val="right"/>
      <w:pPr>
        <w:ind w:left="6840" w:hanging="180"/>
      </w:pPr>
    </w:lvl>
  </w:abstractNum>
  <w:abstractNum w:abstractNumId="34" w15:restartNumberingAfterBreak="0">
    <w:nsid w:val="6AD3656F"/>
    <w:multiLevelType w:val="hybridMultilevel"/>
    <w:tmpl w:val="D9CC29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B6D0784"/>
    <w:multiLevelType w:val="hybridMultilevel"/>
    <w:tmpl w:val="961AEA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4164FD"/>
    <w:multiLevelType w:val="hybridMultilevel"/>
    <w:tmpl w:val="F8E29DF6"/>
    <w:lvl w:ilvl="0" w:tplc="0C09000F">
      <w:start w:val="1"/>
      <w:numFmt w:val="bullet"/>
      <w:pStyle w:val="documenttextbulleted2"/>
      <w:lvlText w:val="o"/>
      <w:lvlJc w:val="left"/>
      <w:pPr>
        <w:tabs>
          <w:tab w:val="num" w:pos="1080"/>
        </w:tabs>
        <w:ind w:left="1080" w:hanging="360"/>
      </w:pPr>
      <w:rPr>
        <w:rFonts w:ascii="Times New Roman" w:hAnsi="Times New Roman" w:cs="Times New Roman" w:hint="default"/>
        <w:b w:val="0"/>
        <w:i w:val="0"/>
        <w:sz w:val="24"/>
      </w:rPr>
    </w:lvl>
    <w:lvl w:ilvl="1" w:tplc="0C090019" w:tentative="1">
      <w:start w:val="1"/>
      <w:numFmt w:val="bullet"/>
      <w:lvlText w:val="o"/>
      <w:lvlJc w:val="left"/>
      <w:pPr>
        <w:tabs>
          <w:tab w:val="num" w:pos="3960"/>
        </w:tabs>
        <w:ind w:left="3960" w:hanging="360"/>
      </w:pPr>
      <w:rPr>
        <w:rFonts w:ascii="Courier New" w:hAnsi="Courier New" w:hint="default"/>
      </w:rPr>
    </w:lvl>
    <w:lvl w:ilvl="2" w:tplc="0C09001B" w:tentative="1">
      <w:start w:val="1"/>
      <w:numFmt w:val="bullet"/>
      <w:lvlText w:val=""/>
      <w:lvlJc w:val="left"/>
      <w:pPr>
        <w:tabs>
          <w:tab w:val="num" w:pos="4680"/>
        </w:tabs>
        <w:ind w:left="4680" w:hanging="360"/>
      </w:pPr>
      <w:rPr>
        <w:rFonts w:ascii="Wingdings" w:hAnsi="Wingdings" w:hint="default"/>
      </w:rPr>
    </w:lvl>
    <w:lvl w:ilvl="3" w:tplc="0C09000F" w:tentative="1">
      <w:start w:val="1"/>
      <w:numFmt w:val="bullet"/>
      <w:lvlText w:val=""/>
      <w:lvlJc w:val="left"/>
      <w:pPr>
        <w:tabs>
          <w:tab w:val="num" w:pos="5400"/>
        </w:tabs>
        <w:ind w:left="5400" w:hanging="360"/>
      </w:pPr>
      <w:rPr>
        <w:rFonts w:ascii="Symbol" w:hAnsi="Symbol" w:hint="default"/>
      </w:rPr>
    </w:lvl>
    <w:lvl w:ilvl="4" w:tplc="0C090019" w:tentative="1">
      <w:start w:val="1"/>
      <w:numFmt w:val="bullet"/>
      <w:lvlText w:val="o"/>
      <w:lvlJc w:val="left"/>
      <w:pPr>
        <w:tabs>
          <w:tab w:val="num" w:pos="6120"/>
        </w:tabs>
        <w:ind w:left="6120" w:hanging="360"/>
      </w:pPr>
      <w:rPr>
        <w:rFonts w:ascii="Courier New" w:hAnsi="Courier New" w:hint="default"/>
      </w:rPr>
    </w:lvl>
    <w:lvl w:ilvl="5" w:tplc="0C09001B" w:tentative="1">
      <w:start w:val="1"/>
      <w:numFmt w:val="bullet"/>
      <w:lvlText w:val=""/>
      <w:lvlJc w:val="left"/>
      <w:pPr>
        <w:tabs>
          <w:tab w:val="num" w:pos="6840"/>
        </w:tabs>
        <w:ind w:left="6840" w:hanging="360"/>
      </w:pPr>
      <w:rPr>
        <w:rFonts w:ascii="Wingdings" w:hAnsi="Wingdings" w:hint="default"/>
      </w:rPr>
    </w:lvl>
    <w:lvl w:ilvl="6" w:tplc="0C09000F" w:tentative="1">
      <w:start w:val="1"/>
      <w:numFmt w:val="bullet"/>
      <w:lvlText w:val=""/>
      <w:lvlJc w:val="left"/>
      <w:pPr>
        <w:tabs>
          <w:tab w:val="num" w:pos="7560"/>
        </w:tabs>
        <w:ind w:left="7560" w:hanging="360"/>
      </w:pPr>
      <w:rPr>
        <w:rFonts w:ascii="Symbol" w:hAnsi="Symbol" w:hint="default"/>
      </w:rPr>
    </w:lvl>
    <w:lvl w:ilvl="7" w:tplc="0C090019" w:tentative="1">
      <w:start w:val="1"/>
      <w:numFmt w:val="bullet"/>
      <w:lvlText w:val="o"/>
      <w:lvlJc w:val="left"/>
      <w:pPr>
        <w:tabs>
          <w:tab w:val="num" w:pos="8280"/>
        </w:tabs>
        <w:ind w:left="8280" w:hanging="360"/>
      </w:pPr>
      <w:rPr>
        <w:rFonts w:ascii="Courier New" w:hAnsi="Courier New" w:hint="default"/>
      </w:rPr>
    </w:lvl>
    <w:lvl w:ilvl="8" w:tplc="0C09001B"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74DA27D6"/>
    <w:multiLevelType w:val="hybridMultilevel"/>
    <w:tmpl w:val="F54E495E"/>
    <w:lvl w:ilvl="0" w:tplc="93F6C564">
      <w:start w:val="1"/>
      <w:numFmt w:val="bullet"/>
      <w:pStyle w:val="Bullet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462258"/>
    <w:multiLevelType w:val="hybridMultilevel"/>
    <w:tmpl w:val="5F8861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66D06A7"/>
    <w:multiLevelType w:val="multilevel"/>
    <w:tmpl w:val="FB045E4E"/>
    <w:lvl w:ilvl="0">
      <w:start w:val="3"/>
      <w:numFmt w:val="decimal"/>
      <w:pStyle w:val="3aH1"/>
      <w:lvlText w:val="%1A"/>
      <w:lvlJc w:val="left"/>
      <w:pPr>
        <w:ind w:left="1134" w:hanging="1134"/>
      </w:pPr>
      <w:rPr>
        <w:rFonts w:hint="default"/>
      </w:rPr>
    </w:lvl>
    <w:lvl w:ilvl="1">
      <w:start w:val="1"/>
      <w:numFmt w:val="decimal"/>
      <w:pStyle w:val="3aH2"/>
      <w:lvlText w:val="%1A.%2"/>
      <w:lvlJc w:val="left"/>
      <w:pPr>
        <w:ind w:left="1021" w:hanging="1021"/>
      </w:pPr>
      <w:rPr>
        <w:rFonts w:hint="default"/>
      </w:rPr>
    </w:lvl>
    <w:lvl w:ilvl="2">
      <w:start w:val="1"/>
      <w:numFmt w:val="decimal"/>
      <w:pStyle w:val="3aH3"/>
      <w:lvlText w:val="%1A.%2.%3"/>
      <w:lvlJc w:val="left"/>
      <w:pPr>
        <w:ind w:left="1531" w:hanging="1531"/>
      </w:pPr>
      <w:rPr>
        <w:rFonts w:hint="default"/>
      </w:rPr>
    </w:lvl>
    <w:lvl w:ilvl="3">
      <w:start w:val="1"/>
      <w:numFmt w:val="decimal"/>
      <w:pStyle w:val="3aH4"/>
      <w:lvlText w:val="%1A.%2.%3.%4"/>
      <w:lvlJc w:val="left"/>
      <w:pPr>
        <w:ind w:left="1474" w:hanging="1474"/>
      </w:pPr>
      <w:rPr>
        <w:rFonts w:hint="default"/>
      </w:rPr>
    </w:lvl>
    <w:lvl w:ilvl="4">
      <w:start w:val="1"/>
      <w:numFmt w:val="decimal"/>
      <w:lvlText w:val="%1A.%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7CA5DAD"/>
    <w:multiLevelType w:val="multilevel"/>
    <w:tmpl w:val="483A6CBA"/>
    <w:styleLink w:val="PBAC"/>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none"/>
      <w:lvlText w:val="%1.1.1"/>
      <w:lvlJc w:val="left"/>
      <w:pPr>
        <w:ind w:left="1080" w:hanging="360"/>
      </w:pPr>
      <w:rPr>
        <w:rFonts w:hint="default"/>
      </w:rPr>
    </w:lvl>
    <w:lvl w:ilvl="3">
      <w:start w:val="1"/>
      <w:numFmt w:val="none"/>
      <w:lvlText w:val="%1.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4D033C"/>
    <w:multiLevelType w:val="multilevel"/>
    <w:tmpl w:val="3EB4DA1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EC272B"/>
    <w:multiLevelType w:val="hybridMultilevel"/>
    <w:tmpl w:val="EACE7D00"/>
    <w:lvl w:ilvl="0" w:tplc="D67C1188">
      <w:start w:val="1"/>
      <w:numFmt w:val="bullet"/>
      <w:lvlText w:val=""/>
      <w:lvlJc w:val="left"/>
      <w:pPr>
        <w:ind w:left="720" w:hanging="360"/>
      </w:pPr>
      <w:rPr>
        <w:rFonts w:ascii="Symbol" w:hAnsi="Symbol" w:hint="default"/>
      </w:rPr>
    </w:lvl>
    <w:lvl w:ilvl="1" w:tplc="D8501BBC">
      <w:start w:val="1"/>
      <w:numFmt w:val="bullet"/>
      <w:lvlText w:val="o"/>
      <w:lvlJc w:val="left"/>
      <w:pPr>
        <w:ind w:left="1440" w:hanging="360"/>
      </w:pPr>
      <w:rPr>
        <w:rFonts w:ascii="Courier New" w:hAnsi="Courier New" w:cs="Courier New" w:hint="default"/>
      </w:rPr>
    </w:lvl>
    <w:lvl w:ilvl="2" w:tplc="3F64402C" w:tentative="1">
      <w:start w:val="1"/>
      <w:numFmt w:val="bullet"/>
      <w:lvlText w:val=""/>
      <w:lvlJc w:val="left"/>
      <w:pPr>
        <w:ind w:left="2160" w:hanging="360"/>
      </w:pPr>
      <w:rPr>
        <w:rFonts w:ascii="Wingdings" w:hAnsi="Wingdings" w:hint="default"/>
      </w:rPr>
    </w:lvl>
    <w:lvl w:ilvl="3" w:tplc="2C4A79EE" w:tentative="1">
      <w:start w:val="1"/>
      <w:numFmt w:val="bullet"/>
      <w:lvlText w:val=""/>
      <w:lvlJc w:val="left"/>
      <w:pPr>
        <w:ind w:left="2880" w:hanging="360"/>
      </w:pPr>
      <w:rPr>
        <w:rFonts w:ascii="Symbol" w:hAnsi="Symbol" w:hint="default"/>
      </w:rPr>
    </w:lvl>
    <w:lvl w:ilvl="4" w:tplc="00D2E090" w:tentative="1">
      <w:start w:val="1"/>
      <w:numFmt w:val="bullet"/>
      <w:lvlText w:val="o"/>
      <w:lvlJc w:val="left"/>
      <w:pPr>
        <w:ind w:left="3600" w:hanging="360"/>
      </w:pPr>
      <w:rPr>
        <w:rFonts w:ascii="Courier New" w:hAnsi="Courier New" w:cs="Courier New" w:hint="default"/>
      </w:rPr>
    </w:lvl>
    <w:lvl w:ilvl="5" w:tplc="827C71AC" w:tentative="1">
      <w:start w:val="1"/>
      <w:numFmt w:val="bullet"/>
      <w:lvlText w:val=""/>
      <w:lvlJc w:val="left"/>
      <w:pPr>
        <w:ind w:left="4320" w:hanging="360"/>
      </w:pPr>
      <w:rPr>
        <w:rFonts w:ascii="Wingdings" w:hAnsi="Wingdings" w:hint="default"/>
      </w:rPr>
    </w:lvl>
    <w:lvl w:ilvl="6" w:tplc="6FD4AEEC" w:tentative="1">
      <w:start w:val="1"/>
      <w:numFmt w:val="bullet"/>
      <w:lvlText w:val=""/>
      <w:lvlJc w:val="left"/>
      <w:pPr>
        <w:ind w:left="5040" w:hanging="360"/>
      </w:pPr>
      <w:rPr>
        <w:rFonts w:ascii="Symbol" w:hAnsi="Symbol" w:hint="default"/>
      </w:rPr>
    </w:lvl>
    <w:lvl w:ilvl="7" w:tplc="00446CFA" w:tentative="1">
      <w:start w:val="1"/>
      <w:numFmt w:val="bullet"/>
      <w:lvlText w:val="o"/>
      <w:lvlJc w:val="left"/>
      <w:pPr>
        <w:ind w:left="5760" w:hanging="360"/>
      </w:pPr>
      <w:rPr>
        <w:rFonts w:ascii="Courier New" w:hAnsi="Courier New" w:cs="Courier New" w:hint="default"/>
      </w:rPr>
    </w:lvl>
    <w:lvl w:ilvl="8" w:tplc="16284A56" w:tentative="1">
      <w:start w:val="1"/>
      <w:numFmt w:val="bullet"/>
      <w:lvlText w:val=""/>
      <w:lvlJc w:val="left"/>
      <w:pPr>
        <w:ind w:left="6480" w:hanging="360"/>
      </w:pPr>
      <w:rPr>
        <w:rFonts w:ascii="Wingdings" w:hAnsi="Wingdings" w:hint="default"/>
      </w:rPr>
    </w:lvl>
  </w:abstractNum>
  <w:abstractNum w:abstractNumId="43" w15:restartNumberingAfterBreak="0">
    <w:nsid w:val="7A317ACC"/>
    <w:multiLevelType w:val="hybridMultilevel"/>
    <w:tmpl w:val="6BAE85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4" w15:restartNumberingAfterBreak="0">
    <w:nsid w:val="7A6D70DB"/>
    <w:multiLevelType w:val="hybridMultilevel"/>
    <w:tmpl w:val="954A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24"/>
  </w:num>
  <w:num w:numId="4">
    <w:abstractNumId w:val="18"/>
  </w:num>
  <w:num w:numId="5">
    <w:abstractNumId w:val="7"/>
  </w:num>
  <w:num w:numId="6">
    <w:abstractNumId w:val="11"/>
  </w:num>
  <w:num w:numId="7">
    <w:abstractNumId w:val="26"/>
  </w:num>
  <w:num w:numId="8">
    <w:abstractNumId w:val="40"/>
  </w:num>
  <w:num w:numId="9">
    <w:abstractNumId w:val="0"/>
  </w:num>
  <w:num w:numId="10">
    <w:abstractNumId w:val="2"/>
  </w:num>
  <w:num w:numId="11">
    <w:abstractNumId w:val="37"/>
  </w:num>
  <w:num w:numId="12">
    <w:abstractNumId w:val="19"/>
  </w:num>
  <w:num w:numId="13">
    <w:abstractNumId w:val="36"/>
  </w:num>
  <w:num w:numId="14">
    <w:abstractNumId w:val="17"/>
  </w:num>
  <w:num w:numId="15">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1"/>
  </w:num>
  <w:num w:numId="18">
    <w:abstractNumId w:val="35"/>
  </w:num>
  <w:num w:numId="19">
    <w:abstractNumId w:val="21"/>
  </w:num>
  <w:num w:numId="20">
    <w:abstractNumId w:val="12"/>
  </w:num>
  <w:num w:numId="21">
    <w:abstractNumId w:val="20"/>
  </w:num>
  <w:num w:numId="22">
    <w:abstractNumId w:val="32"/>
  </w:num>
  <w:num w:numId="23">
    <w:abstractNumId w:val="13"/>
  </w:num>
  <w:num w:numId="24">
    <w:abstractNumId w:val="8"/>
  </w:num>
  <w:num w:numId="25">
    <w:abstractNumId w:val="6"/>
  </w:num>
  <w:num w:numId="26">
    <w:abstractNumId w:val="28"/>
  </w:num>
  <w:num w:numId="27">
    <w:abstractNumId w:val="34"/>
  </w:num>
  <w:num w:numId="28">
    <w:abstractNumId w:val="33"/>
  </w:num>
  <w:num w:numId="29">
    <w:abstractNumId w:val="14"/>
  </w:num>
  <w:num w:numId="30">
    <w:abstractNumId w:val="44"/>
  </w:num>
  <w:num w:numId="31">
    <w:abstractNumId w:val="25"/>
  </w:num>
  <w:num w:numId="32">
    <w:abstractNumId w:val="5"/>
  </w:num>
  <w:num w:numId="33">
    <w:abstractNumId w:val="27"/>
  </w:num>
  <w:num w:numId="34">
    <w:abstractNumId w:val="15"/>
  </w:num>
  <w:num w:numId="35">
    <w:abstractNumId w:val="29"/>
  </w:num>
  <w:num w:numId="36">
    <w:abstractNumId w:val="3"/>
  </w:num>
  <w:num w:numId="37">
    <w:abstractNumId w:val="41"/>
  </w:num>
  <w:num w:numId="38">
    <w:abstractNumId w:val="31"/>
  </w:num>
  <w:num w:numId="39">
    <w:abstractNumId w:val="41"/>
  </w:num>
  <w:num w:numId="40">
    <w:abstractNumId w:val="16"/>
  </w:num>
  <w:num w:numId="41">
    <w:abstractNumId w:val="30"/>
  </w:num>
  <w:num w:numId="42">
    <w:abstractNumId w:val="10"/>
  </w:num>
  <w:num w:numId="43">
    <w:abstractNumId w:val="9"/>
  </w:num>
  <w:num w:numId="44">
    <w:abstractNumId w:val="38"/>
  </w:num>
  <w:num w:numId="45">
    <w:abstractNumId w:val="41"/>
  </w:num>
  <w:num w:numId="46">
    <w:abstractNumId w:val="41"/>
  </w:num>
  <w:num w:numId="47">
    <w:abstractNumId w:val="4"/>
  </w:num>
  <w:num w:numId="48">
    <w:abstractNumId w:val="22"/>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C1MDMwMzcwMTQwsjRX0lEKTi0uzszPAykwqgUAr7v9ZiwAAAA="/>
  </w:docVars>
  <w:rsids>
    <w:rsidRoot w:val="00E65E79"/>
    <w:rsid w:val="000001CF"/>
    <w:rsid w:val="00000370"/>
    <w:rsid w:val="000004CE"/>
    <w:rsid w:val="000006DA"/>
    <w:rsid w:val="00000790"/>
    <w:rsid w:val="000009C3"/>
    <w:rsid w:val="000009F5"/>
    <w:rsid w:val="00000A20"/>
    <w:rsid w:val="00000DBF"/>
    <w:rsid w:val="0000110B"/>
    <w:rsid w:val="0000136C"/>
    <w:rsid w:val="000013BD"/>
    <w:rsid w:val="00001777"/>
    <w:rsid w:val="00001F33"/>
    <w:rsid w:val="0000324D"/>
    <w:rsid w:val="0000348A"/>
    <w:rsid w:val="00003499"/>
    <w:rsid w:val="00003616"/>
    <w:rsid w:val="00003830"/>
    <w:rsid w:val="000038CB"/>
    <w:rsid w:val="000039B7"/>
    <w:rsid w:val="00003BA5"/>
    <w:rsid w:val="00003DD4"/>
    <w:rsid w:val="00004C7C"/>
    <w:rsid w:val="00004D88"/>
    <w:rsid w:val="00005234"/>
    <w:rsid w:val="0000530D"/>
    <w:rsid w:val="00005870"/>
    <w:rsid w:val="00005B71"/>
    <w:rsid w:val="0000639A"/>
    <w:rsid w:val="000063B7"/>
    <w:rsid w:val="00006A12"/>
    <w:rsid w:val="00006EFF"/>
    <w:rsid w:val="00007124"/>
    <w:rsid w:val="0000719E"/>
    <w:rsid w:val="000074C4"/>
    <w:rsid w:val="0000797B"/>
    <w:rsid w:val="00007D77"/>
    <w:rsid w:val="00007DC2"/>
    <w:rsid w:val="000102F8"/>
    <w:rsid w:val="000107FE"/>
    <w:rsid w:val="00010809"/>
    <w:rsid w:val="00010965"/>
    <w:rsid w:val="000109B9"/>
    <w:rsid w:val="0001129F"/>
    <w:rsid w:val="00011387"/>
    <w:rsid w:val="000113FF"/>
    <w:rsid w:val="00011A11"/>
    <w:rsid w:val="00011B59"/>
    <w:rsid w:val="00011BB3"/>
    <w:rsid w:val="00011F7C"/>
    <w:rsid w:val="00012468"/>
    <w:rsid w:val="000126CC"/>
    <w:rsid w:val="00012C7B"/>
    <w:rsid w:val="00012D6B"/>
    <w:rsid w:val="0001311E"/>
    <w:rsid w:val="00013247"/>
    <w:rsid w:val="00013421"/>
    <w:rsid w:val="000134B1"/>
    <w:rsid w:val="0001354D"/>
    <w:rsid w:val="0001361A"/>
    <w:rsid w:val="00013C44"/>
    <w:rsid w:val="00013F58"/>
    <w:rsid w:val="00013F78"/>
    <w:rsid w:val="000140A7"/>
    <w:rsid w:val="00014932"/>
    <w:rsid w:val="00014EE5"/>
    <w:rsid w:val="00014EFB"/>
    <w:rsid w:val="000150BD"/>
    <w:rsid w:val="000154E3"/>
    <w:rsid w:val="0001561B"/>
    <w:rsid w:val="00015886"/>
    <w:rsid w:val="00015F83"/>
    <w:rsid w:val="00016138"/>
    <w:rsid w:val="000162EF"/>
    <w:rsid w:val="000163A0"/>
    <w:rsid w:val="00016621"/>
    <w:rsid w:val="00016D21"/>
    <w:rsid w:val="00016FAE"/>
    <w:rsid w:val="00017169"/>
    <w:rsid w:val="000174B5"/>
    <w:rsid w:val="000178CB"/>
    <w:rsid w:val="00020275"/>
    <w:rsid w:val="0002070F"/>
    <w:rsid w:val="000207C9"/>
    <w:rsid w:val="000208D8"/>
    <w:rsid w:val="00020A4D"/>
    <w:rsid w:val="0002103C"/>
    <w:rsid w:val="000211C3"/>
    <w:rsid w:val="00021262"/>
    <w:rsid w:val="00021281"/>
    <w:rsid w:val="00021507"/>
    <w:rsid w:val="00021610"/>
    <w:rsid w:val="00021994"/>
    <w:rsid w:val="00021BA4"/>
    <w:rsid w:val="00022160"/>
    <w:rsid w:val="0002225F"/>
    <w:rsid w:val="0002227E"/>
    <w:rsid w:val="000222F1"/>
    <w:rsid w:val="00022592"/>
    <w:rsid w:val="00022594"/>
    <w:rsid w:val="00022949"/>
    <w:rsid w:val="000229AA"/>
    <w:rsid w:val="000229B9"/>
    <w:rsid w:val="00022C7E"/>
    <w:rsid w:val="00022D70"/>
    <w:rsid w:val="00022F94"/>
    <w:rsid w:val="000231CA"/>
    <w:rsid w:val="00023649"/>
    <w:rsid w:val="0002375F"/>
    <w:rsid w:val="00023763"/>
    <w:rsid w:val="000239AF"/>
    <w:rsid w:val="00023B27"/>
    <w:rsid w:val="00024216"/>
    <w:rsid w:val="00024431"/>
    <w:rsid w:val="00024493"/>
    <w:rsid w:val="00024D59"/>
    <w:rsid w:val="00025275"/>
    <w:rsid w:val="00025382"/>
    <w:rsid w:val="0002552A"/>
    <w:rsid w:val="00026374"/>
    <w:rsid w:val="00026752"/>
    <w:rsid w:val="00026B5D"/>
    <w:rsid w:val="00026D2B"/>
    <w:rsid w:val="00026E18"/>
    <w:rsid w:val="000273B2"/>
    <w:rsid w:val="00027494"/>
    <w:rsid w:val="000274B8"/>
    <w:rsid w:val="000275AA"/>
    <w:rsid w:val="000277FD"/>
    <w:rsid w:val="000279DE"/>
    <w:rsid w:val="00027B70"/>
    <w:rsid w:val="00027D95"/>
    <w:rsid w:val="00030194"/>
    <w:rsid w:val="00030C71"/>
    <w:rsid w:val="00031101"/>
    <w:rsid w:val="0003113C"/>
    <w:rsid w:val="000314FB"/>
    <w:rsid w:val="00031816"/>
    <w:rsid w:val="00031883"/>
    <w:rsid w:val="00031DF2"/>
    <w:rsid w:val="00031FD1"/>
    <w:rsid w:val="00032109"/>
    <w:rsid w:val="00032688"/>
    <w:rsid w:val="00032693"/>
    <w:rsid w:val="00032BD2"/>
    <w:rsid w:val="00033222"/>
    <w:rsid w:val="0003324D"/>
    <w:rsid w:val="000334A6"/>
    <w:rsid w:val="00033650"/>
    <w:rsid w:val="00033863"/>
    <w:rsid w:val="00033AA4"/>
    <w:rsid w:val="00033B7E"/>
    <w:rsid w:val="00033C3E"/>
    <w:rsid w:val="00033C70"/>
    <w:rsid w:val="00033CD0"/>
    <w:rsid w:val="0003425D"/>
    <w:rsid w:val="00034420"/>
    <w:rsid w:val="0003449B"/>
    <w:rsid w:val="00034A97"/>
    <w:rsid w:val="000351B9"/>
    <w:rsid w:val="0003582C"/>
    <w:rsid w:val="00035DC0"/>
    <w:rsid w:val="00036046"/>
    <w:rsid w:val="000360C9"/>
    <w:rsid w:val="00036829"/>
    <w:rsid w:val="0003688B"/>
    <w:rsid w:val="000369F8"/>
    <w:rsid w:val="00036CF4"/>
    <w:rsid w:val="00037025"/>
    <w:rsid w:val="0003747F"/>
    <w:rsid w:val="000379B4"/>
    <w:rsid w:val="00037A09"/>
    <w:rsid w:val="00037C52"/>
    <w:rsid w:val="00037D13"/>
    <w:rsid w:val="000400AB"/>
    <w:rsid w:val="000400BD"/>
    <w:rsid w:val="0004027E"/>
    <w:rsid w:val="000407BE"/>
    <w:rsid w:val="00040895"/>
    <w:rsid w:val="00040B9A"/>
    <w:rsid w:val="00040CAB"/>
    <w:rsid w:val="00040F63"/>
    <w:rsid w:val="00040FAE"/>
    <w:rsid w:val="000410A7"/>
    <w:rsid w:val="00041473"/>
    <w:rsid w:val="000414CD"/>
    <w:rsid w:val="00041596"/>
    <w:rsid w:val="000415DB"/>
    <w:rsid w:val="00041AF5"/>
    <w:rsid w:val="00041BFB"/>
    <w:rsid w:val="00042CAC"/>
    <w:rsid w:val="00042CE3"/>
    <w:rsid w:val="00042E0E"/>
    <w:rsid w:val="00043067"/>
    <w:rsid w:val="00043210"/>
    <w:rsid w:val="000434B3"/>
    <w:rsid w:val="0004352F"/>
    <w:rsid w:val="0004359D"/>
    <w:rsid w:val="000435EE"/>
    <w:rsid w:val="0004372E"/>
    <w:rsid w:val="00043C37"/>
    <w:rsid w:val="00043CBF"/>
    <w:rsid w:val="00043E32"/>
    <w:rsid w:val="000442B1"/>
    <w:rsid w:val="0004432B"/>
    <w:rsid w:val="00044453"/>
    <w:rsid w:val="00044549"/>
    <w:rsid w:val="00044722"/>
    <w:rsid w:val="000447A1"/>
    <w:rsid w:val="00044FA0"/>
    <w:rsid w:val="00045017"/>
    <w:rsid w:val="00045055"/>
    <w:rsid w:val="000450D7"/>
    <w:rsid w:val="00045729"/>
    <w:rsid w:val="000457A1"/>
    <w:rsid w:val="00045879"/>
    <w:rsid w:val="000459F3"/>
    <w:rsid w:val="00045A2B"/>
    <w:rsid w:val="00045F10"/>
    <w:rsid w:val="00045F12"/>
    <w:rsid w:val="00046173"/>
    <w:rsid w:val="0004665B"/>
    <w:rsid w:val="0004698F"/>
    <w:rsid w:val="00046BFE"/>
    <w:rsid w:val="00046C2E"/>
    <w:rsid w:val="00047147"/>
    <w:rsid w:val="00047200"/>
    <w:rsid w:val="00047412"/>
    <w:rsid w:val="000478FB"/>
    <w:rsid w:val="00047A7C"/>
    <w:rsid w:val="00047D54"/>
    <w:rsid w:val="00047E21"/>
    <w:rsid w:val="000500E0"/>
    <w:rsid w:val="0005091A"/>
    <w:rsid w:val="000514E0"/>
    <w:rsid w:val="000516A2"/>
    <w:rsid w:val="000517EC"/>
    <w:rsid w:val="0005182C"/>
    <w:rsid w:val="00051923"/>
    <w:rsid w:val="00051B72"/>
    <w:rsid w:val="00051C76"/>
    <w:rsid w:val="00051D7A"/>
    <w:rsid w:val="00052634"/>
    <w:rsid w:val="00052C89"/>
    <w:rsid w:val="00052F43"/>
    <w:rsid w:val="00052F9D"/>
    <w:rsid w:val="000532DE"/>
    <w:rsid w:val="00053545"/>
    <w:rsid w:val="00053657"/>
    <w:rsid w:val="00053751"/>
    <w:rsid w:val="000539D0"/>
    <w:rsid w:val="00054082"/>
    <w:rsid w:val="0005432C"/>
    <w:rsid w:val="00054621"/>
    <w:rsid w:val="000546D7"/>
    <w:rsid w:val="00054876"/>
    <w:rsid w:val="00054BFD"/>
    <w:rsid w:val="00054C22"/>
    <w:rsid w:val="000550A2"/>
    <w:rsid w:val="00055395"/>
    <w:rsid w:val="00055619"/>
    <w:rsid w:val="00055AB1"/>
    <w:rsid w:val="00055E10"/>
    <w:rsid w:val="0005612A"/>
    <w:rsid w:val="00056197"/>
    <w:rsid w:val="000561DA"/>
    <w:rsid w:val="0005634D"/>
    <w:rsid w:val="000569B8"/>
    <w:rsid w:val="00056BAA"/>
    <w:rsid w:val="00056CAE"/>
    <w:rsid w:val="00056D71"/>
    <w:rsid w:val="00056DDC"/>
    <w:rsid w:val="00056E24"/>
    <w:rsid w:val="00056EAB"/>
    <w:rsid w:val="00056ECF"/>
    <w:rsid w:val="00057038"/>
    <w:rsid w:val="00057051"/>
    <w:rsid w:val="00057675"/>
    <w:rsid w:val="00057751"/>
    <w:rsid w:val="00057776"/>
    <w:rsid w:val="00057D87"/>
    <w:rsid w:val="00060288"/>
    <w:rsid w:val="000604DF"/>
    <w:rsid w:val="00060B56"/>
    <w:rsid w:val="00060C27"/>
    <w:rsid w:val="00060DFB"/>
    <w:rsid w:val="00060E0E"/>
    <w:rsid w:val="000612C5"/>
    <w:rsid w:val="000615BC"/>
    <w:rsid w:val="00061D9E"/>
    <w:rsid w:val="00061DD9"/>
    <w:rsid w:val="000621C7"/>
    <w:rsid w:val="000623EB"/>
    <w:rsid w:val="0006257A"/>
    <w:rsid w:val="00062BBE"/>
    <w:rsid w:val="00062F17"/>
    <w:rsid w:val="000630B3"/>
    <w:rsid w:val="00063210"/>
    <w:rsid w:val="00063474"/>
    <w:rsid w:val="00064074"/>
    <w:rsid w:val="00064329"/>
    <w:rsid w:val="000643E5"/>
    <w:rsid w:val="000643FF"/>
    <w:rsid w:val="000646B0"/>
    <w:rsid w:val="00064840"/>
    <w:rsid w:val="00064F26"/>
    <w:rsid w:val="000651A0"/>
    <w:rsid w:val="000652BD"/>
    <w:rsid w:val="000653B5"/>
    <w:rsid w:val="000656AD"/>
    <w:rsid w:val="0006574C"/>
    <w:rsid w:val="00065911"/>
    <w:rsid w:val="00065EA8"/>
    <w:rsid w:val="00065ECF"/>
    <w:rsid w:val="00065F1E"/>
    <w:rsid w:val="00065F82"/>
    <w:rsid w:val="00066360"/>
    <w:rsid w:val="0006642E"/>
    <w:rsid w:val="000664F3"/>
    <w:rsid w:val="0006659D"/>
    <w:rsid w:val="00066750"/>
    <w:rsid w:val="00066990"/>
    <w:rsid w:val="00066AF8"/>
    <w:rsid w:val="00066CFB"/>
    <w:rsid w:val="00066D0A"/>
    <w:rsid w:val="00066F53"/>
    <w:rsid w:val="000671D8"/>
    <w:rsid w:val="0006773C"/>
    <w:rsid w:val="00070335"/>
    <w:rsid w:val="00070483"/>
    <w:rsid w:val="00070A79"/>
    <w:rsid w:val="00070C2C"/>
    <w:rsid w:val="00070D06"/>
    <w:rsid w:val="00071248"/>
    <w:rsid w:val="0007127A"/>
    <w:rsid w:val="0007144A"/>
    <w:rsid w:val="00071950"/>
    <w:rsid w:val="00071DE8"/>
    <w:rsid w:val="000720B9"/>
    <w:rsid w:val="00072101"/>
    <w:rsid w:val="000725DB"/>
    <w:rsid w:val="00072F80"/>
    <w:rsid w:val="00072F87"/>
    <w:rsid w:val="00073170"/>
    <w:rsid w:val="00073728"/>
    <w:rsid w:val="000737F7"/>
    <w:rsid w:val="00073860"/>
    <w:rsid w:val="00073ABF"/>
    <w:rsid w:val="000740D7"/>
    <w:rsid w:val="00074262"/>
    <w:rsid w:val="00074404"/>
    <w:rsid w:val="000744D9"/>
    <w:rsid w:val="0007461C"/>
    <w:rsid w:val="000746EF"/>
    <w:rsid w:val="000748CA"/>
    <w:rsid w:val="00074BE1"/>
    <w:rsid w:val="00074C3C"/>
    <w:rsid w:val="00074C71"/>
    <w:rsid w:val="00074CBD"/>
    <w:rsid w:val="00074D24"/>
    <w:rsid w:val="00075725"/>
    <w:rsid w:val="000758F4"/>
    <w:rsid w:val="00075918"/>
    <w:rsid w:val="00075C14"/>
    <w:rsid w:val="00075C93"/>
    <w:rsid w:val="0007642F"/>
    <w:rsid w:val="0007672F"/>
    <w:rsid w:val="00076873"/>
    <w:rsid w:val="000769E6"/>
    <w:rsid w:val="00076B54"/>
    <w:rsid w:val="00076C32"/>
    <w:rsid w:val="00077353"/>
    <w:rsid w:val="000774F0"/>
    <w:rsid w:val="000777FF"/>
    <w:rsid w:val="00077B3E"/>
    <w:rsid w:val="00077D67"/>
    <w:rsid w:val="00080041"/>
    <w:rsid w:val="0008055D"/>
    <w:rsid w:val="00080563"/>
    <w:rsid w:val="00080578"/>
    <w:rsid w:val="00080909"/>
    <w:rsid w:val="00080A13"/>
    <w:rsid w:val="000811B2"/>
    <w:rsid w:val="000812CA"/>
    <w:rsid w:val="00081A09"/>
    <w:rsid w:val="00081AB1"/>
    <w:rsid w:val="00081C80"/>
    <w:rsid w:val="00081E63"/>
    <w:rsid w:val="00082243"/>
    <w:rsid w:val="0008258D"/>
    <w:rsid w:val="00082688"/>
    <w:rsid w:val="00082729"/>
    <w:rsid w:val="000832C0"/>
    <w:rsid w:val="00083488"/>
    <w:rsid w:val="00083815"/>
    <w:rsid w:val="0008398B"/>
    <w:rsid w:val="00083CC2"/>
    <w:rsid w:val="00083E99"/>
    <w:rsid w:val="000840BD"/>
    <w:rsid w:val="000844EA"/>
    <w:rsid w:val="0008464F"/>
    <w:rsid w:val="00084788"/>
    <w:rsid w:val="00084BB2"/>
    <w:rsid w:val="00084CA2"/>
    <w:rsid w:val="00084D32"/>
    <w:rsid w:val="00084FA8"/>
    <w:rsid w:val="0008503D"/>
    <w:rsid w:val="000850B8"/>
    <w:rsid w:val="000853D1"/>
    <w:rsid w:val="000856C5"/>
    <w:rsid w:val="00085721"/>
    <w:rsid w:val="00085C31"/>
    <w:rsid w:val="00085E9A"/>
    <w:rsid w:val="00086046"/>
    <w:rsid w:val="0008669F"/>
    <w:rsid w:val="0008674A"/>
    <w:rsid w:val="00086CBA"/>
    <w:rsid w:val="000878C8"/>
    <w:rsid w:val="00087FBE"/>
    <w:rsid w:val="000901CD"/>
    <w:rsid w:val="000902D9"/>
    <w:rsid w:val="00090631"/>
    <w:rsid w:val="0009070D"/>
    <w:rsid w:val="00090C58"/>
    <w:rsid w:val="00090C7E"/>
    <w:rsid w:val="0009101D"/>
    <w:rsid w:val="00091AFB"/>
    <w:rsid w:val="00091F6B"/>
    <w:rsid w:val="00092198"/>
    <w:rsid w:val="00092600"/>
    <w:rsid w:val="0009262B"/>
    <w:rsid w:val="0009303B"/>
    <w:rsid w:val="000930D7"/>
    <w:rsid w:val="00093310"/>
    <w:rsid w:val="00093E48"/>
    <w:rsid w:val="00094229"/>
    <w:rsid w:val="0009445C"/>
    <w:rsid w:val="00094AB1"/>
    <w:rsid w:val="0009511B"/>
    <w:rsid w:val="00095200"/>
    <w:rsid w:val="00095591"/>
    <w:rsid w:val="000955A6"/>
    <w:rsid w:val="00095FE5"/>
    <w:rsid w:val="0009601A"/>
    <w:rsid w:val="00096032"/>
    <w:rsid w:val="000960A2"/>
    <w:rsid w:val="0009611E"/>
    <w:rsid w:val="00096284"/>
    <w:rsid w:val="000962A0"/>
    <w:rsid w:val="0009670C"/>
    <w:rsid w:val="00096A5F"/>
    <w:rsid w:val="00096C3B"/>
    <w:rsid w:val="00096DFC"/>
    <w:rsid w:val="00096F38"/>
    <w:rsid w:val="00096FA9"/>
    <w:rsid w:val="000975C1"/>
    <w:rsid w:val="000977F6"/>
    <w:rsid w:val="000978FE"/>
    <w:rsid w:val="00097A26"/>
    <w:rsid w:val="00097B05"/>
    <w:rsid w:val="00097E6F"/>
    <w:rsid w:val="000A002F"/>
    <w:rsid w:val="000A01DA"/>
    <w:rsid w:val="000A0736"/>
    <w:rsid w:val="000A0839"/>
    <w:rsid w:val="000A0C15"/>
    <w:rsid w:val="000A0C94"/>
    <w:rsid w:val="000A0DC3"/>
    <w:rsid w:val="000A160E"/>
    <w:rsid w:val="000A161C"/>
    <w:rsid w:val="000A1804"/>
    <w:rsid w:val="000A1A19"/>
    <w:rsid w:val="000A1B36"/>
    <w:rsid w:val="000A1B74"/>
    <w:rsid w:val="000A1BC0"/>
    <w:rsid w:val="000A1C25"/>
    <w:rsid w:val="000A1F29"/>
    <w:rsid w:val="000A20C0"/>
    <w:rsid w:val="000A288F"/>
    <w:rsid w:val="000A2BA8"/>
    <w:rsid w:val="000A2E48"/>
    <w:rsid w:val="000A3672"/>
    <w:rsid w:val="000A3EFE"/>
    <w:rsid w:val="000A436F"/>
    <w:rsid w:val="000A444E"/>
    <w:rsid w:val="000A47B0"/>
    <w:rsid w:val="000A4972"/>
    <w:rsid w:val="000A4B6B"/>
    <w:rsid w:val="000A4C67"/>
    <w:rsid w:val="000A4E16"/>
    <w:rsid w:val="000A5575"/>
    <w:rsid w:val="000A5886"/>
    <w:rsid w:val="000A5C3C"/>
    <w:rsid w:val="000A5D05"/>
    <w:rsid w:val="000A6039"/>
    <w:rsid w:val="000A6343"/>
    <w:rsid w:val="000A66E6"/>
    <w:rsid w:val="000A66EC"/>
    <w:rsid w:val="000A6721"/>
    <w:rsid w:val="000A6848"/>
    <w:rsid w:val="000A6C89"/>
    <w:rsid w:val="000A6EB4"/>
    <w:rsid w:val="000A7146"/>
    <w:rsid w:val="000A71A9"/>
    <w:rsid w:val="000A7453"/>
    <w:rsid w:val="000A77FF"/>
    <w:rsid w:val="000A79C7"/>
    <w:rsid w:val="000A7A17"/>
    <w:rsid w:val="000A7D08"/>
    <w:rsid w:val="000A7D0F"/>
    <w:rsid w:val="000A7D1F"/>
    <w:rsid w:val="000B0121"/>
    <w:rsid w:val="000B0128"/>
    <w:rsid w:val="000B0145"/>
    <w:rsid w:val="000B0495"/>
    <w:rsid w:val="000B0670"/>
    <w:rsid w:val="000B09D9"/>
    <w:rsid w:val="000B0E75"/>
    <w:rsid w:val="000B10AA"/>
    <w:rsid w:val="000B1855"/>
    <w:rsid w:val="000B1B90"/>
    <w:rsid w:val="000B1F33"/>
    <w:rsid w:val="000B2174"/>
    <w:rsid w:val="000B2379"/>
    <w:rsid w:val="000B23F5"/>
    <w:rsid w:val="000B2641"/>
    <w:rsid w:val="000B2721"/>
    <w:rsid w:val="000B28BD"/>
    <w:rsid w:val="000B2ADC"/>
    <w:rsid w:val="000B2B28"/>
    <w:rsid w:val="000B2DCB"/>
    <w:rsid w:val="000B319A"/>
    <w:rsid w:val="000B4015"/>
    <w:rsid w:val="000B4246"/>
    <w:rsid w:val="000B43C8"/>
    <w:rsid w:val="000B4413"/>
    <w:rsid w:val="000B49D1"/>
    <w:rsid w:val="000B4A53"/>
    <w:rsid w:val="000B4BF2"/>
    <w:rsid w:val="000B4D44"/>
    <w:rsid w:val="000B4EFC"/>
    <w:rsid w:val="000B4FBE"/>
    <w:rsid w:val="000B5466"/>
    <w:rsid w:val="000B566E"/>
    <w:rsid w:val="000B576F"/>
    <w:rsid w:val="000B5AD8"/>
    <w:rsid w:val="000B5CE0"/>
    <w:rsid w:val="000B5EFF"/>
    <w:rsid w:val="000B6113"/>
    <w:rsid w:val="000B6139"/>
    <w:rsid w:val="000B672A"/>
    <w:rsid w:val="000B6CAC"/>
    <w:rsid w:val="000B75AC"/>
    <w:rsid w:val="000B75CC"/>
    <w:rsid w:val="000B7612"/>
    <w:rsid w:val="000B775C"/>
    <w:rsid w:val="000B78AE"/>
    <w:rsid w:val="000B78E6"/>
    <w:rsid w:val="000B79EB"/>
    <w:rsid w:val="000B7A98"/>
    <w:rsid w:val="000B7E6E"/>
    <w:rsid w:val="000C02CF"/>
    <w:rsid w:val="000C05F9"/>
    <w:rsid w:val="000C0AC3"/>
    <w:rsid w:val="000C0C99"/>
    <w:rsid w:val="000C0D71"/>
    <w:rsid w:val="000C0EAA"/>
    <w:rsid w:val="000C1443"/>
    <w:rsid w:val="000C1483"/>
    <w:rsid w:val="000C162C"/>
    <w:rsid w:val="000C1775"/>
    <w:rsid w:val="000C1E82"/>
    <w:rsid w:val="000C20BC"/>
    <w:rsid w:val="000C266A"/>
    <w:rsid w:val="000C2DF0"/>
    <w:rsid w:val="000C2E3B"/>
    <w:rsid w:val="000C2F22"/>
    <w:rsid w:val="000C338A"/>
    <w:rsid w:val="000C359D"/>
    <w:rsid w:val="000C38DE"/>
    <w:rsid w:val="000C3BB0"/>
    <w:rsid w:val="000C3DF9"/>
    <w:rsid w:val="000C3EBF"/>
    <w:rsid w:val="000C41CC"/>
    <w:rsid w:val="000C4214"/>
    <w:rsid w:val="000C4905"/>
    <w:rsid w:val="000C4C5D"/>
    <w:rsid w:val="000C568F"/>
    <w:rsid w:val="000C56C7"/>
    <w:rsid w:val="000C61A7"/>
    <w:rsid w:val="000C6355"/>
    <w:rsid w:val="000C64A3"/>
    <w:rsid w:val="000C6713"/>
    <w:rsid w:val="000C690E"/>
    <w:rsid w:val="000C709F"/>
    <w:rsid w:val="000C7366"/>
    <w:rsid w:val="000C74BF"/>
    <w:rsid w:val="000C7692"/>
    <w:rsid w:val="000C769D"/>
    <w:rsid w:val="000C771E"/>
    <w:rsid w:val="000C7F9B"/>
    <w:rsid w:val="000D07A7"/>
    <w:rsid w:val="000D090C"/>
    <w:rsid w:val="000D0A5B"/>
    <w:rsid w:val="000D12AC"/>
    <w:rsid w:val="000D182D"/>
    <w:rsid w:val="000D1BFC"/>
    <w:rsid w:val="000D1D5D"/>
    <w:rsid w:val="000D1D9F"/>
    <w:rsid w:val="000D1DB2"/>
    <w:rsid w:val="000D2077"/>
    <w:rsid w:val="000D27A5"/>
    <w:rsid w:val="000D281A"/>
    <w:rsid w:val="000D2848"/>
    <w:rsid w:val="000D2DB9"/>
    <w:rsid w:val="000D2DC8"/>
    <w:rsid w:val="000D2F19"/>
    <w:rsid w:val="000D326A"/>
    <w:rsid w:val="000D33AC"/>
    <w:rsid w:val="000D3489"/>
    <w:rsid w:val="000D35CA"/>
    <w:rsid w:val="000D3D84"/>
    <w:rsid w:val="000D412C"/>
    <w:rsid w:val="000D48D0"/>
    <w:rsid w:val="000D4D37"/>
    <w:rsid w:val="000D51FB"/>
    <w:rsid w:val="000D551B"/>
    <w:rsid w:val="000D55B4"/>
    <w:rsid w:val="000D55F4"/>
    <w:rsid w:val="000D5690"/>
    <w:rsid w:val="000D5900"/>
    <w:rsid w:val="000D5B1C"/>
    <w:rsid w:val="000D5C29"/>
    <w:rsid w:val="000D632D"/>
    <w:rsid w:val="000D639E"/>
    <w:rsid w:val="000D75A3"/>
    <w:rsid w:val="000D763E"/>
    <w:rsid w:val="000D7649"/>
    <w:rsid w:val="000D7CE1"/>
    <w:rsid w:val="000D7D66"/>
    <w:rsid w:val="000E00FB"/>
    <w:rsid w:val="000E0275"/>
    <w:rsid w:val="000E042C"/>
    <w:rsid w:val="000E04BF"/>
    <w:rsid w:val="000E052A"/>
    <w:rsid w:val="000E0640"/>
    <w:rsid w:val="000E0700"/>
    <w:rsid w:val="000E08CA"/>
    <w:rsid w:val="000E0C1A"/>
    <w:rsid w:val="000E0D83"/>
    <w:rsid w:val="000E0EE4"/>
    <w:rsid w:val="000E11C5"/>
    <w:rsid w:val="000E11FC"/>
    <w:rsid w:val="000E135D"/>
    <w:rsid w:val="000E15E8"/>
    <w:rsid w:val="000E163A"/>
    <w:rsid w:val="000E174C"/>
    <w:rsid w:val="000E17D0"/>
    <w:rsid w:val="000E17FE"/>
    <w:rsid w:val="000E1FD4"/>
    <w:rsid w:val="000E2130"/>
    <w:rsid w:val="000E240B"/>
    <w:rsid w:val="000E256A"/>
    <w:rsid w:val="000E25A3"/>
    <w:rsid w:val="000E296C"/>
    <w:rsid w:val="000E2A86"/>
    <w:rsid w:val="000E2B2A"/>
    <w:rsid w:val="000E312B"/>
    <w:rsid w:val="000E39C4"/>
    <w:rsid w:val="000E3EEB"/>
    <w:rsid w:val="000E4499"/>
    <w:rsid w:val="000E47E6"/>
    <w:rsid w:val="000E4849"/>
    <w:rsid w:val="000E4A89"/>
    <w:rsid w:val="000E4ACF"/>
    <w:rsid w:val="000E4B0C"/>
    <w:rsid w:val="000E4EB5"/>
    <w:rsid w:val="000E4FF2"/>
    <w:rsid w:val="000E59BC"/>
    <w:rsid w:val="000E5B23"/>
    <w:rsid w:val="000E5CAA"/>
    <w:rsid w:val="000E5DF5"/>
    <w:rsid w:val="000E5E6D"/>
    <w:rsid w:val="000E5E98"/>
    <w:rsid w:val="000E643A"/>
    <w:rsid w:val="000E6C18"/>
    <w:rsid w:val="000E6C31"/>
    <w:rsid w:val="000E6D52"/>
    <w:rsid w:val="000E6E3E"/>
    <w:rsid w:val="000E7261"/>
    <w:rsid w:val="000E7ACA"/>
    <w:rsid w:val="000E7B41"/>
    <w:rsid w:val="000E7F01"/>
    <w:rsid w:val="000F00BA"/>
    <w:rsid w:val="000F0185"/>
    <w:rsid w:val="000F031A"/>
    <w:rsid w:val="000F065F"/>
    <w:rsid w:val="000F0A71"/>
    <w:rsid w:val="000F0CBD"/>
    <w:rsid w:val="000F0FE6"/>
    <w:rsid w:val="000F1349"/>
    <w:rsid w:val="000F1369"/>
    <w:rsid w:val="000F145F"/>
    <w:rsid w:val="000F163B"/>
    <w:rsid w:val="000F17E3"/>
    <w:rsid w:val="000F1C31"/>
    <w:rsid w:val="000F21E5"/>
    <w:rsid w:val="000F22C2"/>
    <w:rsid w:val="000F2308"/>
    <w:rsid w:val="000F2596"/>
    <w:rsid w:val="000F266D"/>
    <w:rsid w:val="000F2B98"/>
    <w:rsid w:val="000F2C0E"/>
    <w:rsid w:val="000F2CAC"/>
    <w:rsid w:val="000F2EC7"/>
    <w:rsid w:val="000F316A"/>
    <w:rsid w:val="000F329F"/>
    <w:rsid w:val="000F3478"/>
    <w:rsid w:val="000F3B31"/>
    <w:rsid w:val="000F3C0C"/>
    <w:rsid w:val="000F3C74"/>
    <w:rsid w:val="000F3F1E"/>
    <w:rsid w:val="000F4207"/>
    <w:rsid w:val="000F466E"/>
    <w:rsid w:val="000F4746"/>
    <w:rsid w:val="000F4805"/>
    <w:rsid w:val="000F4BB8"/>
    <w:rsid w:val="000F4CC0"/>
    <w:rsid w:val="000F4FA9"/>
    <w:rsid w:val="000F519D"/>
    <w:rsid w:val="000F52A7"/>
    <w:rsid w:val="000F53B5"/>
    <w:rsid w:val="000F53FB"/>
    <w:rsid w:val="000F5819"/>
    <w:rsid w:val="000F5ADA"/>
    <w:rsid w:val="000F5B4F"/>
    <w:rsid w:val="000F5C44"/>
    <w:rsid w:val="000F5CBF"/>
    <w:rsid w:val="000F5DDF"/>
    <w:rsid w:val="000F62CB"/>
    <w:rsid w:val="000F6AAE"/>
    <w:rsid w:val="000F6FA6"/>
    <w:rsid w:val="000F70B6"/>
    <w:rsid w:val="000F7127"/>
    <w:rsid w:val="000F7283"/>
    <w:rsid w:val="000F7B08"/>
    <w:rsid w:val="000F7B54"/>
    <w:rsid w:val="000F7EED"/>
    <w:rsid w:val="001000F8"/>
    <w:rsid w:val="0010025D"/>
    <w:rsid w:val="0010053E"/>
    <w:rsid w:val="001007CA"/>
    <w:rsid w:val="00100979"/>
    <w:rsid w:val="00100B78"/>
    <w:rsid w:val="00100F7A"/>
    <w:rsid w:val="00100F8A"/>
    <w:rsid w:val="001011EA"/>
    <w:rsid w:val="00101791"/>
    <w:rsid w:val="00101A51"/>
    <w:rsid w:val="00101B9F"/>
    <w:rsid w:val="00102551"/>
    <w:rsid w:val="0010265F"/>
    <w:rsid w:val="0010323B"/>
    <w:rsid w:val="001037C2"/>
    <w:rsid w:val="001040A7"/>
    <w:rsid w:val="0010452E"/>
    <w:rsid w:val="00104561"/>
    <w:rsid w:val="00104DBF"/>
    <w:rsid w:val="00105460"/>
    <w:rsid w:val="0010549D"/>
    <w:rsid w:val="0010565D"/>
    <w:rsid w:val="001056C2"/>
    <w:rsid w:val="00105AE2"/>
    <w:rsid w:val="00105C77"/>
    <w:rsid w:val="00105CDD"/>
    <w:rsid w:val="00105D19"/>
    <w:rsid w:val="001060C6"/>
    <w:rsid w:val="0010620E"/>
    <w:rsid w:val="00106271"/>
    <w:rsid w:val="0010629B"/>
    <w:rsid w:val="00106513"/>
    <w:rsid w:val="00106B80"/>
    <w:rsid w:val="00106BD8"/>
    <w:rsid w:val="00106EC1"/>
    <w:rsid w:val="0010702F"/>
    <w:rsid w:val="001072F2"/>
    <w:rsid w:val="00107325"/>
    <w:rsid w:val="00107368"/>
    <w:rsid w:val="00107423"/>
    <w:rsid w:val="00107E3E"/>
    <w:rsid w:val="00107FD7"/>
    <w:rsid w:val="0011032E"/>
    <w:rsid w:val="001114FF"/>
    <w:rsid w:val="001119A2"/>
    <w:rsid w:val="00111B54"/>
    <w:rsid w:val="00112249"/>
    <w:rsid w:val="00112529"/>
    <w:rsid w:val="00112630"/>
    <w:rsid w:val="00112A1A"/>
    <w:rsid w:val="00112CCA"/>
    <w:rsid w:val="0011300C"/>
    <w:rsid w:val="00113467"/>
    <w:rsid w:val="0011348B"/>
    <w:rsid w:val="00113B78"/>
    <w:rsid w:val="00113E90"/>
    <w:rsid w:val="00113F1F"/>
    <w:rsid w:val="00113FE4"/>
    <w:rsid w:val="0011537F"/>
    <w:rsid w:val="001154DD"/>
    <w:rsid w:val="001154EF"/>
    <w:rsid w:val="0011562E"/>
    <w:rsid w:val="00115982"/>
    <w:rsid w:val="00115C97"/>
    <w:rsid w:val="00115D88"/>
    <w:rsid w:val="00115F5B"/>
    <w:rsid w:val="001161AD"/>
    <w:rsid w:val="001165ED"/>
    <w:rsid w:val="00116A19"/>
    <w:rsid w:val="00116C53"/>
    <w:rsid w:val="00116CA2"/>
    <w:rsid w:val="00116CCE"/>
    <w:rsid w:val="00116F46"/>
    <w:rsid w:val="00116F91"/>
    <w:rsid w:val="00116FF7"/>
    <w:rsid w:val="0011709E"/>
    <w:rsid w:val="00117629"/>
    <w:rsid w:val="001177C1"/>
    <w:rsid w:val="00117AA4"/>
    <w:rsid w:val="00117ACE"/>
    <w:rsid w:val="00117D7A"/>
    <w:rsid w:val="00120362"/>
    <w:rsid w:val="001205FF"/>
    <w:rsid w:val="00120608"/>
    <w:rsid w:val="00120ACE"/>
    <w:rsid w:val="00120D3F"/>
    <w:rsid w:val="001210A3"/>
    <w:rsid w:val="001213E9"/>
    <w:rsid w:val="00121597"/>
    <w:rsid w:val="00121799"/>
    <w:rsid w:val="001218A7"/>
    <w:rsid w:val="00121946"/>
    <w:rsid w:val="00122136"/>
    <w:rsid w:val="00122243"/>
    <w:rsid w:val="001222D4"/>
    <w:rsid w:val="001222FC"/>
    <w:rsid w:val="0012252F"/>
    <w:rsid w:val="001228F5"/>
    <w:rsid w:val="001237B0"/>
    <w:rsid w:val="00123902"/>
    <w:rsid w:val="00123F50"/>
    <w:rsid w:val="001240B1"/>
    <w:rsid w:val="0012421C"/>
    <w:rsid w:val="0012422C"/>
    <w:rsid w:val="001245B8"/>
    <w:rsid w:val="00124A51"/>
    <w:rsid w:val="0012564A"/>
    <w:rsid w:val="0012595D"/>
    <w:rsid w:val="00125CD2"/>
    <w:rsid w:val="00125DF0"/>
    <w:rsid w:val="00125FFA"/>
    <w:rsid w:val="00126621"/>
    <w:rsid w:val="00126755"/>
    <w:rsid w:val="001269A2"/>
    <w:rsid w:val="00126AA1"/>
    <w:rsid w:val="00126B1D"/>
    <w:rsid w:val="00126D14"/>
    <w:rsid w:val="0012700D"/>
    <w:rsid w:val="00127059"/>
    <w:rsid w:val="001270CB"/>
    <w:rsid w:val="0012711C"/>
    <w:rsid w:val="00127262"/>
    <w:rsid w:val="001273DA"/>
    <w:rsid w:val="00127511"/>
    <w:rsid w:val="00127545"/>
    <w:rsid w:val="0012768C"/>
    <w:rsid w:val="001278B3"/>
    <w:rsid w:val="00127AB5"/>
    <w:rsid w:val="00130024"/>
    <w:rsid w:val="001301E9"/>
    <w:rsid w:val="001303F1"/>
    <w:rsid w:val="00130720"/>
    <w:rsid w:val="00130A87"/>
    <w:rsid w:val="0013105F"/>
    <w:rsid w:val="00131274"/>
    <w:rsid w:val="001313B8"/>
    <w:rsid w:val="00131563"/>
    <w:rsid w:val="001319AF"/>
    <w:rsid w:val="00131D82"/>
    <w:rsid w:val="0013235D"/>
    <w:rsid w:val="00132938"/>
    <w:rsid w:val="00132A25"/>
    <w:rsid w:val="00132A58"/>
    <w:rsid w:val="00132B22"/>
    <w:rsid w:val="00132C15"/>
    <w:rsid w:val="00132DC2"/>
    <w:rsid w:val="00132DC6"/>
    <w:rsid w:val="00132F62"/>
    <w:rsid w:val="0013330C"/>
    <w:rsid w:val="00133595"/>
    <w:rsid w:val="00133D36"/>
    <w:rsid w:val="00134295"/>
    <w:rsid w:val="00134313"/>
    <w:rsid w:val="001344C9"/>
    <w:rsid w:val="00134877"/>
    <w:rsid w:val="001348F4"/>
    <w:rsid w:val="00134FF7"/>
    <w:rsid w:val="00135021"/>
    <w:rsid w:val="00135085"/>
    <w:rsid w:val="00135236"/>
    <w:rsid w:val="001357E0"/>
    <w:rsid w:val="0013582D"/>
    <w:rsid w:val="00136000"/>
    <w:rsid w:val="001364ED"/>
    <w:rsid w:val="001369B5"/>
    <w:rsid w:val="00136F73"/>
    <w:rsid w:val="00137645"/>
    <w:rsid w:val="00137AFC"/>
    <w:rsid w:val="00137B7F"/>
    <w:rsid w:val="00137E9C"/>
    <w:rsid w:val="00137F04"/>
    <w:rsid w:val="0014015A"/>
    <w:rsid w:val="00140734"/>
    <w:rsid w:val="00140BD7"/>
    <w:rsid w:val="00140E99"/>
    <w:rsid w:val="001412DA"/>
    <w:rsid w:val="00141760"/>
    <w:rsid w:val="0014185F"/>
    <w:rsid w:val="00141A86"/>
    <w:rsid w:val="00141B97"/>
    <w:rsid w:val="00142058"/>
    <w:rsid w:val="0014213E"/>
    <w:rsid w:val="001423AB"/>
    <w:rsid w:val="00142556"/>
    <w:rsid w:val="001425A1"/>
    <w:rsid w:val="00142878"/>
    <w:rsid w:val="001429C5"/>
    <w:rsid w:val="00142B85"/>
    <w:rsid w:val="00143177"/>
    <w:rsid w:val="00143534"/>
    <w:rsid w:val="001435DC"/>
    <w:rsid w:val="00143899"/>
    <w:rsid w:val="00143B38"/>
    <w:rsid w:val="00143F67"/>
    <w:rsid w:val="00143FA5"/>
    <w:rsid w:val="00144119"/>
    <w:rsid w:val="0014446B"/>
    <w:rsid w:val="001447E2"/>
    <w:rsid w:val="00144847"/>
    <w:rsid w:val="00144A31"/>
    <w:rsid w:val="00145108"/>
    <w:rsid w:val="00145295"/>
    <w:rsid w:val="0014534F"/>
    <w:rsid w:val="00145540"/>
    <w:rsid w:val="001456B0"/>
    <w:rsid w:val="00145EC4"/>
    <w:rsid w:val="00146777"/>
    <w:rsid w:val="001468CD"/>
    <w:rsid w:val="00146DF8"/>
    <w:rsid w:val="00146E78"/>
    <w:rsid w:val="00147096"/>
    <w:rsid w:val="00147235"/>
    <w:rsid w:val="00147403"/>
    <w:rsid w:val="0014775B"/>
    <w:rsid w:val="00147761"/>
    <w:rsid w:val="00147791"/>
    <w:rsid w:val="00147A54"/>
    <w:rsid w:val="00147B7D"/>
    <w:rsid w:val="00147C03"/>
    <w:rsid w:val="00147F95"/>
    <w:rsid w:val="0015011E"/>
    <w:rsid w:val="00150424"/>
    <w:rsid w:val="00150F36"/>
    <w:rsid w:val="00151046"/>
    <w:rsid w:val="001511A8"/>
    <w:rsid w:val="0015155F"/>
    <w:rsid w:val="001515FC"/>
    <w:rsid w:val="001516F4"/>
    <w:rsid w:val="001517BE"/>
    <w:rsid w:val="00151E82"/>
    <w:rsid w:val="001522CF"/>
    <w:rsid w:val="00152353"/>
    <w:rsid w:val="00152506"/>
    <w:rsid w:val="001526C1"/>
    <w:rsid w:val="00152A2C"/>
    <w:rsid w:val="00152A5A"/>
    <w:rsid w:val="00152AF2"/>
    <w:rsid w:val="00152E87"/>
    <w:rsid w:val="00153061"/>
    <w:rsid w:val="00153298"/>
    <w:rsid w:val="001532C5"/>
    <w:rsid w:val="00153544"/>
    <w:rsid w:val="001538EE"/>
    <w:rsid w:val="00153B8A"/>
    <w:rsid w:val="00153D06"/>
    <w:rsid w:val="00154499"/>
    <w:rsid w:val="001546CF"/>
    <w:rsid w:val="0015478E"/>
    <w:rsid w:val="00154A61"/>
    <w:rsid w:val="00154B1A"/>
    <w:rsid w:val="00154D6F"/>
    <w:rsid w:val="00155118"/>
    <w:rsid w:val="00155D1C"/>
    <w:rsid w:val="00155D6F"/>
    <w:rsid w:val="00155F44"/>
    <w:rsid w:val="00155F7C"/>
    <w:rsid w:val="001560F7"/>
    <w:rsid w:val="001563D0"/>
    <w:rsid w:val="0015679B"/>
    <w:rsid w:val="001569C8"/>
    <w:rsid w:val="00156A7E"/>
    <w:rsid w:val="00156D7A"/>
    <w:rsid w:val="00156F8F"/>
    <w:rsid w:val="00157130"/>
    <w:rsid w:val="001576B1"/>
    <w:rsid w:val="00157AD6"/>
    <w:rsid w:val="00160059"/>
    <w:rsid w:val="0016047B"/>
    <w:rsid w:val="00160489"/>
    <w:rsid w:val="001605E1"/>
    <w:rsid w:val="00160834"/>
    <w:rsid w:val="00160937"/>
    <w:rsid w:val="00160A4C"/>
    <w:rsid w:val="00160BE5"/>
    <w:rsid w:val="00160CF2"/>
    <w:rsid w:val="0016116E"/>
    <w:rsid w:val="001613CF"/>
    <w:rsid w:val="00161541"/>
    <w:rsid w:val="001615CE"/>
    <w:rsid w:val="00161676"/>
    <w:rsid w:val="00161795"/>
    <w:rsid w:val="00161A72"/>
    <w:rsid w:val="00161AC4"/>
    <w:rsid w:val="00161B2B"/>
    <w:rsid w:val="00161F48"/>
    <w:rsid w:val="00161FBE"/>
    <w:rsid w:val="001622A5"/>
    <w:rsid w:val="00162530"/>
    <w:rsid w:val="001628B0"/>
    <w:rsid w:val="00162913"/>
    <w:rsid w:val="00162C15"/>
    <w:rsid w:val="00163296"/>
    <w:rsid w:val="0016344A"/>
    <w:rsid w:val="00163845"/>
    <w:rsid w:val="0016398A"/>
    <w:rsid w:val="00163EFF"/>
    <w:rsid w:val="00163F66"/>
    <w:rsid w:val="001640D4"/>
    <w:rsid w:val="0016420E"/>
    <w:rsid w:val="001649BE"/>
    <w:rsid w:val="001658BF"/>
    <w:rsid w:val="0016593D"/>
    <w:rsid w:val="001659B0"/>
    <w:rsid w:val="00165B3A"/>
    <w:rsid w:val="00165DEA"/>
    <w:rsid w:val="00165F2E"/>
    <w:rsid w:val="00166132"/>
    <w:rsid w:val="001661FB"/>
    <w:rsid w:val="00166712"/>
    <w:rsid w:val="0016689F"/>
    <w:rsid w:val="00166BC2"/>
    <w:rsid w:val="00166E0F"/>
    <w:rsid w:val="001671A0"/>
    <w:rsid w:val="0016723F"/>
    <w:rsid w:val="001675F9"/>
    <w:rsid w:val="0016767F"/>
    <w:rsid w:val="001679EB"/>
    <w:rsid w:val="00167A54"/>
    <w:rsid w:val="00167A6C"/>
    <w:rsid w:val="00167D31"/>
    <w:rsid w:val="00167E0D"/>
    <w:rsid w:val="001701F5"/>
    <w:rsid w:val="001702DE"/>
    <w:rsid w:val="001708E3"/>
    <w:rsid w:val="00170BBB"/>
    <w:rsid w:val="00170D51"/>
    <w:rsid w:val="00171081"/>
    <w:rsid w:val="00171307"/>
    <w:rsid w:val="00171401"/>
    <w:rsid w:val="0017159B"/>
    <w:rsid w:val="00171B19"/>
    <w:rsid w:val="00171D2D"/>
    <w:rsid w:val="00171DD2"/>
    <w:rsid w:val="001726EE"/>
    <w:rsid w:val="001726FC"/>
    <w:rsid w:val="0017271F"/>
    <w:rsid w:val="00172D85"/>
    <w:rsid w:val="00172DDD"/>
    <w:rsid w:val="00172FA7"/>
    <w:rsid w:val="001731F3"/>
    <w:rsid w:val="001734CC"/>
    <w:rsid w:val="00173565"/>
    <w:rsid w:val="00173616"/>
    <w:rsid w:val="001736FF"/>
    <w:rsid w:val="00173B05"/>
    <w:rsid w:val="00173B07"/>
    <w:rsid w:val="00173E67"/>
    <w:rsid w:val="0017409C"/>
    <w:rsid w:val="001742B8"/>
    <w:rsid w:val="00174A7D"/>
    <w:rsid w:val="00174CF7"/>
    <w:rsid w:val="00174E98"/>
    <w:rsid w:val="00175010"/>
    <w:rsid w:val="001751FA"/>
    <w:rsid w:val="001754B9"/>
    <w:rsid w:val="00175583"/>
    <w:rsid w:val="00175679"/>
    <w:rsid w:val="00175751"/>
    <w:rsid w:val="00175BB1"/>
    <w:rsid w:val="00176017"/>
    <w:rsid w:val="001764C2"/>
    <w:rsid w:val="001764EC"/>
    <w:rsid w:val="00176C75"/>
    <w:rsid w:val="00176EB7"/>
    <w:rsid w:val="00176F9B"/>
    <w:rsid w:val="00177420"/>
    <w:rsid w:val="001775AF"/>
    <w:rsid w:val="0017772E"/>
    <w:rsid w:val="00177C38"/>
    <w:rsid w:val="00177DDC"/>
    <w:rsid w:val="00177F4B"/>
    <w:rsid w:val="00177FB6"/>
    <w:rsid w:val="0018019C"/>
    <w:rsid w:val="001801CA"/>
    <w:rsid w:val="00180256"/>
    <w:rsid w:val="001803E2"/>
    <w:rsid w:val="00180B62"/>
    <w:rsid w:val="00180C11"/>
    <w:rsid w:val="00180C5E"/>
    <w:rsid w:val="00180D38"/>
    <w:rsid w:val="00180F28"/>
    <w:rsid w:val="00181132"/>
    <w:rsid w:val="00181178"/>
    <w:rsid w:val="0018124D"/>
    <w:rsid w:val="00181531"/>
    <w:rsid w:val="001815A6"/>
    <w:rsid w:val="001815D1"/>
    <w:rsid w:val="001815FD"/>
    <w:rsid w:val="00181AAE"/>
    <w:rsid w:val="00181D9C"/>
    <w:rsid w:val="0018235E"/>
    <w:rsid w:val="00182482"/>
    <w:rsid w:val="001824AE"/>
    <w:rsid w:val="00182769"/>
    <w:rsid w:val="00182789"/>
    <w:rsid w:val="001827F1"/>
    <w:rsid w:val="00182832"/>
    <w:rsid w:val="001829C9"/>
    <w:rsid w:val="00182C36"/>
    <w:rsid w:val="00182F0A"/>
    <w:rsid w:val="00182F2B"/>
    <w:rsid w:val="00182F99"/>
    <w:rsid w:val="0018308D"/>
    <w:rsid w:val="001830C3"/>
    <w:rsid w:val="00184238"/>
    <w:rsid w:val="0018428C"/>
    <w:rsid w:val="0018480A"/>
    <w:rsid w:val="00184929"/>
    <w:rsid w:val="00184B0E"/>
    <w:rsid w:val="00184F36"/>
    <w:rsid w:val="00185652"/>
    <w:rsid w:val="001859BA"/>
    <w:rsid w:val="001859C1"/>
    <w:rsid w:val="00185AF2"/>
    <w:rsid w:val="00185BD6"/>
    <w:rsid w:val="00186249"/>
    <w:rsid w:val="001869E1"/>
    <w:rsid w:val="00186D77"/>
    <w:rsid w:val="00187453"/>
    <w:rsid w:val="0018752F"/>
    <w:rsid w:val="0018780E"/>
    <w:rsid w:val="00187E21"/>
    <w:rsid w:val="00190772"/>
    <w:rsid w:val="00190834"/>
    <w:rsid w:val="00190D79"/>
    <w:rsid w:val="0019115A"/>
    <w:rsid w:val="00191816"/>
    <w:rsid w:val="00192073"/>
    <w:rsid w:val="0019211A"/>
    <w:rsid w:val="00192B7D"/>
    <w:rsid w:val="00192D1B"/>
    <w:rsid w:val="00192D66"/>
    <w:rsid w:val="001931A5"/>
    <w:rsid w:val="00193838"/>
    <w:rsid w:val="00193BB0"/>
    <w:rsid w:val="00193F22"/>
    <w:rsid w:val="001946E5"/>
    <w:rsid w:val="00194AD8"/>
    <w:rsid w:val="0019519A"/>
    <w:rsid w:val="00195222"/>
    <w:rsid w:val="00195223"/>
    <w:rsid w:val="001955F2"/>
    <w:rsid w:val="00195716"/>
    <w:rsid w:val="00195837"/>
    <w:rsid w:val="00195A7A"/>
    <w:rsid w:val="00195D2C"/>
    <w:rsid w:val="00195F6B"/>
    <w:rsid w:val="00196050"/>
    <w:rsid w:val="001964D6"/>
    <w:rsid w:val="001966E8"/>
    <w:rsid w:val="001967C3"/>
    <w:rsid w:val="001969F7"/>
    <w:rsid w:val="00196A47"/>
    <w:rsid w:val="00196D9A"/>
    <w:rsid w:val="00196E2C"/>
    <w:rsid w:val="00197329"/>
    <w:rsid w:val="001975D8"/>
    <w:rsid w:val="00197B0C"/>
    <w:rsid w:val="00197E4C"/>
    <w:rsid w:val="001A000F"/>
    <w:rsid w:val="001A0108"/>
    <w:rsid w:val="001A057E"/>
    <w:rsid w:val="001A059B"/>
    <w:rsid w:val="001A097F"/>
    <w:rsid w:val="001A0C0F"/>
    <w:rsid w:val="001A10EE"/>
    <w:rsid w:val="001A1446"/>
    <w:rsid w:val="001A178E"/>
    <w:rsid w:val="001A17D4"/>
    <w:rsid w:val="001A190B"/>
    <w:rsid w:val="001A1928"/>
    <w:rsid w:val="001A19BD"/>
    <w:rsid w:val="001A1A12"/>
    <w:rsid w:val="001A1BB9"/>
    <w:rsid w:val="001A22BA"/>
    <w:rsid w:val="001A22DF"/>
    <w:rsid w:val="001A23CE"/>
    <w:rsid w:val="001A23E9"/>
    <w:rsid w:val="001A2413"/>
    <w:rsid w:val="001A25DE"/>
    <w:rsid w:val="001A3046"/>
    <w:rsid w:val="001A3276"/>
    <w:rsid w:val="001A3368"/>
    <w:rsid w:val="001A373F"/>
    <w:rsid w:val="001A38D6"/>
    <w:rsid w:val="001A3C98"/>
    <w:rsid w:val="001A3F66"/>
    <w:rsid w:val="001A418C"/>
    <w:rsid w:val="001A43FA"/>
    <w:rsid w:val="001A4667"/>
    <w:rsid w:val="001A47C5"/>
    <w:rsid w:val="001A488E"/>
    <w:rsid w:val="001A4F33"/>
    <w:rsid w:val="001A556C"/>
    <w:rsid w:val="001A55BA"/>
    <w:rsid w:val="001A5638"/>
    <w:rsid w:val="001A5934"/>
    <w:rsid w:val="001A59FB"/>
    <w:rsid w:val="001A5D30"/>
    <w:rsid w:val="001A5E9E"/>
    <w:rsid w:val="001A62C8"/>
    <w:rsid w:val="001A6354"/>
    <w:rsid w:val="001A6366"/>
    <w:rsid w:val="001A638A"/>
    <w:rsid w:val="001A67DD"/>
    <w:rsid w:val="001A7543"/>
    <w:rsid w:val="001A7AE8"/>
    <w:rsid w:val="001B0628"/>
    <w:rsid w:val="001B08CD"/>
    <w:rsid w:val="001B0AE0"/>
    <w:rsid w:val="001B0B10"/>
    <w:rsid w:val="001B146F"/>
    <w:rsid w:val="001B14DD"/>
    <w:rsid w:val="001B154B"/>
    <w:rsid w:val="001B1562"/>
    <w:rsid w:val="001B1574"/>
    <w:rsid w:val="001B1929"/>
    <w:rsid w:val="001B204E"/>
    <w:rsid w:val="001B2336"/>
    <w:rsid w:val="001B2372"/>
    <w:rsid w:val="001B2377"/>
    <w:rsid w:val="001B2415"/>
    <w:rsid w:val="001B2757"/>
    <w:rsid w:val="001B28D6"/>
    <w:rsid w:val="001B2959"/>
    <w:rsid w:val="001B2F26"/>
    <w:rsid w:val="001B33BC"/>
    <w:rsid w:val="001B3443"/>
    <w:rsid w:val="001B3730"/>
    <w:rsid w:val="001B3864"/>
    <w:rsid w:val="001B4079"/>
    <w:rsid w:val="001B40C7"/>
    <w:rsid w:val="001B41A2"/>
    <w:rsid w:val="001B4765"/>
    <w:rsid w:val="001B4854"/>
    <w:rsid w:val="001B4D20"/>
    <w:rsid w:val="001B4E2C"/>
    <w:rsid w:val="001B5E48"/>
    <w:rsid w:val="001B6636"/>
    <w:rsid w:val="001B678A"/>
    <w:rsid w:val="001B67AA"/>
    <w:rsid w:val="001B6B36"/>
    <w:rsid w:val="001B6E26"/>
    <w:rsid w:val="001B6E5F"/>
    <w:rsid w:val="001B6E66"/>
    <w:rsid w:val="001B7778"/>
    <w:rsid w:val="001B7A2E"/>
    <w:rsid w:val="001B7C50"/>
    <w:rsid w:val="001B7E8D"/>
    <w:rsid w:val="001B7FB0"/>
    <w:rsid w:val="001C0896"/>
    <w:rsid w:val="001C1167"/>
    <w:rsid w:val="001C12EF"/>
    <w:rsid w:val="001C147A"/>
    <w:rsid w:val="001C1615"/>
    <w:rsid w:val="001C1719"/>
    <w:rsid w:val="001C17E2"/>
    <w:rsid w:val="001C1CC8"/>
    <w:rsid w:val="001C2015"/>
    <w:rsid w:val="001C21EA"/>
    <w:rsid w:val="001C2436"/>
    <w:rsid w:val="001C2632"/>
    <w:rsid w:val="001C2A9B"/>
    <w:rsid w:val="001C2BE9"/>
    <w:rsid w:val="001C2C88"/>
    <w:rsid w:val="001C3281"/>
    <w:rsid w:val="001C32CC"/>
    <w:rsid w:val="001C3567"/>
    <w:rsid w:val="001C37C4"/>
    <w:rsid w:val="001C3816"/>
    <w:rsid w:val="001C3E4C"/>
    <w:rsid w:val="001C4299"/>
    <w:rsid w:val="001C4527"/>
    <w:rsid w:val="001C47C6"/>
    <w:rsid w:val="001C4874"/>
    <w:rsid w:val="001C4ACB"/>
    <w:rsid w:val="001C4D0A"/>
    <w:rsid w:val="001C535B"/>
    <w:rsid w:val="001C5367"/>
    <w:rsid w:val="001C5A80"/>
    <w:rsid w:val="001C5AB1"/>
    <w:rsid w:val="001C5F94"/>
    <w:rsid w:val="001C626B"/>
    <w:rsid w:val="001C6645"/>
    <w:rsid w:val="001C68C0"/>
    <w:rsid w:val="001C6C95"/>
    <w:rsid w:val="001C6E66"/>
    <w:rsid w:val="001C72E9"/>
    <w:rsid w:val="001C760E"/>
    <w:rsid w:val="001C7BED"/>
    <w:rsid w:val="001C7F30"/>
    <w:rsid w:val="001D0095"/>
    <w:rsid w:val="001D0DD7"/>
    <w:rsid w:val="001D0FD3"/>
    <w:rsid w:val="001D10D2"/>
    <w:rsid w:val="001D1100"/>
    <w:rsid w:val="001D117E"/>
    <w:rsid w:val="001D1391"/>
    <w:rsid w:val="001D1459"/>
    <w:rsid w:val="001D15FD"/>
    <w:rsid w:val="001D164F"/>
    <w:rsid w:val="001D18A9"/>
    <w:rsid w:val="001D1FD7"/>
    <w:rsid w:val="001D2127"/>
    <w:rsid w:val="001D25D7"/>
    <w:rsid w:val="001D2B8E"/>
    <w:rsid w:val="001D2B91"/>
    <w:rsid w:val="001D3053"/>
    <w:rsid w:val="001D315A"/>
    <w:rsid w:val="001D3280"/>
    <w:rsid w:val="001D35E0"/>
    <w:rsid w:val="001D364A"/>
    <w:rsid w:val="001D3834"/>
    <w:rsid w:val="001D3D7D"/>
    <w:rsid w:val="001D42E8"/>
    <w:rsid w:val="001D43F3"/>
    <w:rsid w:val="001D464E"/>
    <w:rsid w:val="001D47B2"/>
    <w:rsid w:val="001D4D51"/>
    <w:rsid w:val="001D4F6F"/>
    <w:rsid w:val="001D50B2"/>
    <w:rsid w:val="001D5128"/>
    <w:rsid w:val="001D5620"/>
    <w:rsid w:val="001D578A"/>
    <w:rsid w:val="001D5950"/>
    <w:rsid w:val="001D5BBD"/>
    <w:rsid w:val="001D5F81"/>
    <w:rsid w:val="001D62DA"/>
    <w:rsid w:val="001D63B8"/>
    <w:rsid w:val="001D63DB"/>
    <w:rsid w:val="001D6664"/>
    <w:rsid w:val="001D6D13"/>
    <w:rsid w:val="001D7645"/>
    <w:rsid w:val="001D7739"/>
    <w:rsid w:val="001D7958"/>
    <w:rsid w:val="001D7977"/>
    <w:rsid w:val="001D7EA6"/>
    <w:rsid w:val="001E04C8"/>
    <w:rsid w:val="001E132A"/>
    <w:rsid w:val="001E1436"/>
    <w:rsid w:val="001E1548"/>
    <w:rsid w:val="001E15F9"/>
    <w:rsid w:val="001E18D2"/>
    <w:rsid w:val="001E1AF3"/>
    <w:rsid w:val="001E1E86"/>
    <w:rsid w:val="001E238E"/>
    <w:rsid w:val="001E2483"/>
    <w:rsid w:val="001E24B9"/>
    <w:rsid w:val="001E27A1"/>
    <w:rsid w:val="001E2B1E"/>
    <w:rsid w:val="001E2CFF"/>
    <w:rsid w:val="001E2EBC"/>
    <w:rsid w:val="001E2F24"/>
    <w:rsid w:val="001E30D4"/>
    <w:rsid w:val="001E34DF"/>
    <w:rsid w:val="001E3686"/>
    <w:rsid w:val="001E3863"/>
    <w:rsid w:val="001E39E2"/>
    <w:rsid w:val="001E3AB8"/>
    <w:rsid w:val="001E401B"/>
    <w:rsid w:val="001E402A"/>
    <w:rsid w:val="001E403D"/>
    <w:rsid w:val="001E4288"/>
    <w:rsid w:val="001E43C8"/>
    <w:rsid w:val="001E4AFC"/>
    <w:rsid w:val="001E4C5E"/>
    <w:rsid w:val="001E4D6D"/>
    <w:rsid w:val="001E4F82"/>
    <w:rsid w:val="001E5135"/>
    <w:rsid w:val="001E518D"/>
    <w:rsid w:val="001E52EB"/>
    <w:rsid w:val="001E53AB"/>
    <w:rsid w:val="001E5829"/>
    <w:rsid w:val="001E5CA1"/>
    <w:rsid w:val="001E61D2"/>
    <w:rsid w:val="001E6314"/>
    <w:rsid w:val="001E68B9"/>
    <w:rsid w:val="001E6909"/>
    <w:rsid w:val="001E6D9A"/>
    <w:rsid w:val="001E7157"/>
    <w:rsid w:val="001E7210"/>
    <w:rsid w:val="001E740C"/>
    <w:rsid w:val="001E75A3"/>
    <w:rsid w:val="001E75F0"/>
    <w:rsid w:val="001E7A10"/>
    <w:rsid w:val="001E7AC1"/>
    <w:rsid w:val="001E7C07"/>
    <w:rsid w:val="001E7DC5"/>
    <w:rsid w:val="001F06D0"/>
    <w:rsid w:val="001F0876"/>
    <w:rsid w:val="001F0A7A"/>
    <w:rsid w:val="001F0BE5"/>
    <w:rsid w:val="001F0E1E"/>
    <w:rsid w:val="001F0EFF"/>
    <w:rsid w:val="001F11F7"/>
    <w:rsid w:val="001F1235"/>
    <w:rsid w:val="001F1B3D"/>
    <w:rsid w:val="001F1CB3"/>
    <w:rsid w:val="001F1EA6"/>
    <w:rsid w:val="001F1FD7"/>
    <w:rsid w:val="001F20CA"/>
    <w:rsid w:val="001F214D"/>
    <w:rsid w:val="001F23BC"/>
    <w:rsid w:val="001F27AA"/>
    <w:rsid w:val="001F2980"/>
    <w:rsid w:val="001F2ABB"/>
    <w:rsid w:val="001F2B92"/>
    <w:rsid w:val="001F332A"/>
    <w:rsid w:val="001F3384"/>
    <w:rsid w:val="001F38B5"/>
    <w:rsid w:val="001F4035"/>
    <w:rsid w:val="001F4081"/>
    <w:rsid w:val="001F44F2"/>
    <w:rsid w:val="001F475F"/>
    <w:rsid w:val="001F48C0"/>
    <w:rsid w:val="001F49A3"/>
    <w:rsid w:val="001F4BF8"/>
    <w:rsid w:val="001F52C5"/>
    <w:rsid w:val="001F59F1"/>
    <w:rsid w:val="001F61B4"/>
    <w:rsid w:val="001F61D9"/>
    <w:rsid w:val="001F6631"/>
    <w:rsid w:val="001F7112"/>
    <w:rsid w:val="001F7135"/>
    <w:rsid w:val="001F7185"/>
    <w:rsid w:val="001F7330"/>
    <w:rsid w:val="001F7361"/>
    <w:rsid w:val="001F7938"/>
    <w:rsid w:val="001F7953"/>
    <w:rsid w:val="001F7BCC"/>
    <w:rsid w:val="001F7D40"/>
    <w:rsid w:val="001F7D6C"/>
    <w:rsid w:val="001F7D7F"/>
    <w:rsid w:val="001F7DF7"/>
    <w:rsid w:val="0020016B"/>
    <w:rsid w:val="00200357"/>
    <w:rsid w:val="00200B22"/>
    <w:rsid w:val="00200CE2"/>
    <w:rsid w:val="00200E27"/>
    <w:rsid w:val="00201021"/>
    <w:rsid w:val="002011B0"/>
    <w:rsid w:val="00201349"/>
    <w:rsid w:val="00201535"/>
    <w:rsid w:val="00201AE5"/>
    <w:rsid w:val="00201E82"/>
    <w:rsid w:val="0020217A"/>
    <w:rsid w:val="002021D0"/>
    <w:rsid w:val="002026BE"/>
    <w:rsid w:val="002026C0"/>
    <w:rsid w:val="00202909"/>
    <w:rsid w:val="00202AD0"/>
    <w:rsid w:val="00202D9D"/>
    <w:rsid w:val="00203181"/>
    <w:rsid w:val="00203278"/>
    <w:rsid w:val="00203468"/>
    <w:rsid w:val="00203783"/>
    <w:rsid w:val="0020385F"/>
    <w:rsid w:val="002039AB"/>
    <w:rsid w:val="002042D0"/>
    <w:rsid w:val="002043B3"/>
    <w:rsid w:val="0020442F"/>
    <w:rsid w:val="0020448F"/>
    <w:rsid w:val="002044A2"/>
    <w:rsid w:val="00204631"/>
    <w:rsid w:val="00204D5D"/>
    <w:rsid w:val="00204EB5"/>
    <w:rsid w:val="00204F20"/>
    <w:rsid w:val="00205075"/>
    <w:rsid w:val="002053F4"/>
    <w:rsid w:val="002054AA"/>
    <w:rsid w:val="002057B4"/>
    <w:rsid w:val="00205BCE"/>
    <w:rsid w:val="0020622C"/>
    <w:rsid w:val="00206524"/>
    <w:rsid w:val="0020671C"/>
    <w:rsid w:val="002068A0"/>
    <w:rsid w:val="00206AD1"/>
    <w:rsid w:val="00206F9D"/>
    <w:rsid w:val="00206FF8"/>
    <w:rsid w:val="00207021"/>
    <w:rsid w:val="0020732F"/>
    <w:rsid w:val="002079C1"/>
    <w:rsid w:val="00207D00"/>
    <w:rsid w:val="00207FA2"/>
    <w:rsid w:val="00210094"/>
    <w:rsid w:val="002100F7"/>
    <w:rsid w:val="0021012E"/>
    <w:rsid w:val="0021027B"/>
    <w:rsid w:val="0021029B"/>
    <w:rsid w:val="002105C1"/>
    <w:rsid w:val="0021077C"/>
    <w:rsid w:val="002109DC"/>
    <w:rsid w:val="002117E8"/>
    <w:rsid w:val="00211850"/>
    <w:rsid w:val="00211B17"/>
    <w:rsid w:val="00211E61"/>
    <w:rsid w:val="00211EA0"/>
    <w:rsid w:val="00211F9D"/>
    <w:rsid w:val="00212136"/>
    <w:rsid w:val="002121F9"/>
    <w:rsid w:val="002124DE"/>
    <w:rsid w:val="002129BD"/>
    <w:rsid w:val="00212BCB"/>
    <w:rsid w:val="00212D83"/>
    <w:rsid w:val="00212FBC"/>
    <w:rsid w:val="002135FC"/>
    <w:rsid w:val="00213731"/>
    <w:rsid w:val="00213B15"/>
    <w:rsid w:val="00213B66"/>
    <w:rsid w:val="00213E6B"/>
    <w:rsid w:val="00213EF5"/>
    <w:rsid w:val="0021413D"/>
    <w:rsid w:val="00214711"/>
    <w:rsid w:val="002148C1"/>
    <w:rsid w:val="00214B32"/>
    <w:rsid w:val="00214B8D"/>
    <w:rsid w:val="002163D4"/>
    <w:rsid w:val="00216476"/>
    <w:rsid w:val="00216BF5"/>
    <w:rsid w:val="00216CF0"/>
    <w:rsid w:val="00217307"/>
    <w:rsid w:val="00217542"/>
    <w:rsid w:val="00217763"/>
    <w:rsid w:val="00217ECF"/>
    <w:rsid w:val="00217FB3"/>
    <w:rsid w:val="00220174"/>
    <w:rsid w:val="002201D3"/>
    <w:rsid w:val="002202CD"/>
    <w:rsid w:val="002203DB"/>
    <w:rsid w:val="002208AC"/>
    <w:rsid w:val="00220C6F"/>
    <w:rsid w:val="00220CE7"/>
    <w:rsid w:val="0022133C"/>
    <w:rsid w:val="00221399"/>
    <w:rsid w:val="0022172A"/>
    <w:rsid w:val="0022203D"/>
    <w:rsid w:val="00222091"/>
    <w:rsid w:val="002222A4"/>
    <w:rsid w:val="002226FC"/>
    <w:rsid w:val="002228FF"/>
    <w:rsid w:val="00222A72"/>
    <w:rsid w:val="00222C54"/>
    <w:rsid w:val="00222CF2"/>
    <w:rsid w:val="00223658"/>
    <w:rsid w:val="00223678"/>
    <w:rsid w:val="002236B1"/>
    <w:rsid w:val="002239F2"/>
    <w:rsid w:val="00223B49"/>
    <w:rsid w:val="00223D5A"/>
    <w:rsid w:val="00223F8D"/>
    <w:rsid w:val="002242DA"/>
    <w:rsid w:val="002243F9"/>
    <w:rsid w:val="00224CCF"/>
    <w:rsid w:val="00224DD4"/>
    <w:rsid w:val="00224FF0"/>
    <w:rsid w:val="002250D0"/>
    <w:rsid w:val="002251EE"/>
    <w:rsid w:val="00225268"/>
    <w:rsid w:val="00225899"/>
    <w:rsid w:val="002258C0"/>
    <w:rsid w:val="00225A30"/>
    <w:rsid w:val="00225A5E"/>
    <w:rsid w:val="00225FD2"/>
    <w:rsid w:val="00226557"/>
    <w:rsid w:val="002265CB"/>
    <w:rsid w:val="00226624"/>
    <w:rsid w:val="00226750"/>
    <w:rsid w:val="002267A1"/>
    <w:rsid w:val="00226959"/>
    <w:rsid w:val="00226F29"/>
    <w:rsid w:val="002271B4"/>
    <w:rsid w:val="0022728B"/>
    <w:rsid w:val="002276DC"/>
    <w:rsid w:val="002278A0"/>
    <w:rsid w:val="00227D94"/>
    <w:rsid w:val="00230871"/>
    <w:rsid w:val="00230896"/>
    <w:rsid w:val="002308AE"/>
    <w:rsid w:val="002309CC"/>
    <w:rsid w:val="00230C6F"/>
    <w:rsid w:val="00230EE9"/>
    <w:rsid w:val="00231375"/>
    <w:rsid w:val="002314F8"/>
    <w:rsid w:val="00231841"/>
    <w:rsid w:val="002319DD"/>
    <w:rsid w:val="00231EC8"/>
    <w:rsid w:val="0023209F"/>
    <w:rsid w:val="002320B9"/>
    <w:rsid w:val="00232AD0"/>
    <w:rsid w:val="00232C60"/>
    <w:rsid w:val="002331A7"/>
    <w:rsid w:val="002331CA"/>
    <w:rsid w:val="00233384"/>
    <w:rsid w:val="002338D7"/>
    <w:rsid w:val="00233C01"/>
    <w:rsid w:val="00233CED"/>
    <w:rsid w:val="00233EEC"/>
    <w:rsid w:val="0023413C"/>
    <w:rsid w:val="0023425C"/>
    <w:rsid w:val="002346F0"/>
    <w:rsid w:val="00234828"/>
    <w:rsid w:val="0023489B"/>
    <w:rsid w:val="00234A6A"/>
    <w:rsid w:val="00235094"/>
    <w:rsid w:val="002350E2"/>
    <w:rsid w:val="0023629D"/>
    <w:rsid w:val="00236441"/>
    <w:rsid w:val="00236445"/>
    <w:rsid w:val="00236694"/>
    <w:rsid w:val="0023678E"/>
    <w:rsid w:val="00236812"/>
    <w:rsid w:val="00236C68"/>
    <w:rsid w:val="00236CAD"/>
    <w:rsid w:val="00237061"/>
    <w:rsid w:val="002370B1"/>
    <w:rsid w:val="00237255"/>
    <w:rsid w:val="002377D6"/>
    <w:rsid w:val="00237915"/>
    <w:rsid w:val="00237AEC"/>
    <w:rsid w:val="00237CA9"/>
    <w:rsid w:val="00237F26"/>
    <w:rsid w:val="00240082"/>
    <w:rsid w:val="00240561"/>
    <w:rsid w:val="002407B3"/>
    <w:rsid w:val="00240E48"/>
    <w:rsid w:val="00240F28"/>
    <w:rsid w:val="002413E6"/>
    <w:rsid w:val="00241602"/>
    <w:rsid w:val="00241635"/>
    <w:rsid w:val="002418EF"/>
    <w:rsid w:val="002419FB"/>
    <w:rsid w:val="00241A44"/>
    <w:rsid w:val="00241B5F"/>
    <w:rsid w:val="00241D01"/>
    <w:rsid w:val="00241E8D"/>
    <w:rsid w:val="00241E93"/>
    <w:rsid w:val="00241ECB"/>
    <w:rsid w:val="002424AF"/>
    <w:rsid w:val="002428E6"/>
    <w:rsid w:val="00242A47"/>
    <w:rsid w:val="00242CA3"/>
    <w:rsid w:val="00242D80"/>
    <w:rsid w:val="00242EF8"/>
    <w:rsid w:val="00243240"/>
    <w:rsid w:val="002436DC"/>
    <w:rsid w:val="00243708"/>
    <w:rsid w:val="00243957"/>
    <w:rsid w:val="002439DC"/>
    <w:rsid w:val="00243D1E"/>
    <w:rsid w:val="002441D2"/>
    <w:rsid w:val="0024446A"/>
    <w:rsid w:val="0024449D"/>
    <w:rsid w:val="00244779"/>
    <w:rsid w:val="002448DA"/>
    <w:rsid w:val="00244DC8"/>
    <w:rsid w:val="002452F3"/>
    <w:rsid w:val="002453A0"/>
    <w:rsid w:val="00245550"/>
    <w:rsid w:val="002455A2"/>
    <w:rsid w:val="0024574A"/>
    <w:rsid w:val="002458BA"/>
    <w:rsid w:val="00245CE9"/>
    <w:rsid w:val="00245D25"/>
    <w:rsid w:val="00245D26"/>
    <w:rsid w:val="00246033"/>
    <w:rsid w:val="002462EA"/>
    <w:rsid w:val="0024636C"/>
    <w:rsid w:val="00246DBB"/>
    <w:rsid w:val="00246F06"/>
    <w:rsid w:val="00246FFD"/>
    <w:rsid w:val="0024721A"/>
    <w:rsid w:val="00247894"/>
    <w:rsid w:val="00247925"/>
    <w:rsid w:val="00247A8E"/>
    <w:rsid w:val="00247CB1"/>
    <w:rsid w:val="0025021D"/>
    <w:rsid w:val="002508A0"/>
    <w:rsid w:val="00251006"/>
    <w:rsid w:val="002510B4"/>
    <w:rsid w:val="00251171"/>
    <w:rsid w:val="00251219"/>
    <w:rsid w:val="0025131A"/>
    <w:rsid w:val="00251406"/>
    <w:rsid w:val="0025160A"/>
    <w:rsid w:val="00251A91"/>
    <w:rsid w:val="00251D0D"/>
    <w:rsid w:val="00251D43"/>
    <w:rsid w:val="00251DA5"/>
    <w:rsid w:val="00252199"/>
    <w:rsid w:val="002524D5"/>
    <w:rsid w:val="0025289B"/>
    <w:rsid w:val="00252A54"/>
    <w:rsid w:val="00252BE1"/>
    <w:rsid w:val="00252EB8"/>
    <w:rsid w:val="00253031"/>
    <w:rsid w:val="00253827"/>
    <w:rsid w:val="002538F4"/>
    <w:rsid w:val="00253B1D"/>
    <w:rsid w:val="00253B87"/>
    <w:rsid w:val="00253F11"/>
    <w:rsid w:val="00253F7F"/>
    <w:rsid w:val="0025409D"/>
    <w:rsid w:val="00254129"/>
    <w:rsid w:val="002544BE"/>
    <w:rsid w:val="0025461D"/>
    <w:rsid w:val="00254646"/>
    <w:rsid w:val="002547FB"/>
    <w:rsid w:val="002549C8"/>
    <w:rsid w:val="002549DB"/>
    <w:rsid w:val="00254C72"/>
    <w:rsid w:val="00254DCF"/>
    <w:rsid w:val="0025534B"/>
    <w:rsid w:val="00255395"/>
    <w:rsid w:val="002554C7"/>
    <w:rsid w:val="002554DF"/>
    <w:rsid w:val="00255B5D"/>
    <w:rsid w:val="00255BB7"/>
    <w:rsid w:val="00255BC1"/>
    <w:rsid w:val="00255E2D"/>
    <w:rsid w:val="00255FC6"/>
    <w:rsid w:val="00256FD5"/>
    <w:rsid w:val="00257541"/>
    <w:rsid w:val="00257A39"/>
    <w:rsid w:val="00257AC4"/>
    <w:rsid w:val="00257DCB"/>
    <w:rsid w:val="00260089"/>
    <w:rsid w:val="002600C7"/>
    <w:rsid w:val="002600ED"/>
    <w:rsid w:val="002602F1"/>
    <w:rsid w:val="00260AF6"/>
    <w:rsid w:val="00260BBD"/>
    <w:rsid w:val="00260D84"/>
    <w:rsid w:val="00260E35"/>
    <w:rsid w:val="00260F06"/>
    <w:rsid w:val="00261237"/>
    <w:rsid w:val="002613A8"/>
    <w:rsid w:val="00261711"/>
    <w:rsid w:val="00261A2D"/>
    <w:rsid w:val="00261E7B"/>
    <w:rsid w:val="00261EEF"/>
    <w:rsid w:val="00262345"/>
    <w:rsid w:val="00262A1A"/>
    <w:rsid w:val="00262A87"/>
    <w:rsid w:val="00262C8C"/>
    <w:rsid w:val="002630D3"/>
    <w:rsid w:val="00263155"/>
    <w:rsid w:val="00263239"/>
    <w:rsid w:val="00263675"/>
    <w:rsid w:val="00263792"/>
    <w:rsid w:val="00263894"/>
    <w:rsid w:val="00263A73"/>
    <w:rsid w:val="00263B6D"/>
    <w:rsid w:val="00263D39"/>
    <w:rsid w:val="00263F04"/>
    <w:rsid w:val="0026413F"/>
    <w:rsid w:val="00264148"/>
    <w:rsid w:val="00264565"/>
    <w:rsid w:val="00264729"/>
    <w:rsid w:val="00264971"/>
    <w:rsid w:val="00264D26"/>
    <w:rsid w:val="00264D5E"/>
    <w:rsid w:val="00264F88"/>
    <w:rsid w:val="002651BF"/>
    <w:rsid w:val="002653E7"/>
    <w:rsid w:val="00265454"/>
    <w:rsid w:val="00265CE9"/>
    <w:rsid w:val="00265F60"/>
    <w:rsid w:val="002660AE"/>
    <w:rsid w:val="002661DC"/>
    <w:rsid w:val="002665B3"/>
    <w:rsid w:val="00266AA4"/>
    <w:rsid w:val="00266E61"/>
    <w:rsid w:val="00266E6B"/>
    <w:rsid w:val="0026706D"/>
    <w:rsid w:val="002672EE"/>
    <w:rsid w:val="002673E1"/>
    <w:rsid w:val="00267642"/>
    <w:rsid w:val="002678B8"/>
    <w:rsid w:val="00267AEA"/>
    <w:rsid w:val="00267EEB"/>
    <w:rsid w:val="00267F27"/>
    <w:rsid w:val="00267FFA"/>
    <w:rsid w:val="002700E6"/>
    <w:rsid w:val="002703AC"/>
    <w:rsid w:val="00270527"/>
    <w:rsid w:val="0027062C"/>
    <w:rsid w:val="00270643"/>
    <w:rsid w:val="0027066A"/>
    <w:rsid w:val="00270A28"/>
    <w:rsid w:val="00270BF3"/>
    <w:rsid w:val="00270C65"/>
    <w:rsid w:val="00270D4F"/>
    <w:rsid w:val="00270EE9"/>
    <w:rsid w:val="002710E8"/>
    <w:rsid w:val="00271283"/>
    <w:rsid w:val="00271A33"/>
    <w:rsid w:val="00272859"/>
    <w:rsid w:val="0027294B"/>
    <w:rsid w:val="00272B7D"/>
    <w:rsid w:val="00272EB1"/>
    <w:rsid w:val="00272FDA"/>
    <w:rsid w:val="00273171"/>
    <w:rsid w:val="00273744"/>
    <w:rsid w:val="00273858"/>
    <w:rsid w:val="00273A6E"/>
    <w:rsid w:val="00273E1E"/>
    <w:rsid w:val="00273EB4"/>
    <w:rsid w:val="0027405A"/>
    <w:rsid w:val="002740BC"/>
    <w:rsid w:val="00274682"/>
    <w:rsid w:val="002747E7"/>
    <w:rsid w:val="002748D3"/>
    <w:rsid w:val="00274940"/>
    <w:rsid w:val="0027495B"/>
    <w:rsid w:val="00274C0B"/>
    <w:rsid w:val="00274CC7"/>
    <w:rsid w:val="00275278"/>
    <w:rsid w:val="00275355"/>
    <w:rsid w:val="00275B97"/>
    <w:rsid w:val="00275C5A"/>
    <w:rsid w:val="00275F79"/>
    <w:rsid w:val="002762B5"/>
    <w:rsid w:val="002764E6"/>
    <w:rsid w:val="002764F9"/>
    <w:rsid w:val="0027723B"/>
    <w:rsid w:val="00277376"/>
    <w:rsid w:val="002776C4"/>
    <w:rsid w:val="00277959"/>
    <w:rsid w:val="00280090"/>
    <w:rsid w:val="00280656"/>
    <w:rsid w:val="002809A6"/>
    <w:rsid w:val="00281014"/>
    <w:rsid w:val="00281491"/>
    <w:rsid w:val="0028188C"/>
    <w:rsid w:val="00281E51"/>
    <w:rsid w:val="00281F6E"/>
    <w:rsid w:val="00282310"/>
    <w:rsid w:val="0028261C"/>
    <w:rsid w:val="0028287F"/>
    <w:rsid w:val="0028292A"/>
    <w:rsid w:val="002829FA"/>
    <w:rsid w:val="00282B0D"/>
    <w:rsid w:val="002830AC"/>
    <w:rsid w:val="002830FB"/>
    <w:rsid w:val="0028393B"/>
    <w:rsid w:val="00283A31"/>
    <w:rsid w:val="00283CAD"/>
    <w:rsid w:val="00283D4A"/>
    <w:rsid w:val="00283DA7"/>
    <w:rsid w:val="00284DC2"/>
    <w:rsid w:val="00284E83"/>
    <w:rsid w:val="002852B0"/>
    <w:rsid w:val="002853B6"/>
    <w:rsid w:val="0028554A"/>
    <w:rsid w:val="002855E5"/>
    <w:rsid w:val="0028578A"/>
    <w:rsid w:val="0028597D"/>
    <w:rsid w:val="0028665D"/>
    <w:rsid w:val="002866A3"/>
    <w:rsid w:val="00286F58"/>
    <w:rsid w:val="00286F8F"/>
    <w:rsid w:val="00287050"/>
    <w:rsid w:val="002900E9"/>
    <w:rsid w:val="002903EC"/>
    <w:rsid w:val="00290C01"/>
    <w:rsid w:val="00290DB1"/>
    <w:rsid w:val="00291026"/>
    <w:rsid w:val="0029108D"/>
    <w:rsid w:val="00291451"/>
    <w:rsid w:val="00291737"/>
    <w:rsid w:val="00291C50"/>
    <w:rsid w:val="00292021"/>
    <w:rsid w:val="00292026"/>
    <w:rsid w:val="002921EC"/>
    <w:rsid w:val="002922DE"/>
    <w:rsid w:val="00292406"/>
    <w:rsid w:val="0029244B"/>
    <w:rsid w:val="00292D21"/>
    <w:rsid w:val="00292D78"/>
    <w:rsid w:val="00293115"/>
    <w:rsid w:val="0029397A"/>
    <w:rsid w:val="00293E8D"/>
    <w:rsid w:val="0029405F"/>
    <w:rsid w:val="0029413B"/>
    <w:rsid w:val="00294322"/>
    <w:rsid w:val="0029442C"/>
    <w:rsid w:val="00294802"/>
    <w:rsid w:val="00294B38"/>
    <w:rsid w:val="00294BE3"/>
    <w:rsid w:val="00294CBD"/>
    <w:rsid w:val="00294E11"/>
    <w:rsid w:val="00294E85"/>
    <w:rsid w:val="00295478"/>
    <w:rsid w:val="002954C3"/>
    <w:rsid w:val="002956EA"/>
    <w:rsid w:val="002957A9"/>
    <w:rsid w:val="00295999"/>
    <w:rsid w:val="00295EB7"/>
    <w:rsid w:val="0029612F"/>
    <w:rsid w:val="00296644"/>
    <w:rsid w:val="00296947"/>
    <w:rsid w:val="00296C38"/>
    <w:rsid w:val="00297424"/>
    <w:rsid w:val="002977D7"/>
    <w:rsid w:val="0029784C"/>
    <w:rsid w:val="00297F27"/>
    <w:rsid w:val="002A06A9"/>
    <w:rsid w:val="002A07F4"/>
    <w:rsid w:val="002A085E"/>
    <w:rsid w:val="002A0C1C"/>
    <w:rsid w:val="002A0D25"/>
    <w:rsid w:val="002A10B3"/>
    <w:rsid w:val="002A119A"/>
    <w:rsid w:val="002A1490"/>
    <w:rsid w:val="002A14AB"/>
    <w:rsid w:val="002A1654"/>
    <w:rsid w:val="002A217C"/>
    <w:rsid w:val="002A22CF"/>
    <w:rsid w:val="002A2367"/>
    <w:rsid w:val="002A24AC"/>
    <w:rsid w:val="002A25CF"/>
    <w:rsid w:val="002A291E"/>
    <w:rsid w:val="002A2A6E"/>
    <w:rsid w:val="002A2ADE"/>
    <w:rsid w:val="002A2BC1"/>
    <w:rsid w:val="002A2F50"/>
    <w:rsid w:val="002A3886"/>
    <w:rsid w:val="002A3A79"/>
    <w:rsid w:val="002A3F0C"/>
    <w:rsid w:val="002A45C9"/>
    <w:rsid w:val="002A4683"/>
    <w:rsid w:val="002A5013"/>
    <w:rsid w:val="002A50D8"/>
    <w:rsid w:val="002A54A5"/>
    <w:rsid w:val="002A5BE0"/>
    <w:rsid w:val="002A5CE1"/>
    <w:rsid w:val="002A5E2E"/>
    <w:rsid w:val="002A5E47"/>
    <w:rsid w:val="002A64B9"/>
    <w:rsid w:val="002A687D"/>
    <w:rsid w:val="002A6CD7"/>
    <w:rsid w:val="002A6D24"/>
    <w:rsid w:val="002A6F5C"/>
    <w:rsid w:val="002A722A"/>
    <w:rsid w:val="002A773C"/>
    <w:rsid w:val="002A776E"/>
    <w:rsid w:val="002A7FF1"/>
    <w:rsid w:val="002B012A"/>
    <w:rsid w:val="002B03FE"/>
    <w:rsid w:val="002B05A1"/>
    <w:rsid w:val="002B061E"/>
    <w:rsid w:val="002B09A4"/>
    <w:rsid w:val="002B0C29"/>
    <w:rsid w:val="002B0CB3"/>
    <w:rsid w:val="002B0E13"/>
    <w:rsid w:val="002B10C7"/>
    <w:rsid w:val="002B11D5"/>
    <w:rsid w:val="002B1302"/>
    <w:rsid w:val="002B1349"/>
    <w:rsid w:val="002B161E"/>
    <w:rsid w:val="002B1C1F"/>
    <w:rsid w:val="002B1C45"/>
    <w:rsid w:val="002B20A2"/>
    <w:rsid w:val="002B2154"/>
    <w:rsid w:val="002B2590"/>
    <w:rsid w:val="002B2972"/>
    <w:rsid w:val="002B2B73"/>
    <w:rsid w:val="002B31AF"/>
    <w:rsid w:val="002B432F"/>
    <w:rsid w:val="002B4331"/>
    <w:rsid w:val="002B4565"/>
    <w:rsid w:val="002B48DD"/>
    <w:rsid w:val="002B4C3E"/>
    <w:rsid w:val="002B4D43"/>
    <w:rsid w:val="002B500D"/>
    <w:rsid w:val="002B5D51"/>
    <w:rsid w:val="002B62B3"/>
    <w:rsid w:val="002B66B8"/>
    <w:rsid w:val="002B6754"/>
    <w:rsid w:val="002B69E8"/>
    <w:rsid w:val="002B6B8D"/>
    <w:rsid w:val="002B6CCE"/>
    <w:rsid w:val="002B703A"/>
    <w:rsid w:val="002B7149"/>
    <w:rsid w:val="002B714E"/>
    <w:rsid w:val="002B71AF"/>
    <w:rsid w:val="002B7253"/>
    <w:rsid w:val="002B7369"/>
    <w:rsid w:val="002B7429"/>
    <w:rsid w:val="002B74E9"/>
    <w:rsid w:val="002B7611"/>
    <w:rsid w:val="002B76F1"/>
    <w:rsid w:val="002B7A0E"/>
    <w:rsid w:val="002B7C35"/>
    <w:rsid w:val="002B7D8A"/>
    <w:rsid w:val="002B7FE5"/>
    <w:rsid w:val="002C01A7"/>
    <w:rsid w:val="002C02FB"/>
    <w:rsid w:val="002C035D"/>
    <w:rsid w:val="002C04BD"/>
    <w:rsid w:val="002C0599"/>
    <w:rsid w:val="002C0730"/>
    <w:rsid w:val="002C0F94"/>
    <w:rsid w:val="002C1238"/>
    <w:rsid w:val="002C12E8"/>
    <w:rsid w:val="002C13D2"/>
    <w:rsid w:val="002C13F3"/>
    <w:rsid w:val="002C16B8"/>
    <w:rsid w:val="002C1758"/>
    <w:rsid w:val="002C1782"/>
    <w:rsid w:val="002C185B"/>
    <w:rsid w:val="002C1896"/>
    <w:rsid w:val="002C19AF"/>
    <w:rsid w:val="002C1B12"/>
    <w:rsid w:val="002C1E9F"/>
    <w:rsid w:val="002C217D"/>
    <w:rsid w:val="002C2510"/>
    <w:rsid w:val="002C2606"/>
    <w:rsid w:val="002C2775"/>
    <w:rsid w:val="002C27C1"/>
    <w:rsid w:val="002C29A8"/>
    <w:rsid w:val="002C29FB"/>
    <w:rsid w:val="002C2AB5"/>
    <w:rsid w:val="002C302E"/>
    <w:rsid w:val="002C3208"/>
    <w:rsid w:val="002C32A9"/>
    <w:rsid w:val="002C3552"/>
    <w:rsid w:val="002C35FF"/>
    <w:rsid w:val="002C3641"/>
    <w:rsid w:val="002C379E"/>
    <w:rsid w:val="002C39DF"/>
    <w:rsid w:val="002C3D62"/>
    <w:rsid w:val="002C413C"/>
    <w:rsid w:val="002C47DA"/>
    <w:rsid w:val="002C4817"/>
    <w:rsid w:val="002C48D0"/>
    <w:rsid w:val="002C4A6E"/>
    <w:rsid w:val="002C4A6F"/>
    <w:rsid w:val="002C4ED1"/>
    <w:rsid w:val="002C5099"/>
    <w:rsid w:val="002C50D4"/>
    <w:rsid w:val="002C537B"/>
    <w:rsid w:val="002C5783"/>
    <w:rsid w:val="002C5889"/>
    <w:rsid w:val="002C58C2"/>
    <w:rsid w:val="002C59E9"/>
    <w:rsid w:val="002C5C18"/>
    <w:rsid w:val="002C5D25"/>
    <w:rsid w:val="002C5D80"/>
    <w:rsid w:val="002C625B"/>
    <w:rsid w:val="002C64B0"/>
    <w:rsid w:val="002C65C5"/>
    <w:rsid w:val="002C675F"/>
    <w:rsid w:val="002C6953"/>
    <w:rsid w:val="002C69D2"/>
    <w:rsid w:val="002C6A7B"/>
    <w:rsid w:val="002C6D6B"/>
    <w:rsid w:val="002C6F97"/>
    <w:rsid w:val="002C707F"/>
    <w:rsid w:val="002C71CE"/>
    <w:rsid w:val="002C71E8"/>
    <w:rsid w:val="002C7661"/>
    <w:rsid w:val="002C78D5"/>
    <w:rsid w:val="002C7B61"/>
    <w:rsid w:val="002C7CB0"/>
    <w:rsid w:val="002C7CF0"/>
    <w:rsid w:val="002C7EB1"/>
    <w:rsid w:val="002C7F52"/>
    <w:rsid w:val="002D0494"/>
    <w:rsid w:val="002D08F8"/>
    <w:rsid w:val="002D12E0"/>
    <w:rsid w:val="002D162F"/>
    <w:rsid w:val="002D1A3F"/>
    <w:rsid w:val="002D1D82"/>
    <w:rsid w:val="002D1DA8"/>
    <w:rsid w:val="002D2126"/>
    <w:rsid w:val="002D21CD"/>
    <w:rsid w:val="002D2518"/>
    <w:rsid w:val="002D254A"/>
    <w:rsid w:val="002D278A"/>
    <w:rsid w:val="002D2881"/>
    <w:rsid w:val="002D29D2"/>
    <w:rsid w:val="002D29F2"/>
    <w:rsid w:val="002D2AB2"/>
    <w:rsid w:val="002D2B7F"/>
    <w:rsid w:val="002D3777"/>
    <w:rsid w:val="002D3880"/>
    <w:rsid w:val="002D38C9"/>
    <w:rsid w:val="002D3F05"/>
    <w:rsid w:val="002D4511"/>
    <w:rsid w:val="002D4BDC"/>
    <w:rsid w:val="002D4FCF"/>
    <w:rsid w:val="002D517F"/>
    <w:rsid w:val="002D529D"/>
    <w:rsid w:val="002D53B6"/>
    <w:rsid w:val="002D5623"/>
    <w:rsid w:val="002D5730"/>
    <w:rsid w:val="002D5750"/>
    <w:rsid w:val="002D577C"/>
    <w:rsid w:val="002D5D52"/>
    <w:rsid w:val="002D5E5D"/>
    <w:rsid w:val="002D6423"/>
    <w:rsid w:val="002D687F"/>
    <w:rsid w:val="002D69D0"/>
    <w:rsid w:val="002D6AB7"/>
    <w:rsid w:val="002D6E0E"/>
    <w:rsid w:val="002D6E30"/>
    <w:rsid w:val="002D732E"/>
    <w:rsid w:val="002D7438"/>
    <w:rsid w:val="002D768C"/>
    <w:rsid w:val="002D7D5A"/>
    <w:rsid w:val="002D7D68"/>
    <w:rsid w:val="002E09FF"/>
    <w:rsid w:val="002E1071"/>
    <w:rsid w:val="002E1122"/>
    <w:rsid w:val="002E1125"/>
    <w:rsid w:val="002E15B9"/>
    <w:rsid w:val="002E18C4"/>
    <w:rsid w:val="002E197A"/>
    <w:rsid w:val="002E1D20"/>
    <w:rsid w:val="002E1E37"/>
    <w:rsid w:val="002E2158"/>
    <w:rsid w:val="002E21FF"/>
    <w:rsid w:val="002E2218"/>
    <w:rsid w:val="002E222B"/>
    <w:rsid w:val="002E224D"/>
    <w:rsid w:val="002E2399"/>
    <w:rsid w:val="002E242D"/>
    <w:rsid w:val="002E257B"/>
    <w:rsid w:val="002E2755"/>
    <w:rsid w:val="002E2AA6"/>
    <w:rsid w:val="002E2B32"/>
    <w:rsid w:val="002E35E8"/>
    <w:rsid w:val="002E390D"/>
    <w:rsid w:val="002E3A68"/>
    <w:rsid w:val="002E423A"/>
    <w:rsid w:val="002E44A4"/>
    <w:rsid w:val="002E4640"/>
    <w:rsid w:val="002E4DCA"/>
    <w:rsid w:val="002E4EFF"/>
    <w:rsid w:val="002E4F02"/>
    <w:rsid w:val="002E4F47"/>
    <w:rsid w:val="002E51D4"/>
    <w:rsid w:val="002E5402"/>
    <w:rsid w:val="002E55CF"/>
    <w:rsid w:val="002E5BE5"/>
    <w:rsid w:val="002E5CEB"/>
    <w:rsid w:val="002E5D2B"/>
    <w:rsid w:val="002E60AB"/>
    <w:rsid w:val="002E60D2"/>
    <w:rsid w:val="002E6223"/>
    <w:rsid w:val="002E6C1D"/>
    <w:rsid w:val="002E6C31"/>
    <w:rsid w:val="002E6EBD"/>
    <w:rsid w:val="002E7722"/>
    <w:rsid w:val="002E7B53"/>
    <w:rsid w:val="002E7C97"/>
    <w:rsid w:val="002E7D86"/>
    <w:rsid w:val="002E7DB4"/>
    <w:rsid w:val="002E7E52"/>
    <w:rsid w:val="002E7FFD"/>
    <w:rsid w:val="002F03ED"/>
    <w:rsid w:val="002F03FD"/>
    <w:rsid w:val="002F07BA"/>
    <w:rsid w:val="002F0919"/>
    <w:rsid w:val="002F0B5C"/>
    <w:rsid w:val="002F0C01"/>
    <w:rsid w:val="002F0DA9"/>
    <w:rsid w:val="002F1014"/>
    <w:rsid w:val="002F121E"/>
    <w:rsid w:val="002F1490"/>
    <w:rsid w:val="002F1947"/>
    <w:rsid w:val="002F1A7A"/>
    <w:rsid w:val="002F1F39"/>
    <w:rsid w:val="002F231A"/>
    <w:rsid w:val="002F2C41"/>
    <w:rsid w:val="002F2E55"/>
    <w:rsid w:val="002F30BA"/>
    <w:rsid w:val="002F3185"/>
    <w:rsid w:val="002F3481"/>
    <w:rsid w:val="002F3C70"/>
    <w:rsid w:val="002F3D04"/>
    <w:rsid w:val="002F3D63"/>
    <w:rsid w:val="002F3DC2"/>
    <w:rsid w:val="002F4735"/>
    <w:rsid w:val="002F477D"/>
    <w:rsid w:val="002F4826"/>
    <w:rsid w:val="002F48DF"/>
    <w:rsid w:val="002F4E4B"/>
    <w:rsid w:val="002F525F"/>
    <w:rsid w:val="002F54E8"/>
    <w:rsid w:val="002F5663"/>
    <w:rsid w:val="002F5F05"/>
    <w:rsid w:val="002F643C"/>
    <w:rsid w:val="002F654A"/>
    <w:rsid w:val="002F71A4"/>
    <w:rsid w:val="002F71C0"/>
    <w:rsid w:val="002F72D3"/>
    <w:rsid w:val="002F7392"/>
    <w:rsid w:val="002F74F1"/>
    <w:rsid w:val="002F770B"/>
    <w:rsid w:val="002F7970"/>
    <w:rsid w:val="002F7BD1"/>
    <w:rsid w:val="003005C7"/>
    <w:rsid w:val="0030060E"/>
    <w:rsid w:val="00300BD2"/>
    <w:rsid w:val="00301017"/>
    <w:rsid w:val="0030147E"/>
    <w:rsid w:val="0030155F"/>
    <w:rsid w:val="00301A1B"/>
    <w:rsid w:val="00301BB8"/>
    <w:rsid w:val="00301EF1"/>
    <w:rsid w:val="00301FA8"/>
    <w:rsid w:val="0030209B"/>
    <w:rsid w:val="00302259"/>
    <w:rsid w:val="003025DE"/>
    <w:rsid w:val="00302874"/>
    <w:rsid w:val="00302975"/>
    <w:rsid w:val="003029FA"/>
    <w:rsid w:val="00302AAC"/>
    <w:rsid w:val="00302AE0"/>
    <w:rsid w:val="00302B76"/>
    <w:rsid w:val="00302BC7"/>
    <w:rsid w:val="0030304B"/>
    <w:rsid w:val="00303512"/>
    <w:rsid w:val="00303BDB"/>
    <w:rsid w:val="00304417"/>
    <w:rsid w:val="0030447B"/>
    <w:rsid w:val="00304672"/>
    <w:rsid w:val="0030474E"/>
    <w:rsid w:val="003049CD"/>
    <w:rsid w:val="00304A12"/>
    <w:rsid w:val="00304C8E"/>
    <w:rsid w:val="00304CF5"/>
    <w:rsid w:val="00304EBF"/>
    <w:rsid w:val="00304F2A"/>
    <w:rsid w:val="00305032"/>
    <w:rsid w:val="0030525C"/>
    <w:rsid w:val="00305744"/>
    <w:rsid w:val="0030583A"/>
    <w:rsid w:val="0030587B"/>
    <w:rsid w:val="00305969"/>
    <w:rsid w:val="00305FDD"/>
    <w:rsid w:val="00306207"/>
    <w:rsid w:val="0030636B"/>
    <w:rsid w:val="00306380"/>
    <w:rsid w:val="0030648F"/>
    <w:rsid w:val="0030676C"/>
    <w:rsid w:val="0030681B"/>
    <w:rsid w:val="00306A45"/>
    <w:rsid w:val="00306D98"/>
    <w:rsid w:val="00306DF6"/>
    <w:rsid w:val="0030706F"/>
    <w:rsid w:val="003070C1"/>
    <w:rsid w:val="0030724B"/>
    <w:rsid w:val="0030735A"/>
    <w:rsid w:val="00307607"/>
    <w:rsid w:val="00307762"/>
    <w:rsid w:val="0030786C"/>
    <w:rsid w:val="0030789D"/>
    <w:rsid w:val="00307AD6"/>
    <w:rsid w:val="00307BB2"/>
    <w:rsid w:val="00307C21"/>
    <w:rsid w:val="0031031A"/>
    <w:rsid w:val="00310338"/>
    <w:rsid w:val="00310392"/>
    <w:rsid w:val="00310981"/>
    <w:rsid w:val="00311109"/>
    <w:rsid w:val="003111C4"/>
    <w:rsid w:val="00311258"/>
    <w:rsid w:val="00311471"/>
    <w:rsid w:val="003118A4"/>
    <w:rsid w:val="003118EC"/>
    <w:rsid w:val="003119AD"/>
    <w:rsid w:val="00311B4C"/>
    <w:rsid w:val="00311C72"/>
    <w:rsid w:val="00311F59"/>
    <w:rsid w:val="00312351"/>
    <w:rsid w:val="0031241D"/>
    <w:rsid w:val="003124D9"/>
    <w:rsid w:val="00312594"/>
    <w:rsid w:val="003126EF"/>
    <w:rsid w:val="00312BD1"/>
    <w:rsid w:val="00312EBC"/>
    <w:rsid w:val="00312F11"/>
    <w:rsid w:val="00313CE7"/>
    <w:rsid w:val="00314335"/>
    <w:rsid w:val="00314AD8"/>
    <w:rsid w:val="00314DFA"/>
    <w:rsid w:val="00314E84"/>
    <w:rsid w:val="003150CB"/>
    <w:rsid w:val="00315498"/>
    <w:rsid w:val="003154FE"/>
    <w:rsid w:val="003155D7"/>
    <w:rsid w:val="00315832"/>
    <w:rsid w:val="00315AF4"/>
    <w:rsid w:val="00315D45"/>
    <w:rsid w:val="00315E1F"/>
    <w:rsid w:val="00315EFC"/>
    <w:rsid w:val="003163CB"/>
    <w:rsid w:val="00316474"/>
    <w:rsid w:val="0031671E"/>
    <w:rsid w:val="003167E2"/>
    <w:rsid w:val="003168C3"/>
    <w:rsid w:val="003173D1"/>
    <w:rsid w:val="00317496"/>
    <w:rsid w:val="00317506"/>
    <w:rsid w:val="0031753E"/>
    <w:rsid w:val="003175EA"/>
    <w:rsid w:val="003176A4"/>
    <w:rsid w:val="00320178"/>
    <w:rsid w:val="0032019A"/>
    <w:rsid w:val="0032021B"/>
    <w:rsid w:val="00320364"/>
    <w:rsid w:val="00320643"/>
    <w:rsid w:val="00320C12"/>
    <w:rsid w:val="003211FF"/>
    <w:rsid w:val="003213E4"/>
    <w:rsid w:val="00321914"/>
    <w:rsid w:val="00321C14"/>
    <w:rsid w:val="003220CA"/>
    <w:rsid w:val="00322107"/>
    <w:rsid w:val="00322355"/>
    <w:rsid w:val="0032257E"/>
    <w:rsid w:val="003227DD"/>
    <w:rsid w:val="0032282F"/>
    <w:rsid w:val="00322846"/>
    <w:rsid w:val="00322D23"/>
    <w:rsid w:val="00323543"/>
    <w:rsid w:val="0032358E"/>
    <w:rsid w:val="0032389B"/>
    <w:rsid w:val="00323DC2"/>
    <w:rsid w:val="0032442B"/>
    <w:rsid w:val="0032463E"/>
    <w:rsid w:val="00324B08"/>
    <w:rsid w:val="0032510A"/>
    <w:rsid w:val="003251C9"/>
    <w:rsid w:val="003258AD"/>
    <w:rsid w:val="00325F8A"/>
    <w:rsid w:val="00326038"/>
    <w:rsid w:val="00326095"/>
    <w:rsid w:val="00326357"/>
    <w:rsid w:val="00326453"/>
    <w:rsid w:val="0032645B"/>
    <w:rsid w:val="003265DA"/>
    <w:rsid w:val="003267F2"/>
    <w:rsid w:val="00326C04"/>
    <w:rsid w:val="00326DA7"/>
    <w:rsid w:val="00326E72"/>
    <w:rsid w:val="003270E4"/>
    <w:rsid w:val="00327A7F"/>
    <w:rsid w:val="00327C06"/>
    <w:rsid w:val="00327C15"/>
    <w:rsid w:val="003301A1"/>
    <w:rsid w:val="00330390"/>
    <w:rsid w:val="00330BFE"/>
    <w:rsid w:val="00330DAA"/>
    <w:rsid w:val="00330F5C"/>
    <w:rsid w:val="0033119F"/>
    <w:rsid w:val="003315AF"/>
    <w:rsid w:val="003316AE"/>
    <w:rsid w:val="00331768"/>
    <w:rsid w:val="00331C03"/>
    <w:rsid w:val="00331FA4"/>
    <w:rsid w:val="0033259A"/>
    <w:rsid w:val="00332705"/>
    <w:rsid w:val="00332783"/>
    <w:rsid w:val="00332915"/>
    <w:rsid w:val="00332E92"/>
    <w:rsid w:val="003332D7"/>
    <w:rsid w:val="003334AA"/>
    <w:rsid w:val="0033372B"/>
    <w:rsid w:val="00333F98"/>
    <w:rsid w:val="003342ED"/>
    <w:rsid w:val="00334D64"/>
    <w:rsid w:val="00335385"/>
    <w:rsid w:val="00335678"/>
    <w:rsid w:val="00335739"/>
    <w:rsid w:val="0033589D"/>
    <w:rsid w:val="00335B5B"/>
    <w:rsid w:val="00335C32"/>
    <w:rsid w:val="00335C9C"/>
    <w:rsid w:val="00335D71"/>
    <w:rsid w:val="003360DC"/>
    <w:rsid w:val="003360FE"/>
    <w:rsid w:val="003363DC"/>
    <w:rsid w:val="003366C9"/>
    <w:rsid w:val="00336731"/>
    <w:rsid w:val="0033673B"/>
    <w:rsid w:val="00337078"/>
    <w:rsid w:val="00337190"/>
    <w:rsid w:val="003371B0"/>
    <w:rsid w:val="003375E2"/>
    <w:rsid w:val="00337859"/>
    <w:rsid w:val="003378B5"/>
    <w:rsid w:val="00337CF4"/>
    <w:rsid w:val="0034073D"/>
    <w:rsid w:val="00340787"/>
    <w:rsid w:val="00340875"/>
    <w:rsid w:val="003408B7"/>
    <w:rsid w:val="00340D23"/>
    <w:rsid w:val="00340DB4"/>
    <w:rsid w:val="00340DF1"/>
    <w:rsid w:val="00341508"/>
    <w:rsid w:val="00341681"/>
    <w:rsid w:val="00341B97"/>
    <w:rsid w:val="00341EE2"/>
    <w:rsid w:val="00341FB3"/>
    <w:rsid w:val="003420E1"/>
    <w:rsid w:val="00342345"/>
    <w:rsid w:val="0034243A"/>
    <w:rsid w:val="003426E3"/>
    <w:rsid w:val="00342737"/>
    <w:rsid w:val="00342974"/>
    <w:rsid w:val="00342C2D"/>
    <w:rsid w:val="00342C92"/>
    <w:rsid w:val="00342CDB"/>
    <w:rsid w:val="00342EA5"/>
    <w:rsid w:val="0034312C"/>
    <w:rsid w:val="00343352"/>
    <w:rsid w:val="003437A9"/>
    <w:rsid w:val="00343B59"/>
    <w:rsid w:val="00343B78"/>
    <w:rsid w:val="00343B9C"/>
    <w:rsid w:val="00343DE8"/>
    <w:rsid w:val="003447A8"/>
    <w:rsid w:val="00344DA5"/>
    <w:rsid w:val="00344ED2"/>
    <w:rsid w:val="00345090"/>
    <w:rsid w:val="00345158"/>
    <w:rsid w:val="0034518E"/>
    <w:rsid w:val="00345503"/>
    <w:rsid w:val="003457B3"/>
    <w:rsid w:val="00345D90"/>
    <w:rsid w:val="00345E3A"/>
    <w:rsid w:val="0034662B"/>
    <w:rsid w:val="0034689D"/>
    <w:rsid w:val="00346AD2"/>
    <w:rsid w:val="00346FE2"/>
    <w:rsid w:val="00347308"/>
    <w:rsid w:val="003476FC"/>
    <w:rsid w:val="00347D8F"/>
    <w:rsid w:val="00347E30"/>
    <w:rsid w:val="00350108"/>
    <w:rsid w:val="003501B3"/>
    <w:rsid w:val="00350377"/>
    <w:rsid w:val="0035089A"/>
    <w:rsid w:val="00350BF9"/>
    <w:rsid w:val="00350CB4"/>
    <w:rsid w:val="00350CD2"/>
    <w:rsid w:val="00350D3B"/>
    <w:rsid w:val="00350F1E"/>
    <w:rsid w:val="00350F81"/>
    <w:rsid w:val="00351605"/>
    <w:rsid w:val="003517F9"/>
    <w:rsid w:val="0035180F"/>
    <w:rsid w:val="003518D1"/>
    <w:rsid w:val="00351A1C"/>
    <w:rsid w:val="00351BA9"/>
    <w:rsid w:val="00351CEB"/>
    <w:rsid w:val="00351E10"/>
    <w:rsid w:val="00352203"/>
    <w:rsid w:val="00352229"/>
    <w:rsid w:val="00352233"/>
    <w:rsid w:val="00352B7B"/>
    <w:rsid w:val="00352C22"/>
    <w:rsid w:val="00352EFE"/>
    <w:rsid w:val="00352F46"/>
    <w:rsid w:val="00353067"/>
    <w:rsid w:val="003532D5"/>
    <w:rsid w:val="003538FD"/>
    <w:rsid w:val="003539F9"/>
    <w:rsid w:val="00353D46"/>
    <w:rsid w:val="00354009"/>
    <w:rsid w:val="0035469E"/>
    <w:rsid w:val="00354B31"/>
    <w:rsid w:val="00354B66"/>
    <w:rsid w:val="00354F64"/>
    <w:rsid w:val="0035543B"/>
    <w:rsid w:val="0035546E"/>
    <w:rsid w:val="003555B0"/>
    <w:rsid w:val="003556A2"/>
    <w:rsid w:val="00355BA2"/>
    <w:rsid w:val="00355C1A"/>
    <w:rsid w:val="00355DC6"/>
    <w:rsid w:val="00356022"/>
    <w:rsid w:val="003561E3"/>
    <w:rsid w:val="0035620E"/>
    <w:rsid w:val="0035633D"/>
    <w:rsid w:val="0035651A"/>
    <w:rsid w:val="003569D0"/>
    <w:rsid w:val="00356CCC"/>
    <w:rsid w:val="00356DB7"/>
    <w:rsid w:val="00356FF9"/>
    <w:rsid w:val="00357ACF"/>
    <w:rsid w:val="00357CEB"/>
    <w:rsid w:val="00357F1C"/>
    <w:rsid w:val="00360345"/>
    <w:rsid w:val="00360559"/>
    <w:rsid w:val="00360A31"/>
    <w:rsid w:val="003615B2"/>
    <w:rsid w:val="00361703"/>
    <w:rsid w:val="00361A05"/>
    <w:rsid w:val="00361B20"/>
    <w:rsid w:val="003624C4"/>
    <w:rsid w:val="003629F1"/>
    <w:rsid w:val="00362F36"/>
    <w:rsid w:val="00363186"/>
    <w:rsid w:val="003634A9"/>
    <w:rsid w:val="003634FF"/>
    <w:rsid w:val="003636E3"/>
    <w:rsid w:val="0036387C"/>
    <w:rsid w:val="00363B00"/>
    <w:rsid w:val="00363C2E"/>
    <w:rsid w:val="003641C8"/>
    <w:rsid w:val="003644A1"/>
    <w:rsid w:val="003644E0"/>
    <w:rsid w:val="00364536"/>
    <w:rsid w:val="00364758"/>
    <w:rsid w:val="00364961"/>
    <w:rsid w:val="00364A7A"/>
    <w:rsid w:val="00364B04"/>
    <w:rsid w:val="003653B1"/>
    <w:rsid w:val="00365446"/>
    <w:rsid w:val="003654AC"/>
    <w:rsid w:val="00365662"/>
    <w:rsid w:val="00365771"/>
    <w:rsid w:val="00365B11"/>
    <w:rsid w:val="00365DF5"/>
    <w:rsid w:val="003661F7"/>
    <w:rsid w:val="0036654E"/>
    <w:rsid w:val="00366A6C"/>
    <w:rsid w:val="00366DFE"/>
    <w:rsid w:val="00366E29"/>
    <w:rsid w:val="00367BBE"/>
    <w:rsid w:val="00367E06"/>
    <w:rsid w:val="00367FF9"/>
    <w:rsid w:val="003704D2"/>
    <w:rsid w:val="00370673"/>
    <w:rsid w:val="003710CF"/>
    <w:rsid w:val="003711E5"/>
    <w:rsid w:val="0037143F"/>
    <w:rsid w:val="003718F3"/>
    <w:rsid w:val="00371B1E"/>
    <w:rsid w:val="00371D9A"/>
    <w:rsid w:val="00371E4F"/>
    <w:rsid w:val="00372104"/>
    <w:rsid w:val="0037236D"/>
    <w:rsid w:val="003725CD"/>
    <w:rsid w:val="00373157"/>
    <w:rsid w:val="003731B2"/>
    <w:rsid w:val="00373231"/>
    <w:rsid w:val="003734C3"/>
    <w:rsid w:val="0037358A"/>
    <w:rsid w:val="0037364F"/>
    <w:rsid w:val="003748A8"/>
    <w:rsid w:val="00374EE1"/>
    <w:rsid w:val="00374F2A"/>
    <w:rsid w:val="00374FFA"/>
    <w:rsid w:val="003750EB"/>
    <w:rsid w:val="003750F6"/>
    <w:rsid w:val="00375A61"/>
    <w:rsid w:val="00375FBD"/>
    <w:rsid w:val="00376030"/>
    <w:rsid w:val="003760FC"/>
    <w:rsid w:val="0037614B"/>
    <w:rsid w:val="00376834"/>
    <w:rsid w:val="003769F5"/>
    <w:rsid w:val="00376B3F"/>
    <w:rsid w:val="00377532"/>
    <w:rsid w:val="00380236"/>
    <w:rsid w:val="00380963"/>
    <w:rsid w:val="00380A92"/>
    <w:rsid w:val="00380D9E"/>
    <w:rsid w:val="00380DC1"/>
    <w:rsid w:val="00381477"/>
    <w:rsid w:val="0038149E"/>
    <w:rsid w:val="00381D30"/>
    <w:rsid w:val="00381FA0"/>
    <w:rsid w:val="00382429"/>
    <w:rsid w:val="0038253E"/>
    <w:rsid w:val="00382618"/>
    <w:rsid w:val="00382C64"/>
    <w:rsid w:val="003831B1"/>
    <w:rsid w:val="003832DB"/>
    <w:rsid w:val="0038333E"/>
    <w:rsid w:val="0038365C"/>
    <w:rsid w:val="0038369B"/>
    <w:rsid w:val="003836BC"/>
    <w:rsid w:val="00383A8C"/>
    <w:rsid w:val="00383ABA"/>
    <w:rsid w:val="00383B78"/>
    <w:rsid w:val="00383ED3"/>
    <w:rsid w:val="00384570"/>
    <w:rsid w:val="003847C1"/>
    <w:rsid w:val="00384D43"/>
    <w:rsid w:val="003853A4"/>
    <w:rsid w:val="0038560E"/>
    <w:rsid w:val="003856C2"/>
    <w:rsid w:val="0038594E"/>
    <w:rsid w:val="003859C2"/>
    <w:rsid w:val="00385A9D"/>
    <w:rsid w:val="00385BD2"/>
    <w:rsid w:val="00385C16"/>
    <w:rsid w:val="00385D6B"/>
    <w:rsid w:val="00385E02"/>
    <w:rsid w:val="00386198"/>
    <w:rsid w:val="003862AD"/>
    <w:rsid w:val="003863BA"/>
    <w:rsid w:val="00386EC9"/>
    <w:rsid w:val="003870CD"/>
    <w:rsid w:val="0038722F"/>
    <w:rsid w:val="003878BB"/>
    <w:rsid w:val="00387993"/>
    <w:rsid w:val="00387A05"/>
    <w:rsid w:val="00387A56"/>
    <w:rsid w:val="00387B0C"/>
    <w:rsid w:val="003902B1"/>
    <w:rsid w:val="00390822"/>
    <w:rsid w:val="00390F57"/>
    <w:rsid w:val="0039179C"/>
    <w:rsid w:val="00391DCA"/>
    <w:rsid w:val="00392273"/>
    <w:rsid w:val="00392302"/>
    <w:rsid w:val="00392402"/>
    <w:rsid w:val="00392736"/>
    <w:rsid w:val="00392AE3"/>
    <w:rsid w:val="00393092"/>
    <w:rsid w:val="00393158"/>
    <w:rsid w:val="003934A8"/>
    <w:rsid w:val="00393863"/>
    <w:rsid w:val="00394152"/>
    <w:rsid w:val="003941DF"/>
    <w:rsid w:val="003944AD"/>
    <w:rsid w:val="00394751"/>
    <w:rsid w:val="00394A2D"/>
    <w:rsid w:val="003954FA"/>
    <w:rsid w:val="00395506"/>
    <w:rsid w:val="00395D4B"/>
    <w:rsid w:val="00395E41"/>
    <w:rsid w:val="003960D1"/>
    <w:rsid w:val="003965E3"/>
    <w:rsid w:val="003966E1"/>
    <w:rsid w:val="00396896"/>
    <w:rsid w:val="003969CE"/>
    <w:rsid w:val="00396FD0"/>
    <w:rsid w:val="003977C1"/>
    <w:rsid w:val="003977C6"/>
    <w:rsid w:val="0039797E"/>
    <w:rsid w:val="00397BD5"/>
    <w:rsid w:val="00397BF1"/>
    <w:rsid w:val="00397C70"/>
    <w:rsid w:val="00397CDA"/>
    <w:rsid w:val="00397CDC"/>
    <w:rsid w:val="00397D0C"/>
    <w:rsid w:val="003A038A"/>
    <w:rsid w:val="003A0856"/>
    <w:rsid w:val="003A0DE6"/>
    <w:rsid w:val="003A0EF0"/>
    <w:rsid w:val="003A0F1F"/>
    <w:rsid w:val="003A0F93"/>
    <w:rsid w:val="003A1679"/>
    <w:rsid w:val="003A1A7A"/>
    <w:rsid w:val="003A1BF2"/>
    <w:rsid w:val="003A1D0C"/>
    <w:rsid w:val="003A1D7F"/>
    <w:rsid w:val="003A1E90"/>
    <w:rsid w:val="003A2226"/>
    <w:rsid w:val="003A2392"/>
    <w:rsid w:val="003A2831"/>
    <w:rsid w:val="003A2DE8"/>
    <w:rsid w:val="003A2F4A"/>
    <w:rsid w:val="003A3198"/>
    <w:rsid w:val="003A36FE"/>
    <w:rsid w:val="003A3C23"/>
    <w:rsid w:val="003A3CB6"/>
    <w:rsid w:val="003A3ED1"/>
    <w:rsid w:val="003A44DB"/>
    <w:rsid w:val="003A4536"/>
    <w:rsid w:val="003A4781"/>
    <w:rsid w:val="003A47AF"/>
    <w:rsid w:val="003A4B92"/>
    <w:rsid w:val="003A4DE2"/>
    <w:rsid w:val="003A506A"/>
    <w:rsid w:val="003A52F8"/>
    <w:rsid w:val="003A5568"/>
    <w:rsid w:val="003A5682"/>
    <w:rsid w:val="003A5C4B"/>
    <w:rsid w:val="003A5DD6"/>
    <w:rsid w:val="003A5F72"/>
    <w:rsid w:val="003A6123"/>
    <w:rsid w:val="003A63D5"/>
    <w:rsid w:val="003A66F7"/>
    <w:rsid w:val="003A686C"/>
    <w:rsid w:val="003A749A"/>
    <w:rsid w:val="003A7719"/>
    <w:rsid w:val="003B0245"/>
    <w:rsid w:val="003B068A"/>
    <w:rsid w:val="003B0870"/>
    <w:rsid w:val="003B0A80"/>
    <w:rsid w:val="003B0CC0"/>
    <w:rsid w:val="003B0FAF"/>
    <w:rsid w:val="003B11F4"/>
    <w:rsid w:val="003B14BD"/>
    <w:rsid w:val="003B1A99"/>
    <w:rsid w:val="003B2641"/>
    <w:rsid w:val="003B27D6"/>
    <w:rsid w:val="003B2A85"/>
    <w:rsid w:val="003B2A95"/>
    <w:rsid w:val="003B2B4A"/>
    <w:rsid w:val="003B2C2F"/>
    <w:rsid w:val="003B3040"/>
    <w:rsid w:val="003B31C3"/>
    <w:rsid w:val="003B3954"/>
    <w:rsid w:val="003B3971"/>
    <w:rsid w:val="003B4224"/>
    <w:rsid w:val="003B47D4"/>
    <w:rsid w:val="003B48D4"/>
    <w:rsid w:val="003B4E98"/>
    <w:rsid w:val="003B55D1"/>
    <w:rsid w:val="003B5626"/>
    <w:rsid w:val="003B5B61"/>
    <w:rsid w:val="003B5CBD"/>
    <w:rsid w:val="003B5E51"/>
    <w:rsid w:val="003B5FBF"/>
    <w:rsid w:val="003B60BA"/>
    <w:rsid w:val="003B60F9"/>
    <w:rsid w:val="003B6178"/>
    <w:rsid w:val="003B66B6"/>
    <w:rsid w:val="003B68A3"/>
    <w:rsid w:val="003B6923"/>
    <w:rsid w:val="003B6AF8"/>
    <w:rsid w:val="003B6B67"/>
    <w:rsid w:val="003B6BB6"/>
    <w:rsid w:val="003B6ED4"/>
    <w:rsid w:val="003B6F0E"/>
    <w:rsid w:val="003B6F9F"/>
    <w:rsid w:val="003B738F"/>
    <w:rsid w:val="003B75E4"/>
    <w:rsid w:val="003B76F9"/>
    <w:rsid w:val="003B7B4C"/>
    <w:rsid w:val="003B7C19"/>
    <w:rsid w:val="003B7F90"/>
    <w:rsid w:val="003C007D"/>
    <w:rsid w:val="003C0324"/>
    <w:rsid w:val="003C04B0"/>
    <w:rsid w:val="003C0B43"/>
    <w:rsid w:val="003C0C6E"/>
    <w:rsid w:val="003C0E61"/>
    <w:rsid w:val="003C0EE6"/>
    <w:rsid w:val="003C1029"/>
    <w:rsid w:val="003C1347"/>
    <w:rsid w:val="003C1654"/>
    <w:rsid w:val="003C2459"/>
    <w:rsid w:val="003C2578"/>
    <w:rsid w:val="003C2FF0"/>
    <w:rsid w:val="003C2FF3"/>
    <w:rsid w:val="003C30A8"/>
    <w:rsid w:val="003C3190"/>
    <w:rsid w:val="003C31EC"/>
    <w:rsid w:val="003C32D3"/>
    <w:rsid w:val="003C3EA3"/>
    <w:rsid w:val="003C3F23"/>
    <w:rsid w:val="003C4270"/>
    <w:rsid w:val="003C42C8"/>
    <w:rsid w:val="003C45AE"/>
    <w:rsid w:val="003C45C7"/>
    <w:rsid w:val="003C4615"/>
    <w:rsid w:val="003C46EE"/>
    <w:rsid w:val="003C47C1"/>
    <w:rsid w:val="003C5542"/>
    <w:rsid w:val="003C5CA8"/>
    <w:rsid w:val="003C6A54"/>
    <w:rsid w:val="003C6CF4"/>
    <w:rsid w:val="003C7087"/>
    <w:rsid w:val="003C70C6"/>
    <w:rsid w:val="003C7502"/>
    <w:rsid w:val="003C7839"/>
    <w:rsid w:val="003C7900"/>
    <w:rsid w:val="003C7D19"/>
    <w:rsid w:val="003C7D2F"/>
    <w:rsid w:val="003C7E87"/>
    <w:rsid w:val="003D0014"/>
    <w:rsid w:val="003D0ADA"/>
    <w:rsid w:val="003D0C69"/>
    <w:rsid w:val="003D0CE7"/>
    <w:rsid w:val="003D0CFB"/>
    <w:rsid w:val="003D0EF4"/>
    <w:rsid w:val="003D0FC6"/>
    <w:rsid w:val="003D1403"/>
    <w:rsid w:val="003D1828"/>
    <w:rsid w:val="003D190C"/>
    <w:rsid w:val="003D1D01"/>
    <w:rsid w:val="003D1DE4"/>
    <w:rsid w:val="003D1E55"/>
    <w:rsid w:val="003D1E9A"/>
    <w:rsid w:val="003D202A"/>
    <w:rsid w:val="003D2422"/>
    <w:rsid w:val="003D266E"/>
    <w:rsid w:val="003D305D"/>
    <w:rsid w:val="003D322B"/>
    <w:rsid w:val="003D39A1"/>
    <w:rsid w:val="003D3B70"/>
    <w:rsid w:val="003D3C34"/>
    <w:rsid w:val="003D3CB3"/>
    <w:rsid w:val="003D3F9E"/>
    <w:rsid w:val="003D3FBF"/>
    <w:rsid w:val="003D47F7"/>
    <w:rsid w:val="003D4A30"/>
    <w:rsid w:val="003D4B4C"/>
    <w:rsid w:val="003D4C9C"/>
    <w:rsid w:val="003D4D00"/>
    <w:rsid w:val="003D4E6D"/>
    <w:rsid w:val="003D51E8"/>
    <w:rsid w:val="003D524E"/>
    <w:rsid w:val="003D53BC"/>
    <w:rsid w:val="003D53F4"/>
    <w:rsid w:val="003D565B"/>
    <w:rsid w:val="003D5727"/>
    <w:rsid w:val="003D65E9"/>
    <w:rsid w:val="003D699D"/>
    <w:rsid w:val="003D6AAA"/>
    <w:rsid w:val="003D6B83"/>
    <w:rsid w:val="003D6CBE"/>
    <w:rsid w:val="003D6D73"/>
    <w:rsid w:val="003D6FB9"/>
    <w:rsid w:val="003D7165"/>
    <w:rsid w:val="003D7452"/>
    <w:rsid w:val="003D74D4"/>
    <w:rsid w:val="003D775C"/>
    <w:rsid w:val="003D79BB"/>
    <w:rsid w:val="003D7C19"/>
    <w:rsid w:val="003D7C98"/>
    <w:rsid w:val="003D7D9D"/>
    <w:rsid w:val="003E00EC"/>
    <w:rsid w:val="003E02F3"/>
    <w:rsid w:val="003E0543"/>
    <w:rsid w:val="003E05E4"/>
    <w:rsid w:val="003E0D0A"/>
    <w:rsid w:val="003E183E"/>
    <w:rsid w:val="003E19AB"/>
    <w:rsid w:val="003E1CA2"/>
    <w:rsid w:val="003E1DAF"/>
    <w:rsid w:val="003E2224"/>
    <w:rsid w:val="003E2868"/>
    <w:rsid w:val="003E28EE"/>
    <w:rsid w:val="003E299E"/>
    <w:rsid w:val="003E2DF7"/>
    <w:rsid w:val="003E361C"/>
    <w:rsid w:val="003E3BC1"/>
    <w:rsid w:val="003E3FB3"/>
    <w:rsid w:val="003E4290"/>
    <w:rsid w:val="003E442B"/>
    <w:rsid w:val="003E4603"/>
    <w:rsid w:val="003E4B5F"/>
    <w:rsid w:val="003E4FE0"/>
    <w:rsid w:val="003E57C3"/>
    <w:rsid w:val="003E5959"/>
    <w:rsid w:val="003E5DBB"/>
    <w:rsid w:val="003E659D"/>
    <w:rsid w:val="003E6AD0"/>
    <w:rsid w:val="003E6C1F"/>
    <w:rsid w:val="003E6EA8"/>
    <w:rsid w:val="003E6FDF"/>
    <w:rsid w:val="003E7065"/>
    <w:rsid w:val="003E73C0"/>
    <w:rsid w:val="003E749E"/>
    <w:rsid w:val="003F00CC"/>
    <w:rsid w:val="003F0150"/>
    <w:rsid w:val="003F02DE"/>
    <w:rsid w:val="003F02F7"/>
    <w:rsid w:val="003F046C"/>
    <w:rsid w:val="003F0890"/>
    <w:rsid w:val="003F0B25"/>
    <w:rsid w:val="003F0EC7"/>
    <w:rsid w:val="003F1611"/>
    <w:rsid w:val="003F1899"/>
    <w:rsid w:val="003F1AC1"/>
    <w:rsid w:val="003F1B07"/>
    <w:rsid w:val="003F1C16"/>
    <w:rsid w:val="003F2019"/>
    <w:rsid w:val="003F226C"/>
    <w:rsid w:val="003F255B"/>
    <w:rsid w:val="003F28E9"/>
    <w:rsid w:val="003F2CAC"/>
    <w:rsid w:val="003F31A3"/>
    <w:rsid w:val="003F3326"/>
    <w:rsid w:val="003F3333"/>
    <w:rsid w:val="003F33CC"/>
    <w:rsid w:val="003F36B5"/>
    <w:rsid w:val="003F3BB2"/>
    <w:rsid w:val="003F3C09"/>
    <w:rsid w:val="003F4156"/>
    <w:rsid w:val="003F43CA"/>
    <w:rsid w:val="003F45BF"/>
    <w:rsid w:val="003F4DA5"/>
    <w:rsid w:val="003F4FCE"/>
    <w:rsid w:val="003F504E"/>
    <w:rsid w:val="003F5134"/>
    <w:rsid w:val="003F5479"/>
    <w:rsid w:val="003F5ADF"/>
    <w:rsid w:val="003F5D96"/>
    <w:rsid w:val="003F5F68"/>
    <w:rsid w:val="003F5FF1"/>
    <w:rsid w:val="003F63AD"/>
    <w:rsid w:val="003F6AA1"/>
    <w:rsid w:val="003F6E50"/>
    <w:rsid w:val="003F6FC3"/>
    <w:rsid w:val="003F7142"/>
    <w:rsid w:val="003F760F"/>
    <w:rsid w:val="003F76A5"/>
    <w:rsid w:val="003F76D8"/>
    <w:rsid w:val="003F7749"/>
    <w:rsid w:val="003F77C5"/>
    <w:rsid w:val="003F77F5"/>
    <w:rsid w:val="003F7AED"/>
    <w:rsid w:val="003F7B67"/>
    <w:rsid w:val="003F7F37"/>
    <w:rsid w:val="004000D6"/>
    <w:rsid w:val="004001B9"/>
    <w:rsid w:val="00400245"/>
    <w:rsid w:val="004004AF"/>
    <w:rsid w:val="00400977"/>
    <w:rsid w:val="00400B29"/>
    <w:rsid w:val="00401703"/>
    <w:rsid w:val="00401C4C"/>
    <w:rsid w:val="00402108"/>
    <w:rsid w:val="004023E1"/>
    <w:rsid w:val="00402783"/>
    <w:rsid w:val="0040280D"/>
    <w:rsid w:val="00402F6D"/>
    <w:rsid w:val="00403088"/>
    <w:rsid w:val="00403092"/>
    <w:rsid w:val="004033F3"/>
    <w:rsid w:val="00403506"/>
    <w:rsid w:val="00403961"/>
    <w:rsid w:val="00403B1B"/>
    <w:rsid w:val="00403B33"/>
    <w:rsid w:val="00403BED"/>
    <w:rsid w:val="00403DC8"/>
    <w:rsid w:val="00403FD0"/>
    <w:rsid w:val="00403FDC"/>
    <w:rsid w:val="0040404A"/>
    <w:rsid w:val="004046AA"/>
    <w:rsid w:val="004046E1"/>
    <w:rsid w:val="004048D6"/>
    <w:rsid w:val="0040504B"/>
    <w:rsid w:val="0040519B"/>
    <w:rsid w:val="004056D6"/>
    <w:rsid w:val="00405783"/>
    <w:rsid w:val="00405984"/>
    <w:rsid w:val="004059F4"/>
    <w:rsid w:val="00405D54"/>
    <w:rsid w:val="00406317"/>
    <w:rsid w:val="004063BF"/>
    <w:rsid w:val="004066BB"/>
    <w:rsid w:val="00407072"/>
    <w:rsid w:val="0040714F"/>
    <w:rsid w:val="0040734C"/>
    <w:rsid w:val="00407704"/>
    <w:rsid w:val="004079EA"/>
    <w:rsid w:val="00407CEF"/>
    <w:rsid w:val="00407FE5"/>
    <w:rsid w:val="004101B0"/>
    <w:rsid w:val="00410326"/>
    <w:rsid w:val="004103F0"/>
    <w:rsid w:val="0041054C"/>
    <w:rsid w:val="004105E0"/>
    <w:rsid w:val="00410708"/>
    <w:rsid w:val="00410B11"/>
    <w:rsid w:val="00410C2B"/>
    <w:rsid w:val="00410D45"/>
    <w:rsid w:val="00410EC7"/>
    <w:rsid w:val="00411033"/>
    <w:rsid w:val="004117C4"/>
    <w:rsid w:val="004119EC"/>
    <w:rsid w:val="00411B39"/>
    <w:rsid w:val="00412580"/>
    <w:rsid w:val="004127A7"/>
    <w:rsid w:val="00412949"/>
    <w:rsid w:val="00412D7F"/>
    <w:rsid w:val="004131C3"/>
    <w:rsid w:val="00413296"/>
    <w:rsid w:val="00413659"/>
    <w:rsid w:val="004137BD"/>
    <w:rsid w:val="004137DA"/>
    <w:rsid w:val="0041391F"/>
    <w:rsid w:val="00413A1E"/>
    <w:rsid w:val="0041407A"/>
    <w:rsid w:val="004140D9"/>
    <w:rsid w:val="004141F7"/>
    <w:rsid w:val="00414361"/>
    <w:rsid w:val="00414476"/>
    <w:rsid w:val="0041448C"/>
    <w:rsid w:val="004144F5"/>
    <w:rsid w:val="00414825"/>
    <w:rsid w:val="00414C2E"/>
    <w:rsid w:val="00414CB0"/>
    <w:rsid w:val="004151CF"/>
    <w:rsid w:val="00416050"/>
    <w:rsid w:val="00416364"/>
    <w:rsid w:val="00416563"/>
    <w:rsid w:val="00416986"/>
    <w:rsid w:val="00416B0D"/>
    <w:rsid w:val="00416B7D"/>
    <w:rsid w:val="00416BE9"/>
    <w:rsid w:val="00417180"/>
    <w:rsid w:val="004172B7"/>
    <w:rsid w:val="004175CB"/>
    <w:rsid w:val="00417758"/>
    <w:rsid w:val="00417F5F"/>
    <w:rsid w:val="0042047F"/>
    <w:rsid w:val="00420707"/>
    <w:rsid w:val="00420980"/>
    <w:rsid w:val="00420AA6"/>
    <w:rsid w:val="00420B9F"/>
    <w:rsid w:val="00420D6D"/>
    <w:rsid w:val="00420E73"/>
    <w:rsid w:val="004211BD"/>
    <w:rsid w:val="00421377"/>
    <w:rsid w:val="004215B1"/>
    <w:rsid w:val="0042192C"/>
    <w:rsid w:val="00421D4E"/>
    <w:rsid w:val="00422260"/>
    <w:rsid w:val="00422266"/>
    <w:rsid w:val="00422655"/>
    <w:rsid w:val="004226D4"/>
    <w:rsid w:val="004228E1"/>
    <w:rsid w:val="00422A3C"/>
    <w:rsid w:val="00423008"/>
    <w:rsid w:val="00423325"/>
    <w:rsid w:val="00423427"/>
    <w:rsid w:val="004239D3"/>
    <w:rsid w:val="004240AE"/>
    <w:rsid w:val="0042413F"/>
    <w:rsid w:val="0042421C"/>
    <w:rsid w:val="004242A1"/>
    <w:rsid w:val="004246C1"/>
    <w:rsid w:val="004251BF"/>
    <w:rsid w:val="004254E9"/>
    <w:rsid w:val="004255BA"/>
    <w:rsid w:val="00425A82"/>
    <w:rsid w:val="00425E8C"/>
    <w:rsid w:val="004268B0"/>
    <w:rsid w:val="00426935"/>
    <w:rsid w:val="00426C8D"/>
    <w:rsid w:val="00426CAC"/>
    <w:rsid w:val="00427060"/>
    <w:rsid w:val="0042723F"/>
    <w:rsid w:val="004278DA"/>
    <w:rsid w:val="004300C3"/>
    <w:rsid w:val="004308D8"/>
    <w:rsid w:val="00431467"/>
    <w:rsid w:val="00431564"/>
    <w:rsid w:val="00431625"/>
    <w:rsid w:val="0043167B"/>
    <w:rsid w:val="004318F0"/>
    <w:rsid w:val="00431913"/>
    <w:rsid w:val="004319F8"/>
    <w:rsid w:val="00431A4F"/>
    <w:rsid w:val="00431A7B"/>
    <w:rsid w:val="00431E55"/>
    <w:rsid w:val="004321F6"/>
    <w:rsid w:val="0043246C"/>
    <w:rsid w:val="0043276E"/>
    <w:rsid w:val="00432904"/>
    <w:rsid w:val="00433044"/>
    <w:rsid w:val="0043334C"/>
    <w:rsid w:val="00433545"/>
    <w:rsid w:val="0043358D"/>
    <w:rsid w:val="0043367D"/>
    <w:rsid w:val="004337A8"/>
    <w:rsid w:val="004339D9"/>
    <w:rsid w:val="00433B6A"/>
    <w:rsid w:val="00433DCD"/>
    <w:rsid w:val="00434088"/>
    <w:rsid w:val="00434595"/>
    <w:rsid w:val="004345DE"/>
    <w:rsid w:val="0043499E"/>
    <w:rsid w:val="00434B0D"/>
    <w:rsid w:val="00434E54"/>
    <w:rsid w:val="00434EFE"/>
    <w:rsid w:val="004350E9"/>
    <w:rsid w:val="00435249"/>
    <w:rsid w:val="00435363"/>
    <w:rsid w:val="00435810"/>
    <w:rsid w:val="00435883"/>
    <w:rsid w:val="004359F0"/>
    <w:rsid w:val="00436736"/>
    <w:rsid w:val="00436D0A"/>
    <w:rsid w:val="00436E7F"/>
    <w:rsid w:val="0043759A"/>
    <w:rsid w:val="004375B9"/>
    <w:rsid w:val="00437A0B"/>
    <w:rsid w:val="00437C0A"/>
    <w:rsid w:val="00437D83"/>
    <w:rsid w:val="0044006D"/>
    <w:rsid w:val="0044012D"/>
    <w:rsid w:val="0044048F"/>
    <w:rsid w:val="00440E42"/>
    <w:rsid w:val="00440E5E"/>
    <w:rsid w:val="00440F5E"/>
    <w:rsid w:val="0044136E"/>
    <w:rsid w:val="00441437"/>
    <w:rsid w:val="004417A5"/>
    <w:rsid w:val="00441820"/>
    <w:rsid w:val="00441BD2"/>
    <w:rsid w:val="00441DC9"/>
    <w:rsid w:val="00442166"/>
    <w:rsid w:val="0044217F"/>
    <w:rsid w:val="0044244A"/>
    <w:rsid w:val="00442804"/>
    <w:rsid w:val="004428D0"/>
    <w:rsid w:val="004429B0"/>
    <w:rsid w:val="004429B5"/>
    <w:rsid w:val="00442A7D"/>
    <w:rsid w:val="00442D69"/>
    <w:rsid w:val="00442E31"/>
    <w:rsid w:val="00442EA8"/>
    <w:rsid w:val="0044309E"/>
    <w:rsid w:val="0044311C"/>
    <w:rsid w:val="00443154"/>
    <w:rsid w:val="004432CA"/>
    <w:rsid w:val="0044371F"/>
    <w:rsid w:val="004439FA"/>
    <w:rsid w:val="00443ACA"/>
    <w:rsid w:val="00443D1D"/>
    <w:rsid w:val="00443FE5"/>
    <w:rsid w:val="00444185"/>
    <w:rsid w:val="004443A7"/>
    <w:rsid w:val="0044442C"/>
    <w:rsid w:val="0044445B"/>
    <w:rsid w:val="004446AC"/>
    <w:rsid w:val="00444AC5"/>
    <w:rsid w:val="00444B95"/>
    <w:rsid w:val="00444BED"/>
    <w:rsid w:val="00444E89"/>
    <w:rsid w:val="0044559C"/>
    <w:rsid w:val="00445817"/>
    <w:rsid w:val="00445941"/>
    <w:rsid w:val="00445BC4"/>
    <w:rsid w:val="00445D0E"/>
    <w:rsid w:val="004464EB"/>
    <w:rsid w:val="00446718"/>
    <w:rsid w:val="004469D1"/>
    <w:rsid w:val="00446B42"/>
    <w:rsid w:val="00446FA8"/>
    <w:rsid w:val="0044783D"/>
    <w:rsid w:val="00447929"/>
    <w:rsid w:val="00447979"/>
    <w:rsid w:val="00447D26"/>
    <w:rsid w:val="00447DFC"/>
    <w:rsid w:val="004502F6"/>
    <w:rsid w:val="00450575"/>
    <w:rsid w:val="00450B22"/>
    <w:rsid w:val="00450B48"/>
    <w:rsid w:val="0045118B"/>
    <w:rsid w:val="00451303"/>
    <w:rsid w:val="00451343"/>
    <w:rsid w:val="00451479"/>
    <w:rsid w:val="004516F0"/>
    <w:rsid w:val="00451AC7"/>
    <w:rsid w:val="00451CC7"/>
    <w:rsid w:val="00451EA7"/>
    <w:rsid w:val="004523D8"/>
    <w:rsid w:val="0045266A"/>
    <w:rsid w:val="00452A5A"/>
    <w:rsid w:val="00452C34"/>
    <w:rsid w:val="00452FD8"/>
    <w:rsid w:val="00453639"/>
    <w:rsid w:val="00453866"/>
    <w:rsid w:val="0045398F"/>
    <w:rsid w:val="00453AA9"/>
    <w:rsid w:val="00453B5D"/>
    <w:rsid w:val="00453C5C"/>
    <w:rsid w:val="00453D10"/>
    <w:rsid w:val="00454016"/>
    <w:rsid w:val="0045469A"/>
    <w:rsid w:val="00454714"/>
    <w:rsid w:val="00454BDC"/>
    <w:rsid w:val="00454C56"/>
    <w:rsid w:val="00455577"/>
    <w:rsid w:val="004559A6"/>
    <w:rsid w:val="00455B9D"/>
    <w:rsid w:val="00455D45"/>
    <w:rsid w:val="00456229"/>
    <w:rsid w:val="0045636B"/>
    <w:rsid w:val="00456600"/>
    <w:rsid w:val="00456F49"/>
    <w:rsid w:val="00456F84"/>
    <w:rsid w:val="00457205"/>
    <w:rsid w:val="00457318"/>
    <w:rsid w:val="00457405"/>
    <w:rsid w:val="004576FE"/>
    <w:rsid w:val="00457744"/>
    <w:rsid w:val="00457C7D"/>
    <w:rsid w:val="00457FA2"/>
    <w:rsid w:val="00457FC2"/>
    <w:rsid w:val="00460602"/>
    <w:rsid w:val="00460F11"/>
    <w:rsid w:val="0046120A"/>
    <w:rsid w:val="00461826"/>
    <w:rsid w:val="0046195A"/>
    <w:rsid w:val="00461B42"/>
    <w:rsid w:val="00461B65"/>
    <w:rsid w:val="00461DD4"/>
    <w:rsid w:val="00461FB4"/>
    <w:rsid w:val="00462951"/>
    <w:rsid w:val="00462A7A"/>
    <w:rsid w:val="00462B40"/>
    <w:rsid w:val="00462BC5"/>
    <w:rsid w:val="00462CE3"/>
    <w:rsid w:val="00462E3D"/>
    <w:rsid w:val="00462F6B"/>
    <w:rsid w:val="00463727"/>
    <w:rsid w:val="00463786"/>
    <w:rsid w:val="00464595"/>
    <w:rsid w:val="0046473C"/>
    <w:rsid w:val="0046477A"/>
    <w:rsid w:val="004647FB"/>
    <w:rsid w:val="00464B06"/>
    <w:rsid w:val="0046521B"/>
    <w:rsid w:val="00465247"/>
    <w:rsid w:val="00465316"/>
    <w:rsid w:val="004653B8"/>
    <w:rsid w:val="0046543D"/>
    <w:rsid w:val="004658B5"/>
    <w:rsid w:val="00465BC0"/>
    <w:rsid w:val="00465EBD"/>
    <w:rsid w:val="00465F91"/>
    <w:rsid w:val="00466349"/>
    <w:rsid w:val="00466598"/>
    <w:rsid w:val="004669A0"/>
    <w:rsid w:val="00466ABF"/>
    <w:rsid w:val="00466AF4"/>
    <w:rsid w:val="004675DF"/>
    <w:rsid w:val="00467601"/>
    <w:rsid w:val="00467FF1"/>
    <w:rsid w:val="004701FD"/>
    <w:rsid w:val="0047041F"/>
    <w:rsid w:val="00470453"/>
    <w:rsid w:val="0047064B"/>
    <w:rsid w:val="00470723"/>
    <w:rsid w:val="004709A7"/>
    <w:rsid w:val="004709CC"/>
    <w:rsid w:val="004711D3"/>
    <w:rsid w:val="0047137A"/>
    <w:rsid w:val="00471432"/>
    <w:rsid w:val="00471D84"/>
    <w:rsid w:val="00471DCF"/>
    <w:rsid w:val="00471EA5"/>
    <w:rsid w:val="0047223E"/>
    <w:rsid w:val="00472338"/>
    <w:rsid w:val="0047236D"/>
    <w:rsid w:val="00472432"/>
    <w:rsid w:val="00472774"/>
    <w:rsid w:val="00472A79"/>
    <w:rsid w:val="00472B93"/>
    <w:rsid w:val="00472D77"/>
    <w:rsid w:val="00473174"/>
    <w:rsid w:val="00473CB1"/>
    <w:rsid w:val="00473D62"/>
    <w:rsid w:val="00473E9F"/>
    <w:rsid w:val="00473EC3"/>
    <w:rsid w:val="00473F19"/>
    <w:rsid w:val="00474742"/>
    <w:rsid w:val="004749D8"/>
    <w:rsid w:val="00474DEF"/>
    <w:rsid w:val="00474EDE"/>
    <w:rsid w:val="00475549"/>
    <w:rsid w:val="004756BC"/>
    <w:rsid w:val="00475E22"/>
    <w:rsid w:val="00476095"/>
    <w:rsid w:val="004761C9"/>
    <w:rsid w:val="00476314"/>
    <w:rsid w:val="004765C6"/>
    <w:rsid w:val="00476693"/>
    <w:rsid w:val="004769ED"/>
    <w:rsid w:val="00476EF6"/>
    <w:rsid w:val="004770AF"/>
    <w:rsid w:val="00477143"/>
    <w:rsid w:val="00477448"/>
    <w:rsid w:val="004774A0"/>
    <w:rsid w:val="00477707"/>
    <w:rsid w:val="004777AF"/>
    <w:rsid w:val="004777F4"/>
    <w:rsid w:val="00477FF8"/>
    <w:rsid w:val="004805C2"/>
    <w:rsid w:val="0048069D"/>
    <w:rsid w:val="0048088E"/>
    <w:rsid w:val="00480F2B"/>
    <w:rsid w:val="00481066"/>
    <w:rsid w:val="0048194F"/>
    <w:rsid w:val="00481977"/>
    <w:rsid w:val="004819A9"/>
    <w:rsid w:val="00481A2E"/>
    <w:rsid w:val="00481CAA"/>
    <w:rsid w:val="00481DE9"/>
    <w:rsid w:val="00481FF2"/>
    <w:rsid w:val="00482257"/>
    <w:rsid w:val="00482664"/>
    <w:rsid w:val="004826E5"/>
    <w:rsid w:val="0048271E"/>
    <w:rsid w:val="00482720"/>
    <w:rsid w:val="00482797"/>
    <w:rsid w:val="00482812"/>
    <w:rsid w:val="004828D5"/>
    <w:rsid w:val="00482B7A"/>
    <w:rsid w:val="00482D80"/>
    <w:rsid w:val="00482D99"/>
    <w:rsid w:val="004830A5"/>
    <w:rsid w:val="004835E7"/>
    <w:rsid w:val="00483AF6"/>
    <w:rsid w:val="00483B60"/>
    <w:rsid w:val="00483CE5"/>
    <w:rsid w:val="00483E7D"/>
    <w:rsid w:val="00484134"/>
    <w:rsid w:val="00484866"/>
    <w:rsid w:val="00484AF9"/>
    <w:rsid w:val="00484CA5"/>
    <w:rsid w:val="00484FD8"/>
    <w:rsid w:val="004851BA"/>
    <w:rsid w:val="00485EAE"/>
    <w:rsid w:val="00485ED3"/>
    <w:rsid w:val="004863BC"/>
    <w:rsid w:val="00486450"/>
    <w:rsid w:val="00486514"/>
    <w:rsid w:val="004865EC"/>
    <w:rsid w:val="004867E2"/>
    <w:rsid w:val="00486E32"/>
    <w:rsid w:val="00487012"/>
    <w:rsid w:val="004871A8"/>
    <w:rsid w:val="00487240"/>
    <w:rsid w:val="004872B4"/>
    <w:rsid w:val="00487614"/>
    <w:rsid w:val="00487793"/>
    <w:rsid w:val="00487919"/>
    <w:rsid w:val="0048798B"/>
    <w:rsid w:val="00487A3B"/>
    <w:rsid w:val="00487B04"/>
    <w:rsid w:val="00487DFD"/>
    <w:rsid w:val="00487F7E"/>
    <w:rsid w:val="0049003C"/>
    <w:rsid w:val="00490080"/>
    <w:rsid w:val="0049050C"/>
    <w:rsid w:val="004908CE"/>
    <w:rsid w:val="00490B17"/>
    <w:rsid w:val="00490D73"/>
    <w:rsid w:val="00490E2C"/>
    <w:rsid w:val="00490F0E"/>
    <w:rsid w:val="00491947"/>
    <w:rsid w:val="00491A94"/>
    <w:rsid w:val="00491B3A"/>
    <w:rsid w:val="00491C2F"/>
    <w:rsid w:val="00492294"/>
    <w:rsid w:val="0049276A"/>
    <w:rsid w:val="0049278C"/>
    <w:rsid w:val="004927C8"/>
    <w:rsid w:val="004928D4"/>
    <w:rsid w:val="00492987"/>
    <w:rsid w:val="00492B14"/>
    <w:rsid w:val="00492CFD"/>
    <w:rsid w:val="00492DBB"/>
    <w:rsid w:val="00492F29"/>
    <w:rsid w:val="004936F1"/>
    <w:rsid w:val="00494207"/>
    <w:rsid w:val="00494230"/>
    <w:rsid w:val="00494278"/>
    <w:rsid w:val="00494290"/>
    <w:rsid w:val="004943DA"/>
    <w:rsid w:val="00494638"/>
    <w:rsid w:val="00494DD5"/>
    <w:rsid w:val="00495115"/>
    <w:rsid w:val="0049540B"/>
    <w:rsid w:val="00495646"/>
    <w:rsid w:val="00495D43"/>
    <w:rsid w:val="00495F4C"/>
    <w:rsid w:val="004962D2"/>
    <w:rsid w:val="0049645B"/>
    <w:rsid w:val="00496593"/>
    <w:rsid w:val="004965E1"/>
    <w:rsid w:val="00496AF1"/>
    <w:rsid w:val="00496EAF"/>
    <w:rsid w:val="00497358"/>
    <w:rsid w:val="00497941"/>
    <w:rsid w:val="00497AA4"/>
    <w:rsid w:val="00497F9C"/>
    <w:rsid w:val="00497FDB"/>
    <w:rsid w:val="004A025D"/>
    <w:rsid w:val="004A0531"/>
    <w:rsid w:val="004A0590"/>
    <w:rsid w:val="004A0A5A"/>
    <w:rsid w:val="004A0DA1"/>
    <w:rsid w:val="004A0E7B"/>
    <w:rsid w:val="004A0ECA"/>
    <w:rsid w:val="004A0FC9"/>
    <w:rsid w:val="004A13D6"/>
    <w:rsid w:val="004A14A6"/>
    <w:rsid w:val="004A15BA"/>
    <w:rsid w:val="004A1BBF"/>
    <w:rsid w:val="004A1BF6"/>
    <w:rsid w:val="004A1E27"/>
    <w:rsid w:val="004A2367"/>
    <w:rsid w:val="004A2513"/>
    <w:rsid w:val="004A2604"/>
    <w:rsid w:val="004A280A"/>
    <w:rsid w:val="004A28C2"/>
    <w:rsid w:val="004A2D53"/>
    <w:rsid w:val="004A2F54"/>
    <w:rsid w:val="004A36CF"/>
    <w:rsid w:val="004A3FA1"/>
    <w:rsid w:val="004A4091"/>
    <w:rsid w:val="004A45C6"/>
    <w:rsid w:val="004A4791"/>
    <w:rsid w:val="004A5003"/>
    <w:rsid w:val="004A5166"/>
    <w:rsid w:val="004A5177"/>
    <w:rsid w:val="004A52E9"/>
    <w:rsid w:val="004A5855"/>
    <w:rsid w:val="004A588C"/>
    <w:rsid w:val="004A58EA"/>
    <w:rsid w:val="004A5AA9"/>
    <w:rsid w:val="004A5F51"/>
    <w:rsid w:val="004A6040"/>
    <w:rsid w:val="004A62B5"/>
    <w:rsid w:val="004A6597"/>
    <w:rsid w:val="004A6606"/>
    <w:rsid w:val="004A6726"/>
    <w:rsid w:val="004A68DC"/>
    <w:rsid w:val="004A69C7"/>
    <w:rsid w:val="004A6A61"/>
    <w:rsid w:val="004A6B8B"/>
    <w:rsid w:val="004A6D48"/>
    <w:rsid w:val="004A710A"/>
    <w:rsid w:val="004A728D"/>
    <w:rsid w:val="004A72D5"/>
    <w:rsid w:val="004A76A2"/>
    <w:rsid w:val="004A77CA"/>
    <w:rsid w:val="004A7848"/>
    <w:rsid w:val="004A7B1E"/>
    <w:rsid w:val="004A7B5A"/>
    <w:rsid w:val="004A7DDE"/>
    <w:rsid w:val="004A7FE9"/>
    <w:rsid w:val="004B0447"/>
    <w:rsid w:val="004B0D86"/>
    <w:rsid w:val="004B0F12"/>
    <w:rsid w:val="004B1031"/>
    <w:rsid w:val="004B1195"/>
    <w:rsid w:val="004B132C"/>
    <w:rsid w:val="004B1A0D"/>
    <w:rsid w:val="004B1CB4"/>
    <w:rsid w:val="004B2300"/>
    <w:rsid w:val="004B24F8"/>
    <w:rsid w:val="004B29E3"/>
    <w:rsid w:val="004B2E01"/>
    <w:rsid w:val="004B2F18"/>
    <w:rsid w:val="004B3270"/>
    <w:rsid w:val="004B3716"/>
    <w:rsid w:val="004B3792"/>
    <w:rsid w:val="004B38E6"/>
    <w:rsid w:val="004B3B97"/>
    <w:rsid w:val="004B3D04"/>
    <w:rsid w:val="004B3D2C"/>
    <w:rsid w:val="004B3DDB"/>
    <w:rsid w:val="004B3E23"/>
    <w:rsid w:val="004B44FD"/>
    <w:rsid w:val="004B4823"/>
    <w:rsid w:val="004B489D"/>
    <w:rsid w:val="004B4CD3"/>
    <w:rsid w:val="004B5103"/>
    <w:rsid w:val="004B568E"/>
    <w:rsid w:val="004B571D"/>
    <w:rsid w:val="004B5CFC"/>
    <w:rsid w:val="004B6E35"/>
    <w:rsid w:val="004B6F79"/>
    <w:rsid w:val="004B7424"/>
    <w:rsid w:val="004B756F"/>
    <w:rsid w:val="004B76B5"/>
    <w:rsid w:val="004B774D"/>
    <w:rsid w:val="004B7767"/>
    <w:rsid w:val="004B7BD6"/>
    <w:rsid w:val="004B7CAD"/>
    <w:rsid w:val="004C02DF"/>
    <w:rsid w:val="004C0376"/>
    <w:rsid w:val="004C0942"/>
    <w:rsid w:val="004C0C2B"/>
    <w:rsid w:val="004C1614"/>
    <w:rsid w:val="004C1957"/>
    <w:rsid w:val="004C1FE2"/>
    <w:rsid w:val="004C2161"/>
    <w:rsid w:val="004C22FB"/>
    <w:rsid w:val="004C231D"/>
    <w:rsid w:val="004C243E"/>
    <w:rsid w:val="004C31FD"/>
    <w:rsid w:val="004C33E7"/>
    <w:rsid w:val="004C3519"/>
    <w:rsid w:val="004C3693"/>
    <w:rsid w:val="004C37F0"/>
    <w:rsid w:val="004C3EF6"/>
    <w:rsid w:val="004C4076"/>
    <w:rsid w:val="004C417C"/>
    <w:rsid w:val="004C46A7"/>
    <w:rsid w:val="004C4AED"/>
    <w:rsid w:val="004C4B5E"/>
    <w:rsid w:val="004C50B5"/>
    <w:rsid w:val="004C5240"/>
    <w:rsid w:val="004C53C9"/>
    <w:rsid w:val="004C561F"/>
    <w:rsid w:val="004C594A"/>
    <w:rsid w:val="004C5BA0"/>
    <w:rsid w:val="004C6040"/>
    <w:rsid w:val="004C64B4"/>
    <w:rsid w:val="004C6546"/>
    <w:rsid w:val="004C6631"/>
    <w:rsid w:val="004C68F3"/>
    <w:rsid w:val="004C6BD0"/>
    <w:rsid w:val="004C6D48"/>
    <w:rsid w:val="004C6E9E"/>
    <w:rsid w:val="004C76BA"/>
    <w:rsid w:val="004C7FC8"/>
    <w:rsid w:val="004D015A"/>
    <w:rsid w:val="004D0183"/>
    <w:rsid w:val="004D08E3"/>
    <w:rsid w:val="004D0A74"/>
    <w:rsid w:val="004D0BBB"/>
    <w:rsid w:val="004D1706"/>
    <w:rsid w:val="004D17DB"/>
    <w:rsid w:val="004D1DB6"/>
    <w:rsid w:val="004D1FE6"/>
    <w:rsid w:val="004D26B8"/>
    <w:rsid w:val="004D299D"/>
    <w:rsid w:val="004D2C2B"/>
    <w:rsid w:val="004D2C2D"/>
    <w:rsid w:val="004D2CE7"/>
    <w:rsid w:val="004D2F58"/>
    <w:rsid w:val="004D3058"/>
    <w:rsid w:val="004D313D"/>
    <w:rsid w:val="004D336B"/>
    <w:rsid w:val="004D3449"/>
    <w:rsid w:val="004D3503"/>
    <w:rsid w:val="004D35EA"/>
    <w:rsid w:val="004D3DB6"/>
    <w:rsid w:val="004D3DE9"/>
    <w:rsid w:val="004D3FB3"/>
    <w:rsid w:val="004D400C"/>
    <w:rsid w:val="004D4179"/>
    <w:rsid w:val="004D42AD"/>
    <w:rsid w:val="004D4944"/>
    <w:rsid w:val="004D4E23"/>
    <w:rsid w:val="004D5383"/>
    <w:rsid w:val="004D55A0"/>
    <w:rsid w:val="004D58D5"/>
    <w:rsid w:val="004D5AEA"/>
    <w:rsid w:val="004D5F52"/>
    <w:rsid w:val="004D6215"/>
    <w:rsid w:val="004D623F"/>
    <w:rsid w:val="004D66C8"/>
    <w:rsid w:val="004D69B5"/>
    <w:rsid w:val="004D6E91"/>
    <w:rsid w:val="004D7227"/>
    <w:rsid w:val="004D74F9"/>
    <w:rsid w:val="004D769B"/>
    <w:rsid w:val="004D76C4"/>
    <w:rsid w:val="004D776D"/>
    <w:rsid w:val="004D7A64"/>
    <w:rsid w:val="004D7CF5"/>
    <w:rsid w:val="004E028B"/>
    <w:rsid w:val="004E0416"/>
    <w:rsid w:val="004E04F3"/>
    <w:rsid w:val="004E0753"/>
    <w:rsid w:val="004E0BBA"/>
    <w:rsid w:val="004E0E7F"/>
    <w:rsid w:val="004E0EB8"/>
    <w:rsid w:val="004E117D"/>
    <w:rsid w:val="004E158E"/>
    <w:rsid w:val="004E18E9"/>
    <w:rsid w:val="004E197F"/>
    <w:rsid w:val="004E1EF8"/>
    <w:rsid w:val="004E1FEA"/>
    <w:rsid w:val="004E24EC"/>
    <w:rsid w:val="004E2649"/>
    <w:rsid w:val="004E26B9"/>
    <w:rsid w:val="004E2ADC"/>
    <w:rsid w:val="004E2AE0"/>
    <w:rsid w:val="004E2DED"/>
    <w:rsid w:val="004E2EAE"/>
    <w:rsid w:val="004E30E5"/>
    <w:rsid w:val="004E34BB"/>
    <w:rsid w:val="004E3A3B"/>
    <w:rsid w:val="004E3E17"/>
    <w:rsid w:val="004E3E8A"/>
    <w:rsid w:val="004E3F2E"/>
    <w:rsid w:val="004E401C"/>
    <w:rsid w:val="004E43B2"/>
    <w:rsid w:val="004E446A"/>
    <w:rsid w:val="004E46BE"/>
    <w:rsid w:val="004E47B7"/>
    <w:rsid w:val="004E48E4"/>
    <w:rsid w:val="004E4984"/>
    <w:rsid w:val="004E502C"/>
    <w:rsid w:val="004E5280"/>
    <w:rsid w:val="004E5285"/>
    <w:rsid w:val="004E52CC"/>
    <w:rsid w:val="004E52D1"/>
    <w:rsid w:val="004E54B0"/>
    <w:rsid w:val="004E561D"/>
    <w:rsid w:val="004E59BB"/>
    <w:rsid w:val="004E6362"/>
    <w:rsid w:val="004E6676"/>
    <w:rsid w:val="004E67B7"/>
    <w:rsid w:val="004E6AC8"/>
    <w:rsid w:val="004E6B7A"/>
    <w:rsid w:val="004E7709"/>
    <w:rsid w:val="004E786E"/>
    <w:rsid w:val="004E7895"/>
    <w:rsid w:val="004F04B8"/>
    <w:rsid w:val="004F051B"/>
    <w:rsid w:val="004F08C9"/>
    <w:rsid w:val="004F09C3"/>
    <w:rsid w:val="004F0AD5"/>
    <w:rsid w:val="004F0B03"/>
    <w:rsid w:val="004F0B82"/>
    <w:rsid w:val="004F0D32"/>
    <w:rsid w:val="004F10B6"/>
    <w:rsid w:val="004F1425"/>
    <w:rsid w:val="004F16E0"/>
    <w:rsid w:val="004F1924"/>
    <w:rsid w:val="004F1A37"/>
    <w:rsid w:val="004F1D02"/>
    <w:rsid w:val="004F2679"/>
    <w:rsid w:val="004F2BA0"/>
    <w:rsid w:val="004F2BAC"/>
    <w:rsid w:val="004F2CFC"/>
    <w:rsid w:val="004F2F21"/>
    <w:rsid w:val="004F3336"/>
    <w:rsid w:val="004F3337"/>
    <w:rsid w:val="004F3443"/>
    <w:rsid w:val="004F36F9"/>
    <w:rsid w:val="004F3796"/>
    <w:rsid w:val="004F37D9"/>
    <w:rsid w:val="004F3884"/>
    <w:rsid w:val="004F38BF"/>
    <w:rsid w:val="004F3DE5"/>
    <w:rsid w:val="004F3F33"/>
    <w:rsid w:val="004F4160"/>
    <w:rsid w:val="004F445C"/>
    <w:rsid w:val="004F4487"/>
    <w:rsid w:val="004F45CA"/>
    <w:rsid w:val="004F45F7"/>
    <w:rsid w:val="004F5095"/>
    <w:rsid w:val="004F5217"/>
    <w:rsid w:val="004F524F"/>
    <w:rsid w:val="004F52BF"/>
    <w:rsid w:val="004F55E2"/>
    <w:rsid w:val="004F574C"/>
    <w:rsid w:val="004F57BB"/>
    <w:rsid w:val="004F58D0"/>
    <w:rsid w:val="004F5CBD"/>
    <w:rsid w:val="004F5F03"/>
    <w:rsid w:val="004F5FA7"/>
    <w:rsid w:val="004F5FD8"/>
    <w:rsid w:val="004F6570"/>
    <w:rsid w:val="004F6913"/>
    <w:rsid w:val="004F6C84"/>
    <w:rsid w:val="004F6EFE"/>
    <w:rsid w:val="004F6FA6"/>
    <w:rsid w:val="004F6FF0"/>
    <w:rsid w:val="004F70CC"/>
    <w:rsid w:val="004F7865"/>
    <w:rsid w:val="004F78D9"/>
    <w:rsid w:val="004F79C6"/>
    <w:rsid w:val="004F7C1C"/>
    <w:rsid w:val="004F7C78"/>
    <w:rsid w:val="004F7D99"/>
    <w:rsid w:val="004F7DAA"/>
    <w:rsid w:val="00500411"/>
    <w:rsid w:val="0050064E"/>
    <w:rsid w:val="00500663"/>
    <w:rsid w:val="005008D5"/>
    <w:rsid w:val="00500DD1"/>
    <w:rsid w:val="00500F40"/>
    <w:rsid w:val="00501159"/>
    <w:rsid w:val="0050174E"/>
    <w:rsid w:val="00501854"/>
    <w:rsid w:val="00502089"/>
    <w:rsid w:val="00502188"/>
    <w:rsid w:val="0050219B"/>
    <w:rsid w:val="0050241F"/>
    <w:rsid w:val="0050257E"/>
    <w:rsid w:val="005027B9"/>
    <w:rsid w:val="00502871"/>
    <w:rsid w:val="00502A1C"/>
    <w:rsid w:val="0050349D"/>
    <w:rsid w:val="005034E7"/>
    <w:rsid w:val="005035B8"/>
    <w:rsid w:val="0050365E"/>
    <w:rsid w:val="00503682"/>
    <w:rsid w:val="005039E7"/>
    <w:rsid w:val="00503E4B"/>
    <w:rsid w:val="00503F17"/>
    <w:rsid w:val="005042E1"/>
    <w:rsid w:val="00504310"/>
    <w:rsid w:val="005044CC"/>
    <w:rsid w:val="0050475A"/>
    <w:rsid w:val="00504FB8"/>
    <w:rsid w:val="00505551"/>
    <w:rsid w:val="005055D8"/>
    <w:rsid w:val="005058A0"/>
    <w:rsid w:val="00505C7E"/>
    <w:rsid w:val="00505DFF"/>
    <w:rsid w:val="00506144"/>
    <w:rsid w:val="005065B2"/>
    <w:rsid w:val="00506928"/>
    <w:rsid w:val="00506AFC"/>
    <w:rsid w:val="00506E29"/>
    <w:rsid w:val="00506EA1"/>
    <w:rsid w:val="00506F0F"/>
    <w:rsid w:val="00507254"/>
    <w:rsid w:val="0050749A"/>
    <w:rsid w:val="0050770A"/>
    <w:rsid w:val="0050779C"/>
    <w:rsid w:val="005077EF"/>
    <w:rsid w:val="0050796D"/>
    <w:rsid w:val="0051019B"/>
    <w:rsid w:val="005102F6"/>
    <w:rsid w:val="0051075F"/>
    <w:rsid w:val="00510A27"/>
    <w:rsid w:val="005112CF"/>
    <w:rsid w:val="005112F1"/>
    <w:rsid w:val="00511387"/>
    <w:rsid w:val="00511807"/>
    <w:rsid w:val="005119B8"/>
    <w:rsid w:val="00511AD5"/>
    <w:rsid w:val="00511DC7"/>
    <w:rsid w:val="00511EF9"/>
    <w:rsid w:val="00511FD9"/>
    <w:rsid w:val="005121B0"/>
    <w:rsid w:val="005123C7"/>
    <w:rsid w:val="00512A51"/>
    <w:rsid w:val="00512D6E"/>
    <w:rsid w:val="0051310F"/>
    <w:rsid w:val="0051376E"/>
    <w:rsid w:val="00513AB5"/>
    <w:rsid w:val="00513D38"/>
    <w:rsid w:val="00514163"/>
    <w:rsid w:val="00514220"/>
    <w:rsid w:val="005142C0"/>
    <w:rsid w:val="005142C5"/>
    <w:rsid w:val="00514498"/>
    <w:rsid w:val="00514638"/>
    <w:rsid w:val="005146B0"/>
    <w:rsid w:val="005147B7"/>
    <w:rsid w:val="00514884"/>
    <w:rsid w:val="005149EE"/>
    <w:rsid w:val="00514A8E"/>
    <w:rsid w:val="00514E5C"/>
    <w:rsid w:val="00514FE0"/>
    <w:rsid w:val="0051501B"/>
    <w:rsid w:val="0051514F"/>
    <w:rsid w:val="005152B5"/>
    <w:rsid w:val="00515534"/>
    <w:rsid w:val="005156B8"/>
    <w:rsid w:val="00515779"/>
    <w:rsid w:val="00515989"/>
    <w:rsid w:val="00515AF6"/>
    <w:rsid w:val="00516F81"/>
    <w:rsid w:val="005174B0"/>
    <w:rsid w:val="00517C42"/>
    <w:rsid w:val="00517CA9"/>
    <w:rsid w:val="00517CE4"/>
    <w:rsid w:val="00517F58"/>
    <w:rsid w:val="00517F8E"/>
    <w:rsid w:val="00517FB1"/>
    <w:rsid w:val="005203F0"/>
    <w:rsid w:val="0052090C"/>
    <w:rsid w:val="00520B9D"/>
    <w:rsid w:val="00520C49"/>
    <w:rsid w:val="0052115B"/>
    <w:rsid w:val="0052123C"/>
    <w:rsid w:val="00521319"/>
    <w:rsid w:val="00521342"/>
    <w:rsid w:val="00521915"/>
    <w:rsid w:val="00521ABE"/>
    <w:rsid w:val="00521B31"/>
    <w:rsid w:val="00521CE2"/>
    <w:rsid w:val="00521D69"/>
    <w:rsid w:val="00521D7C"/>
    <w:rsid w:val="00522299"/>
    <w:rsid w:val="005222D1"/>
    <w:rsid w:val="0052254C"/>
    <w:rsid w:val="00522583"/>
    <w:rsid w:val="0052283E"/>
    <w:rsid w:val="00522B70"/>
    <w:rsid w:val="00522BC8"/>
    <w:rsid w:val="00522C57"/>
    <w:rsid w:val="00522E32"/>
    <w:rsid w:val="00522F18"/>
    <w:rsid w:val="00522F2D"/>
    <w:rsid w:val="005231DA"/>
    <w:rsid w:val="005238C1"/>
    <w:rsid w:val="00523ADD"/>
    <w:rsid w:val="00523C28"/>
    <w:rsid w:val="00523E74"/>
    <w:rsid w:val="00523EC0"/>
    <w:rsid w:val="00523F60"/>
    <w:rsid w:val="00524E8B"/>
    <w:rsid w:val="00524FEF"/>
    <w:rsid w:val="00524FF4"/>
    <w:rsid w:val="00525144"/>
    <w:rsid w:val="005251F3"/>
    <w:rsid w:val="0052538B"/>
    <w:rsid w:val="00525583"/>
    <w:rsid w:val="005259FF"/>
    <w:rsid w:val="00525AD2"/>
    <w:rsid w:val="00525BE1"/>
    <w:rsid w:val="00525C33"/>
    <w:rsid w:val="00526096"/>
    <w:rsid w:val="005269A7"/>
    <w:rsid w:val="005269DF"/>
    <w:rsid w:val="005269EC"/>
    <w:rsid w:val="00526F41"/>
    <w:rsid w:val="005271A7"/>
    <w:rsid w:val="00527440"/>
    <w:rsid w:val="00527868"/>
    <w:rsid w:val="005278DE"/>
    <w:rsid w:val="00527AC7"/>
    <w:rsid w:val="00527BA4"/>
    <w:rsid w:val="00527E2B"/>
    <w:rsid w:val="00527EC1"/>
    <w:rsid w:val="0053028F"/>
    <w:rsid w:val="0053046D"/>
    <w:rsid w:val="0053085C"/>
    <w:rsid w:val="00530AB3"/>
    <w:rsid w:val="00530CEF"/>
    <w:rsid w:val="00530DEF"/>
    <w:rsid w:val="005312F5"/>
    <w:rsid w:val="00531684"/>
    <w:rsid w:val="0053176B"/>
    <w:rsid w:val="005319ED"/>
    <w:rsid w:val="00531BC1"/>
    <w:rsid w:val="00531C08"/>
    <w:rsid w:val="00531F61"/>
    <w:rsid w:val="0053202F"/>
    <w:rsid w:val="005320B8"/>
    <w:rsid w:val="00532260"/>
    <w:rsid w:val="00532B91"/>
    <w:rsid w:val="00533236"/>
    <w:rsid w:val="005338D9"/>
    <w:rsid w:val="0053398A"/>
    <w:rsid w:val="00533B7D"/>
    <w:rsid w:val="00533DC9"/>
    <w:rsid w:val="005340F8"/>
    <w:rsid w:val="0053427E"/>
    <w:rsid w:val="00534418"/>
    <w:rsid w:val="00534591"/>
    <w:rsid w:val="00534642"/>
    <w:rsid w:val="00534676"/>
    <w:rsid w:val="005346FE"/>
    <w:rsid w:val="0053478B"/>
    <w:rsid w:val="005347F1"/>
    <w:rsid w:val="00534B03"/>
    <w:rsid w:val="00534B80"/>
    <w:rsid w:val="00534CD1"/>
    <w:rsid w:val="0053557F"/>
    <w:rsid w:val="00535BDD"/>
    <w:rsid w:val="00535CDF"/>
    <w:rsid w:val="005365B9"/>
    <w:rsid w:val="005369F2"/>
    <w:rsid w:val="00536A1B"/>
    <w:rsid w:val="00536BD4"/>
    <w:rsid w:val="00536F42"/>
    <w:rsid w:val="00537182"/>
    <w:rsid w:val="0053752D"/>
    <w:rsid w:val="00537EF3"/>
    <w:rsid w:val="00537FEE"/>
    <w:rsid w:val="00540074"/>
    <w:rsid w:val="00541121"/>
    <w:rsid w:val="00541193"/>
    <w:rsid w:val="0054119C"/>
    <w:rsid w:val="00541717"/>
    <w:rsid w:val="0054187A"/>
    <w:rsid w:val="00541923"/>
    <w:rsid w:val="0054199D"/>
    <w:rsid w:val="005419E5"/>
    <w:rsid w:val="00541BE5"/>
    <w:rsid w:val="00541EDD"/>
    <w:rsid w:val="00542743"/>
    <w:rsid w:val="005427D3"/>
    <w:rsid w:val="005428FE"/>
    <w:rsid w:val="00542C2D"/>
    <w:rsid w:val="005430D2"/>
    <w:rsid w:val="0054358F"/>
    <w:rsid w:val="00543975"/>
    <w:rsid w:val="00543BB8"/>
    <w:rsid w:val="00543CBF"/>
    <w:rsid w:val="00543E0E"/>
    <w:rsid w:val="005442BA"/>
    <w:rsid w:val="005444E0"/>
    <w:rsid w:val="00544812"/>
    <w:rsid w:val="00544949"/>
    <w:rsid w:val="00544A5E"/>
    <w:rsid w:val="00544BC7"/>
    <w:rsid w:val="00544E47"/>
    <w:rsid w:val="005455DC"/>
    <w:rsid w:val="005459E8"/>
    <w:rsid w:val="00545B96"/>
    <w:rsid w:val="00545D6B"/>
    <w:rsid w:val="00546056"/>
    <w:rsid w:val="00546318"/>
    <w:rsid w:val="005468F2"/>
    <w:rsid w:val="005478BD"/>
    <w:rsid w:val="005479E3"/>
    <w:rsid w:val="00547AF5"/>
    <w:rsid w:val="00550016"/>
    <w:rsid w:val="005501CB"/>
    <w:rsid w:val="00550443"/>
    <w:rsid w:val="0055058C"/>
    <w:rsid w:val="00550C00"/>
    <w:rsid w:val="00550FB5"/>
    <w:rsid w:val="005510C3"/>
    <w:rsid w:val="00551308"/>
    <w:rsid w:val="0055181A"/>
    <w:rsid w:val="00551985"/>
    <w:rsid w:val="00551E60"/>
    <w:rsid w:val="00552197"/>
    <w:rsid w:val="005521B3"/>
    <w:rsid w:val="0055230D"/>
    <w:rsid w:val="00552474"/>
    <w:rsid w:val="005524D3"/>
    <w:rsid w:val="00552527"/>
    <w:rsid w:val="00552BD3"/>
    <w:rsid w:val="005530D4"/>
    <w:rsid w:val="0055318C"/>
    <w:rsid w:val="005532A0"/>
    <w:rsid w:val="0055360A"/>
    <w:rsid w:val="00553D9B"/>
    <w:rsid w:val="00553E68"/>
    <w:rsid w:val="005543CD"/>
    <w:rsid w:val="00554521"/>
    <w:rsid w:val="00554775"/>
    <w:rsid w:val="005549EE"/>
    <w:rsid w:val="00554D54"/>
    <w:rsid w:val="00555022"/>
    <w:rsid w:val="00555109"/>
    <w:rsid w:val="00555487"/>
    <w:rsid w:val="005557DB"/>
    <w:rsid w:val="005557E2"/>
    <w:rsid w:val="00555CBE"/>
    <w:rsid w:val="0055617F"/>
    <w:rsid w:val="005561E5"/>
    <w:rsid w:val="00556481"/>
    <w:rsid w:val="00556B35"/>
    <w:rsid w:val="00556BFF"/>
    <w:rsid w:val="00557418"/>
    <w:rsid w:val="0055741A"/>
    <w:rsid w:val="00557875"/>
    <w:rsid w:val="00557B9A"/>
    <w:rsid w:val="00560457"/>
    <w:rsid w:val="00560835"/>
    <w:rsid w:val="00560974"/>
    <w:rsid w:val="00560A87"/>
    <w:rsid w:val="00560D53"/>
    <w:rsid w:val="00560EC4"/>
    <w:rsid w:val="005611B7"/>
    <w:rsid w:val="005611E5"/>
    <w:rsid w:val="00561403"/>
    <w:rsid w:val="005618D4"/>
    <w:rsid w:val="005619CF"/>
    <w:rsid w:val="00561A94"/>
    <w:rsid w:val="00561B76"/>
    <w:rsid w:val="00561EEC"/>
    <w:rsid w:val="00562529"/>
    <w:rsid w:val="0056261C"/>
    <w:rsid w:val="00562668"/>
    <w:rsid w:val="005626EB"/>
    <w:rsid w:val="0056278E"/>
    <w:rsid w:val="00562FF2"/>
    <w:rsid w:val="005632BA"/>
    <w:rsid w:val="0056373A"/>
    <w:rsid w:val="00563CE3"/>
    <w:rsid w:val="005641E0"/>
    <w:rsid w:val="0056435A"/>
    <w:rsid w:val="0056498C"/>
    <w:rsid w:val="0056499F"/>
    <w:rsid w:val="00564BF0"/>
    <w:rsid w:val="00565118"/>
    <w:rsid w:val="0056558D"/>
    <w:rsid w:val="005659A8"/>
    <w:rsid w:val="005659C0"/>
    <w:rsid w:val="00565DF0"/>
    <w:rsid w:val="00565E13"/>
    <w:rsid w:val="00566317"/>
    <w:rsid w:val="00566418"/>
    <w:rsid w:val="00566569"/>
    <w:rsid w:val="005665CB"/>
    <w:rsid w:val="0056696F"/>
    <w:rsid w:val="00566A26"/>
    <w:rsid w:val="005677C9"/>
    <w:rsid w:val="00567D2E"/>
    <w:rsid w:val="00567D50"/>
    <w:rsid w:val="0057014B"/>
    <w:rsid w:val="00570309"/>
    <w:rsid w:val="0057034F"/>
    <w:rsid w:val="00570995"/>
    <w:rsid w:val="005709F8"/>
    <w:rsid w:val="00570A48"/>
    <w:rsid w:val="005713E2"/>
    <w:rsid w:val="00571707"/>
    <w:rsid w:val="005717AE"/>
    <w:rsid w:val="00571EEE"/>
    <w:rsid w:val="00571FA4"/>
    <w:rsid w:val="005720AA"/>
    <w:rsid w:val="005720FD"/>
    <w:rsid w:val="00572269"/>
    <w:rsid w:val="0057244A"/>
    <w:rsid w:val="005724CE"/>
    <w:rsid w:val="005726DB"/>
    <w:rsid w:val="005726F6"/>
    <w:rsid w:val="005728DD"/>
    <w:rsid w:val="00572AEB"/>
    <w:rsid w:val="00572B8D"/>
    <w:rsid w:val="00572DAC"/>
    <w:rsid w:val="00572F26"/>
    <w:rsid w:val="005733C0"/>
    <w:rsid w:val="00573A85"/>
    <w:rsid w:val="00573D16"/>
    <w:rsid w:val="00573D76"/>
    <w:rsid w:val="005741A0"/>
    <w:rsid w:val="00574274"/>
    <w:rsid w:val="00574510"/>
    <w:rsid w:val="005748A8"/>
    <w:rsid w:val="00574B5B"/>
    <w:rsid w:val="00574E59"/>
    <w:rsid w:val="00574FC1"/>
    <w:rsid w:val="005750C5"/>
    <w:rsid w:val="0057517D"/>
    <w:rsid w:val="005752DE"/>
    <w:rsid w:val="0057556D"/>
    <w:rsid w:val="00575D8D"/>
    <w:rsid w:val="00576165"/>
    <w:rsid w:val="00576620"/>
    <w:rsid w:val="00576972"/>
    <w:rsid w:val="00576A58"/>
    <w:rsid w:val="00576ADC"/>
    <w:rsid w:val="00577020"/>
    <w:rsid w:val="00577114"/>
    <w:rsid w:val="0057762F"/>
    <w:rsid w:val="0057786F"/>
    <w:rsid w:val="005778C0"/>
    <w:rsid w:val="00577E4E"/>
    <w:rsid w:val="005806B9"/>
    <w:rsid w:val="00580907"/>
    <w:rsid w:val="005809DF"/>
    <w:rsid w:val="00580A22"/>
    <w:rsid w:val="005813F2"/>
    <w:rsid w:val="0058153B"/>
    <w:rsid w:val="00581AFD"/>
    <w:rsid w:val="00581D3F"/>
    <w:rsid w:val="00582090"/>
    <w:rsid w:val="0058220D"/>
    <w:rsid w:val="005826F4"/>
    <w:rsid w:val="00582B4A"/>
    <w:rsid w:val="00582CE4"/>
    <w:rsid w:val="0058326D"/>
    <w:rsid w:val="00583699"/>
    <w:rsid w:val="005838C2"/>
    <w:rsid w:val="00583A4A"/>
    <w:rsid w:val="00583B77"/>
    <w:rsid w:val="00583CF7"/>
    <w:rsid w:val="00583F0C"/>
    <w:rsid w:val="005840C5"/>
    <w:rsid w:val="0058412E"/>
    <w:rsid w:val="00584410"/>
    <w:rsid w:val="0058481F"/>
    <w:rsid w:val="005848B9"/>
    <w:rsid w:val="00584AC6"/>
    <w:rsid w:val="00584ACC"/>
    <w:rsid w:val="00584FD6"/>
    <w:rsid w:val="00585175"/>
    <w:rsid w:val="00585362"/>
    <w:rsid w:val="00585550"/>
    <w:rsid w:val="00585983"/>
    <w:rsid w:val="00585CC2"/>
    <w:rsid w:val="00585CDD"/>
    <w:rsid w:val="00585D08"/>
    <w:rsid w:val="00585FE3"/>
    <w:rsid w:val="00586073"/>
    <w:rsid w:val="00586103"/>
    <w:rsid w:val="0058644E"/>
    <w:rsid w:val="00586590"/>
    <w:rsid w:val="005867D9"/>
    <w:rsid w:val="005868CB"/>
    <w:rsid w:val="00586979"/>
    <w:rsid w:val="00586BCB"/>
    <w:rsid w:val="00586CC3"/>
    <w:rsid w:val="00586E5A"/>
    <w:rsid w:val="00587058"/>
    <w:rsid w:val="00587270"/>
    <w:rsid w:val="005875D5"/>
    <w:rsid w:val="00587751"/>
    <w:rsid w:val="0058776F"/>
    <w:rsid w:val="0058777A"/>
    <w:rsid w:val="0058784E"/>
    <w:rsid w:val="00587C6E"/>
    <w:rsid w:val="00587F3F"/>
    <w:rsid w:val="005900A2"/>
    <w:rsid w:val="005908AA"/>
    <w:rsid w:val="00590BAE"/>
    <w:rsid w:val="00590BE2"/>
    <w:rsid w:val="00591379"/>
    <w:rsid w:val="00591593"/>
    <w:rsid w:val="00591957"/>
    <w:rsid w:val="00591A7B"/>
    <w:rsid w:val="00591D8D"/>
    <w:rsid w:val="00591F28"/>
    <w:rsid w:val="00591FBF"/>
    <w:rsid w:val="005922FD"/>
    <w:rsid w:val="005927BE"/>
    <w:rsid w:val="00592868"/>
    <w:rsid w:val="0059291B"/>
    <w:rsid w:val="00592A2B"/>
    <w:rsid w:val="00592A77"/>
    <w:rsid w:val="00592C49"/>
    <w:rsid w:val="00593924"/>
    <w:rsid w:val="00593C8C"/>
    <w:rsid w:val="00593E1B"/>
    <w:rsid w:val="00593F51"/>
    <w:rsid w:val="005941BA"/>
    <w:rsid w:val="00594209"/>
    <w:rsid w:val="00594459"/>
    <w:rsid w:val="005948CA"/>
    <w:rsid w:val="00594927"/>
    <w:rsid w:val="00594A70"/>
    <w:rsid w:val="005950B9"/>
    <w:rsid w:val="005954F7"/>
    <w:rsid w:val="0059572A"/>
    <w:rsid w:val="005959D4"/>
    <w:rsid w:val="00595C71"/>
    <w:rsid w:val="00595EDF"/>
    <w:rsid w:val="00595F43"/>
    <w:rsid w:val="00595FED"/>
    <w:rsid w:val="00596A77"/>
    <w:rsid w:val="00596AAC"/>
    <w:rsid w:val="00596D11"/>
    <w:rsid w:val="00596FF9"/>
    <w:rsid w:val="00597247"/>
    <w:rsid w:val="00597362"/>
    <w:rsid w:val="00597873"/>
    <w:rsid w:val="00597898"/>
    <w:rsid w:val="00597A36"/>
    <w:rsid w:val="00597BF9"/>
    <w:rsid w:val="00597F1B"/>
    <w:rsid w:val="00597F51"/>
    <w:rsid w:val="005A01BB"/>
    <w:rsid w:val="005A0539"/>
    <w:rsid w:val="005A0FC4"/>
    <w:rsid w:val="005A1216"/>
    <w:rsid w:val="005A153E"/>
    <w:rsid w:val="005A19D7"/>
    <w:rsid w:val="005A1B2D"/>
    <w:rsid w:val="005A2097"/>
    <w:rsid w:val="005A2263"/>
    <w:rsid w:val="005A248C"/>
    <w:rsid w:val="005A2971"/>
    <w:rsid w:val="005A2C9F"/>
    <w:rsid w:val="005A2D18"/>
    <w:rsid w:val="005A2FFA"/>
    <w:rsid w:val="005A309A"/>
    <w:rsid w:val="005A35CC"/>
    <w:rsid w:val="005A373D"/>
    <w:rsid w:val="005A3744"/>
    <w:rsid w:val="005A3B32"/>
    <w:rsid w:val="005A3CB4"/>
    <w:rsid w:val="005A3F7F"/>
    <w:rsid w:val="005A434B"/>
    <w:rsid w:val="005A43AB"/>
    <w:rsid w:val="005A468B"/>
    <w:rsid w:val="005A480E"/>
    <w:rsid w:val="005A4823"/>
    <w:rsid w:val="005A48BA"/>
    <w:rsid w:val="005A48E3"/>
    <w:rsid w:val="005A4A82"/>
    <w:rsid w:val="005A4B15"/>
    <w:rsid w:val="005A4E50"/>
    <w:rsid w:val="005A5056"/>
    <w:rsid w:val="005A5A74"/>
    <w:rsid w:val="005A5E7E"/>
    <w:rsid w:val="005A65BB"/>
    <w:rsid w:val="005A6AE5"/>
    <w:rsid w:val="005A6B9F"/>
    <w:rsid w:val="005A7696"/>
    <w:rsid w:val="005A7868"/>
    <w:rsid w:val="005B0486"/>
    <w:rsid w:val="005B0709"/>
    <w:rsid w:val="005B08D2"/>
    <w:rsid w:val="005B0B58"/>
    <w:rsid w:val="005B0D63"/>
    <w:rsid w:val="005B0E2D"/>
    <w:rsid w:val="005B107B"/>
    <w:rsid w:val="005B1082"/>
    <w:rsid w:val="005B1232"/>
    <w:rsid w:val="005B26A8"/>
    <w:rsid w:val="005B28E5"/>
    <w:rsid w:val="005B2C65"/>
    <w:rsid w:val="005B2D54"/>
    <w:rsid w:val="005B2E29"/>
    <w:rsid w:val="005B35C8"/>
    <w:rsid w:val="005B36F0"/>
    <w:rsid w:val="005B38D5"/>
    <w:rsid w:val="005B3A9C"/>
    <w:rsid w:val="005B3B20"/>
    <w:rsid w:val="005B3D78"/>
    <w:rsid w:val="005B3E85"/>
    <w:rsid w:val="005B3FE7"/>
    <w:rsid w:val="005B408C"/>
    <w:rsid w:val="005B414C"/>
    <w:rsid w:val="005B4286"/>
    <w:rsid w:val="005B4311"/>
    <w:rsid w:val="005B445E"/>
    <w:rsid w:val="005B44C6"/>
    <w:rsid w:val="005B4927"/>
    <w:rsid w:val="005B4945"/>
    <w:rsid w:val="005B4E53"/>
    <w:rsid w:val="005B5857"/>
    <w:rsid w:val="005B58F5"/>
    <w:rsid w:val="005B5B04"/>
    <w:rsid w:val="005B61D7"/>
    <w:rsid w:val="005B649F"/>
    <w:rsid w:val="005B69EA"/>
    <w:rsid w:val="005B6E2D"/>
    <w:rsid w:val="005B725B"/>
    <w:rsid w:val="005B74BA"/>
    <w:rsid w:val="005B7967"/>
    <w:rsid w:val="005B7A65"/>
    <w:rsid w:val="005C01CC"/>
    <w:rsid w:val="005C020F"/>
    <w:rsid w:val="005C0EE4"/>
    <w:rsid w:val="005C0F64"/>
    <w:rsid w:val="005C1341"/>
    <w:rsid w:val="005C1514"/>
    <w:rsid w:val="005C1613"/>
    <w:rsid w:val="005C1AEE"/>
    <w:rsid w:val="005C1B83"/>
    <w:rsid w:val="005C1D8C"/>
    <w:rsid w:val="005C216E"/>
    <w:rsid w:val="005C23AC"/>
    <w:rsid w:val="005C2414"/>
    <w:rsid w:val="005C25FF"/>
    <w:rsid w:val="005C272F"/>
    <w:rsid w:val="005C2CA4"/>
    <w:rsid w:val="005C2D55"/>
    <w:rsid w:val="005C2DF7"/>
    <w:rsid w:val="005C2E31"/>
    <w:rsid w:val="005C317D"/>
    <w:rsid w:val="005C3197"/>
    <w:rsid w:val="005C332C"/>
    <w:rsid w:val="005C346B"/>
    <w:rsid w:val="005C39FF"/>
    <w:rsid w:val="005C3AE8"/>
    <w:rsid w:val="005C40BA"/>
    <w:rsid w:val="005C416D"/>
    <w:rsid w:val="005C44DD"/>
    <w:rsid w:val="005C4691"/>
    <w:rsid w:val="005C4C37"/>
    <w:rsid w:val="005C4C86"/>
    <w:rsid w:val="005C55D0"/>
    <w:rsid w:val="005C5677"/>
    <w:rsid w:val="005C56C0"/>
    <w:rsid w:val="005C5914"/>
    <w:rsid w:val="005C5DDB"/>
    <w:rsid w:val="005C63F4"/>
    <w:rsid w:val="005C66A3"/>
    <w:rsid w:val="005C684D"/>
    <w:rsid w:val="005C68C9"/>
    <w:rsid w:val="005C690B"/>
    <w:rsid w:val="005C6CD8"/>
    <w:rsid w:val="005C6FBC"/>
    <w:rsid w:val="005C774D"/>
    <w:rsid w:val="005C778B"/>
    <w:rsid w:val="005C77C8"/>
    <w:rsid w:val="005C79A6"/>
    <w:rsid w:val="005C7BE5"/>
    <w:rsid w:val="005D007D"/>
    <w:rsid w:val="005D044D"/>
    <w:rsid w:val="005D059E"/>
    <w:rsid w:val="005D0ABD"/>
    <w:rsid w:val="005D0B57"/>
    <w:rsid w:val="005D0DAD"/>
    <w:rsid w:val="005D1160"/>
    <w:rsid w:val="005D18AD"/>
    <w:rsid w:val="005D1B5C"/>
    <w:rsid w:val="005D1E08"/>
    <w:rsid w:val="005D1F0B"/>
    <w:rsid w:val="005D262A"/>
    <w:rsid w:val="005D26B4"/>
    <w:rsid w:val="005D28C0"/>
    <w:rsid w:val="005D29C3"/>
    <w:rsid w:val="005D2A28"/>
    <w:rsid w:val="005D2CCD"/>
    <w:rsid w:val="005D2D8B"/>
    <w:rsid w:val="005D3066"/>
    <w:rsid w:val="005D37A6"/>
    <w:rsid w:val="005D3B3D"/>
    <w:rsid w:val="005D3C89"/>
    <w:rsid w:val="005D3E05"/>
    <w:rsid w:val="005D400C"/>
    <w:rsid w:val="005D479A"/>
    <w:rsid w:val="005D487D"/>
    <w:rsid w:val="005D4DE0"/>
    <w:rsid w:val="005D5183"/>
    <w:rsid w:val="005D535E"/>
    <w:rsid w:val="005D5480"/>
    <w:rsid w:val="005D54D2"/>
    <w:rsid w:val="005D5502"/>
    <w:rsid w:val="005D555D"/>
    <w:rsid w:val="005D5764"/>
    <w:rsid w:val="005D59EB"/>
    <w:rsid w:val="005D5AFC"/>
    <w:rsid w:val="005D5C5F"/>
    <w:rsid w:val="005D5EE7"/>
    <w:rsid w:val="005D654F"/>
    <w:rsid w:val="005D69D3"/>
    <w:rsid w:val="005D6A90"/>
    <w:rsid w:val="005D6E7E"/>
    <w:rsid w:val="005D7147"/>
    <w:rsid w:val="005D7A6A"/>
    <w:rsid w:val="005D7B72"/>
    <w:rsid w:val="005D7C0E"/>
    <w:rsid w:val="005D7C37"/>
    <w:rsid w:val="005D7C44"/>
    <w:rsid w:val="005D7CE8"/>
    <w:rsid w:val="005D7D65"/>
    <w:rsid w:val="005D7E0E"/>
    <w:rsid w:val="005D7F71"/>
    <w:rsid w:val="005E0454"/>
    <w:rsid w:val="005E052E"/>
    <w:rsid w:val="005E097A"/>
    <w:rsid w:val="005E0C9F"/>
    <w:rsid w:val="005E0EE8"/>
    <w:rsid w:val="005E1151"/>
    <w:rsid w:val="005E1336"/>
    <w:rsid w:val="005E13AC"/>
    <w:rsid w:val="005E1589"/>
    <w:rsid w:val="005E15B2"/>
    <w:rsid w:val="005E1730"/>
    <w:rsid w:val="005E18F9"/>
    <w:rsid w:val="005E196E"/>
    <w:rsid w:val="005E1A3B"/>
    <w:rsid w:val="005E1B6B"/>
    <w:rsid w:val="005E1D30"/>
    <w:rsid w:val="005E2193"/>
    <w:rsid w:val="005E21E6"/>
    <w:rsid w:val="005E2254"/>
    <w:rsid w:val="005E2469"/>
    <w:rsid w:val="005E2917"/>
    <w:rsid w:val="005E29F5"/>
    <w:rsid w:val="005E2F0A"/>
    <w:rsid w:val="005E2FDA"/>
    <w:rsid w:val="005E3020"/>
    <w:rsid w:val="005E3496"/>
    <w:rsid w:val="005E36AD"/>
    <w:rsid w:val="005E3856"/>
    <w:rsid w:val="005E39E9"/>
    <w:rsid w:val="005E39F3"/>
    <w:rsid w:val="005E4454"/>
    <w:rsid w:val="005E445F"/>
    <w:rsid w:val="005E4531"/>
    <w:rsid w:val="005E47A9"/>
    <w:rsid w:val="005E49B4"/>
    <w:rsid w:val="005E49CA"/>
    <w:rsid w:val="005E5062"/>
    <w:rsid w:val="005E5204"/>
    <w:rsid w:val="005E532E"/>
    <w:rsid w:val="005E555F"/>
    <w:rsid w:val="005E5F58"/>
    <w:rsid w:val="005E5FA3"/>
    <w:rsid w:val="005E602C"/>
    <w:rsid w:val="005E634F"/>
    <w:rsid w:val="005E63F9"/>
    <w:rsid w:val="005E651C"/>
    <w:rsid w:val="005E6618"/>
    <w:rsid w:val="005E69BA"/>
    <w:rsid w:val="005E6CBC"/>
    <w:rsid w:val="005E6E5C"/>
    <w:rsid w:val="005E6FD5"/>
    <w:rsid w:val="005E72FF"/>
    <w:rsid w:val="005E73C0"/>
    <w:rsid w:val="005E7430"/>
    <w:rsid w:val="005E7783"/>
    <w:rsid w:val="005E7A31"/>
    <w:rsid w:val="005E7A7B"/>
    <w:rsid w:val="005E7E7C"/>
    <w:rsid w:val="005F05A7"/>
    <w:rsid w:val="005F07C7"/>
    <w:rsid w:val="005F07E1"/>
    <w:rsid w:val="005F0929"/>
    <w:rsid w:val="005F0BC2"/>
    <w:rsid w:val="005F0C3E"/>
    <w:rsid w:val="005F0CE0"/>
    <w:rsid w:val="005F0D50"/>
    <w:rsid w:val="005F0F67"/>
    <w:rsid w:val="005F11E2"/>
    <w:rsid w:val="005F1752"/>
    <w:rsid w:val="005F17D6"/>
    <w:rsid w:val="005F21AB"/>
    <w:rsid w:val="005F2218"/>
    <w:rsid w:val="005F23FB"/>
    <w:rsid w:val="005F2435"/>
    <w:rsid w:val="005F2706"/>
    <w:rsid w:val="005F27C9"/>
    <w:rsid w:val="005F2A04"/>
    <w:rsid w:val="005F2D70"/>
    <w:rsid w:val="005F2ED4"/>
    <w:rsid w:val="005F3041"/>
    <w:rsid w:val="005F3283"/>
    <w:rsid w:val="005F3669"/>
    <w:rsid w:val="005F3922"/>
    <w:rsid w:val="005F4084"/>
    <w:rsid w:val="005F422A"/>
    <w:rsid w:val="005F42C6"/>
    <w:rsid w:val="005F4A95"/>
    <w:rsid w:val="005F4DAC"/>
    <w:rsid w:val="005F517B"/>
    <w:rsid w:val="005F5299"/>
    <w:rsid w:val="005F579E"/>
    <w:rsid w:val="005F5CF6"/>
    <w:rsid w:val="005F5D1B"/>
    <w:rsid w:val="005F6047"/>
    <w:rsid w:val="005F635D"/>
    <w:rsid w:val="005F6844"/>
    <w:rsid w:val="005F69EE"/>
    <w:rsid w:val="005F6A8F"/>
    <w:rsid w:val="005F6AFB"/>
    <w:rsid w:val="005F6BB7"/>
    <w:rsid w:val="005F71F1"/>
    <w:rsid w:val="005F7396"/>
    <w:rsid w:val="005F754B"/>
    <w:rsid w:val="005F7588"/>
    <w:rsid w:val="005F79DA"/>
    <w:rsid w:val="005F7A08"/>
    <w:rsid w:val="005F7A89"/>
    <w:rsid w:val="005F7D12"/>
    <w:rsid w:val="005F7D16"/>
    <w:rsid w:val="00600074"/>
    <w:rsid w:val="00600358"/>
    <w:rsid w:val="00600441"/>
    <w:rsid w:val="00600C01"/>
    <w:rsid w:val="00600DE6"/>
    <w:rsid w:val="00600F8E"/>
    <w:rsid w:val="00600FE6"/>
    <w:rsid w:val="00601003"/>
    <w:rsid w:val="00601084"/>
    <w:rsid w:val="0060179A"/>
    <w:rsid w:val="00601D34"/>
    <w:rsid w:val="00601D9F"/>
    <w:rsid w:val="006022EE"/>
    <w:rsid w:val="006027BB"/>
    <w:rsid w:val="006028FD"/>
    <w:rsid w:val="0060291A"/>
    <w:rsid w:val="00602DCB"/>
    <w:rsid w:val="0060307B"/>
    <w:rsid w:val="00603A2D"/>
    <w:rsid w:val="00603AB1"/>
    <w:rsid w:val="00603AE9"/>
    <w:rsid w:val="00603D87"/>
    <w:rsid w:val="00603DB9"/>
    <w:rsid w:val="0060425B"/>
    <w:rsid w:val="00604464"/>
    <w:rsid w:val="006046AF"/>
    <w:rsid w:val="006047F6"/>
    <w:rsid w:val="00604906"/>
    <w:rsid w:val="00604D4A"/>
    <w:rsid w:val="00604FBA"/>
    <w:rsid w:val="00605240"/>
    <w:rsid w:val="00605323"/>
    <w:rsid w:val="006056CD"/>
    <w:rsid w:val="00605C6B"/>
    <w:rsid w:val="00605EB1"/>
    <w:rsid w:val="0060650A"/>
    <w:rsid w:val="006065F4"/>
    <w:rsid w:val="0060674D"/>
    <w:rsid w:val="00606A81"/>
    <w:rsid w:val="00606CDA"/>
    <w:rsid w:val="00606FBA"/>
    <w:rsid w:val="00607039"/>
    <w:rsid w:val="006071B6"/>
    <w:rsid w:val="00607669"/>
    <w:rsid w:val="006076F4"/>
    <w:rsid w:val="00607AFD"/>
    <w:rsid w:val="00607C50"/>
    <w:rsid w:val="00607D93"/>
    <w:rsid w:val="00607FDE"/>
    <w:rsid w:val="00610213"/>
    <w:rsid w:val="006104A0"/>
    <w:rsid w:val="006109A4"/>
    <w:rsid w:val="00611E2E"/>
    <w:rsid w:val="00611F81"/>
    <w:rsid w:val="00612042"/>
    <w:rsid w:val="006120E5"/>
    <w:rsid w:val="006125F9"/>
    <w:rsid w:val="006126F3"/>
    <w:rsid w:val="00612860"/>
    <w:rsid w:val="00612F97"/>
    <w:rsid w:val="00613195"/>
    <w:rsid w:val="0061345D"/>
    <w:rsid w:val="0061380B"/>
    <w:rsid w:val="00613E68"/>
    <w:rsid w:val="00613E96"/>
    <w:rsid w:val="00613E9F"/>
    <w:rsid w:val="00613F7C"/>
    <w:rsid w:val="0061410B"/>
    <w:rsid w:val="00614765"/>
    <w:rsid w:val="00614B24"/>
    <w:rsid w:val="00614F33"/>
    <w:rsid w:val="00615188"/>
    <w:rsid w:val="00615297"/>
    <w:rsid w:val="0061534F"/>
    <w:rsid w:val="00615375"/>
    <w:rsid w:val="006153AA"/>
    <w:rsid w:val="006153F2"/>
    <w:rsid w:val="0061549B"/>
    <w:rsid w:val="006156F4"/>
    <w:rsid w:val="006158CB"/>
    <w:rsid w:val="00615DC8"/>
    <w:rsid w:val="00615E3C"/>
    <w:rsid w:val="0061603A"/>
    <w:rsid w:val="00616452"/>
    <w:rsid w:val="006164EA"/>
    <w:rsid w:val="006166F1"/>
    <w:rsid w:val="00616802"/>
    <w:rsid w:val="006168E8"/>
    <w:rsid w:val="00616B50"/>
    <w:rsid w:val="00616EE1"/>
    <w:rsid w:val="006173C2"/>
    <w:rsid w:val="00617462"/>
    <w:rsid w:val="006174D6"/>
    <w:rsid w:val="0061750F"/>
    <w:rsid w:val="0061785A"/>
    <w:rsid w:val="00617B14"/>
    <w:rsid w:val="00617E12"/>
    <w:rsid w:val="00617FEC"/>
    <w:rsid w:val="006200F2"/>
    <w:rsid w:val="00620774"/>
    <w:rsid w:val="006208C1"/>
    <w:rsid w:val="00620AF0"/>
    <w:rsid w:val="00620C25"/>
    <w:rsid w:val="00620D49"/>
    <w:rsid w:val="00620E21"/>
    <w:rsid w:val="0062124F"/>
    <w:rsid w:val="00621329"/>
    <w:rsid w:val="00621477"/>
    <w:rsid w:val="006216DF"/>
    <w:rsid w:val="00621ADA"/>
    <w:rsid w:val="00622145"/>
    <w:rsid w:val="00622450"/>
    <w:rsid w:val="0062254E"/>
    <w:rsid w:val="0062269F"/>
    <w:rsid w:val="006227F3"/>
    <w:rsid w:val="006228DC"/>
    <w:rsid w:val="00622CA5"/>
    <w:rsid w:val="006237A7"/>
    <w:rsid w:val="006239B2"/>
    <w:rsid w:val="00623F7B"/>
    <w:rsid w:val="00624624"/>
    <w:rsid w:val="0062467E"/>
    <w:rsid w:val="0062481C"/>
    <w:rsid w:val="006250BF"/>
    <w:rsid w:val="00625146"/>
    <w:rsid w:val="00625273"/>
    <w:rsid w:val="0062534B"/>
    <w:rsid w:val="00625716"/>
    <w:rsid w:val="00625B3B"/>
    <w:rsid w:val="00625FFC"/>
    <w:rsid w:val="006260F7"/>
    <w:rsid w:val="006261F6"/>
    <w:rsid w:val="00626290"/>
    <w:rsid w:val="00626464"/>
    <w:rsid w:val="0062666A"/>
    <w:rsid w:val="006269C9"/>
    <w:rsid w:val="00626D74"/>
    <w:rsid w:val="00626FC7"/>
    <w:rsid w:val="00627511"/>
    <w:rsid w:val="00627AE7"/>
    <w:rsid w:val="00627D9E"/>
    <w:rsid w:val="0063071E"/>
    <w:rsid w:val="00630AD1"/>
    <w:rsid w:val="00630AF5"/>
    <w:rsid w:val="00630DB4"/>
    <w:rsid w:val="00630F35"/>
    <w:rsid w:val="0063101C"/>
    <w:rsid w:val="0063158F"/>
    <w:rsid w:val="0063174E"/>
    <w:rsid w:val="00631D6B"/>
    <w:rsid w:val="006320D2"/>
    <w:rsid w:val="00632183"/>
    <w:rsid w:val="006321C9"/>
    <w:rsid w:val="00632285"/>
    <w:rsid w:val="00632514"/>
    <w:rsid w:val="00632523"/>
    <w:rsid w:val="0063287A"/>
    <w:rsid w:val="006328C5"/>
    <w:rsid w:val="00632A18"/>
    <w:rsid w:val="00632D3E"/>
    <w:rsid w:val="006330A1"/>
    <w:rsid w:val="00633938"/>
    <w:rsid w:val="006339C2"/>
    <w:rsid w:val="00633EC4"/>
    <w:rsid w:val="0063421B"/>
    <w:rsid w:val="006343F6"/>
    <w:rsid w:val="006344D2"/>
    <w:rsid w:val="0063479F"/>
    <w:rsid w:val="0063496E"/>
    <w:rsid w:val="00634982"/>
    <w:rsid w:val="00634AEE"/>
    <w:rsid w:val="00634B6E"/>
    <w:rsid w:val="00634E24"/>
    <w:rsid w:val="00635037"/>
    <w:rsid w:val="0063528E"/>
    <w:rsid w:val="006353F0"/>
    <w:rsid w:val="006354B2"/>
    <w:rsid w:val="00635789"/>
    <w:rsid w:val="006357B5"/>
    <w:rsid w:val="0063591D"/>
    <w:rsid w:val="0063634C"/>
    <w:rsid w:val="006364A1"/>
    <w:rsid w:val="0063678E"/>
    <w:rsid w:val="006367A8"/>
    <w:rsid w:val="006367AF"/>
    <w:rsid w:val="00636A82"/>
    <w:rsid w:val="00636CAF"/>
    <w:rsid w:val="00636D16"/>
    <w:rsid w:val="00636E21"/>
    <w:rsid w:val="006371DF"/>
    <w:rsid w:val="00637237"/>
    <w:rsid w:val="00637427"/>
    <w:rsid w:val="00637A0A"/>
    <w:rsid w:val="00637BFD"/>
    <w:rsid w:val="00637D4B"/>
    <w:rsid w:val="006401E6"/>
    <w:rsid w:val="0064074C"/>
    <w:rsid w:val="0064090E"/>
    <w:rsid w:val="00640E11"/>
    <w:rsid w:val="006411F7"/>
    <w:rsid w:val="00641949"/>
    <w:rsid w:val="00641A44"/>
    <w:rsid w:val="00641C4B"/>
    <w:rsid w:val="00641C4E"/>
    <w:rsid w:val="00641CAC"/>
    <w:rsid w:val="00641E51"/>
    <w:rsid w:val="00641EC8"/>
    <w:rsid w:val="00641F2B"/>
    <w:rsid w:val="00641FB3"/>
    <w:rsid w:val="0064271C"/>
    <w:rsid w:val="0064297C"/>
    <w:rsid w:val="006429A7"/>
    <w:rsid w:val="006429FF"/>
    <w:rsid w:val="00642A75"/>
    <w:rsid w:val="00642EA4"/>
    <w:rsid w:val="00643519"/>
    <w:rsid w:val="006435AE"/>
    <w:rsid w:val="00643752"/>
    <w:rsid w:val="00643F0E"/>
    <w:rsid w:val="0064403A"/>
    <w:rsid w:val="0064434C"/>
    <w:rsid w:val="0064467C"/>
    <w:rsid w:val="00644D29"/>
    <w:rsid w:val="00644E44"/>
    <w:rsid w:val="00644F3B"/>
    <w:rsid w:val="00644F71"/>
    <w:rsid w:val="0064545D"/>
    <w:rsid w:val="00645676"/>
    <w:rsid w:val="006456F3"/>
    <w:rsid w:val="0064571A"/>
    <w:rsid w:val="00645916"/>
    <w:rsid w:val="00645E1C"/>
    <w:rsid w:val="00646851"/>
    <w:rsid w:val="00646ADC"/>
    <w:rsid w:val="00646B4F"/>
    <w:rsid w:val="00646DBC"/>
    <w:rsid w:val="00647037"/>
    <w:rsid w:val="00647103"/>
    <w:rsid w:val="006471CC"/>
    <w:rsid w:val="006475F4"/>
    <w:rsid w:val="00647744"/>
    <w:rsid w:val="00647A29"/>
    <w:rsid w:val="00647C9A"/>
    <w:rsid w:val="00647ED7"/>
    <w:rsid w:val="006503F9"/>
    <w:rsid w:val="0065069E"/>
    <w:rsid w:val="006506BC"/>
    <w:rsid w:val="0065079F"/>
    <w:rsid w:val="00650997"/>
    <w:rsid w:val="006509BC"/>
    <w:rsid w:val="006509D6"/>
    <w:rsid w:val="00650A38"/>
    <w:rsid w:val="00650B0F"/>
    <w:rsid w:val="00650C29"/>
    <w:rsid w:val="00650ED5"/>
    <w:rsid w:val="0065109D"/>
    <w:rsid w:val="00651A2E"/>
    <w:rsid w:val="00651B38"/>
    <w:rsid w:val="00651C5B"/>
    <w:rsid w:val="00651E21"/>
    <w:rsid w:val="00651E8D"/>
    <w:rsid w:val="00651F43"/>
    <w:rsid w:val="006522C9"/>
    <w:rsid w:val="00652326"/>
    <w:rsid w:val="00652416"/>
    <w:rsid w:val="0065281E"/>
    <w:rsid w:val="00652A28"/>
    <w:rsid w:val="00652A75"/>
    <w:rsid w:val="0065345E"/>
    <w:rsid w:val="00653673"/>
    <w:rsid w:val="0065379F"/>
    <w:rsid w:val="00653AF9"/>
    <w:rsid w:val="00653CB3"/>
    <w:rsid w:val="006549A3"/>
    <w:rsid w:val="00654EB7"/>
    <w:rsid w:val="00655249"/>
    <w:rsid w:val="0065565B"/>
    <w:rsid w:val="006559F4"/>
    <w:rsid w:val="00655AD6"/>
    <w:rsid w:val="00655DFB"/>
    <w:rsid w:val="00655F25"/>
    <w:rsid w:val="0065614B"/>
    <w:rsid w:val="00656188"/>
    <w:rsid w:val="006569DC"/>
    <w:rsid w:val="00656FE4"/>
    <w:rsid w:val="0065715A"/>
    <w:rsid w:val="00657193"/>
    <w:rsid w:val="00657443"/>
    <w:rsid w:val="006579EC"/>
    <w:rsid w:val="00660331"/>
    <w:rsid w:val="006606D9"/>
    <w:rsid w:val="00660855"/>
    <w:rsid w:val="00660948"/>
    <w:rsid w:val="006609AA"/>
    <w:rsid w:val="00660E95"/>
    <w:rsid w:val="00660F67"/>
    <w:rsid w:val="00660F6C"/>
    <w:rsid w:val="006610F1"/>
    <w:rsid w:val="006611E4"/>
    <w:rsid w:val="00661557"/>
    <w:rsid w:val="006618CF"/>
    <w:rsid w:val="00661B38"/>
    <w:rsid w:val="00661C6B"/>
    <w:rsid w:val="00661D1A"/>
    <w:rsid w:val="00661E74"/>
    <w:rsid w:val="006620C2"/>
    <w:rsid w:val="00662483"/>
    <w:rsid w:val="00662927"/>
    <w:rsid w:val="00662A8B"/>
    <w:rsid w:val="00662FDF"/>
    <w:rsid w:val="006630E3"/>
    <w:rsid w:val="00663466"/>
    <w:rsid w:val="006635A3"/>
    <w:rsid w:val="006635C1"/>
    <w:rsid w:val="00663933"/>
    <w:rsid w:val="0066444E"/>
    <w:rsid w:val="00664523"/>
    <w:rsid w:val="00664593"/>
    <w:rsid w:val="006645A8"/>
    <w:rsid w:val="00664AA7"/>
    <w:rsid w:val="00664B47"/>
    <w:rsid w:val="00664C22"/>
    <w:rsid w:val="00664C9A"/>
    <w:rsid w:val="00664E41"/>
    <w:rsid w:val="00664E50"/>
    <w:rsid w:val="00664EEC"/>
    <w:rsid w:val="0066500A"/>
    <w:rsid w:val="00665342"/>
    <w:rsid w:val="006655F0"/>
    <w:rsid w:val="006656A3"/>
    <w:rsid w:val="00665841"/>
    <w:rsid w:val="00665C40"/>
    <w:rsid w:val="00665D4F"/>
    <w:rsid w:val="00665D92"/>
    <w:rsid w:val="00665DB6"/>
    <w:rsid w:val="00665F7C"/>
    <w:rsid w:val="00666089"/>
    <w:rsid w:val="00666413"/>
    <w:rsid w:val="006665D3"/>
    <w:rsid w:val="00666D53"/>
    <w:rsid w:val="006670F5"/>
    <w:rsid w:val="006673A0"/>
    <w:rsid w:val="0066760E"/>
    <w:rsid w:val="0067020E"/>
    <w:rsid w:val="00670343"/>
    <w:rsid w:val="006706EF"/>
    <w:rsid w:val="00671004"/>
    <w:rsid w:val="0067109A"/>
    <w:rsid w:val="0067134A"/>
    <w:rsid w:val="0067165A"/>
    <w:rsid w:val="0067199A"/>
    <w:rsid w:val="00671D72"/>
    <w:rsid w:val="00671FBB"/>
    <w:rsid w:val="00672203"/>
    <w:rsid w:val="0067230F"/>
    <w:rsid w:val="00672646"/>
    <w:rsid w:val="00672A03"/>
    <w:rsid w:val="00672B89"/>
    <w:rsid w:val="00672C0A"/>
    <w:rsid w:val="00673529"/>
    <w:rsid w:val="00673909"/>
    <w:rsid w:val="00673A92"/>
    <w:rsid w:val="006743EF"/>
    <w:rsid w:val="00674757"/>
    <w:rsid w:val="0067490D"/>
    <w:rsid w:val="0067499F"/>
    <w:rsid w:val="00674C43"/>
    <w:rsid w:val="00674C52"/>
    <w:rsid w:val="00674E42"/>
    <w:rsid w:val="006752A5"/>
    <w:rsid w:val="0067541B"/>
    <w:rsid w:val="00675537"/>
    <w:rsid w:val="00675652"/>
    <w:rsid w:val="006756BF"/>
    <w:rsid w:val="0067586D"/>
    <w:rsid w:val="00675F28"/>
    <w:rsid w:val="006762E6"/>
    <w:rsid w:val="00676388"/>
    <w:rsid w:val="0067647A"/>
    <w:rsid w:val="006764D1"/>
    <w:rsid w:val="00676509"/>
    <w:rsid w:val="00676720"/>
    <w:rsid w:val="0067685A"/>
    <w:rsid w:val="00676DD8"/>
    <w:rsid w:val="00677068"/>
    <w:rsid w:val="006770EA"/>
    <w:rsid w:val="00677249"/>
    <w:rsid w:val="006773D7"/>
    <w:rsid w:val="00677AE8"/>
    <w:rsid w:val="00677F20"/>
    <w:rsid w:val="00677FE3"/>
    <w:rsid w:val="006802E2"/>
    <w:rsid w:val="006804AD"/>
    <w:rsid w:val="006807F8"/>
    <w:rsid w:val="00680D6A"/>
    <w:rsid w:val="00680DD4"/>
    <w:rsid w:val="00681099"/>
    <w:rsid w:val="006813F8"/>
    <w:rsid w:val="00681476"/>
    <w:rsid w:val="00681AEF"/>
    <w:rsid w:val="00681B73"/>
    <w:rsid w:val="0068208F"/>
    <w:rsid w:val="00682112"/>
    <w:rsid w:val="0068241B"/>
    <w:rsid w:val="0068254D"/>
    <w:rsid w:val="0068255F"/>
    <w:rsid w:val="006826D4"/>
    <w:rsid w:val="00682BA6"/>
    <w:rsid w:val="00682EC2"/>
    <w:rsid w:val="00683358"/>
    <w:rsid w:val="006835A7"/>
    <w:rsid w:val="006850DD"/>
    <w:rsid w:val="0068523E"/>
    <w:rsid w:val="0068530C"/>
    <w:rsid w:val="0068575D"/>
    <w:rsid w:val="00685BB2"/>
    <w:rsid w:val="00685BF4"/>
    <w:rsid w:val="00685D7C"/>
    <w:rsid w:val="00685FE6"/>
    <w:rsid w:val="0068625D"/>
    <w:rsid w:val="00686494"/>
    <w:rsid w:val="00686628"/>
    <w:rsid w:val="00686957"/>
    <w:rsid w:val="00686C66"/>
    <w:rsid w:val="00686D32"/>
    <w:rsid w:val="006872BA"/>
    <w:rsid w:val="00687402"/>
    <w:rsid w:val="00687431"/>
    <w:rsid w:val="00687771"/>
    <w:rsid w:val="00687D97"/>
    <w:rsid w:val="00687FE2"/>
    <w:rsid w:val="00690795"/>
    <w:rsid w:val="006907C8"/>
    <w:rsid w:val="00691648"/>
    <w:rsid w:val="006917D7"/>
    <w:rsid w:val="0069181E"/>
    <w:rsid w:val="00691F49"/>
    <w:rsid w:val="00692632"/>
    <w:rsid w:val="00692774"/>
    <w:rsid w:val="00692C8A"/>
    <w:rsid w:val="00693035"/>
    <w:rsid w:val="0069306E"/>
    <w:rsid w:val="006931AE"/>
    <w:rsid w:val="00693294"/>
    <w:rsid w:val="006939E2"/>
    <w:rsid w:val="0069402C"/>
    <w:rsid w:val="0069434C"/>
    <w:rsid w:val="0069461F"/>
    <w:rsid w:val="00694F44"/>
    <w:rsid w:val="00695247"/>
    <w:rsid w:val="006953BF"/>
    <w:rsid w:val="006954CA"/>
    <w:rsid w:val="006956AA"/>
    <w:rsid w:val="00695B6A"/>
    <w:rsid w:val="00695D98"/>
    <w:rsid w:val="00695DE9"/>
    <w:rsid w:val="00695F26"/>
    <w:rsid w:val="00696049"/>
    <w:rsid w:val="006961CE"/>
    <w:rsid w:val="00696384"/>
    <w:rsid w:val="0069660F"/>
    <w:rsid w:val="00696654"/>
    <w:rsid w:val="00696F51"/>
    <w:rsid w:val="0069721D"/>
    <w:rsid w:val="006978C2"/>
    <w:rsid w:val="006979A5"/>
    <w:rsid w:val="00697B39"/>
    <w:rsid w:val="00697C93"/>
    <w:rsid w:val="00697D16"/>
    <w:rsid w:val="006A050D"/>
    <w:rsid w:val="006A06EC"/>
    <w:rsid w:val="006A085E"/>
    <w:rsid w:val="006A0BCA"/>
    <w:rsid w:val="006A0E98"/>
    <w:rsid w:val="006A144C"/>
    <w:rsid w:val="006A1558"/>
    <w:rsid w:val="006A1635"/>
    <w:rsid w:val="006A16D4"/>
    <w:rsid w:val="006A1893"/>
    <w:rsid w:val="006A1C39"/>
    <w:rsid w:val="006A1C7C"/>
    <w:rsid w:val="006A1EF7"/>
    <w:rsid w:val="006A2465"/>
    <w:rsid w:val="006A2923"/>
    <w:rsid w:val="006A2941"/>
    <w:rsid w:val="006A30D3"/>
    <w:rsid w:val="006A34DF"/>
    <w:rsid w:val="006A34FF"/>
    <w:rsid w:val="006A3781"/>
    <w:rsid w:val="006A3816"/>
    <w:rsid w:val="006A3818"/>
    <w:rsid w:val="006A4C18"/>
    <w:rsid w:val="006A4D64"/>
    <w:rsid w:val="006A55AC"/>
    <w:rsid w:val="006A55B5"/>
    <w:rsid w:val="006A59CF"/>
    <w:rsid w:val="006A5AAF"/>
    <w:rsid w:val="006A5DC5"/>
    <w:rsid w:val="006A5E0E"/>
    <w:rsid w:val="006A664A"/>
    <w:rsid w:val="006A6736"/>
    <w:rsid w:val="006A6B99"/>
    <w:rsid w:val="006A6DE7"/>
    <w:rsid w:val="006A70E5"/>
    <w:rsid w:val="006A72B5"/>
    <w:rsid w:val="006A7312"/>
    <w:rsid w:val="006A741B"/>
    <w:rsid w:val="006A770A"/>
    <w:rsid w:val="006A799A"/>
    <w:rsid w:val="006A7D57"/>
    <w:rsid w:val="006A7DD8"/>
    <w:rsid w:val="006A7E5F"/>
    <w:rsid w:val="006B041C"/>
    <w:rsid w:val="006B0826"/>
    <w:rsid w:val="006B084F"/>
    <w:rsid w:val="006B08AD"/>
    <w:rsid w:val="006B0AE0"/>
    <w:rsid w:val="006B0E15"/>
    <w:rsid w:val="006B0FAD"/>
    <w:rsid w:val="006B1120"/>
    <w:rsid w:val="006B131B"/>
    <w:rsid w:val="006B1583"/>
    <w:rsid w:val="006B18A8"/>
    <w:rsid w:val="006B1C53"/>
    <w:rsid w:val="006B1F58"/>
    <w:rsid w:val="006B1F5C"/>
    <w:rsid w:val="006B2022"/>
    <w:rsid w:val="006B22DD"/>
    <w:rsid w:val="006B2373"/>
    <w:rsid w:val="006B261B"/>
    <w:rsid w:val="006B2C90"/>
    <w:rsid w:val="006B3091"/>
    <w:rsid w:val="006B33E7"/>
    <w:rsid w:val="006B35E6"/>
    <w:rsid w:val="006B36F4"/>
    <w:rsid w:val="006B3AAE"/>
    <w:rsid w:val="006B3AB9"/>
    <w:rsid w:val="006B3B51"/>
    <w:rsid w:val="006B403F"/>
    <w:rsid w:val="006B42BC"/>
    <w:rsid w:val="006B42E8"/>
    <w:rsid w:val="006B45A3"/>
    <w:rsid w:val="006B465A"/>
    <w:rsid w:val="006B46FE"/>
    <w:rsid w:val="006B53BB"/>
    <w:rsid w:val="006B5614"/>
    <w:rsid w:val="006B64AD"/>
    <w:rsid w:val="006B6542"/>
    <w:rsid w:val="006B65BC"/>
    <w:rsid w:val="006B67C9"/>
    <w:rsid w:val="006B6882"/>
    <w:rsid w:val="006B6963"/>
    <w:rsid w:val="006B6DD0"/>
    <w:rsid w:val="006B6DD7"/>
    <w:rsid w:val="006B703C"/>
    <w:rsid w:val="006B7184"/>
    <w:rsid w:val="006B724B"/>
    <w:rsid w:val="006B7269"/>
    <w:rsid w:val="006B72F0"/>
    <w:rsid w:val="006B7766"/>
    <w:rsid w:val="006B7780"/>
    <w:rsid w:val="006B7CD1"/>
    <w:rsid w:val="006C00D4"/>
    <w:rsid w:val="006C0399"/>
    <w:rsid w:val="006C040B"/>
    <w:rsid w:val="006C0593"/>
    <w:rsid w:val="006C0A0C"/>
    <w:rsid w:val="006C0BCA"/>
    <w:rsid w:val="006C0BE9"/>
    <w:rsid w:val="006C0DB7"/>
    <w:rsid w:val="006C1182"/>
    <w:rsid w:val="006C161B"/>
    <w:rsid w:val="006C1789"/>
    <w:rsid w:val="006C1B3C"/>
    <w:rsid w:val="006C1C5C"/>
    <w:rsid w:val="006C2579"/>
    <w:rsid w:val="006C26CD"/>
    <w:rsid w:val="006C2A8E"/>
    <w:rsid w:val="006C2AF4"/>
    <w:rsid w:val="006C3255"/>
    <w:rsid w:val="006C3933"/>
    <w:rsid w:val="006C3EC4"/>
    <w:rsid w:val="006C3F26"/>
    <w:rsid w:val="006C40B5"/>
    <w:rsid w:val="006C4172"/>
    <w:rsid w:val="006C41F5"/>
    <w:rsid w:val="006C4364"/>
    <w:rsid w:val="006C449B"/>
    <w:rsid w:val="006C4B47"/>
    <w:rsid w:val="006C4C22"/>
    <w:rsid w:val="006C4FCF"/>
    <w:rsid w:val="006C501D"/>
    <w:rsid w:val="006C50E4"/>
    <w:rsid w:val="006C5230"/>
    <w:rsid w:val="006C56F4"/>
    <w:rsid w:val="006C581E"/>
    <w:rsid w:val="006C58E3"/>
    <w:rsid w:val="006C59DB"/>
    <w:rsid w:val="006C5BA8"/>
    <w:rsid w:val="006C5C34"/>
    <w:rsid w:val="006C5F4A"/>
    <w:rsid w:val="006C6357"/>
    <w:rsid w:val="006C6527"/>
    <w:rsid w:val="006C6CAA"/>
    <w:rsid w:val="006C6D1D"/>
    <w:rsid w:val="006C7282"/>
    <w:rsid w:val="006C72B4"/>
    <w:rsid w:val="006C7423"/>
    <w:rsid w:val="006C7B02"/>
    <w:rsid w:val="006D0343"/>
    <w:rsid w:val="006D09F2"/>
    <w:rsid w:val="006D0CC7"/>
    <w:rsid w:val="006D0D17"/>
    <w:rsid w:val="006D0E9E"/>
    <w:rsid w:val="006D1044"/>
    <w:rsid w:val="006D1330"/>
    <w:rsid w:val="006D174C"/>
    <w:rsid w:val="006D21B6"/>
    <w:rsid w:val="006D2717"/>
    <w:rsid w:val="006D274D"/>
    <w:rsid w:val="006D2B88"/>
    <w:rsid w:val="006D2D0A"/>
    <w:rsid w:val="006D2D9C"/>
    <w:rsid w:val="006D33BF"/>
    <w:rsid w:val="006D3480"/>
    <w:rsid w:val="006D3AB6"/>
    <w:rsid w:val="006D3C7D"/>
    <w:rsid w:val="006D41FC"/>
    <w:rsid w:val="006D432B"/>
    <w:rsid w:val="006D4453"/>
    <w:rsid w:val="006D4577"/>
    <w:rsid w:val="006D4659"/>
    <w:rsid w:val="006D48AF"/>
    <w:rsid w:val="006D4E31"/>
    <w:rsid w:val="006D4E71"/>
    <w:rsid w:val="006D4F84"/>
    <w:rsid w:val="006D53B2"/>
    <w:rsid w:val="006D5672"/>
    <w:rsid w:val="006D569A"/>
    <w:rsid w:val="006D5849"/>
    <w:rsid w:val="006D58F0"/>
    <w:rsid w:val="006D5BC2"/>
    <w:rsid w:val="006D5D5F"/>
    <w:rsid w:val="006D5D9F"/>
    <w:rsid w:val="006D68FB"/>
    <w:rsid w:val="006D7375"/>
    <w:rsid w:val="006D7578"/>
    <w:rsid w:val="006D76C7"/>
    <w:rsid w:val="006D786E"/>
    <w:rsid w:val="006D7DFB"/>
    <w:rsid w:val="006D7E45"/>
    <w:rsid w:val="006E0118"/>
    <w:rsid w:val="006E01FF"/>
    <w:rsid w:val="006E0523"/>
    <w:rsid w:val="006E0984"/>
    <w:rsid w:val="006E09C1"/>
    <w:rsid w:val="006E0C68"/>
    <w:rsid w:val="006E0F74"/>
    <w:rsid w:val="006E1553"/>
    <w:rsid w:val="006E1783"/>
    <w:rsid w:val="006E1863"/>
    <w:rsid w:val="006E1A8B"/>
    <w:rsid w:val="006E1AAA"/>
    <w:rsid w:val="006E22BE"/>
    <w:rsid w:val="006E259B"/>
    <w:rsid w:val="006E27EB"/>
    <w:rsid w:val="006E2868"/>
    <w:rsid w:val="006E2905"/>
    <w:rsid w:val="006E3213"/>
    <w:rsid w:val="006E33E7"/>
    <w:rsid w:val="006E360A"/>
    <w:rsid w:val="006E360E"/>
    <w:rsid w:val="006E3C7E"/>
    <w:rsid w:val="006E3E1C"/>
    <w:rsid w:val="006E426A"/>
    <w:rsid w:val="006E4F29"/>
    <w:rsid w:val="006E520F"/>
    <w:rsid w:val="006E528C"/>
    <w:rsid w:val="006E59A7"/>
    <w:rsid w:val="006E5BF3"/>
    <w:rsid w:val="006E5F30"/>
    <w:rsid w:val="006E75B2"/>
    <w:rsid w:val="006E766E"/>
    <w:rsid w:val="006E784C"/>
    <w:rsid w:val="006E7DC8"/>
    <w:rsid w:val="006E7E96"/>
    <w:rsid w:val="006E7EB0"/>
    <w:rsid w:val="006F0191"/>
    <w:rsid w:val="006F036F"/>
    <w:rsid w:val="006F0762"/>
    <w:rsid w:val="006F0DBC"/>
    <w:rsid w:val="006F0FDD"/>
    <w:rsid w:val="006F1068"/>
    <w:rsid w:val="006F1605"/>
    <w:rsid w:val="006F17B8"/>
    <w:rsid w:val="006F17FE"/>
    <w:rsid w:val="006F1FAC"/>
    <w:rsid w:val="006F1FC7"/>
    <w:rsid w:val="006F22EC"/>
    <w:rsid w:val="006F232D"/>
    <w:rsid w:val="006F24D0"/>
    <w:rsid w:val="006F2CF3"/>
    <w:rsid w:val="006F306C"/>
    <w:rsid w:val="006F3288"/>
    <w:rsid w:val="006F356A"/>
    <w:rsid w:val="006F363F"/>
    <w:rsid w:val="006F3763"/>
    <w:rsid w:val="006F3877"/>
    <w:rsid w:val="006F397E"/>
    <w:rsid w:val="006F3CB0"/>
    <w:rsid w:val="006F3DD3"/>
    <w:rsid w:val="006F3FB9"/>
    <w:rsid w:val="006F4440"/>
    <w:rsid w:val="006F4954"/>
    <w:rsid w:val="006F4FF4"/>
    <w:rsid w:val="006F51B7"/>
    <w:rsid w:val="006F52CA"/>
    <w:rsid w:val="006F5467"/>
    <w:rsid w:val="006F5527"/>
    <w:rsid w:val="006F5D6C"/>
    <w:rsid w:val="006F6205"/>
    <w:rsid w:val="006F63A5"/>
    <w:rsid w:val="006F693C"/>
    <w:rsid w:val="006F6BAC"/>
    <w:rsid w:val="006F6BB9"/>
    <w:rsid w:val="006F6DC1"/>
    <w:rsid w:val="006F7614"/>
    <w:rsid w:val="006F7787"/>
    <w:rsid w:val="006F7D33"/>
    <w:rsid w:val="006F7D63"/>
    <w:rsid w:val="006F7EBD"/>
    <w:rsid w:val="007000AD"/>
    <w:rsid w:val="007001E7"/>
    <w:rsid w:val="00700215"/>
    <w:rsid w:val="007002B7"/>
    <w:rsid w:val="0070049A"/>
    <w:rsid w:val="00700694"/>
    <w:rsid w:val="00700740"/>
    <w:rsid w:val="00700B2F"/>
    <w:rsid w:val="00700B75"/>
    <w:rsid w:val="00700DF8"/>
    <w:rsid w:val="00701077"/>
    <w:rsid w:val="007010F1"/>
    <w:rsid w:val="007013FE"/>
    <w:rsid w:val="0070142B"/>
    <w:rsid w:val="00701563"/>
    <w:rsid w:val="00701C8B"/>
    <w:rsid w:val="00701D92"/>
    <w:rsid w:val="00701F25"/>
    <w:rsid w:val="007020E3"/>
    <w:rsid w:val="007021E0"/>
    <w:rsid w:val="00702288"/>
    <w:rsid w:val="0070276E"/>
    <w:rsid w:val="007029A2"/>
    <w:rsid w:val="00702AF0"/>
    <w:rsid w:val="00702C3D"/>
    <w:rsid w:val="00702F08"/>
    <w:rsid w:val="00702F8F"/>
    <w:rsid w:val="007030D9"/>
    <w:rsid w:val="0070381E"/>
    <w:rsid w:val="00703850"/>
    <w:rsid w:val="0070393E"/>
    <w:rsid w:val="00703D13"/>
    <w:rsid w:val="00703E37"/>
    <w:rsid w:val="00703FB4"/>
    <w:rsid w:val="00703FD5"/>
    <w:rsid w:val="0070421F"/>
    <w:rsid w:val="0070457A"/>
    <w:rsid w:val="00704696"/>
    <w:rsid w:val="007049B4"/>
    <w:rsid w:val="00704A27"/>
    <w:rsid w:val="00705184"/>
    <w:rsid w:val="0070523E"/>
    <w:rsid w:val="00705428"/>
    <w:rsid w:val="00705466"/>
    <w:rsid w:val="0070555A"/>
    <w:rsid w:val="0070562E"/>
    <w:rsid w:val="007056AC"/>
    <w:rsid w:val="00705A67"/>
    <w:rsid w:val="00706220"/>
    <w:rsid w:val="00706864"/>
    <w:rsid w:val="007069E2"/>
    <w:rsid w:val="00706A64"/>
    <w:rsid w:val="00706B14"/>
    <w:rsid w:val="00706F69"/>
    <w:rsid w:val="00707148"/>
    <w:rsid w:val="00707371"/>
    <w:rsid w:val="007078A8"/>
    <w:rsid w:val="007079FC"/>
    <w:rsid w:val="00707AD0"/>
    <w:rsid w:val="00707B6F"/>
    <w:rsid w:val="00707C65"/>
    <w:rsid w:val="00707D8A"/>
    <w:rsid w:val="007100B5"/>
    <w:rsid w:val="00710261"/>
    <w:rsid w:val="00710285"/>
    <w:rsid w:val="007103F2"/>
    <w:rsid w:val="00710794"/>
    <w:rsid w:val="007107B3"/>
    <w:rsid w:val="00710802"/>
    <w:rsid w:val="00710BEB"/>
    <w:rsid w:val="007110FF"/>
    <w:rsid w:val="00711353"/>
    <w:rsid w:val="00711739"/>
    <w:rsid w:val="00711A36"/>
    <w:rsid w:val="00711EC9"/>
    <w:rsid w:val="00711F6C"/>
    <w:rsid w:val="00712358"/>
    <w:rsid w:val="007123E1"/>
    <w:rsid w:val="007131D4"/>
    <w:rsid w:val="00713445"/>
    <w:rsid w:val="007137DC"/>
    <w:rsid w:val="00713BE7"/>
    <w:rsid w:val="0071401A"/>
    <w:rsid w:val="00714347"/>
    <w:rsid w:val="00714C26"/>
    <w:rsid w:val="00715050"/>
    <w:rsid w:val="00715242"/>
    <w:rsid w:val="0071529C"/>
    <w:rsid w:val="00715374"/>
    <w:rsid w:val="00715948"/>
    <w:rsid w:val="00715C1D"/>
    <w:rsid w:val="007161F9"/>
    <w:rsid w:val="007163D0"/>
    <w:rsid w:val="007164AA"/>
    <w:rsid w:val="00716852"/>
    <w:rsid w:val="007170DA"/>
    <w:rsid w:val="007172AD"/>
    <w:rsid w:val="00717314"/>
    <w:rsid w:val="0071743A"/>
    <w:rsid w:val="007178EE"/>
    <w:rsid w:val="00717A4B"/>
    <w:rsid w:val="00717EBF"/>
    <w:rsid w:val="00717FF6"/>
    <w:rsid w:val="0072023F"/>
    <w:rsid w:val="00720373"/>
    <w:rsid w:val="0072038A"/>
    <w:rsid w:val="007205E5"/>
    <w:rsid w:val="00720661"/>
    <w:rsid w:val="007206B3"/>
    <w:rsid w:val="007207F2"/>
    <w:rsid w:val="00720801"/>
    <w:rsid w:val="00720A51"/>
    <w:rsid w:val="00720B2C"/>
    <w:rsid w:val="00720D71"/>
    <w:rsid w:val="0072118D"/>
    <w:rsid w:val="007212C7"/>
    <w:rsid w:val="00721C75"/>
    <w:rsid w:val="00721D92"/>
    <w:rsid w:val="00721DC0"/>
    <w:rsid w:val="00721DC1"/>
    <w:rsid w:val="00721E3D"/>
    <w:rsid w:val="00721EC8"/>
    <w:rsid w:val="0072211E"/>
    <w:rsid w:val="00722410"/>
    <w:rsid w:val="00722419"/>
    <w:rsid w:val="0072243A"/>
    <w:rsid w:val="00722B1B"/>
    <w:rsid w:val="00722B56"/>
    <w:rsid w:val="007231FF"/>
    <w:rsid w:val="00723213"/>
    <w:rsid w:val="007237AD"/>
    <w:rsid w:val="0072395F"/>
    <w:rsid w:val="007239B5"/>
    <w:rsid w:val="00723FF9"/>
    <w:rsid w:val="0072413F"/>
    <w:rsid w:val="0072416F"/>
    <w:rsid w:val="00724229"/>
    <w:rsid w:val="00724460"/>
    <w:rsid w:val="00724B05"/>
    <w:rsid w:val="00724B11"/>
    <w:rsid w:val="00724B52"/>
    <w:rsid w:val="00724CAF"/>
    <w:rsid w:val="00724FDF"/>
    <w:rsid w:val="00725032"/>
    <w:rsid w:val="007255CE"/>
    <w:rsid w:val="007257C5"/>
    <w:rsid w:val="00725984"/>
    <w:rsid w:val="00725A99"/>
    <w:rsid w:val="00725BD7"/>
    <w:rsid w:val="0072624E"/>
    <w:rsid w:val="00726DBA"/>
    <w:rsid w:val="007271C2"/>
    <w:rsid w:val="007272A8"/>
    <w:rsid w:val="0072732E"/>
    <w:rsid w:val="0072761E"/>
    <w:rsid w:val="00727A4F"/>
    <w:rsid w:val="00727C94"/>
    <w:rsid w:val="00730114"/>
    <w:rsid w:val="00730238"/>
    <w:rsid w:val="00730551"/>
    <w:rsid w:val="00731048"/>
    <w:rsid w:val="007315F1"/>
    <w:rsid w:val="00731B0A"/>
    <w:rsid w:val="00731EAE"/>
    <w:rsid w:val="00732219"/>
    <w:rsid w:val="00732305"/>
    <w:rsid w:val="00732390"/>
    <w:rsid w:val="0073266E"/>
    <w:rsid w:val="007326C2"/>
    <w:rsid w:val="00732981"/>
    <w:rsid w:val="007329E0"/>
    <w:rsid w:val="00732B52"/>
    <w:rsid w:val="00732DA0"/>
    <w:rsid w:val="00732E1A"/>
    <w:rsid w:val="00733073"/>
    <w:rsid w:val="00733C40"/>
    <w:rsid w:val="00733D0D"/>
    <w:rsid w:val="00733F52"/>
    <w:rsid w:val="007342B8"/>
    <w:rsid w:val="007345F7"/>
    <w:rsid w:val="0073492C"/>
    <w:rsid w:val="007349C7"/>
    <w:rsid w:val="00734D5A"/>
    <w:rsid w:val="00734F17"/>
    <w:rsid w:val="00734F2A"/>
    <w:rsid w:val="00735033"/>
    <w:rsid w:val="007350BF"/>
    <w:rsid w:val="00735328"/>
    <w:rsid w:val="007355CA"/>
    <w:rsid w:val="00735C7B"/>
    <w:rsid w:val="007367BA"/>
    <w:rsid w:val="0073685B"/>
    <w:rsid w:val="00736B0F"/>
    <w:rsid w:val="00736EAE"/>
    <w:rsid w:val="00736EBC"/>
    <w:rsid w:val="00737040"/>
    <w:rsid w:val="00737283"/>
    <w:rsid w:val="0073737C"/>
    <w:rsid w:val="007374FA"/>
    <w:rsid w:val="007377EE"/>
    <w:rsid w:val="00737B84"/>
    <w:rsid w:val="00737C4B"/>
    <w:rsid w:val="00737D25"/>
    <w:rsid w:val="00737D84"/>
    <w:rsid w:val="00737E74"/>
    <w:rsid w:val="00737EE8"/>
    <w:rsid w:val="00737F35"/>
    <w:rsid w:val="0074036A"/>
    <w:rsid w:val="007406B6"/>
    <w:rsid w:val="00740CA2"/>
    <w:rsid w:val="00740FE0"/>
    <w:rsid w:val="0074186C"/>
    <w:rsid w:val="007418CB"/>
    <w:rsid w:val="00741D4F"/>
    <w:rsid w:val="00741DC9"/>
    <w:rsid w:val="00741F35"/>
    <w:rsid w:val="0074212B"/>
    <w:rsid w:val="00742757"/>
    <w:rsid w:val="007428D1"/>
    <w:rsid w:val="007428E8"/>
    <w:rsid w:val="00742D20"/>
    <w:rsid w:val="0074330A"/>
    <w:rsid w:val="007435BB"/>
    <w:rsid w:val="00743654"/>
    <w:rsid w:val="00744057"/>
    <w:rsid w:val="0074461C"/>
    <w:rsid w:val="007447F3"/>
    <w:rsid w:val="007449BF"/>
    <w:rsid w:val="00744EC3"/>
    <w:rsid w:val="00745428"/>
    <w:rsid w:val="007455FF"/>
    <w:rsid w:val="00745780"/>
    <w:rsid w:val="007457C7"/>
    <w:rsid w:val="00745877"/>
    <w:rsid w:val="007458A8"/>
    <w:rsid w:val="00745C7A"/>
    <w:rsid w:val="00745D4C"/>
    <w:rsid w:val="00745D85"/>
    <w:rsid w:val="00745EC2"/>
    <w:rsid w:val="0074609F"/>
    <w:rsid w:val="007460C5"/>
    <w:rsid w:val="007461BA"/>
    <w:rsid w:val="00746B79"/>
    <w:rsid w:val="00746BC0"/>
    <w:rsid w:val="00746CAD"/>
    <w:rsid w:val="0074700F"/>
    <w:rsid w:val="0074709D"/>
    <w:rsid w:val="00747283"/>
    <w:rsid w:val="007473CB"/>
    <w:rsid w:val="00747409"/>
    <w:rsid w:val="00747757"/>
    <w:rsid w:val="007477E3"/>
    <w:rsid w:val="00747816"/>
    <w:rsid w:val="007478BD"/>
    <w:rsid w:val="007479C7"/>
    <w:rsid w:val="00747C62"/>
    <w:rsid w:val="00747D40"/>
    <w:rsid w:val="00747F0C"/>
    <w:rsid w:val="00747FE4"/>
    <w:rsid w:val="007500DA"/>
    <w:rsid w:val="00750509"/>
    <w:rsid w:val="0075075E"/>
    <w:rsid w:val="0075076E"/>
    <w:rsid w:val="00750E81"/>
    <w:rsid w:val="00750F1F"/>
    <w:rsid w:val="00750F44"/>
    <w:rsid w:val="007510B4"/>
    <w:rsid w:val="00751289"/>
    <w:rsid w:val="0075163C"/>
    <w:rsid w:val="00751A60"/>
    <w:rsid w:val="00751C23"/>
    <w:rsid w:val="00752034"/>
    <w:rsid w:val="0075203E"/>
    <w:rsid w:val="00752053"/>
    <w:rsid w:val="00752142"/>
    <w:rsid w:val="007523F9"/>
    <w:rsid w:val="007526B5"/>
    <w:rsid w:val="0075284F"/>
    <w:rsid w:val="007529E7"/>
    <w:rsid w:val="00752FD7"/>
    <w:rsid w:val="007533C4"/>
    <w:rsid w:val="0075344E"/>
    <w:rsid w:val="0075357E"/>
    <w:rsid w:val="00753C3F"/>
    <w:rsid w:val="00753CD7"/>
    <w:rsid w:val="00753E5F"/>
    <w:rsid w:val="00753EF2"/>
    <w:rsid w:val="00754B39"/>
    <w:rsid w:val="00754D18"/>
    <w:rsid w:val="00754D4C"/>
    <w:rsid w:val="00755152"/>
    <w:rsid w:val="00755588"/>
    <w:rsid w:val="007556AE"/>
    <w:rsid w:val="00755B1D"/>
    <w:rsid w:val="00755E06"/>
    <w:rsid w:val="00756360"/>
    <w:rsid w:val="00756376"/>
    <w:rsid w:val="0075678E"/>
    <w:rsid w:val="00756EE0"/>
    <w:rsid w:val="007573E8"/>
    <w:rsid w:val="00757414"/>
    <w:rsid w:val="00757581"/>
    <w:rsid w:val="007577BE"/>
    <w:rsid w:val="00757BE5"/>
    <w:rsid w:val="00757E8D"/>
    <w:rsid w:val="00757FA2"/>
    <w:rsid w:val="007602B4"/>
    <w:rsid w:val="007602B5"/>
    <w:rsid w:val="007605D2"/>
    <w:rsid w:val="00760C4E"/>
    <w:rsid w:val="00760F45"/>
    <w:rsid w:val="00760F9E"/>
    <w:rsid w:val="0076132E"/>
    <w:rsid w:val="0076177B"/>
    <w:rsid w:val="00761A87"/>
    <w:rsid w:val="00762396"/>
    <w:rsid w:val="007627BE"/>
    <w:rsid w:val="00762AA0"/>
    <w:rsid w:val="00762DE8"/>
    <w:rsid w:val="00762E2E"/>
    <w:rsid w:val="007633FB"/>
    <w:rsid w:val="007640BA"/>
    <w:rsid w:val="00764113"/>
    <w:rsid w:val="007647CA"/>
    <w:rsid w:val="007649CF"/>
    <w:rsid w:val="00764D72"/>
    <w:rsid w:val="00764F03"/>
    <w:rsid w:val="00765B1A"/>
    <w:rsid w:val="00765BFF"/>
    <w:rsid w:val="00765DF7"/>
    <w:rsid w:val="0076644D"/>
    <w:rsid w:val="007666B7"/>
    <w:rsid w:val="00766852"/>
    <w:rsid w:val="007669BF"/>
    <w:rsid w:val="00766ABB"/>
    <w:rsid w:val="00766CA9"/>
    <w:rsid w:val="00767332"/>
    <w:rsid w:val="00767354"/>
    <w:rsid w:val="007678FD"/>
    <w:rsid w:val="0076792F"/>
    <w:rsid w:val="0076798A"/>
    <w:rsid w:val="00770011"/>
    <w:rsid w:val="007701E5"/>
    <w:rsid w:val="00770262"/>
    <w:rsid w:val="00770283"/>
    <w:rsid w:val="00770286"/>
    <w:rsid w:val="00770385"/>
    <w:rsid w:val="00770A1A"/>
    <w:rsid w:val="00771A6C"/>
    <w:rsid w:val="00771A8C"/>
    <w:rsid w:val="00772109"/>
    <w:rsid w:val="007725B7"/>
    <w:rsid w:val="007726D7"/>
    <w:rsid w:val="0077280C"/>
    <w:rsid w:val="007728CB"/>
    <w:rsid w:val="00772A6E"/>
    <w:rsid w:val="00772C0E"/>
    <w:rsid w:val="00772C28"/>
    <w:rsid w:val="00772E30"/>
    <w:rsid w:val="0077307D"/>
    <w:rsid w:val="00773147"/>
    <w:rsid w:val="0077385A"/>
    <w:rsid w:val="0077392C"/>
    <w:rsid w:val="00773A8A"/>
    <w:rsid w:val="00773AD3"/>
    <w:rsid w:val="00773AD8"/>
    <w:rsid w:val="00773E10"/>
    <w:rsid w:val="00774108"/>
    <w:rsid w:val="00774122"/>
    <w:rsid w:val="00774190"/>
    <w:rsid w:val="007743E6"/>
    <w:rsid w:val="007748D3"/>
    <w:rsid w:val="00774A75"/>
    <w:rsid w:val="00774B4E"/>
    <w:rsid w:val="0077551D"/>
    <w:rsid w:val="0077599D"/>
    <w:rsid w:val="00775E68"/>
    <w:rsid w:val="00776019"/>
    <w:rsid w:val="00776073"/>
    <w:rsid w:val="0077608D"/>
    <w:rsid w:val="0077624A"/>
    <w:rsid w:val="007765D1"/>
    <w:rsid w:val="00776626"/>
    <w:rsid w:val="00776B8B"/>
    <w:rsid w:val="00777220"/>
    <w:rsid w:val="00777335"/>
    <w:rsid w:val="007775BD"/>
    <w:rsid w:val="0078008C"/>
    <w:rsid w:val="00780196"/>
    <w:rsid w:val="007801EF"/>
    <w:rsid w:val="00780352"/>
    <w:rsid w:val="00780741"/>
    <w:rsid w:val="0078081C"/>
    <w:rsid w:val="00780840"/>
    <w:rsid w:val="00780B60"/>
    <w:rsid w:val="007819C3"/>
    <w:rsid w:val="00781E76"/>
    <w:rsid w:val="007820F1"/>
    <w:rsid w:val="00782D80"/>
    <w:rsid w:val="007831CE"/>
    <w:rsid w:val="0078387B"/>
    <w:rsid w:val="00783998"/>
    <w:rsid w:val="00783E00"/>
    <w:rsid w:val="00783F19"/>
    <w:rsid w:val="007843F2"/>
    <w:rsid w:val="0078454E"/>
    <w:rsid w:val="007846A7"/>
    <w:rsid w:val="00784886"/>
    <w:rsid w:val="00784B90"/>
    <w:rsid w:val="00784C49"/>
    <w:rsid w:val="00785126"/>
    <w:rsid w:val="00785232"/>
    <w:rsid w:val="007855D0"/>
    <w:rsid w:val="00785858"/>
    <w:rsid w:val="0078585D"/>
    <w:rsid w:val="00785A9F"/>
    <w:rsid w:val="00785B4D"/>
    <w:rsid w:val="00786050"/>
    <w:rsid w:val="00786350"/>
    <w:rsid w:val="0078638C"/>
    <w:rsid w:val="007864E0"/>
    <w:rsid w:val="007864FC"/>
    <w:rsid w:val="0078675C"/>
    <w:rsid w:val="0078685A"/>
    <w:rsid w:val="00786E4E"/>
    <w:rsid w:val="007872CA"/>
    <w:rsid w:val="00787721"/>
    <w:rsid w:val="0078783F"/>
    <w:rsid w:val="00787A4E"/>
    <w:rsid w:val="00787D7A"/>
    <w:rsid w:val="00787ECA"/>
    <w:rsid w:val="00787FF2"/>
    <w:rsid w:val="007901CA"/>
    <w:rsid w:val="00790625"/>
    <w:rsid w:val="00790791"/>
    <w:rsid w:val="00790F0D"/>
    <w:rsid w:val="007915DC"/>
    <w:rsid w:val="00791904"/>
    <w:rsid w:val="007919CE"/>
    <w:rsid w:val="00791B7D"/>
    <w:rsid w:val="00791F41"/>
    <w:rsid w:val="0079205C"/>
    <w:rsid w:val="007925DF"/>
    <w:rsid w:val="00792606"/>
    <w:rsid w:val="00792726"/>
    <w:rsid w:val="007928F7"/>
    <w:rsid w:val="00792A4D"/>
    <w:rsid w:val="007933BA"/>
    <w:rsid w:val="00793D42"/>
    <w:rsid w:val="00794166"/>
    <w:rsid w:val="0079453F"/>
    <w:rsid w:val="0079483A"/>
    <w:rsid w:val="007949D7"/>
    <w:rsid w:val="00794AB5"/>
    <w:rsid w:val="00794B1A"/>
    <w:rsid w:val="00794E18"/>
    <w:rsid w:val="00795442"/>
    <w:rsid w:val="0079573E"/>
    <w:rsid w:val="00795AF9"/>
    <w:rsid w:val="00795C2F"/>
    <w:rsid w:val="00795FBB"/>
    <w:rsid w:val="0079667C"/>
    <w:rsid w:val="00796758"/>
    <w:rsid w:val="00796992"/>
    <w:rsid w:val="00796E79"/>
    <w:rsid w:val="0079727F"/>
    <w:rsid w:val="00797417"/>
    <w:rsid w:val="007979DF"/>
    <w:rsid w:val="00797F53"/>
    <w:rsid w:val="007A08AA"/>
    <w:rsid w:val="007A0A12"/>
    <w:rsid w:val="007A1128"/>
    <w:rsid w:val="007A1171"/>
    <w:rsid w:val="007A12EB"/>
    <w:rsid w:val="007A132D"/>
    <w:rsid w:val="007A1345"/>
    <w:rsid w:val="007A16BD"/>
    <w:rsid w:val="007A172A"/>
    <w:rsid w:val="007A186A"/>
    <w:rsid w:val="007A1901"/>
    <w:rsid w:val="007A1F45"/>
    <w:rsid w:val="007A205B"/>
    <w:rsid w:val="007A20BA"/>
    <w:rsid w:val="007A2126"/>
    <w:rsid w:val="007A236B"/>
    <w:rsid w:val="007A24B5"/>
    <w:rsid w:val="007A25A8"/>
    <w:rsid w:val="007A29CA"/>
    <w:rsid w:val="007A2AF8"/>
    <w:rsid w:val="007A2DDB"/>
    <w:rsid w:val="007A2E46"/>
    <w:rsid w:val="007A2EE9"/>
    <w:rsid w:val="007A3015"/>
    <w:rsid w:val="007A3448"/>
    <w:rsid w:val="007A3668"/>
    <w:rsid w:val="007A3863"/>
    <w:rsid w:val="007A39C8"/>
    <w:rsid w:val="007A3B5D"/>
    <w:rsid w:val="007A3BEC"/>
    <w:rsid w:val="007A41F5"/>
    <w:rsid w:val="007A44D7"/>
    <w:rsid w:val="007A45D4"/>
    <w:rsid w:val="007A4886"/>
    <w:rsid w:val="007A49EF"/>
    <w:rsid w:val="007A4AF9"/>
    <w:rsid w:val="007A4F11"/>
    <w:rsid w:val="007A50F8"/>
    <w:rsid w:val="007A5272"/>
    <w:rsid w:val="007A5425"/>
    <w:rsid w:val="007A6267"/>
    <w:rsid w:val="007A642B"/>
    <w:rsid w:val="007A64BE"/>
    <w:rsid w:val="007A6755"/>
    <w:rsid w:val="007A69F5"/>
    <w:rsid w:val="007A6B16"/>
    <w:rsid w:val="007A701A"/>
    <w:rsid w:val="007A70BA"/>
    <w:rsid w:val="007A737B"/>
    <w:rsid w:val="007A7474"/>
    <w:rsid w:val="007A7534"/>
    <w:rsid w:val="007A79E0"/>
    <w:rsid w:val="007A7A69"/>
    <w:rsid w:val="007A7B8D"/>
    <w:rsid w:val="007A7D99"/>
    <w:rsid w:val="007A7F0E"/>
    <w:rsid w:val="007A7FF0"/>
    <w:rsid w:val="007B021B"/>
    <w:rsid w:val="007B06D6"/>
    <w:rsid w:val="007B0A59"/>
    <w:rsid w:val="007B0BA3"/>
    <w:rsid w:val="007B0D68"/>
    <w:rsid w:val="007B11FF"/>
    <w:rsid w:val="007B12C5"/>
    <w:rsid w:val="007B1578"/>
    <w:rsid w:val="007B1896"/>
    <w:rsid w:val="007B1ABE"/>
    <w:rsid w:val="007B1DED"/>
    <w:rsid w:val="007B21EB"/>
    <w:rsid w:val="007B22B7"/>
    <w:rsid w:val="007B251D"/>
    <w:rsid w:val="007B2687"/>
    <w:rsid w:val="007B2891"/>
    <w:rsid w:val="007B2AC3"/>
    <w:rsid w:val="007B2ACA"/>
    <w:rsid w:val="007B2D9E"/>
    <w:rsid w:val="007B3181"/>
    <w:rsid w:val="007B3367"/>
    <w:rsid w:val="007B338A"/>
    <w:rsid w:val="007B35E5"/>
    <w:rsid w:val="007B3682"/>
    <w:rsid w:val="007B38E0"/>
    <w:rsid w:val="007B3A2C"/>
    <w:rsid w:val="007B3FC5"/>
    <w:rsid w:val="007B40E9"/>
    <w:rsid w:val="007B4578"/>
    <w:rsid w:val="007B4818"/>
    <w:rsid w:val="007B4854"/>
    <w:rsid w:val="007B4B99"/>
    <w:rsid w:val="007B4F58"/>
    <w:rsid w:val="007B50D3"/>
    <w:rsid w:val="007B528D"/>
    <w:rsid w:val="007B5369"/>
    <w:rsid w:val="007B5A23"/>
    <w:rsid w:val="007B5A68"/>
    <w:rsid w:val="007B5B4A"/>
    <w:rsid w:val="007B5DF4"/>
    <w:rsid w:val="007B60D9"/>
    <w:rsid w:val="007B612B"/>
    <w:rsid w:val="007B6396"/>
    <w:rsid w:val="007B63CA"/>
    <w:rsid w:val="007B66CB"/>
    <w:rsid w:val="007B66FD"/>
    <w:rsid w:val="007B673F"/>
    <w:rsid w:val="007B6B1B"/>
    <w:rsid w:val="007B6BE0"/>
    <w:rsid w:val="007B7005"/>
    <w:rsid w:val="007B7065"/>
    <w:rsid w:val="007B774F"/>
    <w:rsid w:val="007B77D1"/>
    <w:rsid w:val="007C0648"/>
    <w:rsid w:val="007C07C7"/>
    <w:rsid w:val="007C0A75"/>
    <w:rsid w:val="007C1C4C"/>
    <w:rsid w:val="007C1CD9"/>
    <w:rsid w:val="007C1EE4"/>
    <w:rsid w:val="007C246B"/>
    <w:rsid w:val="007C3180"/>
    <w:rsid w:val="007C32C6"/>
    <w:rsid w:val="007C32EF"/>
    <w:rsid w:val="007C3389"/>
    <w:rsid w:val="007C361D"/>
    <w:rsid w:val="007C3723"/>
    <w:rsid w:val="007C3839"/>
    <w:rsid w:val="007C3AFB"/>
    <w:rsid w:val="007C3ED1"/>
    <w:rsid w:val="007C3FD6"/>
    <w:rsid w:val="007C4012"/>
    <w:rsid w:val="007C4013"/>
    <w:rsid w:val="007C40A3"/>
    <w:rsid w:val="007C410D"/>
    <w:rsid w:val="007C4113"/>
    <w:rsid w:val="007C42AF"/>
    <w:rsid w:val="007C4517"/>
    <w:rsid w:val="007C4B81"/>
    <w:rsid w:val="007C4B84"/>
    <w:rsid w:val="007C4DC8"/>
    <w:rsid w:val="007C4E22"/>
    <w:rsid w:val="007C4F1C"/>
    <w:rsid w:val="007C500B"/>
    <w:rsid w:val="007C5E39"/>
    <w:rsid w:val="007C5FD7"/>
    <w:rsid w:val="007C6124"/>
    <w:rsid w:val="007C63E2"/>
    <w:rsid w:val="007C681D"/>
    <w:rsid w:val="007C6ADF"/>
    <w:rsid w:val="007C6CC6"/>
    <w:rsid w:val="007C70FF"/>
    <w:rsid w:val="007C7C25"/>
    <w:rsid w:val="007C7C7F"/>
    <w:rsid w:val="007C7F93"/>
    <w:rsid w:val="007D004F"/>
    <w:rsid w:val="007D05FB"/>
    <w:rsid w:val="007D0613"/>
    <w:rsid w:val="007D09F3"/>
    <w:rsid w:val="007D0B38"/>
    <w:rsid w:val="007D0B8F"/>
    <w:rsid w:val="007D1179"/>
    <w:rsid w:val="007D1844"/>
    <w:rsid w:val="007D19C6"/>
    <w:rsid w:val="007D2177"/>
    <w:rsid w:val="007D2188"/>
    <w:rsid w:val="007D2238"/>
    <w:rsid w:val="007D227F"/>
    <w:rsid w:val="007D2A89"/>
    <w:rsid w:val="007D2AFC"/>
    <w:rsid w:val="007D2B13"/>
    <w:rsid w:val="007D2FA6"/>
    <w:rsid w:val="007D339D"/>
    <w:rsid w:val="007D342A"/>
    <w:rsid w:val="007D3A85"/>
    <w:rsid w:val="007D3D03"/>
    <w:rsid w:val="007D3DD8"/>
    <w:rsid w:val="007D4465"/>
    <w:rsid w:val="007D4EC6"/>
    <w:rsid w:val="007D4FEE"/>
    <w:rsid w:val="007D5440"/>
    <w:rsid w:val="007D567E"/>
    <w:rsid w:val="007D5854"/>
    <w:rsid w:val="007D5C53"/>
    <w:rsid w:val="007D62C7"/>
    <w:rsid w:val="007D6999"/>
    <w:rsid w:val="007D69E6"/>
    <w:rsid w:val="007D69EB"/>
    <w:rsid w:val="007D6A8C"/>
    <w:rsid w:val="007D6C18"/>
    <w:rsid w:val="007D6F98"/>
    <w:rsid w:val="007D75AC"/>
    <w:rsid w:val="007D7611"/>
    <w:rsid w:val="007D7A11"/>
    <w:rsid w:val="007D7C8C"/>
    <w:rsid w:val="007D7F89"/>
    <w:rsid w:val="007E0182"/>
    <w:rsid w:val="007E0449"/>
    <w:rsid w:val="007E0609"/>
    <w:rsid w:val="007E0851"/>
    <w:rsid w:val="007E0A66"/>
    <w:rsid w:val="007E0CE0"/>
    <w:rsid w:val="007E0ECA"/>
    <w:rsid w:val="007E128F"/>
    <w:rsid w:val="007E13AD"/>
    <w:rsid w:val="007E18AF"/>
    <w:rsid w:val="007E1A26"/>
    <w:rsid w:val="007E1A61"/>
    <w:rsid w:val="007E228A"/>
    <w:rsid w:val="007E25CE"/>
    <w:rsid w:val="007E295E"/>
    <w:rsid w:val="007E2B51"/>
    <w:rsid w:val="007E2E23"/>
    <w:rsid w:val="007E2F5C"/>
    <w:rsid w:val="007E30A6"/>
    <w:rsid w:val="007E35E0"/>
    <w:rsid w:val="007E36AE"/>
    <w:rsid w:val="007E39E1"/>
    <w:rsid w:val="007E3AD9"/>
    <w:rsid w:val="007E3F0A"/>
    <w:rsid w:val="007E40D2"/>
    <w:rsid w:val="007E4180"/>
    <w:rsid w:val="007E42E0"/>
    <w:rsid w:val="007E46AD"/>
    <w:rsid w:val="007E4849"/>
    <w:rsid w:val="007E4A0F"/>
    <w:rsid w:val="007E4E14"/>
    <w:rsid w:val="007E5143"/>
    <w:rsid w:val="007E51A8"/>
    <w:rsid w:val="007E546D"/>
    <w:rsid w:val="007E5910"/>
    <w:rsid w:val="007E5A60"/>
    <w:rsid w:val="007E6231"/>
    <w:rsid w:val="007E6346"/>
    <w:rsid w:val="007E6B40"/>
    <w:rsid w:val="007E6FE7"/>
    <w:rsid w:val="007E723B"/>
    <w:rsid w:val="007E764F"/>
    <w:rsid w:val="007E7819"/>
    <w:rsid w:val="007E79E6"/>
    <w:rsid w:val="007E7A30"/>
    <w:rsid w:val="007E7C1C"/>
    <w:rsid w:val="007E7EC0"/>
    <w:rsid w:val="007F05AB"/>
    <w:rsid w:val="007F07B7"/>
    <w:rsid w:val="007F0833"/>
    <w:rsid w:val="007F08EB"/>
    <w:rsid w:val="007F0B31"/>
    <w:rsid w:val="007F0C77"/>
    <w:rsid w:val="007F1017"/>
    <w:rsid w:val="007F108F"/>
    <w:rsid w:val="007F1AFD"/>
    <w:rsid w:val="007F1DD8"/>
    <w:rsid w:val="007F1F2C"/>
    <w:rsid w:val="007F2231"/>
    <w:rsid w:val="007F2531"/>
    <w:rsid w:val="007F26A2"/>
    <w:rsid w:val="007F2E62"/>
    <w:rsid w:val="007F30C0"/>
    <w:rsid w:val="007F3155"/>
    <w:rsid w:val="007F33A1"/>
    <w:rsid w:val="007F37E5"/>
    <w:rsid w:val="007F3B31"/>
    <w:rsid w:val="007F426E"/>
    <w:rsid w:val="007F49C4"/>
    <w:rsid w:val="007F4A1F"/>
    <w:rsid w:val="007F4A3F"/>
    <w:rsid w:val="007F4A61"/>
    <w:rsid w:val="007F4C68"/>
    <w:rsid w:val="007F4CAC"/>
    <w:rsid w:val="007F4F9D"/>
    <w:rsid w:val="007F5220"/>
    <w:rsid w:val="007F5255"/>
    <w:rsid w:val="007F56CC"/>
    <w:rsid w:val="007F5FBB"/>
    <w:rsid w:val="007F61BE"/>
    <w:rsid w:val="007F61C2"/>
    <w:rsid w:val="007F6217"/>
    <w:rsid w:val="007F6908"/>
    <w:rsid w:val="007F69A0"/>
    <w:rsid w:val="007F6D0C"/>
    <w:rsid w:val="007F6DCA"/>
    <w:rsid w:val="007F7450"/>
    <w:rsid w:val="007F746C"/>
    <w:rsid w:val="007F7671"/>
    <w:rsid w:val="007F77DE"/>
    <w:rsid w:val="0080098F"/>
    <w:rsid w:val="00800C00"/>
    <w:rsid w:val="00800F51"/>
    <w:rsid w:val="0080194D"/>
    <w:rsid w:val="008019BB"/>
    <w:rsid w:val="00801E43"/>
    <w:rsid w:val="00801F6A"/>
    <w:rsid w:val="00802D4E"/>
    <w:rsid w:val="00802E6D"/>
    <w:rsid w:val="00802EB5"/>
    <w:rsid w:val="008030E0"/>
    <w:rsid w:val="008032A3"/>
    <w:rsid w:val="00803572"/>
    <w:rsid w:val="008036D4"/>
    <w:rsid w:val="0080380D"/>
    <w:rsid w:val="00803B01"/>
    <w:rsid w:val="00803D05"/>
    <w:rsid w:val="00803E19"/>
    <w:rsid w:val="00804100"/>
    <w:rsid w:val="0080410C"/>
    <w:rsid w:val="0080419F"/>
    <w:rsid w:val="00804220"/>
    <w:rsid w:val="008044B1"/>
    <w:rsid w:val="00804513"/>
    <w:rsid w:val="00804774"/>
    <w:rsid w:val="00804784"/>
    <w:rsid w:val="008047FD"/>
    <w:rsid w:val="008049C0"/>
    <w:rsid w:val="00804A93"/>
    <w:rsid w:val="00804F04"/>
    <w:rsid w:val="00805142"/>
    <w:rsid w:val="008053A1"/>
    <w:rsid w:val="00805400"/>
    <w:rsid w:val="008055CA"/>
    <w:rsid w:val="00805CAD"/>
    <w:rsid w:val="00805FCE"/>
    <w:rsid w:val="00806363"/>
    <w:rsid w:val="0080656A"/>
    <w:rsid w:val="008067BD"/>
    <w:rsid w:val="00806E95"/>
    <w:rsid w:val="00807A8B"/>
    <w:rsid w:val="00807AE5"/>
    <w:rsid w:val="00807CE3"/>
    <w:rsid w:val="00810600"/>
    <w:rsid w:val="008106BC"/>
    <w:rsid w:val="00810C29"/>
    <w:rsid w:val="0081126A"/>
    <w:rsid w:val="00811383"/>
    <w:rsid w:val="00811D33"/>
    <w:rsid w:val="00812149"/>
    <w:rsid w:val="00812236"/>
    <w:rsid w:val="00812CAC"/>
    <w:rsid w:val="0081303E"/>
    <w:rsid w:val="0081317F"/>
    <w:rsid w:val="008131AC"/>
    <w:rsid w:val="008138D6"/>
    <w:rsid w:val="00813F79"/>
    <w:rsid w:val="00813F82"/>
    <w:rsid w:val="0081423E"/>
    <w:rsid w:val="008143D9"/>
    <w:rsid w:val="00814BAE"/>
    <w:rsid w:val="00814D38"/>
    <w:rsid w:val="00814FB3"/>
    <w:rsid w:val="00814FE4"/>
    <w:rsid w:val="008152BA"/>
    <w:rsid w:val="008152C0"/>
    <w:rsid w:val="00815388"/>
    <w:rsid w:val="00815A6F"/>
    <w:rsid w:val="00816250"/>
    <w:rsid w:val="00816361"/>
    <w:rsid w:val="008166EF"/>
    <w:rsid w:val="00816731"/>
    <w:rsid w:val="008167B8"/>
    <w:rsid w:val="00816C22"/>
    <w:rsid w:val="00816DA6"/>
    <w:rsid w:val="00816E3D"/>
    <w:rsid w:val="00816EEA"/>
    <w:rsid w:val="00816FEF"/>
    <w:rsid w:val="0081737A"/>
    <w:rsid w:val="008173AE"/>
    <w:rsid w:val="008173EF"/>
    <w:rsid w:val="008174BB"/>
    <w:rsid w:val="008177FB"/>
    <w:rsid w:val="0081786E"/>
    <w:rsid w:val="00817ADC"/>
    <w:rsid w:val="00817F6F"/>
    <w:rsid w:val="00820155"/>
    <w:rsid w:val="0082036E"/>
    <w:rsid w:val="0082062D"/>
    <w:rsid w:val="00820974"/>
    <w:rsid w:val="00820A8C"/>
    <w:rsid w:val="00820CD1"/>
    <w:rsid w:val="00821238"/>
    <w:rsid w:val="00821303"/>
    <w:rsid w:val="008214B0"/>
    <w:rsid w:val="008214B1"/>
    <w:rsid w:val="008215EB"/>
    <w:rsid w:val="008215FB"/>
    <w:rsid w:val="00821819"/>
    <w:rsid w:val="00821F4C"/>
    <w:rsid w:val="00822430"/>
    <w:rsid w:val="00823174"/>
    <w:rsid w:val="00823898"/>
    <w:rsid w:val="008238F5"/>
    <w:rsid w:val="00823992"/>
    <w:rsid w:val="00823DC1"/>
    <w:rsid w:val="00823ECA"/>
    <w:rsid w:val="00824135"/>
    <w:rsid w:val="00824137"/>
    <w:rsid w:val="008242FE"/>
    <w:rsid w:val="00824774"/>
    <w:rsid w:val="0082488E"/>
    <w:rsid w:val="00824BB0"/>
    <w:rsid w:val="00824C34"/>
    <w:rsid w:val="00824D57"/>
    <w:rsid w:val="00824D9C"/>
    <w:rsid w:val="0082509C"/>
    <w:rsid w:val="00825438"/>
    <w:rsid w:val="00825751"/>
    <w:rsid w:val="008257AB"/>
    <w:rsid w:val="00826362"/>
    <w:rsid w:val="008264EB"/>
    <w:rsid w:val="00826A5C"/>
    <w:rsid w:val="00826AE1"/>
    <w:rsid w:val="00826BB7"/>
    <w:rsid w:val="00826CBD"/>
    <w:rsid w:val="0082711E"/>
    <w:rsid w:val="008271BC"/>
    <w:rsid w:val="008273F6"/>
    <w:rsid w:val="00827739"/>
    <w:rsid w:val="008278C4"/>
    <w:rsid w:val="00827A68"/>
    <w:rsid w:val="008303BF"/>
    <w:rsid w:val="008304D4"/>
    <w:rsid w:val="00830757"/>
    <w:rsid w:val="00830863"/>
    <w:rsid w:val="008310D6"/>
    <w:rsid w:val="008311AE"/>
    <w:rsid w:val="008311B5"/>
    <w:rsid w:val="008312B6"/>
    <w:rsid w:val="00831467"/>
    <w:rsid w:val="0083159B"/>
    <w:rsid w:val="00831915"/>
    <w:rsid w:val="008319DA"/>
    <w:rsid w:val="00831A49"/>
    <w:rsid w:val="00832B9F"/>
    <w:rsid w:val="00832C92"/>
    <w:rsid w:val="00832D44"/>
    <w:rsid w:val="00832E38"/>
    <w:rsid w:val="00832E6D"/>
    <w:rsid w:val="00832F01"/>
    <w:rsid w:val="00833151"/>
    <w:rsid w:val="00833A0C"/>
    <w:rsid w:val="00833A5C"/>
    <w:rsid w:val="00833B05"/>
    <w:rsid w:val="00834003"/>
    <w:rsid w:val="00834897"/>
    <w:rsid w:val="00834D4C"/>
    <w:rsid w:val="008352BC"/>
    <w:rsid w:val="0083546E"/>
    <w:rsid w:val="00835732"/>
    <w:rsid w:val="0083586E"/>
    <w:rsid w:val="00835BB3"/>
    <w:rsid w:val="00835DE7"/>
    <w:rsid w:val="00835F03"/>
    <w:rsid w:val="008360E3"/>
    <w:rsid w:val="008362B4"/>
    <w:rsid w:val="00836B44"/>
    <w:rsid w:val="008375A9"/>
    <w:rsid w:val="00837637"/>
    <w:rsid w:val="0083771C"/>
    <w:rsid w:val="00837CDB"/>
    <w:rsid w:val="00840264"/>
    <w:rsid w:val="00840479"/>
    <w:rsid w:val="00840645"/>
    <w:rsid w:val="008408A3"/>
    <w:rsid w:val="00840B3D"/>
    <w:rsid w:val="00840C29"/>
    <w:rsid w:val="00840CA2"/>
    <w:rsid w:val="00840DB3"/>
    <w:rsid w:val="0084106C"/>
    <w:rsid w:val="00841460"/>
    <w:rsid w:val="008416C3"/>
    <w:rsid w:val="0084170B"/>
    <w:rsid w:val="00841A51"/>
    <w:rsid w:val="00841AE0"/>
    <w:rsid w:val="00841E4B"/>
    <w:rsid w:val="008424BE"/>
    <w:rsid w:val="00842743"/>
    <w:rsid w:val="008429B0"/>
    <w:rsid w:val="00842BF9"/>
    <w:rsid w:val="008432D9"/>
    <w:rsid w:val="008435C2"/>
    <w:rsid w:val="0084374F"/>
    <w:rsid w:val="00843997"/>
    <w:rsid w:val="00843E45"/>
    <w:rsid w:val="00843F97"/>
    <w:rsid w:val="008441A9"/>
    <w:rsid w:val="008443D1"/>
    <w:rsid w:val="008444AE"/>
    <w:rsid w:val="008444EF"/>
    <w:rsid w:val="008447EE"/>
    <w:rsid w:val="00844A22"/>
    <w:rsid w:val="00845013"/>
    <w:rsid w:val="00845098"/>
    <w:rsid w:val="00845271"/>
    <w:rsid w:val="008454D7"/>
    <w:rsid w:val="00845870"/>
    <w:rsid w:val="00845ADB"/>
    <w:rsid w:val="00845B44"/>
    <w:rsid w:val="008461C6"/>
    <w:rsid w:val="008464FA"/>
    <w:rsid w:val="00846697"/>
    <w:rsid w:val="0084674D"/>
    <w:rsid w:val="008468D4"/>
    <w:rsid w:val="00846917"/>
    <w:rsid w:val="00847703"/>
    <w:rsid w:val="0084785A"/>
    <w:rsid w:val="008478AD"/>
    <w:rsid w:val="00847A2C"/>
    <w:rsid w:val="00847C45"/>
    <w:rsid w:val="00847DF5"/>
    <w:rsid w:val="00850058"/>
    <w:rsid w:val="00850DA3"/>
    <w:rsid w:val="00850EE9"/>
    <w:rsid w:val="00851107"/>
    <w:rsid w:val="0085110B"/>
    <w:rsid w:val="00851182"/>
    <w:rsid w:val="008511C4"/>
    <w:rsid w:val="00851257"/>
    <w:rsid w:val="00851272"/>
    <w:rsid w:val="0085149A"/>
    <w:rsid w:val="00851533"/>
    <w:rsid w:val="008515FB"/>
    <w:rsid w:val="00851684"/>
    <w:rsid w:val="008519F1"/>
    <w:rsid w:val="00851DB0"/>
    <w:rsid w:val="00851DEA"/>
    <w:rsid w:val="00852123"/>
    <w:rsid w:val="008521E8"/>
    <w:rsid w:val="0085271C"/>
    <w:rsid w:val="0085309D"/>
    <w:rsid w:val="00853A6C"/>
    <w:rsid w:val="00854022"/>
    <w:rsid w:val="00854344"/>
    <w:rsid w:val="0085445F"/>
    <w:rsid w:val="008548E3"/>
    <w:rsid w:val="00854C14"/>
    <w:rsid w:val="0085552C"/>
    <w:rsid w:val="00855964"/>
    <w:rsid w:val="00855CA8"/>
    <w:rsid w:val="00855CAD"/>
    <w:rsid w:val="008562BF"/>
    <w:rsid w:val="00856441"/>
    <w:rsid w:val="008565C3"/>
    <w:rsid w:val="008567C3"/>
    <w:rsid w:val="00856897"/>
    <w:rsid w:val="00856AB7"/>
    <w:rsid w:val="00856AD6"/>
    <w:rsid w:val="00856E9A"/>
    <w:rsid w:val="00856F77"/>
    <w:rsid w:val="0085731B"/>
    <w:rsid w:val="00857718"/>
    <w:rsid w:val="0085776A"/>
    <w:rsid w:val="00857BD9"/>
    <w:rsid w:val="008600EA"/>
    <w:rsid w:val="00860203"/>
    <w:rsid w:val="0086038A"/>
    <w:rsid w:val="0086075D"/>
    <w:rsid w:val="00860D20"/>
    <w:rsid w:val="00861366"/>
    <w:rsid w:val="008615C8"/>
    <w:rsid w:val="00861729"/>
    <w:rsid w:val="00861DD9"/>
    <w:rsid w:val="008623E6"/>
    <w:rsid w:val="00862502"/>
    <w:rsid w:val="008626A0"/>
    <w:rsid w:val="00862917"/>
    <w:rsid w:val="00862CC1"/>
    <w:rsid w:val="00862DB1"/>
    <w:rsid w:val="00862DE2"/>
    <w:rsid w:val="00862F83"/>
    <w:rsid w:val="00863559"/>
    <w:rsid w:val="00863DEB"/>
    <w:rsid w:val="00864873"/>
    <w:rsid w:val="0086569D"/>
    <w:rsid w:val="00865F27"/>
    <w:rsid w:val="008660D4"/>
    <w:rsid w:val="008664CD"/>
    <w:rsid w:val="00866E06"/>
    <w:rsid w:val="0086700B"/>
    <w:rsid w:val="0086702A"/>
    <w:rsid w:val="008670C4"/>
    <w:rsid w:val="0086760B"/>
    <w:rsid w:val="00867B4C"/>
    <w:rsid w:val="00867C51"/>
    <w:rsid w:val="008700D1"/>
    <w:rsid w:val="008705F7"/>
    <w:rsid w:val="008708D5"/>
    <w:rsid w:val="00870B48"/>
    <w:rsid w:val="00870DAE"/>
    <w:rsid w:val="00871F50"/>
    <w:rsid w:val="00871FA9"/>
    <w:rsid w:val="00872039"/>
    <w:rsid w:val="0087206E"/>
    <w:rsid w:val="0087210C"/>
    <w:rsid w:val="0087243A"/>
    <w:rsid w:val="008728E4"/>
    <w:rsid w:val="008728E9"/>
    <w:rsid w:val="00872B46"/>
    <w:rsid w:val="00872D20"/>
    <w:rsid w:val="00872EDE"/>
    <w:rsid w:val="00872F99"/>
    <w:rsid w:val="00873D4B"/>
    <w:rsid w:val="00873DDA"/>
    <w:rsid w:val="00873E2B"/>
    <w:rsid w:val="00873EB3"/>
    <w:rsid w:val="00873FE9"/>
    <w:rsid w:val="0087455D"/>
    <w:rsid w:val="008746AE"/>
    <w:rsid w:val="00874777"/>
    <w:rsid w:val="00874823"/>
    <w:rsid w:val="00874997"/>
    <w:rsid w:val="00874EDE"/>
    <w:rsid w:val="0087505C"/>
    <w:rsid w:val="008750A0"/>
    <w:rsid w:val="00875302"/>
    <w:rsid w:val="008754D8"/>
    <w:rsid w:val="008756FA"/>
    <w:rsid w:val="00875734"/>
    <w:rsid w:val="00875E30"/>
    <w:rsid w:val="00875E35"/>
    <w:rsid w:val="00875EF3"/>
    <w:rsid w:val="00876903"/>
    <w:rsid w:val="00876B70"/>
    <w:rsid w:val="00876BC2"/>
    <w:rsid w:val="00876FA2"/>
    <w:rsid w:val="00877027"/>
    <w:rsid w:val="00877031"/>
    <w:rsid w:val="0087745A"/>
    <w:rsid w:val="00877790"/>
    <w:rsid w:val="00877827"/>
    <w:rsid w:val="00877EF5"/>
    <w:rsid w:val="00881033"/>
    <w:rsid w:val="00881091"/>
    <w:rsid w:val="00881274"/>
    <w:rsid w:val="00881C41"/>
    <w:rsid w:val="00881D2A"/>
    <w:rsid w:val="00881DC0"/>
    <w:rsid w:val="0088252D"/>
    <w:rsid w:val="00882874"/>
    <w:rsid w:val="00882D07"/>
    <w:rsid w:val="00882D25"/>
    <w:rsid w:val="00882D7E"/>
    <w:rsid w:val="00882E3C"/>
    <w:rsid w:val="00883593"/>
    <w:rsid w:val="00883787"/>
    <w:rsid w:val="00883976"/>
    <w:rsid w:val="008839D5"/>
    <w:rsid w:val="00883E37"/>
    <w:rsid w:val="0088442C"/>
    <w:rsid w:val="008847C8"/>
    <w:rsid w:val="00884BEF"/>
    <w:rsid w:val="00884C01"/>
    <w:rsid w:val="00884E79"/>
    <w:rsid w:val="00884F1A"/>
    <w:rsid w:val="00884F88"/>
    <w:rsid w:val="00884FDD"/>
    <w:rsid w:val="00885071"/>
    <w:rsid w:val="0088513B"/>
    <w:rsid w:val="00885521"/>
    <w:rsid w:val="008855E4"/>
    <w:rsid w:val="008856E9"/>
    <w:rsid w:val="008857CE"/>
    <w:rsid w:val="008857F3"/>
    <w:rsid w:val="00885CEC"/>
    <w:rsid w:val="00885E32"/>
    <w:rsid w:val="00885F60"/>
    <w:rsid w:val="00886140"/>
    <w:rsid w:val="00886376"/>
    <w:rsid w:val="00886CD2"/>
    <w:rsid w:val="008874B5"/>
    <w:rsid w:val="008879AF"/>
    <w:rsid w:val="008900FF"/>
    <w:rsid w:val="00890572"/>
    <w:rsid w:val="008905E3"/>
    <w:rsid w:val="00890620"/>
    <w:rsid w:val="00890760"/>
    <w:rsid w:val="00891245"/>
    <w:rsid w:val="00891737"/>
    <w:rsid w:val="00891E6F"/>
    <w:rsid w:val="008922B0"/>
    <w:rsid w:val="00892581"/>
    <w:rsid w:val="0089275D"/>
    <w:rsid w:val="00892A36"/>
    <w:rsid w:val="00892A6C"/>
    <w:rsid w:val="00892ACD"/>
    <w:rsid w:val="00892E57"/>
    <w:rsid w:val="008930D3"/>
    <w:rsid w:val="00893239"/>
    <w:rsid w:val="0089324E"/>
    <w:rsid w:val="00893495"/>
    <w:rsid w:val="0089352C"/>
    <w:rsid w:val="00893670"/>
    <w:rsid w:val="008936D3"/>
    <w:rsid w:val="008937E9"/>
    <w:rsid w:val="00893B13"/>
    <w:rsid w:val="00893D01"/>
    <w:rsid w:val="00893E89"/>
    <w:rsid w:val="00894217"/>
    <w:rsid w:val="00894436"/>
    <w:rsid w:val="00894489"/>
    <w:rsid w:val="008944D8"/>
    <w:rsid w:val="00894586"/>
    <w:rsid w:val="00894766"/>
    <w:rsid w:val="00894871"/>
    <w:rsid w:val="008948D9"/>
    <w:rsid w:val="00894A5C"/>
    <w:rsid w:val="00894EAF"/>
    <w:rsid w:val="00894F53"/>
    <w:rsid w:val="00894FE1"/>
    <w:rsid w:val="0089502A"/>
    <w:rsid w:val="008951A8"/>
    <w:rsid w:val="008952BB"/>
    <w:rsid w:val="008957AC"/>
    <w:rsid w:val="00895CE8"/>
    <w:rsid w:val="00896175"/>
    <w:rsid w:val="008963A5"/>
    <w:rsid w:val="00896439"/>
    <w:rsid w:val="00896632"/>
    <w:rsid w:val="008966FC"/>
    <w:rsid w:val="008969E5"/>
    <w:rsid w:val="00896A0C"/>
    <w:rsid w:val="00896B60"/>
    <w:rsid w:val="00896B96"/>
    <w:rsid w:val="00896C9B"/>
    <w:rsid w:val="00896D5D"/>
    <w:rsid w:val="008973B2"/>
    <w:rsid w:val="008973DC"/>
    <w:rsid w:val="008973FA"/>
    <w:rsid w:val="0089754D"/>
    <w:rsid w:val="008975EE"/>
    <w:rsid w:val="00897997"/>
    <w:rsid w:val="008A0446"/>
    <w:rsid w:val="008A0753"/>
    <w:rsid w:val="008A0C4C"/>
    <w:rsid w:val="008A0E72"/>
    <w:rsid w:val="008A1010"/>
    <w:rsid w:val="008A1506"/>
    <w:rsid w:val="008A17B1"/>
    <w:rsid w:val="008A278D"/>
    <w:rsid w:val="008A27BD"/>
    <w:rsid w:val="008A2930"/>
    <w:rsid w:val="008A2991"/>
    <w:rsid w:val="008A2E4D"/>
    <w:rsid w:val="008A302D"/>
    <w:rsid w:val="008A3363"/>
    <w:rsid w:val="008A3371"/>
    <w:rsid w:val="008A3471"/>
    <w:rsid w:val="008A387B"/>
    <w:rsid w:val="008A3A9D"/>
    <w:rsid w:val="008A3C3E"/>
    <w:rsid w:val="008A4160"/>
    <w:rsid w:val="008A426B"/>
    <w:rsid w:val="008A438D"/>
    <w:rsid w:val="008A46D2"/>
    <w:rsid w:val="008A47A5"/>
    <w:rsid w:val="008A47FE"/>
    <w:rsid w:val="008A5C20"/>
    <w:rsid w:val="008A5D89"/>
    <w:rsid w:val="008A6568"/>
    <w:rsid w:val="008A68B5"/>
    <w:rsid w:val="008A6FD9"/>
    <w:rsid w:val="008A735E"/>
    <w:rsid w:val="008A75A8"/>
    <w:rsid w:val="008A767D"/>
    <w:rsid w:val="008A779F"/>
    <w:rsid w:val="008A796B"/>
    <w:rsid w:val="008A79DE"/>
    <w:rsid w:val="008A7B3A"/>
    <w:rsid w:val="008B01D9"/>
    <w:rsid w:val="008B0337"/>
    <w:rsid w:val="008B035E"/>
    <w:rsid w:val="008B0666"/>
    <w:rsid w:val="008B07F0"/>
    <w:rsid w:val="008B089C"/>
    <w:rsid w:val="008B0C94"/>
    <w:rsid w:val="008B0D4B"/>
    <w:rsid w:val="008B1382"/>
    <w:rsid w:val="008B1757"/>
    <w:rsid w:val="008B18DB"/>
    <w:rsid w:val="008B1FF8"/>
    <w:rsid w:val="008B20BC"/>
    <w:rsid w:val="008B281E"/>
    <w:rsid w:val="008B30F0"/>
    <w:rsid w:val="008B360E"/>
    <w:rsid w:val="008B3AD2"/>
    <w:rsid w:val="008B3CF3"/>
    <w:rsid w:val="008B3D2A"/>
    <w:rsid w:val="008B3EA0"/>
    <w:rsid w:val="008B4335"/>
    <w:rsid w:val="008B453E"/>
    <w:rsid w:val="008B4BA1"/>
    <w:rsid w:val="008B4DB2"/>
    <w:rsid w:val="008B58C4"/>
    <w:rsid w:val="008B5DF8"/>
    <w:rsid w:val="008B5E4D"/>
    <w:rsid w:val="008B5EF9"/>
    <w:rsid w:val="008B5FB6"/>
    <w:rsid w:val="008B6096"/>
    <w:rsid w:val="008B60BC"/>
    <w:rsid w:val="008B61D1"/>
    <w:rsid w:val="008B6879"/>
    <w:rsid w:val="008B6887"/>
    <w:rsid w:val="008B71A6"/>
    <w:rsid w:val="008B72C3"/>
    <w:rsid w:val="008B7614"/>
    <w:rsid w:val="008B7992"/>
    <w:rsid w:val="008B7B93"/>
    <w:rsid w:val="008B7D7E"/>
    <w:rsid w:val="008B7ED4"/>
    <w:rsid w:val="008B7F38"/>
    <w:rsid w:val="008C0129"/>
    <w:rsid w:val="008C04B8"/>
    <w:rsid w:val="008C07A5"/>
    <w:rsid w:val="008C0CBF"/>
    <w:rsid w:val="008C10E3"/>
    <w:rsid w:val="008C13D7"/>
    <w:rsid w:val="008C1A9A"/>
    <w:rsid w:val="008C20B4"/>
    <w:rsid w:val="008C247D"/>
    <w:rsid w:val="008C24C6"/>
    <w:rsid w:val="008C2A34"/>
    <w:rsid w:val="008C2CF0"/>
    <w:rsid w:val="008C2DEC"/>
    <w:rsid w:val="008C3545"/>
    <w:rsid w:val="008C38CE"/>
    <w:rsid w:val="008C3ABC"/>
    <w:rsid w:val="008C44F4"/>
    <w:rsid w:val="008C4573"/>
    <w:rsid w:val="008C473D"/>
    <w:rsid w:val="008C4755"/>
    <w:rsid w:val="008C4761"/>
    <w:rsid w:val="008C4866"/>
    <w:rsid w:val="008C4B03"/>
    <w:rsid w:val="008C4D9E"/>
    <w:rsid w:val="008C4E0D"/>
    <w:rsid w:val="008C5278"/>
    <w:rsid w:val="008C535C"/>
    <w:rsid w:val="008C5610"/>
    <w:rsid w:val="008C5739"/>
    <w:rsid w:val="008C58C8"/>
    <w:rsid w:val="008C59CE"/>
    <w:rsid w:val="008C5C1E"/>
    <w:rsid w:val="008C6032"/>
    <w:rsid w:val="008C66EE"/>
    <w:rsid w:val="008C6796"/>
    <w:rsid w:val="008C6889"/>
    <w:rsid w:val="008C6985"/>
    <w:rsid w:val="008C6BF2"/>
    <w:rsid w:val="008C6F00"/>
    <w:rsid w:val="008C7475"/>
    <w:rsid w:val="008C76E4"/>
    <w:rsid w:val="008C7ECB"/>
    <w:rsid w:val="008D0234"/>
    <w:rsid w:val="008D048A"/>
    <w:rsid w:val="008D0712"/>
    <w:rsid w:val="008D0ACA"/>
    <w:rsid w:val="008D102D"/>
    <w:rsid w:val="008D12CC"/>
    <w:rsid w:val="008D196B"/>
    <w:rsid w:val="008D1C04"/>
    <w:rsid w:val="008D218E"/>
    <w:rsid w:val="008D259E"/>
    <w:rsid w:val="008D28E8"/>
    <w:rsid w:val="008D315D"/>
    <w:rsid w:val="008D3495"/>
    <w:rsid w:val="008D3505"/>
    <w:rsid w:val="008D3960"/>
    <w:rsid w:val="008D3B86"/>
    <w:rsid w:val="008D4207"/>
    <w:rsid w:val="008D424D"/>
    <w:rsid w:val="008D4277"/>
    <w:rsid w:val="008D45E5"/>
    <w:rsid w:val="008D4755"/>
    <w:rsid w:val="008D493F"/>
    <w:rsid w:val="008D49E9"/>
    <w:rsid w:val="008D4C3D"/>
    <w:rsid w:val="008D4C7A"/>
    <w:rsid w:val="008D4C81"/>
    <w:rsid w:val="008D4C9A"/>
    <w:rsid w:val="008D4FE6"/>
    <w:rsid w:val="008D57A6"/>
    <w:rsid w:val="008D5A5A"/>
    <w:rsid w:val="008D5E17"/>
    <w:rsid w:val="008D5FAD"/>
    <w:rsid w:val="008D628C"/>
    <w:rsid w:val="008D62FB"/>
    <w:rsid w:val="008D636C"/>
    <w:rsid w:val="008D6486"/>
    <w:rsid w:val="008D6E5D"/>
    <w:rsid w:val="008D6EBA"/>
    <w:rsid w:val="008D7120"/>
    <w:rsid w:val="008D71BD"/>
    <w:rsid w:val="008D743C"/>
    <w:rsid w:val="008D7CD5"/>
    <w:rsid w:val="008D7E6B"/>
    <w:rsid w:val="008E0292"/>
    <w:rsid w:val="008E057F"/>
    <w:rsid w:val="008E0600"/>
    <w:rsid w:val="008E093C"/>
    <w:rsid w:val="008E0D3C"/>
    <w:rsid w:val="008E104D"/>
    <w:rsid w:val="008E1946"/>
    <w:rsid w:val="008E1B9E"/>
    <w:rsid w:val="008E1DDF"/>
    <w:rsid w:val="008E2658"/>
    <w:rsid w:val="008E2A0D"/>
    <w:rsid w:val="008E2B3E"/>
    <w:rsid w:val="008E3156"/>
    <w:rsid w:val="008E365A"/>
    <w:rsid w:val="008E3677"/>
    <w:rsid w:val="008E38E4"/>
    <w:rsid w:val="008E390F"/>
    <w:rsid w:val="008E39FA"/>
    <w:rsid w:val="008E3E3A"/>
    <w:rsid w:val="008E3EE2"/>
    <w:rsid w:val="008E404A"/>
    <w:rsid w:val="008E40A3"/>
    <w:rsid w:val="008E40A5"/>
    <w:rsid w:val="008E4314"/>
    <w:rsid w:val="008E488B"/>
    <w:rsid w:val="008E4EBA"/>
    <w:rsid w:val="008E5161"/>
    <w:rsid w:val="008E51A4"/>
    <w:rsid w:val="008E55AB"/>
    <w:rsid w:val="008E5CD1"/>
    <w:rsid w:val="008E6699"/>
    <w:rsid w:val="008E669A"/>
    <w:rsid w:val="008E69CB"/>
    <w:rsid w:val="008E6DFE"/>
    <w:rsid w:val="008E726D"/>
    <w:rsid w:val="008E78C0"/>
    <w:rsid w:val="008E7ABE"/>
    <w:rsid w:val="008E7B64"/>
    <w:rsid w:val="008F0462"/>
    <w:rsid w:val="008F050A"/>
    <w:rsid w:val="008F0772"/>
    <w:rsid w:val="008F0AA7"/>
    <w:rsid w:val="008F119F"/>
    <w:rsid w:val="008F120A"/>
    <w:rsid w:val="008F1586"/>
    <w:rsid w:val="008F173B"/>
    <w:rsid w:val="008F17EF"/>
    <w:rsid w:val="008F1871"/>
    <w:rsid w:val="008F1C1E"/>
    <w:rsid w:val="008F1E66"/>
    <w:rsid w:val="008F1F4F"/>
    <w:rsid w:val="008F23BA"/>
    <w:rsid w:val="008F27E0"/>
    <w:rsid w:val="008F2BAB"/>
    <w:rsid w:val="008F2D6F"/>
    <w:rsid w:val="008F35B9"/>
    <w:rsid w:val="008F3734"/>
    <w:rsid w:val="008F3795"/>
    <w:rsid w:val="008F3816"/>
    <w:rsid w:val="008F382F"/>
    <w:rsid w:val="008F3D1C"/>
    <w:rsid w:val="008F40AA"/>
    <w:rsid w:val="008F4248"/>
    <w:rsid w:val="008F4710"/>
    <w:rsid w:val="008F4732"/>
    <w:rsid w:val="008F47ED"/>
    <w:rsid w:val="008F48EB"/>
    <w:rsid w:val="008F4F0B"/>
    <w:rsid w:val="008F5490"/>
    <w:rsid w:val="008F56CF"/>
    <w:rsid w:val="008F5D1B"/>
    <w:rsid w:val="008F6316"/>
    <w:rsid w:val="008F6501"/>
    <w:rsid w:val="008F6D37"/>
    <w:rsid w:val="008F78B2"/>
    <w:rsid w:val="008F7E64"/>
    <w:rsid w:val="008F7E68"/>
    <w:rsid w:val="00900300"/>
    <w:rsid w:val="0090032E"/>
    <w:rsid w:val="009004C9"/>
    <w:rsid w:val="00900611"/>
    <w:rsid w:val="00900B32"/>
    <w:rsid w:val="00900CAC"/>
    <w:rsid w:val="00900D23"/>
    <w:rsid w:val="00900E4C"/>
    <w:rsid w:val="00900FF9"/>
    <w:rsid w:val="00901064"/>
    <w:rsid w:val="0090149D"/>
    <w:rsid w:val="009017FF"/>
    <w:rsid w:val="0090182A"/>
    <w:rsid w:val="00901E32"/>
    <w:rsid w:val="00902382"/>
    <w:rsid w:val="00902417"/>
    <w:rsid w:val="009024E3"/>
    <w:rsid w:val="009025A7"/>
    <w:rsid w:val="00902615"/>
    <w:rsid w:val="00902760"/>
    <w:rsid w:val="00902963"/>
    <w:rsid w:val="00902A54"/>
    <w:rsid w:val="00902E41"/>
    <w:rsid w:val="00902FA2"/>
    <w:rsid w:val="009032A8"/>
    <w:rsid w:val="0090341A"/>
    <w:rsid w:val="00903470"/>
    <w:rsid w:val="00903475"/>
    <w:rsid w:val="009038A0"/>
    <w:rsid w:val="00903B7B"/>
    <w:rsid w:val="00903D97"/>
    <w:rsid w:val="009041C6"/>
    <w:rsid w:val="009046BE"/>
    <w:rsid w:val="009046C4"/>
    <w:rsid w:val="00904ACE"/>
    <w:rsid w:val="00904B79"/>
    <w:rsid w:val="00904DD7"/>
    <w:rsid w:val="00905148"/>
    <w:rsid w:val="0090519D"/>
    <w:rsid w:val="00905424"/>
    <w:rsid w:val="0090552A"/>
    <w:rsid w:val="0090561B"/>
    <w:rsid w:val="009058AF"/>
    <w:rsid w:val="00905E41"/>
    <w:rsid w:val="00905EA1"/>
    <w:rsid w:val="00905F6E"/>
    <w:rsid w:val="009062A5"/>
    <w:rsid w:val="0090634F"/>
    <w:rsid w:val="009066AC"/>
    <w:rsid w:val="0090690C"/>
    <w:rsid w:val="0090729B"/>
    <w:rsid w:val="0090742A"/>
    <w:rsid w:val="009076B8"/>
    <w:rsid w:val="00907733"/>
    <w:rsid w:val="00907AB1"/>
    <w:rsid w:val="00907AD4"/>
    <w:rsid w:val="009109DB"/>
    <w:rsid w:val="00910AB3"/>
    <w:rsid w:val="00910CAD"/>
    <w:rsid w:val="00910CFA"/>
    <w:rsid w:val="00910DD5"/>
    <w:rsid w:val="00910E0A"/>
    <w:rsid w:val="00910FA7"/>
    <w:rsid w:val="00911272"/>
    <w:rsid w:val="009112F7"/>
    <w:rsid w:val="00911673"/>
    <w:rsid w:val="00911DB6"/>
    <w:rsid w:val="0091202F"/>
    <w:rsid w:val="0091208F"/>
    <w:rsid w:val="00912253"/>
    <w:rsid w:val="00912441"/>
    <w:rsid w:val="0091273F"/>
    <w:rsid w:val="0091281A"/>
    <w:rsid w:val="0091294D"/>
    <w:rsid w:val="00912CA1"/>
    <w:rsid w:val="00912CBE"/>
    <w:rsid w:val="00912E89"/>
    <w:rsid w:val="009133DA"/>
    <w:rsid w:val="009135D4"/>
    <w:rsid w:val="009135D6"/>
    <w:rsid w:val="00913AA1"/>
    <w:rsid w:val="00913C92"/>
    <w:rsid w:val="009147F8"/>
    <w:rsid w:val="0091480D"/>
    <w:rsid w:val="00914841"/>
    <w:rsid w:val="00914C77"/>
    <w:rsid w:val="00914DA8"/>
    <w:rsid w:val="00915038"/>
    <w:rsid w:val="009151C6"/>
    <w:rsid w:val="009152AD"/>
    <w:rsid w:val="00915848"/>
    <w:rsid w:val="00915922"/>
    <w:rsid w:val="0091599B"/>
    <w:rsid w:val="009159BD"/>
    <w:rsid w:val="00915F78"/>
    <w:rsid w:val="00916457"/>
    <w:rsid w:val="0091670C"/>
    <w:rsid w:val="00916884"/>
    <w:rsid w:val="00916BDB"/>
    <w:rsid w:val="00916CA1"/>
    <w:rsid w:val="00916CB4"/>
    <w:rsid w:val="00916EAF"/>
    <w:rsid w:val="0091715F"/>
    <w:rsid w:val="009175F8"/>
    <w:rsid w:val="0091772A"/>
    <w:rsid w:val="0091779B"/>
    <w:rsid w:val="009177E3"/>
    <w:rsid w:val="00917A56"/>
    <w:rsid w:val="00917A5C"/>
    <w:rsid w:val="00917B3B"/>
    <w:rsid w:val="00917FBC"/>
    <w:rsid w:val="00920160"/>
    <w:rsid w:val="00920170"/>
    <w:rsid w:val="00920BB0"/>
    <w:rsid w:val="00920CF2"/>
    <w:rsid w:val="00920F42"/>
    <w:rsid w:val="00921696"/>
    <w:rsid w:val="00921A31"/>
    <w:rsid w:val="00921ACB"/>
    <w:rsid w:val="00921BF3"/>
    <w:rsid w:val="00921E0B"/>
    <w:rsid w:val="009223C4"/>
    <w:rsid w:val="00922BFE"/>
    <w:rsid w:val="00922C7B"/>
    <w:rsid w:val="009230B1"/>
    <w:rsid w:val="00923659"/>
    <w:rsid w:val="0092369B"/>
    <w:rsid w:val="00924026"/>
    <w:rsid w:val="009241B5"/>
    <w:rsid w:val="00924969"/>
    <w:rsid w:val="00924B8E"/>
    <w:rsid w:val="00924E61"/>
    <w:rsid w:val="00925036"/>
    <w:rsid w:val="0092528B"/>
    <w:rsid w:val="0092544B"/>
    <w:rsid w:val="00925718"/>
    <w:rsid w:val="009259B6"/>
    <w:rsid w:val="00925B89"/>
    <w:rsid w:val="00925CB5"/>
    <w:rsid w:val="00925E48"/>
    <w:rsid w:val="00925F2B"/>
    <w:rsid w:val="0092684E"/>
    <w:rsid w:val="00926ADB"/>
    <w:rsid w:val="00927118"/>
    <w:rsid w:val="00927C87"/>
    <w:rsid w:val="0093033E"/>
    <w:rsid w:val="009307F8"/>
    <w:rsid w:val="00930CBF"/>
    <w:rsid w:val="00931178"/>
    <w:rsid w:val="00931375"/>
    <w:rsid w:val="00931457"/>
    <w:rsid w:val="00931909"/>
    <w:rsid w:val="00931BAA"/>
    <w:rsid w:val="00931DDB"/>
    <w:rsid w:val="00931F13"/>
    <w:rsid w:val="00932063"/>
    <w:rsid w:val="0093227F"/>
    <w:rsid w:val="0093277C"/>
    <w:rsid w:val="00932943"/>
    <w:rsid w:val="009329CF"/>
    <w:rsid w:val="00932A3B"/>
    <w:rsid w:val="00932ADF"/>
    <w:rsid w:val="00933288"/>
    <w:rsid w:val="009334F8"/>
    <w:rsid w:val="00933866"/>
    <w:rsid w:val="00933EC3"/>
    <w:rsid w:val="009340B4"/>
    <w:rsid w:val="00934338"/>
    <w:rsid w:val="00934468"/>
    <w:rsid w:val="009346B2"/>
    <w:rsid w:val="00934988"/>
    <w:rsid w:val="00934AFB"/>
    <w:rsid w:val="00934B30"/>
    <w:rsid w:val="00934BD6"/>
    <w:rsid w:val="00934CF9"/>
    <w:rsid w:val="00934E4D"/>
    <w:rsid w:val="009350DB"/>
    <w:rsid w:val="00935F26"/>
    <w:rsid w:val="00936187"/>
    <w:rsid w:val="009365B9"/>
    <w:rsid w:val="009365E1"/>
    <w:rsid w:val="0093678A"/>
    <w:rsid w:val="00936932"/>
    <w:rsid w:val="00936AF3"/>
    <w:rsid w:val="00937089"/>
    <w:rsid w:val="00937388"/>
    <w:rsid w:val="00937486"/>
    <w:rsid w:val="00937EF5"/>
    <w:rsid w:val="00940455"/>
    <w:rsid w:val="0094096F"/>
    <w:rsid w:val="00940A6F"/>
    <w:rsid w:val="00940DBF"/>
    <w:rsid w:val="0094158F"/>
    <w:rsid w:val="0094178D"/>
    <w:rsid w:val="0094194C"/>
    <w:rsid w:val="00941D4B"/>
    <w:rsid w:val="00941F6F"/>
    <w:rsid w:val="00942B0C"/>
    <w:rsid w:val="00942DD1"/>
    <w:rsid w:val="00943233"/>
    <w:rsid w:val="00943583"/>
    <w:rsid w:val="00943B00"/>
    <w:rsid w:val="00943CF0"/>
    <w:rsid w:val="00943E39"/>
    <w:rsid w:val="00944485"/>
    <w:rsid w:val="0094449A"/>
    <w:rsid w:val="00944655"/>
    <w:rsid w:val="0094471F"/>
    <w:rsid w:val="0094486A"/>
    <w:rsid w:val="0094498F"/>
    <w:rsid w:val="00944ABF"/>
    <w:rsid w:val="00944C08"/>
    <w:rsid w:val="00944D02"/>
    <w:rsid w:val="00944D0A"/>
    <w:rsid w:val="00944E74"/>
    <w:rsid w:val="00944F8A"/>
    <w:rsid w:val="00945193"/>
    <w:rsid w:val="009455C2"/>
    <w:rsid w:val="00945744"/>
    <w:rsid w:val="00945A7E"/>
    <w:rsid w:val="00945E14"/>
    <w:rsid w:val="00945F15"/>
    <w:rsid w:val="009466D8"/>
    <w:rsid w:val="0094695C"/>
    <w:rsid w:val="009469E7"/>
    <w:rsid w:val="00946AE9"/>
    <w:rsid w:val="00946C72"/>
    <w:rsid w:val="00946C99"/>
    <w:rsid w:val="0094701A"/>
    <w:rsid w:val="00947067"/>
    <w:rsid w:val="00947234"/>
    <w:rsid w:val="009474AF"/>
    <w:rsid w:val="009477C0"/>
    <w:rsid w:val="00947875"/>
    <w:rsid w:val="00947ACD"/>
    <w:rsid w:val="00947B68"/>
    <w:rsid w:val="00947D7D"/>
    <w:rsid w:val="00950045"/>
    <w:rsid w:val="009500A0"/>
    <w:rsid w:val="00950157"/>
    <w:rsid w:val="00950502"/>
    <w:rsid w:val="00950626"/>
    <w:rsid w:val="009507D5"/>
    <w:rsid w:val="00950B88"/>
    <w:rsid w:val="00950BF5"/>
    <w:rsid w:val="00950ED5"/>
    <w:rsid w:val="00950F5D"/>
    <w:rsid w:val="00950F6E"/>
    <w:rsid w:val="009510A2"/>
    <w:rsid w:val="009519A6"/>
    <w:rsid w:val="00951A04"/>
    <w:rsid w:val="00951D02"/>
    <w:rsid w:val="009523E7"/>
    <w:rsid w:val="00952407"/>
    <w:rsid w:val="0095242C"/>
    <w:rsid w:val="009524DD"/>
    <w:rsid w:val="009527E9"/>
    <w:rsid w:val="00952CF6"/>
    <w:rsid w:val="00953190"/>
    <w:rsid w:val="00953257"/>
    <w:rsid w:val="00953552"/>
    <w:rsid w:val="00953970"/>
    <w:rsid w:val="00953A3C"/>
    <w:rsid w:val="00953D58"/>
    <w:rsid w:val="00953DB2"/>
    <w:rsid w:val="00953F0B"/>
    <w:rsid w:val="00953FC6"/>
    <w:rsid w:val="009540DC"/>
    <w:rsid w:val="00954460"/>
    <w:rsid w:val="0095474C"/>
    <w:rsid w:val="00954A4D"/>
    <w:rsid w:val="00954B7E"/>
    <w:rsid w:val="00954EB5"/>
    <w:rsid w:val="009553DE"/>
    <w:rsid w:val="0095555B"/>
    <w:rsid w:val="00955775"/>
    <w:rsid w:val="00955C16"/>
    <w:rsid w:val="00956806"/>
    <w:rsid w:val="00956A31"/>
    <w:rsid w:val="00956A8B"/>
    <w:rsid w:val="00956B90"/>
    <w:rsid w:val="00956BA2"/>
    <w:rsid w:val="009574DD"/>
    <w:rsid w:val="00957506"/>
    <w:rsid w:val="0095797A"/>
    <w:rsid w:val="009579E0"/>
    <w:rsid w:val="00957CD0"/>
    <w:rsid w:val="00957D64"/>
    <w:rsid w:val="00957F16"/>
    <w:rsid w:val="00960164"/>
    <w:rsid w:val="009605D0"/>
    <w:rsid w:val="00960703"/>
    <w:rsid w:val="00960A1C"/>
    <w:rsid w:val="00960D34"/>
    <w:rsid w:val="00960D87"/>
    <w:rsid w:val="00961786"/>
    <w:rsid w:val="0096189A"/>
    <w:rsid w:val="00961AD1"/>
    <w:rsid w:val="00961D6C"/>
    <w:rsid w:val="0096236C"/>
    <w:rsid w:val="0096241F"/>
    <w:rsid w:val="00962563"/>
    <w:rsid w:val="009625E2"/>
    <w:rsid w:val="00962650"/>
    <w:rsid w:val="00962C21"/>
    <w:rsid w:val="00962CB9"/>
    <w:rsid w:val="00962EC0"/>
    <w:rsid w:val="00963024"/>
    <w:rsid w:val="00963161"/>
    <w:rsid w:val="00963273"/>
    <w:rsid w:val="00963CEC"/>
    <w:rsid w:val="00963F80"/>
    <w:rsid w:val="00964312"/>
    <w:rsid w:val="00964473"/>
    <w:rsid w:val="009647A2"/>
    <w:rsid w:val="00964E85"/>
    <w:rsid w:val="0096503D"/>
    <w:rsid w:val="009651F6"/>
    <w:rsid w:val="00965248"/>
    <w:rsid w:val="00965B8A"/>
    <w:rsid w:val="00965CD3"/>
    <w:rsid w:val="00965D71"/>
    <w:rsid w:val="00966036"/>
    <w:rsid w:val="009661A9"/>
    <w:rsid w:val="00966752"/>
    <w:rsid w:val="00967AB7"/>
    <w:rsid w:val="00967CD4"/>
    <w:rsid w:val="00967CE8"/>
    <w:rsid w:val="00967E09"/>
    <w:rsid w:val="00967F46"/>
    <w:rsid w:val="00967F79"/>
    <w:rsid w:val="00967F90"/>
    <w:rsid w:val="009704CA"/>
    <w:rsid w:val="0097071F"/>
    <w:rsid w:val="00970A88"/>
    <w:rsid w:val="00970CAC"/>
    <w:rsid w:val="00970D3F"/>
    <w:rsid w:val="009714E5"/>
    <w:rsid w:val="009717AC"/>
    <w:rsid w:val="00971DCF"/>
    <w:rsid w:val="0097211E"/>
    <w:rsid w:val="00972698"/>
    <w:rsid w:val="00972790"/>
    <w:rsid w:val="009728D5"/>
    <w:rsid w:val="009729C2"/>
    <w:rsid w:val="00972CD4"/>
    <w:rsid w:val="00972E8E"/>
    <w:rsid w:val="0097319A"/>
    <w:rsid w:val="00973401"/>
    <w:rsid w:val="00973459"/>
    <w:rsid w:val="009734CB"/>
    <w:rsid w:val="009737AD"/>
    <w:rsid w:val="00973834"/>
    <w:rsid w:val="009738F5"/>
    <w:rsid w:val="00974025"/>
    <w:rsid w:val="00974101"/>
    <w:rsid w:val="00974756"/>
    <w:rsid w:val="00974BD5"/>
    <w:rsid w:val="00975047"/>
    <w:rsid w:val="00975098"/>
    <w:rsid w:val="009750B8"/>
    <w:rsid w:val="009751C1"/>
    <w:rsid w:val="0097608F"/>
    <w:rsid w:val="00976145"/>
    <w:rsid w:val="009761C1"/>
    <w:rsid w:val="009761F1"/>
    <w:rsid w:val="009768B3"/>
    <w:rsid w:val="00976C7E"/>
    <w:rsid w:val="00976C81"/>
    <w:rsid w:val="0097700A"/>
    <w:rsid w:val="0097709E"/>
    <w:rsid w:val="009771F4"/>
    <w:rsid w:val="00977916"/>
    <w:rsid w:val="00977BFE"/>
    <w:rsid w:val="00977F98"/>
    <w:rsid w:val="00980F44"/>
    <w:rsid w:val="009811F1"/>
    <w:rsid w:val="00981284"/>
    <w:rsid w:val="009814C8"/>
    <w:rsid w:val="00981684"/>
    <w:rsid w:val="00981A05"/>
    <w:rsid w:val="00982322"/>
    <w:rsid w:val="00982336"/>
    <w:rsid w:val="0098288C"/>
    <w:rsid w:val="00982B14"/>
    <w:rsid w:val="00982F6E"/>
    <w:rsid w:val="0098303B"/>
    <w:rsid w:val="0098304D"/>
    <w:rsid w:val="00983200"/>
    <w:rsid w:val="00983571"/>
    <w:rsid w:val="009836B8"/>
    <w:rsid w:val="009839DA"/>
    <w:rsid w:val="00983C83"/>
    <w:rsid w:val="00983CA8"/>
    <w:rsid w:val="00983E57"/>
    <w:rsid w:val="00984567"/>
    <w:rsid w:val="009849EE"/>
    <w:rsid w:val="00984C7C"/>
    <w:rsid w:val="009850CC"/>
    <w:rsid w:val="00985112"/>
    <w:rsid w:val="00985669"/>
    <w:rsid w:val="00985928"/>
    <w:rsid w:val="009859A1"/>
    <w:rsid w:val="00985C52"/>
    <w:rsid w:val="00985DE2"/>
    <w:rsid w:val="00986298"/>
    <w:rsid w:val="0098675D"/>
    <w:rsid w:val="0098683B"/>
    <w:rsid w:val="00986DC1"/>
    <w:rsid w:val="00986FB8"/>
    <w:rsid w:val="00987B2A"/>
    <w:rsid w:val="00990112"/>
    <w:rsid w:val="0099027C"/>
    <w:rsid w:val="0099040F"/>
    <w:rsid w:val="00990877"/>
    <w:rsid w:val="00990BF8"/>
    <w:rsid w:val="00990E7D"/>
    <w:rsid w:val="00990FFE"/>
    <w:rsid w:val="009913B2"/>
    <w:rsid w:val="00991B5A"/>
    <w:rsid w:val="00991D95"/>
    <w:rsid w:val="00991DAD"/>
    <w:rsid w:val="00991E94"/>
    <w:rsid w:val="00992132"/>
    <w:rsid w:val="009923EE"/>
    <w:rsid w:val="0099245D"/>
    <w:rsid w:val="009926E0"/>
    <w:rsid w:val="00992CBB"/>
    <w:rsid w:val="00992D21"/>
    <w:rsid w:val="00992F1D"/>
    <w:rsid w:val="00993251"/>
    <w:rsid w:val="00993668"/>
    <w:rsid w:val="009937EB"/>
    <w:rsid w:val="00993C33"/>
    <w:rsid w:val="00993CF6"/>
    <w:rsid w:val="00993ED7"/>
    <w:rsid w:val="00994006"/>
    <w:rsid w:val="00994072"/>
    <w:rsid w:val="00994091"/>
    <w:rsid w:val="00994215"/>
    <w:rsid w:val="009943E2"/>
    <w:rsid w:val="00994408"/>
    <w:rsid w:val="0099451E"/>
    <w:rsid w:val="00994703"/>
    <w:rsid w:val="00994742"/>
    <w:rsid w:val="00994A01"/>
    <w:rsid w:val="00994B21"/>
    <w:rsid w:val="00994FBF"/>
    <w:rsid w:val="009954B6"/>
    <w:rsid w:val="00995E60"/>
    <w:rsid w:val="0099602B"/>
    <w:rsid w:val="009963FA"/>
    <w:rsid w:val="009964AA"/>
    <w:rsid w:val="0099671E"/>
    <w:rsid w:val="00996827"/>
    <w:rsid w:val="00996B1A"/>
    <w:rsid w:val="00996E45"/>
    <w:rsid w:val="00996FC3"/>
    <w:rsid w:val="00997074"/>
    <w:rsid w:val="009970FF"/>
    <w:rsid w:val="00997159"/>
    <w:rsid w:val="00997C45"/>
    <w:rsid w:val="009A03B8"/>
    <w:rsid w:val="009A0483"/>
    <w:rsid w:val="009A04B2"/>
    <w:rsid w:val="009A07A7"/>
    <w:rsid w:val="009A0ACB"/>
    <w:rsid w:val="009A0D22"/>
    <w:rsid w:val="009A0E29"/>
    <w:rsid w:val="009A10A4"/>
    <w:rsid w:val="009A10D2"/>
    <w:rsid w:val="009A1122"/>
    <w:rsid w:val="009A1B95"/>
    <w:rsid w:val="009A216D"/>
    <w:rsid w:val="009A23F2"/>
    <w:rsid w:val="009A2686"/>
    <w:rsid w:val="009A2953"/>
    <w:rsid w:val="009A2983"/>
    <w:rsid w:val="009A2A1F"/>
    <w:rsid w:val="009A2DCC"/>
    <w:rsid w:val="009A2E15"/>
    <w:rsid w:val="009A3161"/>
    <w:rsid w:val="009A3258"/>
    <w:rsid w:val="009A3446"/>
    <w:rsid w:val="009A367A"/>
    <w:rsid w:val="009A3B40"/>
    <w:rsid w:val="009A41A7"/>
    <w:rsid w:val="009A423D"/>
    <w:rsid w:val="009A4256"/>
    <w:rsid w:val="009A4779"/>
    <w:rsid w:val="009A491E"/>
    <w:rsid w:val="009A4939"/>
    <w:rsid w:val="009A4FBB"/>
    <w:rsid w:val="009A5021"/>
    <w:rsid w:val="009A56DE"/>
    <w:rsid w:val="009A591F"/>
    <w:rsid w:val="009A5A7C"/>
    <w:rsid w:val="009A5ABC"/>
    <w:rsid w:val="009A5B5D"/>
    <w:rsid w:val="009A60BE"/>
    <w:rsid w:val="009A64AE"/>
    <w:rsid w:val="009A6B1C"/>
    <w:rsid w:val="009A6BC0"/>
    <w:rsid w:val="009A6BC2"/>
    <w:rsid w:val="009A7398"/>
    <w:rsid w:val="009A78D8"/>
    <w:rsid w:val="009A7A13"/>
    <w:rsid w:val="009A7A22"/>
    <w:rsid w:val="009A7B5A"/>
    <w:rsid w:val="009A7F10"/>
    <w:rsid w:val="009B00F1"/>
    <w:rsid w:val="009B01C5"/>
    <w:rsid w:val="009B04AB"/>
    <w:rsid w:val="009B091B"/>
    <w:rsid w:val="009B0B42"/>
    <w:rsid w:val="009B0B5B"/>
    <w:rsid w:val="009B0B5E"/>
    <w:rsid w:val="009B0C92"/>
    <w:rsid w:val="009B0DB2"/>
    <w:rsid w:val="009B0FD4"/>
    <w:rsid w:val="009B10AA"/>
    <w:rsid w:val="009B1140"/>
    <w:rsid w:val="009B11E8"/>
    <w:rsid w:val="009B165D"/>
    <w:rsid w:val="009B1738"/>
    <w:rsid w:val="009B19C7"/>
    <w:rsid w:val="009B1EF8"/>
    <w:rsid w:val="009B20F9"/>
    <w:rsid w:val="009B2239"/>
    <w:rsid w:val="009B2396"/>
    <w:rsid w:val="009B266F"/>
    <w:rsid w:val="009B26CB"/>
    <w:rsid w:val="009B27D1"/>
    <w:rsid w:val="009B2B02"/>
    <w:rsid w:val="009B2B39"/>
    <w:rsid w:val="009B2C5F"/>
    <w:rsid w:val="009B2D9E"/>
    <w:rsid w:val="009B2FBF"/>
    <w:rsid w:val="009B304D"/>
    <w:rsid w:val="009B3759"/>
    <w:rsid w:val="009B3A21"/>
    <w:rsid w:val="009B3E26"/>
    <w:rsid w:val="009B3F2C"/>
    <w:rsid w:val="009B44E8"/>
    <w:rsid w:val="009B4974"/>
    <w:rsid w:val="009B528C"/>
    <w:rsid w:val="009B5340"/>
    <w:rsid w:val="009B5558"/>
    <w:rsid w:val="009B5852"/>
    <w:rsid w:val="009B59BF"/>
    <w:rsid w:val="009B5B9C"/>
    <w:rsid w:val="009B67CB"/>
    <w:rsid w:val="009B6AB6"/>
    <w:rsid w:val="009B6BF8"/>
    <w:rsid w:val="009B71F1"/>
    <w:rsid w:val="009B75D9"/>
    <w:rsid w:val="009B7CF9"/>
    <w:rsid w:val="009B7F93"/>
    <w:rsid w:val="009C029F"/>
    <w:rsid w:val="009C02D5"/>
    <w:rsid w:val="009C050D"/>
    <w:rsid w:val="009C061A"/>
    <w:rsid w:val="009C0ADE"/>
    <w:rsid w:val="009C0BF1"/>
    <w:rsid w:val="009C0D70"/>
    <w:rsid w:val="009C17F4"/>
    <w:rsid w:val="009C1979"/>
    <w:rsid w:val="009C19C3"/>
    <w:rsid w:val="009C1D9D"/>
    <w:rsid w:val="009C2451"/>
    <w:rsid w:val="009C24D9"/>
    <w:rsid w:val="009C27D4"/>
    <w:rsid w:val="009C2952"/>
    <w:rsid w:val="009C2A9E"/>
    <w:rsid w:val="009C2D82"/>
    <w:rsid w:val="009C2EAE"/>
    <w:rsid w:val="009C3194"/>
    <w:rsid w:val="009C3276"/>
    <w:rsid w:val="009C32B7"/>
    <w:rsid w:val="009C3706"/>
    <w:rsid w:val="009C37DC"/>
    <w:rsid w:val="009C3A3A"/>
    <w:rsid w:val="009C3C5D"/>
    <w:rsid w:val="009C4061"/>
    <w:rsid w:val="009C442C"/>
    <w:rsid w:val="009C48D5"/>
    <w:rsid w:val="009C4910"/>
    <w:rsid w:val="009C491C"/>
    <w:rsid w:val="009C4BD6"/>
    <w:rsid w:val="009C4C8A"/>
    <w:rsid w:val="009C4D7C"/>
    <w:rsid w:val="009C5CAF"/>
    <w:rsid w:val="009C605D"/>
    <w:rsid w:val="009C6460"/>
    <w:rsid w:val="009C64F9"/>
    <w:rsid w:val="009C68FC"/>
    <w:rsid w:val="009C6CEA"/>
    <w:rsid w:val="009C6EAC"/>
    <w:rsid w:val="009C703B"/>
    <w:rsid w:val="009C7071"/>
    <w:rsid w:val="009C7384"/>
    <w:rsid w:val="009C7B85"/>
    <w:rsid w:val="009C7DA0"/>
    <w:rsid w:val="009C7E78"/>
    <w:rsid w:val="009D0254"/>
    <w:rsid w:val="009D03F0"/>
    <w:rsid w:val="009D0C97"/>
    <w:rsid w:val="009D0D2D"/>
    <w:rsid w:val="009D0F26"/>
    <w:rsid w:val="009D1A33"/>
    <w:rsid w:val="009D1A64"/>
    <w:rsid w:val="009D1C26"/>
    <w:rsid w:val="009D2050"/>
    <w:rsid w:val="009D23A3"/>
    <w:rsid w:val="009D247E"/>
    <w:rsid w:val="009D24A1"/>
    <w:rsid w:val="009D2507"/>
    <w:rsid w:val="009D27DA"/>
    <w:rsid w:val="009D2C5A"/>
    <w:rsid w:val="009D2D4F"/>
    <w:rsid w:val="009D2D88"/>
    <w:rsid w:val="009D2F48"/>
    <w:rsid w:val="009D30FB"/>
    <w:rsid w:val="009D33F1"/>
    <w:rsid w:val="009D367E"/>
    <w:rsid w:val="009D392C"/>
    <w:rsid w:val="009D3972"/>
    <w:rsid w:val="009D3A75"/>
    <w:rsid w:val="009D3E53"/>
    <w:rsid w:val="009D3F6C"/>
    <w:rsid w:val="009D42A9"/>
    <w:rsid w:val="009D446A"/>
    <w:rsid w:val="009D4471"/>
    <w:rsid w:val="009D4888"/>
    <w:rsid w:val="009D4F8F"/>
    <w:rsid w:val="009D4FAB"/>
    <w:rsid w:val="009D51B7"/>
    <w:rsid w:val="009D54E5"/>
    <w:rsid w:val="009D58C0"/>
    <w:rsid w:val="009D59EA"/>
    <w:rsid w:val="009D5B26"/>
    <w:rsid w:val="009D5B91"/>
    <w:rsid w:val="009D5C3B"/>
    <w:rsid w:val="009D5FFD"/>
    <w:rsid w:val="009D6222"/>
    <w:rsid w:val="009D64C6"/>
    <w:rsid w:val="009D6509"/>
    <w:rsid w:val="009D65E8"/>
    <w:rsid w:val="009D6A9B"/>
    <w:rsid w:val="009D6D9E"/>
    <w:rsid w:val="009D71A6"/>
    <w:rsid w:val="009D71BD"/>
    <w:rsid w:val="009D726B"/>
    <w:rsid w:val="009D73AD"/>
    <w:rsid w:val="009D762E"/>
    <w:rsid w:val="009D7651"/>
    <w:rsid w:val="009D792E"/>
    <w:rsid w:val="009D7B84"/>
    <w:rsid w:val="009D7CB7"/>
    <w:rsid w:val="009E02E9"/>
    <w:rsid w:val="009E07D3"/>
    <w:rsid w:val="009E0C98"/>
    <w:rsid w:val="009E0DFE"/>
    <w:rsid w:val="009E1217"/>
    <w:rsid w:val="009E14E2"/>
    <w:rsid w:val="009E1513"/>
    <w:rsid w:val="009E15E6"/>
    <w:rsid w:val="009E160C"/>
    <w:rsid w:val="009E1D03"/>
    <w:rsid w:val="009E2038"/>
    <w:rsid w:val="009E208B"/>
    <w:rsid w:val="009E2237"/>
    <w:rsid w:val="009E2454"/>
    <w:rsid w:val="009E2536"/>
    <w:rsid w:val="009E2845"/>
    <w:rsid w:val="009E2A20"/>
    <w:rsid w:val="009E2CCD"/>
    <w:rsid w:val="009E2E77"/>
    <w:rsid w:val="009E2EB4"/>
    <w:rsid w:val="009E2F25"/>
    <w:rsid w:val="009E3151"/>
    <w:rsid w:val="009E31F6"/>
    <w:rsid w:val="009E3505"/>
    <w:rsid w:val="009E36B3"/>
    <w:rsid w:val="009E3733"/>
    <w:rsid w:val="009E3C03"/>
    <w:rsid w:val="009E3D88"/>
    <w:rsid w:val="009E42ED"/>
    <w:rsid w:val="009E4331"/>
    <w:rsid w:val="009E461A"/>
    <w:rsid w:val="009E4995"/>
    <w:rsid w:val="009E4C07"/>
    <w:rsid w:val="009E4CEA"/>
    <w:rsid w:val="009E5380"/>
    <w:rsid w:val="009E54C4"/>
    <w:rsid w:val="009E54D3"/>
    <w:rsid w:val="009E54D6"/>
    <w:rsid w:val="009E562E"/>
    <w:rsid w:val="009E5728"/>
    <w:rsid w:val="009E5837"/>
    <w:rsid w:val="009E593F"/>
    <w:rsid w:val="009E59C8"/>
    <w:rsid w:val="009E5A54"/>
    <w:rsid w:val="009E5D33"/>
    <w:rsid w:val="009E5D58"/>
    <w:rsid w:val="009E5E68"/>
    <w:rsid w:val="009E5E8C"/>
    <w:rsid w:val="009E5F07"/>
    <w:rsid w:val="009E6086"/>
    <w:rsid w:val="009E61F4"/>
    <w:rsid w:val="009E68E3"/>
    <w:rsid w:val="009E6DA0"/>
    <w:rsid w:val="009E6FFA"/>
    <w:rsid w:val="009E7334"/>
    <w:rsid w:val="009E73FB"/>
    <w:rsid w:val="009E75F2"/>
    <w:rsid w:val="009E783E"/>
    <w:rsid w:val="009E7945"/>
    <w:rsid w:val="009E7E90"/>
    <w:rsid w:val="009E7ECF"/>
    <w:rsid w:val="009F016E"/>
    <w:rsid w:val="009F01D9"/>
    <w:rsid w:val="009F0211"/>
    <w:rsid w:val="009F022D"/>
    <w:rsid w:val="009F0FA2"/>
    <w:rsid w:val="009F108D"/>
    <w:rsid w:val="009F12D0"/>
    <w:rsid w:val="009F1785"/>
    <w:rsid w:val="009F1B95"/>
    <w:rsid w:val="009F1CA2"/>
    <w:rsid w:val="009F1E25"/>
    <w:rsid w:val="009F1F85"/>
    <w:rsid w:val="009F2018"/>
    <w:rsid w:val="009F2027"/>
    <w:rsid w:val="009F2128"/>
    <w:rsid w:val="009F2177"/>
    <w:rsid w:val="009F21E7"/>
    <w:rsid w:val="009F25B1"/>
    <w:rsid w:val="009F2B5D"/>
    <w:rsid w:val="009F325D"/>
    <w:rsid w:val="009F378D"/>
    <w:rsid w:val="009F3AAE"/>
    <w:rsid w:val="009F3CCB"/>
    <w:rsid w:val="009F3E2B"/>
    <w:rsid w:val="009F3F9F"/>
    <w:rsid w:val="009F4486"/>
    <w:rsid w:val="009F44C7"/>
    <w:rsid w:val="009F45C0"/>
    <w:rsid w:val="009F4BFB"/>
    <w:rsid w:val="009F4C67"/>
    <w:rsid w:val="009F4D0C"/>
    <w:rsid w:val="009F5109"/>
    <w:rsid w:val="009F562F"/>
    <w:rsid w:val="009F5967"/>
    <w:rsid w:val="009F6092"/>
    <w:rsid w:val="009F6332"/>
    <w:rsid w:val="009F63BC"/>
    <w:rsid w:val="009F671B"/>
    <w:rsid w:val="009F6BE1"/>
    <w:rsid w:val="009F6C52"/>
    <w:rsid w:val="009F6D02"/>
    <w:rsid w:val="009F6D9D"/>
    <w:rsid w:val="009F6F8F"/>
    <w:rsid w:val="009F702C"/>
    <w:rsid w:val="009F73E8"/>
    <w:rsid w:val="009F7CBE"/>
    <w:rsid w:val="009F7D5E"/>
    <w:rsid w:val="009F7DB0"/>
    <w:rsid w:val="009F7FFE"/>
    <w:rsid w:val="00A00278"/>
    <w:rsid w:val="00A003C0"/>
    <w:rsid w:val="00A009F8"/>
    <w:rsid w:val="00A00A2B"/>
    <w:rsid w:val="00A00BA4"/>
    <w:rsid w:val="00A00C27"/>
    <w:rsid w:val="00A01006"/>
    <w:rsid w:val="00A010F3"/>
    <w:rsid w:val="00A01184"/>
    <w:rsid w:val="00A011F1"/>
    <w:rsid w:val="00A01215"/>
    <w:rsid w:val="00A012E4"/>
    <w:rsid w:val="00A01739"/>
    <w:rsid w:val="00A019E4"/>
    <w:rsid w:val="00A01EAC"/>
    <w:rsid w:val="00A022B6"/>
    <w:rsid w:val="00A022D7"/>
    <w:rsid w:val="00A0269E"/>
    <w:rsid w:val="00A02727"/>
    <w:rsid w:val="00A0293A"/>
    <w:rsid w:val="00A02BF4"/>
    <w:rsid w:val="00A02D4D"/>
    <w:rsid w:val="00A0357E"/>
    <w:rsid w:val="00A0371E"/>
    <w:rsid w:val="00A037C2"/>
    <w:rsid w:val="00A03D43"/>
    <w:rsid w:val="00A03D5C"/>
    <w:rsid w:val="00A04197"/>
    <w:rsid w:val="00A04380"/>
    <w:rsid w:val="00A043BD"/>
    <w:rsid w:val="00A044DA"/>
    <w:rsid w:val="00A04572"/>
    <w:rsid w:val="00A0513B"/>
    <w:rsid w:val="00A05446"/>
    <w:rsid w:val="00A05472"/>
    <w:rsid w:val="00A05709"/>
    <w:rsid w:val="00A05728"/>
    <w:rsid w:val="00A05771"/>
    <w:rsid w:val="00A05C32"/>
    <w:rsid w:val="00A05C4F"/>
    <w:rsid w:val="00A05D01"/>
    <w:rsid w:val="00A05F47"/>
    <w:rsid w:val="00A05F76"/>
    <w:rsid w:val="00A0602A"/>
    <w:rsid w:val="00A0653F"/>
    <w:rsid w:val="00A066FA"/>
    <w:rsid w:val="00A06987"/>
    <w:rsid w:val="00A06BF5"/>
    <w:rsid w:val="00A06D88"/>
    <w:rsid w:val="00A06DD4"/>
    <w:rsid w:val="00A06F64"/>
    <w:rsid w:val="00A071B7"/>
    <w:rsid w:val="00A07295"/>
    <w:rsid w:val="00A072BD"/>
    <w:rsid w:val="00A079A7"/>
    <w:rsid w:val="00A07A10"/>
    <w:rsid w:val="00A07F26"/>
    <w:rsid w:val="00A07F9B"/>
    <w:rsid w:val="00A1001B"/>
    <w:rsid w:val="00A10455"/>
    <w:rsid w:val="00A10521"/>
    <w:rsid w:val="00A10525"/>
    <w:rsid w:val="00A1056F"/>
    <w:rsid w:val="00A10871"/>
    <w:rsid w:val="00A10CF0"/>
    <w:rsid w:val="00A10D25"/>
    <w:rsid w:val="00A10F28"/>
    <w:rsid w:val="00A1159A"/>
    <w:rsid w:val="00A11CD0"/>
    <w:rsid w:val="00A11F47"/>
    <w:rsid w:val="00A1225F"/>
    <w:rsid w:val="00A12542"/>
    <w:rsid w:val="00A1258C"/>
    <w:rsid w:val="00A127FA"/>
    <w:rsid w:val="00A12835"/>
    <w:rsid w:val="00A1286D"/>
    <w:rsid w:val="00A12903"/>
    <w:rsid w:val="00A12DF3"/>
    <w:rsid w:val="00A13052"/>
    <w:rsid w:val="00A1336B"/>
    <w:rsid w:val="00A13711"/>
    <w:rsid w:val="00A13948"/>
    <w:rsid w:val="00A13AA6"/>
    <w:rsid w:val="00A13F02"/>
    <w:rsid w:val="00A14154"/>
    <w:rsid w:val="00A141E0"/>
    <w:rsid w:val="00A141ED"/>
    <w:rsid w:val="00A14742"/>
    <w:rsid w:val="00A14D27"/>
    <w:rsid w:val="00A154F7"/>
    <w:rsid w:val="00A1555B"/>
    <w:rsid w:val="00A155C5"/>
    <w:rsid w:val="00A1562C"/>
    <w:rsid w:val="00A15669"/>
    <w:rsid w:val="00A15B9D"/>
    <w:rsid w:val="00A15C0C"/>
    <w:rsid w:val="00A15C2E"/>
    <w:rsid w:val="00A15F8B"/>
    <w:rsid w:val="00A162B0"/>
    <w:rsid w:val="00A16AD8"/>
    <w:rsid w:val="00A16DFD"/>
    <w:rsid w:val="00A16EEB"/>
    <w:rsid w:val="00A171A1"/>
    <w:rsid w:val="00A174A4"/>
    <w:rsid w:val="00A17819"/>
    <w:rsid w:val="00A17991"/>
    <w:rsid w:val="00A17C1E"/>
    <w:rsid w:val="00A17F47"/>
    <w:rsid w:val="00A2023E"/>
    <w:rsid w:val="00A204A9"/>
    <w:rsid w:val="00A20503"/>
    <w:rsid w:val="00A20511"/>
    <w:rsid w:val="00A206D5"/>
    <w:rsid w:val="00A2099C"/>
    <w:rsid w:val="00A20F1A"/>
    <w:rsid w:val="00A2126C"/>
    <w:rsid w:val="00A21A2F"/>
    <w:rsid w:val="00A21A94"/>
    <w:rsid w:val="00A21B4E"/>
    <w:rsid w:val="00A21B54"/>
    <w:rsid w:val="00A21C95"/>
    <w:rsid w:val="00A21CF3"/>
    <w:rsid w:val="00A21E37"/>
    <w:rsid w:val="00A22040"/>
    <w:rsid w:val="00A22586"/>
    <w:rsid w:val="00A22617"/>
    <w:rsid w:val="00A226D2"/>
    <w:rsid w:val="00A22904"/>
    <w:rsid w:val="00A22939"/>
    <w:rsid w:val="00A22DFD"/>
    <w:rsid w:val="00A23276"/>
    <w:rsid w:val="00A2351D"/>
    <w:rsid w:val="00A23841"/>
    <w:rsid w:val="00A23C1F"/>
    <w:rsid w:val="00A23E57"/>
    <w:rsid w:val="00A24167"/>
    <w:rsid w:val="00A24813"/>
    <w:rsid w:val="00A24A4E"/>
    <w:rsid w:val="00A24A88"/>
    <w:rsid w:val="00A24BA1"/>
    <w:rsid w:val="00A24EDE"/>
    <w:rsid w:val="00A24F65"/>
    <w:rsid w:val="00A24FFE"/>
    <w:rsid w:val="00A25138"/>
    <w:rsid w:val="00A25961"/>
    <w:rsid w:val="00A25A46"/>
    <w:rsid w:val="00A25E66"/>
    <w:rsid w:val="00A26BAE"/>
    <w:rsid w:val="00A26BCA"/>
    <w:rsid w:val="00A26D2F"/>
    <w:rsid w:val="00A2736E"/>
    <w:rsid w:val="00A27843"/>
    <w:rsid w:val="00A2785A"/>
    <w:rsid w:val="00A27AEC"/>
    <w:rsid w:val="00A304F0"/>
    <w:rsid w:val="00A3089D"/>
    <w:rsid w:val="00A309B1"/>
    <w:rsid w:val="00A309C7"/>
    <w:rsid w:val="00A311E9"/>
    <w:rsid w:val="00A31271"/>
    <w:rsid w:val="00A31320"/>
    <w:rsid w:val="00A31B78"/>
    <w:rsid w:val="00A31BE5"/>
    <w:rsid w:val="00A31DCE"/>
    <w:rsid w:val="00A31F01"/>
    <w:rsid w:val="00A31F19"/>
    <w:rsid w:val="00A3201B"/>
    <w:rsid w:val="00A320DB"/>
    <w:rsid w:val="00A32121"/>
    <w:rsid w:val="00A32807"/>
    <w:rsid w:val="00A32A1A"/>
    <w:rsid w:val="00A331C9"/>
    <w:rsid w:val="00A3323D"/>
    <w:rsid w:val="00A33C66"/>
    <w:rsid w:val="00A33D2F"/>
    <w:rsid w:val="00A33F6B"/>
    <w:rsid w:val="00A343AA"/>
    <w:rsid w:val="00A349F8"/>
    <w:rsid w:val="00A34EBE"/>
    <w:rsid w:val="00A35B73"/>
    <w:rsid w:val="00A35D16"/>
    <w:rsid w:val="00A36011"/>
    <w:rsid w:val="00A3663A"/>
    <w:rsid w:val="00A366D9"/>
    <w:rsid w:val="00A368D1"/>
    <w:rsid w:val="00A36B67"/>
    <w:rsid w:val="00A37238"/>
    <w:rsid w:val="00A374DA"/>
    <w:rsid w:val="00A37BBB"/>
    <w:rsid w:val="00A37BCD"/>
    <w:rsid w:val="00A37C7B"/>
    <w:rsid w:val="00A37CA0"/>
    <w:rsid w:val="00A4031D"/>
    <w:rsid w:val="00A409AC"/>
    <w:rsid w:val="00A409F9"/>
    <w:rsid w:val="00A40AF8"/>
    <w:rsid w:val="00A40B79"/>
    <w:rsid w:val="00A40EA1"/>
    <w:rsid w:val="00A410C6"/>
    <w:rsid w:val="00A41267"/>
    <w:rsid w:val="00A414D4"/>
    <w:rsid w:val="00A41689"/>
    <w:rsid w:val="00A42368"/>
    <w:rsid w:val="00A423DB"/>
    <w:rsid w:val="00A4241D"/>
    <w:rsid w:val="00A42592"/>
    <w:rsid w:val="00A426FF"/>
    <w:rsid w:val="00A428DC"/>
    <w:rsid w:val="00A42C45"/>
    <w:rsid w:val="00A43188"/>
    <w:rsid w:val="00A43325"/>
    <w:rsid w:val="00A4346C"/>
    <w:rsid w:val="00A43517"/>
    <w:rsid w:val="00A43950"/>
    <w:rsid w:val="00A43C59"/>
    <w:rsid w:val="00A43E45"/>
    <w:rsid w:val="00A44484"/>
    <w:rsid w:val="00A4462A"/>
    <w:rsid w:val="00A44800"/>
    <w:rsid w:val="00A4483C"/>
    <w:rsid w:val="00A448FC"/>
    <w:rsid w:val="00A44E82"/>
    <w:rsid w:val="00A44EDC"/>
    <w:rsid w:val="00A44FF5"/>
    <w:rsid w:val="00A45193"/>
    <w:rsid w:val="00A45338"/>
    <w:rsid w:val="00A45430"/>
    <w:rsid w:val="00A45620"/>
    <w:rsid w:val="00A45800"/>
    <w:rsid w:val="00A45B86"/>
    <w:rsid w:val="00A45E03"/>
    <w:rsid w:val="00A45E8B"/>
    <w:rsid w:val="00A4665D"/>
    <w:rsid w:val="00A46A5A"/>
    <w:rsid w:val="00A4715E"/>
    <w:rsid w:val="00A471A0"/>
    <w:rsid w:val="00A473C0"/>
    <w:rsid w:val="00A4755C"/>
    <w:rsid w:val="00A4792A"/>
    <w:rsid w:val="00A47C6E"/>
    <w:rsid w:val="00A502B3"/>
    <w:rsid w:val="00A50499"/>
    <w:rsid w:val="00A50776"/>
    <w:rsid w:val="00A508D0"/>
    <w:rsid w:val="00A50941"/>
    <w:rsid w:val="00A50C05"/>
    <w:rsid w:val="00A50DC9"/>
    <w:rsid w:val="00A50ECD"/>
    <w:rsid w:val="00A5146D"/>
    <w:rsid w:val="00A518F3"/>
    <w:rsid w:val="00A51D16"/>
    <w:rsid w:val="00A520EF"/>
    <w:rsid w:val="00A52203"/>
    <w:rsid w:val="00A52729"/>
    <w:rsid w:val="00A52A00"/>
    <w:rsid w:val="00A52D3F"/>
    <w:rsid w:val="00A5320C"/>
    <w:rsid w:val="00A533EE"/>
    <w:rsid w:val="00A53675"/>
    <w:rsid w:val="00A53A4F"/>
    <w:rsid w:val="00A53C0B"/>
    <w:rsid w:val="00A53E79"/>
    <w:rsid w:val="00A53FC3"/>
    <w:rsid w:val="00A54885"/>
    <w:rsid w:val="00A54A50"/>
    <w:rsid w:val="00A54B8B"/>
    <w:rsid w:val="00A54EBE"/>
    <w:rsid w:val="00A55106"/>
    <w:rsid w:val="00A552BF"/>
    <w:rsid w:val="00A552FA"/>
    <w:rsid w:val="00A5551C"/>
    <w:rsid w:val="00A55583"/>
    <w:rsid w:val="00A55823"/>
    <w:rsid w:val="00A55A8B"/>
    <w:rsid w:val="00A55DEB"/>
    <w:rsid w:val="00A55FFF"/>
    <w:rsid w:val="00A560C3"/>
    <w:rsid w:val="00A564D7"/>
    <w:rsid w:val="00A56AF3"/>
    <w:rsid w:val="00A56B58"/>
    <w:rsid w:val="00A56B6A"/>
    <w:rsid w:val="00A56EA0"/>
    <w:rsid w:val="00A57019"/>
    <w:rsid w:val="00A574AA"/>
    <w:rsid w:val="00A57661"/>
    <w:rsid w:val="00A578DC"/>
    <w:rsid w:val="00A57951"/>
    <w:rsid w:val="00A60070"/>
    <w:rsid w:val="00A60357"/>
    <w:rsid w:val="00A60584"/>
    <w:rsid w:val="00A6061E"/>
    <w:rsid w:val="00A60696"/>
    <w:rsid w:val="00A60A33"/>
    <w:rsid w:val="00A60A4A"/>
    <w:rsid w:val="00A61620"/>
    <w:rsid w:val="00A61882"/>
    <w:rsid w:val="00A61CC2"/>
    <w:rsid w:val="00A6243B"/>
    <w:rsid w:val="00A62A90"/>
    <w:rsid w:val="00A62CEA"/>
    <w:rsid w:val="00A638EF"/>
    <w:rsid w:val="00A6394B"/>
    <w:rsid w:val="00A63AEC"/>
    <w:rsid w:val="00A63C6C"/>
    <w:rsid w:val="00A63F41"/>
    <w:rsid w:val="00A63FF0"/>
    <w:rsid w:val="00A640E2"/>
    <w:rsid w:val="00A64206"/>
    <w:rsid w:val="00A64224"/>
    <w:rsid w:val="00A64751"/>
    <w:rsid w:val="00A64772"/>
    <w:rsid w:val="00A6481A"/>
    <w:rsid w:val="00A64D3B"/>
    <w:rsid w:val="00A64D65"/>
    <w:rsid w:val="00A64F53"/>
    <w:rsid w:val="00A65609"/>
    <w:rsid w:val="00A65796"/>
    <w:rsid w:val="00A658D8"/>
    <w:rsid w:val="00A65925"/>
    <w:rsid w:val="00A65E1C"/>
    <w:rsid w:val="00A6614E"/>
    <w:rsid w:val="00A661FF"/>
    <w:rsid w:val="00A6660F"/>
    <w:rsid w:val="00A66AB7"/>
    <w:rsid w:val="00A66E75"/>
    <w:rsid w:val="00A66E88"/>
    <w:rsid w:val="00A6722D"/>
    <w:rsid w:val="00A6725B"/>
    <w:rsid w:val="00A674C0"/>
    <w:rsid w:val="00A675DE"/>
    <w:rsid w:val="00A67821"/>
    <w:rsid w:val="00A679C6"/>
    <w:rsid w:val="00A67BAC"/>
    <w:rsid w:val="00A67BB3"/>
    <w:rsid w:val="00A67F05"/>
    <w:rsid w:val="00A70203"/>
    <w:rsid w:val="00A702D6"/>
    <w:rsid w:val="00A70605"/>
    <w:rsid w:val="00A70EC5"/>
    <w:rsid w:val="00A71010"/>
    <w:rsid w:val="00A7105A"/>
    <w:rsid w:val="00A711FE"/>
    <w:rsid w:val="00A71521"/>
    <w:rsid w:val="00A717B5"/>
    <w:rsid w:val="00A718EA"/>
    <w:rsid w:val="00A71B4E"/>
    <w:rsid w:val="00A71CAD"/>
    <w:rsid w:val="00A71EBC"/>
    <w:rsid w:val="00A72544"/>
    <w:rsid w:val="00A728B5"/>
    <w:rsid w:val="00A729F3"/>
    <w:rsid w:val="00A73052"/>
    <w:rsid w:val="00A73134"/>
    <w:rsid w:val="00A73893"/>
    <w:rsid w:val="00A738DA"/>
    <w:rsid w:val="00A7396F"/>
    <w:rsid w:val="00A73BBB"/>
    <w:rsid w:val="00A73BE7"/>
    <w:rsid w:val="00A7432B"/>
    <w:rsid w:val="00A748D0"/>
    <w:rsid w:val="00A7494D"/>
    <w:rsid w:val="00A74AC9"/>
    <w:rsid w:val="00A7542D"/>
    <w:rsid w:val="00A755FF"/>
    <w:rsid w:val="00A75737"/>
    <w:rsid w:val="00A75A06"/>
    <w:rsid w:val="00A75BEC"/>
    <w:rsid w:val="00A75C28"/>
    <w:rsid w:val="00A75E66"/>
    <w:rsid w:val="00A75E86"/>
    <w:rsid w:val="00A76001"/>
    <w:rsid w:val="00A765AD"/>
    <w:rsid w:val="00A766C3"/>
    <w:rsid w:val="00A76852"/>
    <w:rsid w:val="00A76CA4"/>
    <w:rsid w:val="00A76EB6"/>
    <w:rsid w:val="00A77111"/>
    <w:rsid w:val="00A771A9"/>
    <w:rsid w:val="00A77278"/>
    <w:rsid w:val="00A77425"/>
    <w:rsid w:val="00A77709"/>
    <w:rsid w:val="00A777B2"/>
    <w:rsid w:val="00A7792A"/>
    <w:rsid w:val="00A77938"/>
    <w:rsid w:val="00A77A4C"/>
    <w:rsid w:val="00A77D8F"/>
    <w:rsid w:val="00A8019D"/>
    <w:rsid w:val="00A807FA"/>
    <w:rsid w:val="00A80BB4"/>
    <w:rsid w:val="00A80C31"/>
    <w:rsid w:val="00A80DBA"/>
    <w:rsid w:val="00A80DFE"/>
    <w:rsid w:val="00A810E8"/>
    <w:rsid w:val="00A8136F"/>
    <w:rsid w:val="00A81B55"/>
    <w:rsid w:val="00A81FE0"/>
    <w:rsid w:val="00A820AA"/>
    <w:rsid w:val="00A825D4"/>
    <w:rsid w:val="00A826D7"/>
    <w:rsid w:val="00A828F6"/>
    <w:rsid w:val="00A8293E"/>
    <w:rsid w:val="00A82AF2"/>
    <w:rsid w:val="00A82B73"/>
    <w:rsid w:val="00A82D61"/>
    <w:rsid w:val="00A83129"/>
    <w:rsid w:val="00A83324"/>
    <w:rsid w:val="00A83BD1"/>
    <w:rsid w:val="00A83DF2"/>
    <w:rsid w:val="00A84027"/>
    <w:rsid w:val="00A84136"/>
    <w:rsid w:val="00A841F2"/>
    <w:rsid w:val="00A844FF"/>
    <w:rsid w:val="00A8477F"/>
    <w:rsid w:val="00A84EF1"/>
    <w:rsid w:val="00A85679"/>
    <w:rsid w:val="00A85C37"/>
    <w:rsid w:val="00A85DB8"/>
    <w:rsid w:val="00A85E2C"/>
    <w:rsid w:val="00A865E2"/>
    <w:rsid w:val="00A867AD"/>
    <w:rsid w:val="00A86E8B"/>
    <w:rsid w:val="00A87164"/>
    <w:rsid w:val="00A87C40"/>
    <w:rsid w:val="00A87CC1"/>
    <w:rsid w:val="00A87CE1"/>
    <w:rsid w:val="00A87DCC"/>
    <w:rsid w:val="00A901F0"/>
    <w:rsid w:val="00A90247"/>
    <w:rsid w:val="00A903F1"/>
    <w:rsid w:val="00A905E6"/>
    <w:rsid w:val="00A908A4"/>
    <w:rsid w:val="00A90FD8"/>
    <w:rsid w:val="00A9158F"/>
    <w:rsid w:val="00A915EA"/>
    <w:rsid w:val="00A91877"/>
    <w:rsid w:val="00A9187E"/>
    <w:rsid w:val="00A91A9F"/>
    <w:rsid w:val="00A91C43"/>
    <w:rsid w:val="00A91E72"/>
    <w:rsid w:val="00A92050"/>
    <w:rsid w:val="00A92497"/>
    <w:rsid w:val="00A925D4"/>
    <w:rsid w:val="00A927C0"/>
    <w:rsid w:val="00A92A30"/>
    <w:rsid w:val="00A92CD8"/>
    <w:rsid w:val="00A92F4F"/>
    <w:rsid w:val="00A93072"/>
    <w:rsid w:val="00A930AE"/>
    <w:rsid w:val="00A931B9"/>
    <w:rsid w:val="00A93387"/>
    <w:rsid w:val="00A93478"/>
    <w:rsid w:val="00A938BD"/>
    <w:rsid w:val="00A93953"/>
    <w:rsid w:val="00A93D13"/>
    <w:rsid w:val="00A94078"/>
    <w:rsid w:val="00A940C9"/>
    <w:rsid w:val="00A94417"/>
    <w:rsid w:val="00A94511"/>
    <w:rsid w:val="00A94585"/>
    <w:rsid w:val="00A94D2A"/>
    <w:rsid w:val="00A94E29"/>
    <w:rsid w:val="00A9513C"/>
    <w:rsid w:val="00A95293"/>
    <w:rsid w:val="00A959D8"/>
    <w:rsid w:val="00A9608C"/>
    <w:rsid w:val="00A9635D"/>
    <w:rsid w:val="00A967BF"/>
    <w:rsid w:val="00A970E0"/>
    <w:rsid w:val="00A97232"/>
    <w:rsid w:val="00A97816"/>
    <w:rsid w:val="00A9794C"/>
    <w:rsid w:val="00A9796B"/>
    <w:rsid w:val="00A97C59"/>
    <w:rsid w:val="00AA05A7"/>
    <w:rsid w:val="00AA0711"/>
    <w:rsid w:val="00AA088C"/>
    <w:rsid w:val="00AA0E80"/>
    <w:rsid w:val="00AA113D"/>
    <w:rsid w:val="00AA11C1"/>
    <w:rsid w:val="00AA11E9"/>
    <w:rsid w:val="00AA11ED"/>
    <w:rsid w:val="00AA1203"/>
    <w:rsid w:val="00AA16B6"/>
    <w:rsid w:val="00AA16F0"/>
    <w:rsid w:val="00AA1AEF"/>
    <w:rsid w:val="00AA1B38"/>
    <w:rsid w:val="00AA1F1F"/>
    <w:rsid w:val="00AA2024"/>
    <w:rsid w:val="00AA2547"/>
    <w:rsid w:val="00AA28FC"/>
    <w:rsid w:val="00AA2A55"/>
    <w:rsid w:val="00AA31D2"/>
    <w:rsid w:val="00AA34DB"/>
    <w:rsid w:val="00AA370E"/>
    <w:rsid w:val="00AA3AA4"/>
    <w:rsid w:val="00AA3EFB"/>
    <w:rsid w:val="00AA40FC"/>
    <w:rsid w:val="00AA4720"/>
    <w:rsid w:val="00AA4D2E"/>
    <w:rsid w:val="00AA4EB5"/>
    <w:rsid w:val="00AA518A"/>
    <w:rsid w:val="00AA523A"/>
    <w:rsid w:val="00AA535F"/>
    <w:rsid w:val="00AA5635"/>
    <w:rsid w:val="00AA5D5F"/>
    <w:rsid w:val="00AA6BD5"/>
    <w:rsid w:val="00AA6BD8"/>
    <w:rsid w:val="00AA6C7D"/>
    <w:rsid w:val="00AA6CF8"/>
    <w:rsid w:val="00AA6F80"/>
    <w:rsid w:val="00AA74A3"/>
    <w:rsid w:val="00AA7927"/>
    <w:rsid w:val="00AA7C0A"/>
    <w:rsid w:val="00AA7D3A"/>
    <w:rsid w:val="00AA7FD6"/>
    <w:rsid w:val="00AB00B4"/>
    <w:rsid w:val="00AB0377"/>
    <w:rsid w:val="00AB042A"/>
    <w:rsid w:val="00AB06B6"/>
    <w:rsid w:val="00AB0880"/>
    <w:rsid w:val="00AB0CB1"/>
    <w:rsid w:val="00AB19EF"/>
    <w:rsid w:val="00AB1AB4"/>
    <w:rsid w:val="00AB21A9"/>
    <w:rsid w:val="00AB22C4"/>
    <w:rsid w:val="00AB26B8"/>
    <w:rsid w:val="00AB26DB"/>
    <w:rsid w:val="00AB2990"/>
    <w:rsid w:val="00AB2A75"/>
    <w:rsid w:val="00AB2B5C"/>
    <w:rsid w:val="00AB2D34"/>
    <w:rsid w:val="00AB2E63"/>
    <w:rsid w:val="00AB2E67"/>
    <w:rsid w:val="00AB3072"/>
    <w:rsid w:val="00AB32DE"/>
    <w:rsid w:val="00AB3401"/>
    <w:rsid w:val="00AB3430"/>
    <w:rsid w:val="00AB350B"/>
    <w:rsid w:val="00AB3689"/>
    <w:rsid w:val="00AB36FA"/>
    <w:rsid w:val="00AB37B9"/>
    <w:rsid w:val="00AB3B99"/>
    <w:rsid w:val="00AB42D3"/>
    <w:rsid w:val="00AB431C"/>
    <w:rsid w:val="00AB43F8"/>
    <w:rsid w:val="00AB4554"/>
    <w:rsid w:val="00AB4834"/>
    <w:rsid w:val="00AB491A"/>
    <w:rsid w:val="00AB4AD1"/>
    <w:rsid w:val="00AB4B5A"/>
    <w:rsid w:val="00AB4D68"/>
    <w:rsid w:val="00AB5E07"/>
    <w:rsid w:val="00AB5E0C"/>
    <w:rsid w:val="00AB6288"/>
    <w:rsid w:val="00AB6308"/>
    <w:rsid w:val="00AB66F1"/>
    <w:rsid w:val="00AB688D"/>
    <w:rsid w:val="00AB6E3A"/>
    <w:rsid w:val="00AB6F38"/>
    <w:rsid w:val="00AB7070"/>
    <w:rsid w:val="00AB7452"/>
    <w:rsid w:val="00AB78E3"/>
    <w:rsid w:val="00AB7CFA"/>
    <w:rsid w:val="00AB7DD9"/>
    <w:rsid w:val="00AB7F10"/>
    <w:rsid w:val="00AC071D"/>
    <w:rsid w:val="00AC0A97"/>
    <w:rsid w:val="00AC0B2C"/>
    <w:rsid w:val="00AC107E"/>
    <w:rsid w:val="00AC17F2"/>
    <w:rsid w:val="00AC1A57"/>
    <w:rsid w:val="00AC1AD9"/>
    <w:rsid w:val="00AC1B03"/>
    <w:rsid w:val="00AC1B2E"/>
    <w:rsid w:val="00AC2429"/>
    <w:rsid w:val="00AC2ACB"/>
    <w:rsid w:val="00AC2BD4"/>
    <w:rsid w:val="00AC2CE1"/>
    <w:rsid w:val="00AC321B"/>
    <w:rsid w:val="00AC36E3"/>
    <w:rsid w:val="00AC3E8D"/>
    <w:rsid w:val="00AC3F52"/>
    <w:rsid w:val="00AC409A"/>
    <w:rsid w:val="00AC420D"/>
    <w:rsid w:val="00AC451D"/>
    <w:rsid w:val="00AC4B70"/>
    <w:rsid w:val="00AC5B48"/>
    <w:rsid w:val="00AC5BF1"/>
    <w:rsid w:val="00AC5EB2"/>
    <w:rsid w:val="00AC6491"/>
    <w:rsid w:val="00AC6553"/>
    <w:rsid w:val="00AC6623"/>
    <w:rsid w:val="00AC6B03"/>
    <w:rsid w:val="00AC6B93"/>
    <w:rsid w:val="00AC6D62"/>
    <w:rsid w:val="00AC6E04"/>
    <w:rsid w:val="00AC7145"/>
    <w:rsid w:val="00AC75C4"/>
    <w:rsid w:val="00AC7A46"/>
    <w:rsid w:val="00AC7EDB"/>
    <w:rsid w:val="00AD0693"/>
    <w:rsid w:val="00AD077A"/>
    <w:rsid w:val="00AD089D"/>
    <w:rsid w:val="00AD0990"/>
    <w:rsid w:val="00AD0B8C"/>
    <w:rsid w:val="00AD0CE4"/>
    <w:rsid w:val="00AD1258"/>
    <w:rsid w:val="00AD1355"/>
    <w:rsid w:val="00AD1450"/>
    <w:rsid w:val="00AD17F2"/>
    <w:rsid w:val="00AD1915"/>
    <w:rsid w:val="00AD1918"/>
    <w:rsid w:val="00AD1E8C"/>
    <w:rsid w:val="00AD2354"/>
    <w:rsid w:val="00AD2842"/>
    <w:rsid w:val="00AD2912"/>
    <w:rsid w:val="00AD2BCB"/>
    <w:rsid w:val="00AD2F0E"/>
    <w:rsid w:val="00AD31B6"/>
    <w:rsid w:val="00AD32B3"/>
    <w:rsid w:val="00AD3521"/>
    <w:rsid w:val="00AD3F87"/>
    <w:rsid w:val="00AD3FE4"/>
    <w:rsid w:val="00AD4446"/>
    <w:rsid w:val="00AD4B9A"/>
    <w:rsid w:val="00AD4D33"/>
    <w:rsid w:val="00AD522F"/>
    <w:rsid w:val="00AD577F"/>
    <w:rsid w:val="00AD5B67"/>
    <w:rsid w:val="00AD6056"/>
    <w:rsid w:val="00AD6460"/>
    <w:rsid w:val="00AD6502"/>
    <w:rsid w:val="00AD65E8"/>
    <w:rsid w:val="00AD66E3"/>
    <w:rsid w:val="00AD6745"/>
    <w:rsid w:val="00AD71CF"/>
    <w:rsid w:val="00AD7F51"/>
    <w:rsid w:val="00AE018E"/>
    <w:rsid w:val="00AE0282"/>
    <w:rsid w:val="00AE0695"/>
    <w:rsid w:val="00AE0849"/>
    <w:rsid w:val="00AE0B0C"/>
    <w:rsid w:val="00AE0E60"/>
    <w:rsid w:val="00AE10B0"/>
    <w:rsid w:val="00AE119A"/>
    <w:rsid w:val="00AE1367"/>
    <w:rsid w:val="00AE1C59"/>
    <w:rsid w:val="00AE1C6D"/>
    <w:rsid w:val="00AE1D5B"/>
    <w:rsid w:val="00AE1F5F"/>
    <w:rsid w:val="00AE205C"/>
    <w:rsid w:val="00AE22D5"/>
    <w:rsid w:val="00AE23D3"/>
    <w:rsid w:val="00AE2770"/>
    <w:rsid w:val="00AE297A"/>
    <w:rsid w:val="00AE2C42"/>
    <w:rsid w:val="00AE2CD3"/>
    <w:rsid w:val="00AE2EFA"/>
    <w:rsid w:val="00AE30DE"/>
    <w:rsid w:val="00AE3105"/>
    <w:rsid w:val="00AE361C"/>
    <w:rsid w:val="00AE39FF"/>
    <w:rsid w:val="00AE3E7E"/>
    <w:rsid w:val="00AE4050"/>
    <w:rsid w:val="00AE40BB"/>
    <w:rsid w:val="00AE48B2"/>
    <w:rsid w:val="00AE4F40"/>
    <w:rsid w:val="00AE4FE0"/>
    <w:rsid w:val="00AE54CD"/>
    <w:rsid w:val="00AE5760"/>
    <w:rsid w:val="00AE5801"/>
    <w:rsid w:val="00AE584A"/>
    <w:rsid w:val="00AE58FA"/>
    <w:rsid w:val="00AE5BE4"/>
    <w:rsid w:val="00AE6727"/>
    <w:rsid w:val="00AE6833"/>
    <w:rsid w:val="00AE6CDF"/>
    <w:rsid w:val="00AE6CE3"/>
    <w:rsid w:val="00AE70DC"/>
    <w:rsid w:val="00AE72B6"/>
    <w:rsid w:val="00AE7404"/>
    <w:rsid w:val="00AE7B66"/>
    <w:rsid w:val="00AF02FC"/>
    <w:rsid w:val="00AF0599"/>
    <w:rsid w:val="00AF0857"/>
    <w:rsid w:val="00AF12AE"/>
    <w:rsid w:val="00AF1315"/>
    <w:rsid w:val="00AF1317"/>
    <w:rsid w:val="00AF1361"/>
    <w:rsid w:val="00AF146E"/>
    <w:rsid w:val="00AF18F0"/>
    <w:rsid w:val="00AF19BF"/>
    <w:rsid w:val="00AF1F45"/>
    <w:rsid w:val="00AF2089"/>
    <w:rsid w:val="00AF23F1"/>
    <w:rsid w:val="00AF280F"/>
    <w:rsid w:val="00AF29CE"/>
    <w:rsid w:val="00AF2B45"/>
    <w:rsid w:val="00AF2C6D"/>
    <w:rsid w:val="00AF2DC3"/>
    <w:rsid w:val="00AF310F"/>
    <w:rsid w:val="00AF377E"/>
    <w:rsid w:val="00AF379E"/>
    <w:rsid w:val="00AF3977"/>
    <w:rsid w:val="00AF3BB3"/>
    <w:rsid w:val="00AF3BCA"/>
    <w:rsid w:val="00AF3EE2"/>
    <w:rsid w:val="00AF3F7B"/>
    <w:rsid w:val="00AF4182"/>
    <w:rsid w:val="00AF4320"/>
    <w:rsid w:val="00AF443A"/>
    <w:rsid w:val="00AF44CB"/>
    <w:rsid w:val="00AF508A"/>
    <w:rsid w:val="00AF50EF"/>
    <w:rsid w:val="00AF515C"/>
    <w:rsid w:val="00AF52E8"/>
    <w:rsid w:val="00AF53EA"/>
    <w:rsid w:val="00AF5401"/>
    <w:rsid w:val="00AF568E"/>
    <w:rsid w:val="00AF592A"/>
    <w:rsid w:val="00AF5CA3"/>
    <w:rsid w:val="00AF5D8D"/>
    <w:rsid w:val="00AF6236"/>
    <w:rsid w:val="00AF62D7"/>
    <w:rsid w:val="00AF6372"/>
    <w:rsid w:val="00AF6899"/>
    <w:rsid w:val="00AF6B2E"/>
    <w:rsid w:val="00AF6C44"/>
    <w:rsid w:val="00AF6D14"/>
    <w:rsid w:val="00AF729A"/>
    <w:rsid w:val="00AF7365"/>
    <w:rsid w:val="00AF7703"/>
    <w:rsid w:val="00AF78A7"/>
    <w:rsid w:val="00AF7AB9"/>
    <w:rsid w:val="00B00549"/>
    <w:rsid w:val="00B00DDF"/>
    <w:rsid w:val="00B010F7"/>
    <w:rsid w:val="00B011EC"/>
    <w:rsid w:val="00B0123B"/>
    <w:rsid w:val="00B01483"/>
    <w:rsid w:val="00B01DED"/>
    <w:rsid w:val="00B01EBF"/>
    <w:rsid w:val="00B02A2C"/>
    <w:rsid w:val="00B02D91"/>
    <w:rsid w:val="00B032C2"/>
    <w:rsid w:val="00B033E5"/>
    <w:rsid w:val="00B0359D"/>
    <w:rsid w:val="00B03A63"/>
    <w:rsid w:val="00B0419B"/>
    <w:rsid w:val="00B043B7"/>
    <w:rsid w:val="00B0475A"/>
    <w:rsid w:val="00B04FAA"/>
    <w:rsid w:val="00B04FEA"/>
    <w:rsid w:val="00B0501E"/>
    <w:rsid w:val="00B0523C"/>
    <w:rsid w:val="00B05257"/>
    <w:rsid w:val="00B058CB"/>
    <w:rsid w:val="00B05B5B"/>
    <w:rsid w:val="00B06033"/>
    <w:rsid w:val="00B06104"/>
    <w:rsid w:val="00B063F3"/>
    <w:rsid w:val="00B06F5E"/>
    <w:rsid w:val="00B0721B"/>
    <w:rsid w:val="00B07419"/>
    <w:rsid w:val="00B10610"/>
    <w:rsid w:val="00B1077B"/>
    <w:rsid w:val="00B10912"/>
    <w:rsid w:val="00B10A9A"/>
    <w:rsid w:val="00B1154E"/>
    <w:rsid w:val="00B11589"/>
    <w:rsid w:val="00B11D87"/>
    <w:rsid w:val="00B124AC"/>
    <w:rsid w:val="00B12697"/>
    <w:rsid w:val="00B127E3"/>
    <w:rsid w:val="00B135FE"/>
    <w:rsid w:val="00B13E13"/>
    <w:rsid w:val="00B13E28"/>
    <w:rsid w:val="00B13ED3"/>
    <w:rsid w:val="00B140F2"/>
    <w:rsid w:val="00B14A3A"/>
    <w:rsid w:val="00B14C0B"/>
    <w:rsid w:val="00B14E03"/>
    <w:rsid w:val="00B14E28"/>
    <w:rsid w:val="00B15065"/>
    <w:rsid w:val="00B150AF"/>
    <w:rsid w:val="00B1515E"/>
    <w:rsid w:val="00B1593E"/>
    <w:rsid w:val="00B15CBE"/>
    <w:rsid w:val="00B15D22"/>
    <w:rsid w:val="00B16085"/>
    <w:rsid w:val="00B16296"/>
    <w:rsid w:val="00B164A9"/>
    <w:rsid w:val="00B16992"/>
    <w:rsid w:val="00B171BC"/>
    <w:rsid w:val="00B178D5"/>
    <w:rsid w:val="00B17E4C"/>
    <w:rsid w:val="00B201A4"/>
    <w:rsid w:val="00B201D1"/>
    <w:rsid w:val="00B20CC4"/>
    <w:rsid w:val="00B211BD"/>
    <w:rsid w:val="00B213A6"/>
    <w:rsid w:val="00B213E4"/>
    <w:rsid w:val="00B217A6"/>
    <w:rsid w:val="00B21FE4"/>
    <w:rsid w:val="00B22172"/>
    <w:rsid w:val="00B22A9D"/>
    <w:rsid w:val="00B22B00"/>
    <w:rsid w:val="00B233D2"/>
    <w:rsid w:val="00B235B0"/>
    <w:rsid w:val="00B240A8"/>
    <w:rsid w:val="00B2415D"/>
    <w:rsid w:val="00B2425B"/>
    <w:rsid w:val="00B2451F"/>
    <w:rsid w:val="00B24732"/>
    <w:rsid w:val="00B24A69"/>
    <w:rsid w:val="00B24BA9"/>
    <w:rsid w:val="00B24C5C"/>
    <w:rsid w:val="00B24DF6"/>
    <w:rsid w:val="00B24E07"/>
    <w:rsid w:val="00B24E32"/>
    <w:rsid w:val="00B25776"/>
    <w:rsid w:val="00B25C95"/>
    <w:rsid w:val="00B260AB"/>
    <w:rsid w:val="00B26574"/>
    <w:rsid w:val="00B26C6D"/>
    <w:rsid w:val="00B26E11"/>
    <w:rsid w:val="00B2705E"/>
    <w:rsid w:val="00B270E3"/>
    <w:rsid w:val="00B2741E"/>
    <w:rsid w:val="00B27BDD"/>
    <w:rsid w:val="00B27D83"/>
    <w:rsid w:val="00B3020B"/>
    <w:rsid w:val="00B3054F"/>
    <w:rsid w:val="00B308E0"/>
    <w:rsid w:val="00B31025"/>
    <w:rsid w:val="00B31276"/>
    <w:rsid w:val="00B31356"/>
    <w:rsid w:val="00B317EC"/>
    <w:rsid w:val="00B31AA7"/>
    <w:rsid w:val="00B31B01"/>
    <w:rsid w:val="00B31ED5"/>
    <w:rsid w:val="00B32052"/>
    <w:rsid w:val="00B32187"/>
    <w:rsid w:val="00B32217"/>
    <w:rsid w:val="00B324D7"/>
    <w:rsid w:val="00B325EB"/>
    <w:rsid w:val="00B3304A"/>
    <w:rsid w:val="00B33467"/>
    <w:rsid w:val="00B3379B"/>
    <w:rsid w:val="00B33A8B"/>
    <w:rsid w:val="00B33B35"/>
    <w:rsid w:val="00B33C32"/>
    <w:rsid w:val="00B33F8F"/>
    <w:rsid w:val="00B34655"/>
    <w:rsid w:val="00B3472F"/>
    <w:rsid w:val="00B34C4E"/>
    <w:rsid w:val="00B34D9E"/>
    <w:rsid w:val="00B34FE2"/>
    <w:rsid w:val="00B35166"/>
    <w:rsid w:val="00B35290"/>
    <w:rsid w:val="00B357D8"/>
    <w:rsid w:val="00B358BA"/>
    <w:rsid w:val="00B35D8F"/>
    <w:rsid w:val="00B35E78"/>
    <w:rsid w:val="00B35FB4"/>
    <w:rsid w:val="00B360F4"/>
    <w:rsid w:val="00B36378"/>
    <w:rsid w:val="00B36A00"/>
    <w:rsid w:val="00B36A70"/>
    <w:rsid w:val="00B36BE0"/>
    <w:rsid w:val="00B37292"/>
    <w:rsid w:val="00B374D9"/>
    <w:rsid w:val="00B374F0"/>
    <w:rsid w:val="00B37BFC"/>
    <w:rsid w:val="00B37C4A"/>
    <w:rsid w:val="00B37FB4"/>
    <w:rsid w:val="00B401A5"/>
    <w:rsid w:val="00B40358"/>
    <w:rsid w:val="00B40848"/>
    <w:rsid w:val="00B40F95"/>
    <w:rsid w:val="00B412AD"/>
    <w:rsid w:val="00B41614"/>
    <w:rsid w:val="00B41728"/>
    <w:rsid w:val="00B41CFB"/>
    <w:rsid w:val="00B41F5B"/>
    <w:rsid w:val="00B4208B"/>
    <w:rsid w:val="00B42242"/>
    <w:rsid w:val="00B42274"/>
    <w:rsid w:val="00B424A7"/>
    <w:rsid w:val="00B424EE"/>
    <w:rsid w:val="00B42851"/>
    <w:rsid w:val="00B428B4"/>
    <w:rsid w:val="00B4296B"/>
    <w:rsid w:val="00B42F80"/>
    <w:rsid w:val="00B42FFE"/>
    <w:rsid w:val="00B4302F"/>
    <w:rsid w:val="00B430B1"/>
    <w:rsid w:val="00B43232"/>
    <w:rsid w:val="00B4326B"/>
    <w:rsid w:val="00B433CB"/>
    <w:rsid w:val="00B434CC"/>
    <w:rsid w:val="00B435CB"/>
    <w:rsid w:val="00B43C94"/>
    <w:rsid w:val="00B43E09"/>
    <w:rsid w:val="00B44042"/>
    <w:rsid w:val="00B44207"/>
    <w:rsid w:val="00B44249"/>
    <w:rsid w:val="00B445AD"/>
    <w:rsid w:val="00B4468C"/>
    <w:rsid w:val="00B4469D"/>
    <w:rsid w:val="00B44AAF"/>
    <w:rsid w:val="00B44C14"/>
    <w:rsid w:val="00B44D03"/>
    <w:rsid w:val="00B44D08"/>
    <w:rsid w:val="00B44DB1"/>
    <w:rsid w:val="00B450E4"/>
    <w:rsid w:val="00B4556D"/>
    <w:rsid w:val="00B455C0"/>
    <w:rsid w:val="00B458B5"/>
    <w:rsid w:val="00B45C7B"/>
    <w:rsid w:val="00B46008"/>
    <w:rsid w:val="00B46437"/>
    <w:rsid w:val="00B4646E"/>
    <w:rsid w:val="00B467FC"/>
    <w:rsid w:val="00B4681C"/>
    <w:rsid w:val="00B469D6"/>
    <w:rsid w:val="00B46CB3"/>
    <w:rsid w:val="00B46D34"/>
    <w:rsid w:val="00B4755E"/>
    <w:rsid w:val="00B47745"/>
    <w:rsid w:val="00B47D02"/>
    <w:rsid w:val="00B50111"/>
    <w:rsid w:val="00B504CE"/>
    <w:rsid w:val="00B505C8"/>
    <w:rsid w:val="00B50C92"/>
    <w:rsid w:val="00B50DB8"/>
    <w:rsid w:val="00B50E07"/>
    <w:rsid w:val="00B51007"/>
    <w:rsid w:val="00B51345"/>
    <w:rsid w:val="00B51366"/>
    <w:rsid w:val="00B5152A"/>
    <w:rsid w:val="00B515AD"/>
    <w:rsid w:val="00B524AF"/>
    <w:rsid w:val="00B5259B"/>
    <w:rsid w:val="00B525F3"/>
    <w:rsid w:val="00B52B25"/>
    <w:rsid w:val="00B53116"/>
    <w:rsid w:val="00B5324E"/>
    <w:rsid w:val="00B535A5"/>
    <w:rsid w:val="00B53654"/>
    <w:rsid w:val="00B53905"/>
    <w:rsid w:val="00B540B4"/>
    <w:rsid w:val="00B541B9"/>
    <w:rsid w:val="00B549B5"/>
    <w:rsid w:val="00B54B5B"/>
    <w:rsid w:val="00B54F61"/>
    <w:rsid w:val="00B5519F"/>
    <w:rsid w:val="00B5562E"/>
    <w:rsid w:val="00B55792"/>
    <w:rsid w:val="00B55D65"/>
    <w:rsid w:val="00B56071"/>
    <w:rsid w:val="00B5664A"/>
    <w:rsid w:val="00B568AB"/>
    <w:rsid w:val="00B57000"/>
    <w:rsid w:val="00B57262"/>
    <w:rsid w:val="00B573C9"/>
    <w:rsid w:val="00B57A1A"/>
    <w:rsid w:val="00B57A6C"/>
    <w:rsid w:val="00B57D94"/>
    <w:rsid w:val="00B57D96"/>
    <w:rsid w:val="00B57F8A"/>
    <w:rsid w:val="00B60174"/>
    <w:rsid w:val="00B6026F"/>
    <w:rsid w:val="00B604C0"/>
    <w:rsid w:val="00B60939"/>
    <w:rsid w:val="00B60980"/>
    <w:rsid w:val="00B60AFD"/>
    <w:rsid w:val="00B60B16"/>
    <w:rsid w:val="00B60DE0"/>
    <w:rsid w:val="00B60E2F"/>
    <w:rsid w:val="00B610EB"/>
    <w:rsid w:val="00B613FE"/>
    <w:rsid w:val="00B615B1"/>
    <w:rsid w:val="00B61A28"/>
    <w:rsid w:val="00B61F16"/>
    <w:rsid w:val="00B6213A"/>
    <w:rsid w:val="00B62715"/>
    <w:rsid w:val="00B629B5"/>
    <w:rsid w:val="00B63882"/>
    <w:rsid w:val="00B639C6"/>
    <w:rsid w:val="00B6418B"/>
    <w:rsid w:val="00B6439E"/>
    <w:rsid w:val="00B6476F"/>
    <w:rsid w:val="00B647C9"/>
    <w:rsid w:val="00B64A00"/>
    <w:rsid w:val="00B64ACD"/>
    <w:rsid w:val="00B6528E"/>
    <w:rsid w:val="00B65611"/>
    <w:rsid w:val="00B657A0"/>
    <w:rsid w:val="00B65B44"/>
    <w:rsid w:val="00B65D8F"/>
    <w:rsid w:val="00B66412"/>
    <w:rsid w:val="00B66847"/>
    <w:rsid w:val="00B67380"/>
    <w:rsid w:val="00B67C30"/>
    <w:rsid w:val="00B67D78"/>
    <w:rsid w:val="00B67EF6"/>
    <w:rsid w:val="00B707E5"/>
    <w:rsid w:val="00B7094C"/>
    <w:rsid w:val="00B709CC"/>
    <w:rsid w:val="00B70B68"/>
    <w:rsid w:val="00B70C40"/>
    <w:rsid w:val="00B70D3F"/>
    <w:rsid w:val="00B70DBA"/>
    <w:rsid w:val="00B70E8E"/>
    <w:rsid w:val="00B7139C"/>
    <w:rsid w:val="00B7145B"/>
    <w:rsid w:val="00B716E5"/>
    <w:rsid w:val="00B718B9"/>
    <w:rsid w:val="00B71932"/>
    <w:rsid w:val="00B71963"/>
    <w:rsid w:val="00B7196F"/>
    <w:rsid w:val="00B71C9C"/>
    <w:rsid w:val="00B7203C"/>
    <w:rsid w:val="00B722E8"/>
    <w:rsid w:val="00B72928"/>
    <w:rsid w:val="00B733A7"/>
    <w:rsid w:val="00B7399C"/>
    <w:rsid w:val="00B73CA9"/>
    <w:rsid w:val="00B740EF"/>
    <w:rsid w:val="00B747D4"/>
    <w:rsid w:val="00B748F5"/>
    <w:rsid w:val="00B74A7A"/>
    <w:rsid w:val="00B74F7D"/>
    <w:rsid w:val="00B74FFB"/>
    <w:rsid w:val="00B75862"/>
    <w:rsid w:val="00B75ECB"/>
    <w:rsid w:val="00B76747"/>
    <w:rsid w:val="00B7684A"/>
    <w:rsid w:val="00B76862"/>
    <w:rsid w:val="00B76863"/>
    <w:rsid w:val="00B768AA"/>
    <w:rsid w:val="00B76C92"/>
    <w:rsid w:val="00B76D66"/>
    <w:rsid w:val="00B77166"/>
    <w:rsid w:val="00B7791E"/>
    <w:rsid w:val="00B77C3D"/>
    <w:rsid w:val="00B80353"/>
    <w:rsid w:val="00B809D3"/>
    <w:rsid w:val="00B80AE4"/>
    <w:rsid w:val="00B80CBD"/>
    <w:rsid w:val="00B80CD9"/>
    <w:rsid w:val="00B81155"/>
    <w:rsid w:val="00B8131A"/>
    <w:rsid w:val="00B817B6"/>
    <w:rsid w:val="00B818A4"/>
    <w:rsid w:val="00B81A2D"/>
    <w:rsid w:val="00B81A7C"/>
    <w:rsid w:val="00B81B50"/>
    <w:rsid w:val="00B8247C"/>
    <w:rsid w:val="00B8271D"/>
    <w:rsid w:val="00B8273A"/>
    <w:rsid w:val="00B8277C"/>
    <w:rsid w:val="00B82BB0"/>
    <w:rsid w:val="00B82F27"/>
    <w:rsid w:val="00B83134"/>
    <w:rsid w:val="00B831CB"/>
    <w:rsid w:val="00B832A9"/>
    <w:rsid w:val="00B832CD"/>
    <w:rsid w:val="00B83552"/>
    <w:rsid w:val="00B8367C"/>
    <w:rsid w:val="00B84117"/>
    <w:rsid w:val="00B84299"/>
    <w:rsid w:val="00B8459D"/>
    <w:rsid w:val="00B84688"/>
    <w:rsid w:val="00B84925"/>
    <w:rsid w:val="00B84ECC"/>
    <w:rsid w:val="00B85061"/>
    <w:rsid w:val="00B8577C"/>
    <w:rsid w:val="00B85829"/>
    <w:rsid w:val="00B858F0"/>
    <w:rsid w:val="00B85AA2"/>
    <w:rsid w:val="00B85BD8"/>
    <w:rsid w:val="00B85C25"/>
    <w:rsid w:val="00B85FD1"/>
    <w:rsid w:val="00B8649C"/>
    <w:rsid w:val="00B8695D"/>
    <w:rsid w:val="00B86B72"/>
    <w:rsid w:val="00B86C8D"/>
    <w:rsid w:val="00B870BB"/>
    <w:rsid w:val="00B8713D"/>
    <w:rsid w:val="00B872EE"/>
    <w:rsid w:val="00B87688"/>
    <w:rsid w:val="00B876AE"/>
    <w:rsid w:val="00B87C37"/>
    <w:rsid w:val="00B87F0A"/>
    <w:rsid w:val="00B9027A"/>
    <w:rsid w:val="00B90389"/>
    <w:rsid w:val="00B90DD5"/>
    <w:rsid w:val="00B91BF4"/>
    <w:rsid w:val="00B929B0"/>
    <w:rsid w:val="00B92B62"/>
    <w:rsid w:val="00B92BC4"/>
    <w:rsid w:val="00B92D0B"/>
    <w:rsid w:val="00B92EB6"/>
    <w:rsid w:val="00B92FE0"/>
    <w:rsid w:val="00B93318"/>
    <w:rsid w:val="00B93679"/>
    <w:rsid w:val="00B936C8"/>
    <w:rsid w:val="00B936EF"/>
    <w:rsid w:val="00B9375F"/>
    <w:rsid w:val="00B93786"/>
    <w:rsid w:val="00B93D88"/>
    <w:rsid w:val="00B94329"/>
    <w:rsid w:val="00B94604"/>
    <w:rsid w:val="00B94772"/>
    <w:rsid w:val="00B94945"/>
    <w:rsid w:val="00B94C49"/>
    <w:rsid w:val="00B94C54"/>
    <w:rsid w:val="00B94DD6"/>
    <w:rsid w:val="00B94F1F"/>
    <w:rsid w:val="00B95717"/>
    <w:rsid w:val="00B9579C"/>
    <w:rsid w:val="00B95D3A"/>
    <w:rsid w:val="00B95D44"/>
    <w:rsid w:val="00B96144"/>
    <w:rsid w:val="00B962F0"/>
    <w:rsid w:val="00B96477"/>
    <w:rsid w:val="00B966D2"/>
    <w:rsid w:val="00B9700E"/>
    <w:rsid w:val="00B9772B"/>
    <w:rsid w:val="00B977F2"/>
    <w:rsid w:val="00B978FD"/>
    <w:rsid w:val="00B97B2C"/>
    <w:rsid w:val="00B97C15"/>
    <w:rsid w:val="00BA032E"/>
    <w:rsid w:val="00BA042D"/>
    <w:rsid w:val="00BA04BA"/>
    <w:rsid w:val="00BA0648"/>
    <w:rsid w:val="00BA06A8"/>
    <w:rsid w:val="00BA07F4"/>
    <w:rsid w:val="00BA0C85"/>
    <w:rsid w:val="00BA0D02"/>
    <w:rsid w:val="00BA1088"/>
    <w:rsid w:val="00BA1512"/>
    <w:rsid w:val="00BA157C"/>
    <w:rsid w:val="00BA1CC2"/>
    <w:rsid w:val="00BA1DCF"/>
    <w:rsid w:val="00BA1F52"/>
    <w:rsid w:val="00BA1F72"/>
    <w:rsid w:val="00BA2070"/>
    <w:rsid w:val="00BA229E"/>
    <w:rsid w:val="00BA22EE"/>
    <w:rsid w:val="00BA23FF"/>
    <w:rsid w:val="00BA2571"/>
    <w:rsid w:val="00BA2892"/>
    <w:rsid w:val="00BA2A97"/>
    <w:rsid w:val="00BA2E1F"/>
    <w:rsid w:val="00BA3186"/>
    <w:rsid w:val="00BA31A8"/>
    <w:rsid w:val="00BA31ED"/>
    <w:rsid w:val="00BA320E"/>
    <w:rsid w:val="00BA322D"/>
    <w:rsid w:val="00BA3458"/>
    <w:rsid w:val="00BA3915"/>
    <w:rsid w:val="00BA3B0D"/>
    <w:rsid w:val="00BA43A0"/>
    <w:rsid w:val="00BA441C"/>
    <w:rsid w:val="00BA4711"/>
    <w:rsid w:val="00BA4AE3"/>
    <w:rsid w:val="00BA4AE9"/>
    <w:rsid w:val="00BA537C"/>
    <w:rsid w:val="00BA549D"/>
    <w:rsid w:val="00BA59DA"/>
    <w:rsid w:val="00BA63FA"/>
    <w:rsid w:val="00BA661C"/>
    <w:rsid w:val="00BA669A"/>
    <w:rsid w:val="00BA6763"/>
    <w:rsid w:val="00BA6CA0"/>
    <w:rsid w:val="00BA76AE"/>
    <w:rsid w:val="00BA784F"/>
    <w:rsid w:val="00BA79F7"/>
    <w:rsid w:val="00BA7CC0"/>
    <w:rsid w:val="00BA7D17"/>
    <w:rsid w:val="00BA7FA9"/>
    <w:rsid w:val="00BB00B3"/>
    <w:rsid w:val="00BB04F0"/>
    <w:rsid w:val="00BB0BDD"/>
    <w:rsid w:val="00BB0F2D"/>
    <w:rsid w:val="00BB110C"/>
    <w:rsid w:val="00BB1291"/>
    <w:rsid w:val="00BB1510"/>
    <w:rsid w:val="00BB176C"/>
    <w:rsid w:val="00BB1A15"/>
    <w:rsid w:val="00BB1A54"/>
    <w:rsid w:val="00BB1B3D"/>
    <w:rsid w:val="00BB1B41"/>
    <w:rsid w:val="00BB1D43"/>
    <w:rsid w:val="00BB2078"/>
    <w:rsid w:val="00BB230E"/>
    <w:rsid w:val="00BB25C8"/>
    <w:rsid w:val="00BB2913"/>
    <w:rsid w:val="00BB2A73"/>
    <w:rsid w:val="00BB2E51"/>
    <w:rsid w:val="00BB3116"/>
    <w:rsid w:val="00BB313A"/>
    <w:rsid w:val="00BB364A"/>
    <w:rsid w:val="00BB383D"/>
    <w:rsid w:val="00BB3A45"/>
    <w:rsid w:val="00BB3ABB"/>
    <w:rsid w:val="00BB3B46"/>
    <w:rsid w:val="00BB3CBA"/>
    <w:rsid w:val="00BB401A"/>
    <w:rsid w:val="00BB4147"/>
    <w:rsid w:val="00BB448A"/>
    <w:rsid w:val="00BB49D5"/>
    <w:rsid w:val="00BB4A93"/>
    <w:rsid w:val="00BB4ACC"/>
    <w:rsid w:val="00BB4BEB"/>
    <w:rsid w:val="00BB4D66"/>
    <w:rsid w:val="00BB4E73"/>
    <w:rsid w:val="00BB51AC"/>
    <w:rsid w:val="00BB52ED"/>
    <w:rsid w:val="00BB540D"/>
    <w:rsid w:val="00BB562F"/>
    <w:rsid w:val="00BB58A9"/>
    <w:rsid w:val="00BB599D"/>
    <w:rsid w:val="00BB5A7D"/>
    <w:rsid w:val="00BB5D65"/>
    <w:rsid w:val="00BB5F43"/>
    <w:rsid w:val="00BB64DE"/>
    <w:rsid w:val="00BB6565"/>
    <w:rsid w:val="00BB680B"/>
    <w:rsid w:val="00BB6CB1"/>
    <w:rsid w:val="00BB6D78"/>
    <w:rsid w:val="00BB6D9D"/>
    <w:rsid w:val="00BB6ED9"/>
    <w:rsid w:val="00BB703E"/>
    <w:rsid w:val="00BB7247"/>
    <w:rsid w:val="00BB7283"/>
    <w:rsid w:val="00BB732D"/>
    <w:rsid w:val="00BB7405"/>
    <w:rsid w:val="00BB74F2"/>
    <w:rsid w:val="00BB7521"/>
    <w:rsid w:val="00BB7944"/>
    <w:rsid w:val="00BB795C"/>
    <w:rsid w:val="00BB7B70"/>
    <w:rsid w:val="00BB7C8F"/>
    <w:rsid w:val="00BB7FD5"/>
    <w:rsid w:val="00BC0016"/>
    <w:rsid w:val="00BC0A07"/>
    <w:rsid w:val="00BC0F4E"/>
    <w:rsid w:val="00BC0FFF"/>
    <w:rsid w:val="00BC1011"/>
    <w:rsid w:val="00BC1437"/>
    <w:rsid w:val="00BC158E"/>
    <w:rsid w:val="00BC180E"/>
    <w:rsid w:val="00BC1CCD"/>
    <w:rsid w:val="00BC2483"/>
    <w:rsid w:val="00BC25E0"/>
    <w:rsid w:val="00BC2E86"/>
    <w:rsid w:val="00BC2F41"/>
    <w:rsid w:val="00BC3609"/>
    <w:rsid w:val="00BC3631"/>
    <w:rsid w:val="00BC3B45"/>
    <w:rsid w:val="00BC46F4"/>
    <w:rsid w:val="00BC4BCD"/>
    <w:rsid w:val="00BC4C20"/>
    <w:rsid w:val="00BC5384"/>
    <w:rsid w:val="00BC545C"/>
    <w:rsid w:val="00BC591F"/>
    <w:rsid w:val="00BC5D74"/>
    <w:rsid w:val="00BC5E47"/>
    <w:rsid w:val="00BC5E67"/>
    <w:rsid w:val="00BC63FF"/>
    <w:rsid w:val="00BC6BD6"/>
    <w:rsid w:val="00BC7828"/>
    <w:rsid w:val="00BC7945"/>
    <w:rsid w:val="00BC7C7B"/>
    <w:rsid w:val="00BC7D6D"/>
    <w:rsid w:val="00BD06D3"/>
    <w:rsid w:val="00BD0DB7"/>
    <w:rsid w:val="00BD103E"/>
    <w:rsid w:val="00BD18C1"/>
    <w:rsid w:val="00BD18F2"/>
    <w:rsid w:val="00BD1953"/>
    <w:rsid w:val="00BD1E22"/>
    <w:rsid w:val="00BD1EAD"/>
    <w:rsid w:val="00BD1F34"/>
    <w:rsid w:val="00BD2077"/>
    <w:rsid w:val="00BD2108"/>
    <w:rsid w:val="00BD2173"/>
    <w:rsid w:val="00BD2182"/>
    <w:rsid w:val="00BD2364"/>
    <w:rsid w:val="00BD2A4D"/>
    <w:rsid w:val="00BD2FE0"/>
    <w:rsid w:val="00BD3317"/>
    <w:rsid w:val="00BD3577"/>
    <w:rsid w:val="00BD4360"/>
    <w:rsid w:val="00BD4375"/>
    <w:rsid w:val="00BD47EE"/>
    <w:rsid w:val="00BD4C72"/>
    <w:rsid w:val="00BD532F"/>
    <w:rsid w:val="00BD5330"/>
    <w:rsid w:val="00BD56C3"/>
    <w:rsid w:val="00BD56D3"/>
    <w:rsid w:val="00BD576D"/>
    <w:rsid w:val="00BD59AC"/>
    <w:rsid w:val="00BD5A51"/>
    <w:rsid w:val="00BD5F5B"/>
    <w:rsid w:val="00BD609A"/>
    <w:rsid w:val="00BD6130"/>
    <w:rsid w:val="00BD617D"/>
    <w:rsid w:val="00BD644A"/>
    <w:rsid w:val="00BD68A3"/>
    <w:rsid w:val="00BD6938"/>
    <w:rsid w:val="00BD693E"/>
    <w:rsid w:val="00BD6B13"/>
    <w:rsid w:val="00BD6CF3"/>
    <w:rsid w:val="00BD6DF8"/>
    <w:rsid w:val="00BD72EE"/>
    <w:rsid w:val="00BD74A9"/>
    <w:rsid w:val="00BD74E9"/>
    <w:rsid w:val="00BE038D"/>
    <w:rsid w:val="00BE04C1"/>
    <w:rsid w:val="00BE0562"/>
    <w:rsid w:val="00BE0895"/>
    <w:rsid w:val="00BE08AD"/>
    <w:rsid w:val="00BE0E9A"/>
    <w:rsid w:val="00BE0ECA"/>
    <w:rsid w:val="00BE1436"/>
    <w:rsid w:val="00BE151F"/>
    <w:rsid w:val="00BE1734"/>
    <w:rsid w:val="00BE1827"/>
    <w:rsid w:val="00BE1883"/>
    <w:rsid w:val="00BE192B"/>
    <w:rsid w:val="00BE197B"/>
    <w:rsid w:val="00BE1F9F"/>
    <w:rsid w:val="00BE2180"/>
    <w:rsid w:val="00BE21F2"/>
    <w:rsid w:val="00BE2247"/>
    <w:rsid w:val="00BE2336"/>
    <w:rsid w:val="00BE2748"/>
    <w:rsid w:val="00BE30C3"/>
    <w:rsid w:val="00BE317F"/>
    <w:rsid w:val="00BE3605"/>
    <w:rsid w:val="00BE370C"/>
    <w:rsid w:val="00BE3A58"/>
    <w:rsid w:val="00BE3C05"/>
    <w:rsid w:val="00BE4160"/>
    <w:rsid w:val="00BE4275"/>
    <w:rsid w:val="00BE4348"/>
    <w:rsid w:val="00BE43EC"/>
    <w:rsid w:val="00BE45AF"/>
    <w:rsid w:val="00BE4924"/>
    <w:rsid w:val="00BE497E"/>
    <w:rsid w:val="00BE49A8"/>
    <w:rsid w:val="00BE49EF"/>
    <w:rsid w:val="00BE5A7D"/>
    <w:rsid w:val="00BE5AE0"/>
    <w:rsid w:val="00BE6646"/>
    <w:rsid w:val="00BE6714"/>
    <w:rsid w:val="00BE6747"/>
    <w:rsid w:val="00BE699B"/>
    <w:rsid w:val="00BE6A2E"/>
    <w:rsid w:val="00BE704E"/>
    <w:rsid w:val="00BE7439"/>
    <w:rsid w:val="00BE74BC"/>
    <w:rsid w:val="00BE7773"/>
    <w:rsid w:val="00BE7923"/>
    <w:rsid w:val="00BE7CFD"/>
    <w:rsid w:val="00BE7F39"/>
    <w:rsid w:val="00BF012B"/>
    <w:rsid w:val="00BF0138"/>
    <w:rsid w:val="00BF06AE"/>
    <w:rsid w:val="00BF0B9E"/>
    <w:rsid w:val="00BF0F95"/>
    <w:rsid w:val="00BF18F6"/>
    <w:rsid w:val="00BF19B7"/>
    <w:rsid w:val="00BF1EB5"/>
    <w:rsid w:val="00BF1F28"/>
    <w:rsid w:val="00BF21D3"/>
    <w:rsid w:val="00BF2394"/>
    <w:rsid w:val="00BF2433"/>
    <w:rsid w:val="00BF248B"/>
    <w:rsid w:val="00BF2607"/>
    <w:rsid w:val="00BF27DE"/>
    <w:rsid w:val="00BF2C5E"/>
    <w:rsid w:val="00BF302B"/>
    <w:rsid w:val="00BF331E"/>
    <w:rsid w:val="00BF3528"/>
    <w:rsid w:val="00BF3724"/>
    <w:rsid w:val="00BF3BCA"/>
    <w:rsid w:val="00BF3D24"/>
    <w:rsid w:val="00BF4469"/>
    <w:rsid w:val="00BF4491"/>
    <w:rsid w:val="00BF4543"/>
    <w:rsid w:val="00BF48D6"/>
    <w:rsid w:val="00BF4D93"/>
    <w:rsid w:val="00BF4DEE"/>
    <w:rsid w:val="00BF5564"/>
    <w:rsid w:val="00BF590D"/>
    <w:rsid w:val="00BF5A51"/>
    <w:rsid w:val="00BF5ADA"/>
    <w:rsid w:val="00BF5B93"/>
    <w:rsid w:val="00BF5CD9"/>
    <w:rsid w:val="00BF61C9"/>
    <w:rsid w:val="00BF6653"/>
    <w:rsid w:val="00BF6A74"/>
    <w:rsid w:val="00BF6C94"/>
    <w:rsid w:val="00BF6DFE"/>
    <w:rsid w:val="00BF714F"/>
    <w:rsid w:val="00BF73AD"/>
    <w:rsid w:val="00BF7B53"/>
    <w:rsid w:val="00C00424"/>
    <w:rsid w:val="00C005BD"/>
    <w:rsid w:val="00C008B8"/>
    <w:rsid w:val="00C00B80"/>
    <w:rsid w:val="00C00D6A"/>
    <w:rsid w:val="00C01445"/>
    <w:rsid w:val="00C018CD"/>
    <w:rsid w:val="00C01AB3"/>
    <w:rsid w:val="00C01BE5"/>
    <w:rsid w:val="00C01EEA"/>
    <w:rsid w:val="00C02024"/>
    <w:rsid w:val="00C02B38"/>
    <w:rsid w:val="00C02CE1"/>
    <w:rsid w:val="00C03698"/>
    <w:rsid w:val="00C03A7D"/>
    <w:rsid w:val="00C03AE9"/>
    <w:rsid w:val="00C03B8D"/>
    <w:rsid w:val="00C03E0B"/>
    <w:rsid w:val="00C04078"/>
    <w:rsid w:val="00C04080"/>
    <w:rsid w:val="00C044BA"/>
    <w:rsid w:val="00C04864"/>
    <w:rsid w:val="00C04989"/>
    <w:rsid w:val="00C049ED"/>
    <w:rsid w:val="00C04D0B"/>
    <w:rsid w:val="00C04EFF"/>
    <w:rsid w:val="00C05218"/>
    <w:rsid w:val="00C052A8"/>
    <w:rsid w:val="00C05321"/>
    <w:rsid w:val="00C054CC"/>
    <w:rsid w:val="00C057D8"/>
    <w:rsid w:val="00C05A2B"/>
    <w:rsid w:val="00C05AC3"/>
    <w:rsid w:val="00C05E50"/>
    <w:rsid w:val="00C05E5A"/>
    <w:rsid w:val="00C062E8"/>
    <w:rsid w:val="00C0639A"/>
    <w:rsid w:val="00C06579"/>
    <w:rsid w:val="00C06883"/>
    <w:rsid w:val="00C06EF2"/>
    <w:rsid w:val="00C06EF9"/>
    <w:rsid w:val="00C079AC"/>
    <w:rsid w:val="00C07BAB"/>
    <w:rsid w:val="00C07FBD"/>
    <w:rsid w:val="00C1012E"/>
    <w:rsid w:val="00C10676"/>
    <w:rsid w:val="00C10700"/>
    <w:rsid w:val="00C1072F"/>
    <w:rsid w:val="00C10796"/>
    <w:rsid w:val="00C10EB7"/>
    <w:rsid w:val="00C110E1"/>
    <w:rsid w:val="00C113AF"/>
    <w:rsid w:val="00C11725"/>
    <w:rsid w:val="00C1179F"/>
    <w:rsid w:val="00C119ED"/>
    <w:rsid w:val="00C11B31"/>
    <w:rsid w:val="00C11B5B"/>
    <w:rsid w:val="00C11F87"/>
    <w:rsid w:val="00C121F4"/>
    <w:rsid w:val="00C12223"/>
    <w:rsid w:val="00C12298"/>
    <w:rsid w:val="00C1237A"/>
    <w:rsid w:val="00C124A7"/>
    <w:rsid w:val="00C126BC"/>
    <w:rsid w:val="00C12C14"/>
    <w:rsid w:val="00C1346E"/>
    <w:rsid w:val="00C136F8"/>
    <w:rsid w:val="00C13785"/>
    <w:rsid w:val="00C139EF"/>
    <w:rsid w:val="00C13BDB"/>
    <w:rsid w:val="00C13C04"/>
    <w:rsid w:val="00C143F4"/>
    <w:rsid w:val="00C144DB"/>
    <w:rsid w:val="00C14596"/>
    <w:rsid w:val="00C1462D"/>
    <w:rsid w:val="00C14A70"/>
    <w:rsid w:val="00C14CC7"/>
    <w:rsid w:val="00C14CFF"/>
    <w:rsid w:val="00C14FFF"/>
    <w:rsid w:val="00C15665"/>
    <w:rsid w:val="00C15801"/>
    <w:rsid w:val="00C158B7"/>
    <w:rsid w:val="00C15C45"/>
    <w:rsid w:val="00C15D61"/>
    <w:rsid w:val="00C15F04"/>
    <w:rsid w:val="00C15F2D"/>
    <w:rsid w:val="00C16337"/>
    <w:rsid w:val="00C16503"/>
    <w:rsid w:val="00C16DC6"/>
    <w:rsid w:val="00C17055"/>
    <w:rsid w:val="00C17735"/>
    <w:rsid w:val="00C178A4"/>
    <w:rsid w:val="00C179B3"/>
    <w:rsid w:val="00C17D7A"/>
    <w:rsid w:val="00C17E3F"/>
    <w:rsid w:val="00C17EA1"/>
    <w:rsid w:val="00C200AA"/>
    <w:rsid w:val="00C211B5"/>
    <w:rsid w:val="00C21426"/>
    <w:rsid w:val="00C21887"/>
    <w:rsid w:val="00C22507"/>
    <w:rsid w:val="00C22676"/>
    <w:rsid w:val="00C22752"/>
    <w:rsid w:val="00C22E7B"/>
    <w:rsid w:val="00C2307D"/>
    <w:rsid w:val="00C231D5"/>
    <w:rsid w:val="00C233BF"/>
    <w:rsid w:val="00C234D1"/>
    <w:rsid w:val="00C23544"/>
    <w:rsid w:val="00C237ED"/>
    <w:rsid w:val="00C23AF5"/>
    <w:rsid w:val="00C23EF4"/>
    <w:rsid w:val="00C241F9"/>
    <w:rsid w:val="00C242BE"/>
    <w:rsid w:val="00C243EF"/>
    <w:rsid w:val="00C24632"/>
    <w:rsid w:val="00C24A1D"/>
    <w:rsid w:val="00C25010"/>
    <w:rsid w:val="00C252F4"/>
    <w:rsid w:val="00C25418"/>
    <w:rsid w:val="00C25C09"/>
    <w:rsid w:val="00C25D9C"/>
    <w:rsid w:val="00C25FCE"/>
    <w:rsid w:val="00C2603D"/>
    <w:rsid w:val="00C2642A"/>
    <w:rsid w:val="00C26CFF"/>
    <w:rsid w:val="00C26F62"/>
    <w:rsid w:val="00C27083"/>
    <w:rsid w:val="00C2718D"/>
    <w:rsid w:val="00C272F5"/>
    <w:rsid w:val="00C2778B"/>
    <w:rsid w:val="00C27BBE"/>
    <w:rsid w:val="00C27FF0"/>
    <w:rsid w:val="00C30034"/>
    <w:rsid w:val="00C30122"/>
    <w:rsid w:val="00C3017F"/>
    <w:rsid w:val="00C30221"/>
    <w:rsid w:val="00C302FD"/>
    <w:rsid w:val="00C3078D"/>
    <w:rsid w:val="00C307AD"/>
    <w:rsid w:val="00C30A13"/>
    <w:rsid w:val="00C31649"/>
    <w:rsid w:val="00C31846"/>
    <w:rsid w:val="00C319C4"/>
    <w:rsid w:val="00C31EB5"/>
    <w:rsid w:val="00C31F52"/>
    <w:rsid w:val="00C325F2"/>
    <w:rsid w:val="00C32C99"/>
    <w:rsid w:val="00C32E27"/>
    <w:rsid w:val="00C32FCC"/>
    <w:rsid w:val="00C33AEA"/>
    <w:rsid w:val="00C33E6A"/>
    <w:rsid w:val="00C3434C"/>
    <w:rsid w:val="00C3460F"/>
    <w:rsid w:val="00C347C5"/>
    <w:rsid w:val="00C348AC"/>
    <w:rsid w:val="00C348F2"/>
    <w:rsid w:val="00C349BF"/>
    <w:rsid w:val="00C34AA9"/>
    <w:rsid w:val="00C35D1A"/>
    <w:rsid w:val="00C35EC2"/>
    <w:rsid w:val="00C3632E"/>
    <w:rsid w:val="00C36653"/>
    <w:rsid w:val="00C36799"/>
    <w:rsid w:val="00C3692A"/>
    <w:rsid w:val="00C36A51"/>
    <w:rsid w:val="00C36B09"/>
    <w:rsid w:val="00C36DDA"/>
    <w:rsid w:val="00C36E0F"/>
    <w:rsid w:val="00C36FAB"/>
    <w:rsid w:val="00C37761"/>
    <w:rsid w:val="00C377E5"/>
    <w:rsid w:val="00C37B3F"/>
    <w:rsid w:val="00C37CF7"/>
    <w:rsid w:val="00C40385"/>
    <w:rsid w:val="00C40670"/>
    <w:rsid w:val="00C406D8"/>
    <w:rsid w:val="00C4092F"/>
    <w:rsid w:val="00C40944"/>
    <w:rsid w:val="00C40B11"/>
    <w:rsid w:val="00C40E53"/>
    <w:rsid w:val="00C410A7"/>
    <w:rsid w:val="00C41768"/>
    <w:rsid w:val="00C41817"/>
    <w:rsid w:val="00C41839"/>
    <w:rsid w:val="00C41912"/>
    <w:rsid w:val="00C41FAE"/>
    <w:rsid w:val="00C4217A"/>
    <w:rsid w:val="00C42356"/>
    <w:rsid w:val="00C42651"/>
    <w:rsid w:val="00C42DF4"/>
    <w:rsid w:val="00C42E2B"/>
    <w:rsid w:val="00C43179"/>
    <w:rsid w:val="00C431F1"/>
    <w:rsid w:val="00C43530"/>
    <w:rsid w:val="00C4356B"/>
    <w:rsid w:val="00C439F4"/>
    <w:rsid w:val="00C43D87"/>
    <w:rsid w:val="00C43F05"/>
    <w:rsid w:val="00C43FD6"/>
    <w:rsid w:val="00C44153"/>
    <w:rsid w:val="00C441ED"/>
    <w:rsid w:val="00C44413"/>
    <w:rsid w:val="00C447C5"/>
    <w:rsid w:val="00C44F89"/>
    <w:rsid w:val="00C45074"/>
    <w:rsid w:val="00C45347"/>
    <w:rsid w:val="00C45387"/>
    <w:rsid w:val="00C456EC"/>
    <w:rsid w:val="00C45702"/>
    <w:rsid w:val="00C45786"/>
    <w:rsid w:val="00C45D07"/>
    <w:rsid w:val="00C45F10"/>
    <w:rsid w:val="00C4679A"/>
    <w:rsid w:val="00C46A25"/>
    <w:rsid w:val="00C46E9E"/>
    <w:rsid w:val="00C47497"/>
    <w:rsid w:val="00C475AA"/>
    <w:rsid w:val="00C4765D"/>
    <w:rsid w:val="00C47675"/>
    <w:rsid w:val="00C477E3"/>
    <w:rsid w:val="00C47D8B"/>
    <w:rsid w:val="00C47E6F"/>
    <w:rsid w:val="00C47F43"/>
    <w:rsid w:val="00C504FF"/>
    <w:rsid w:val="00C506CF"/>
    <w:rsid w:val="00C50C69"/>
    <w:rsid w:val="00C50D7E"/>
    <w:rsid w:val="00C5140F"/>
    <w:rsid w:val="00C5154B"/>
    <w:rsid w:val="00C51607"/>
    <w:rsid w:val="00C51A54"/>
    <w:rsid w:val="00C520D6"/>
    <w:rsid w:val="00C52594"/>
    <w:rsid w:val="00C527DC"/>
    <w:rsid w:val="00C530C8"/>
    <w:rsid w:val="00C530F9"/>
    <w:rsid w:val="00C5321A"/>
    <w:rsid w:val="00C533DB"/>
    <w:rsid w:val="00C5349D"/>
    <w:rsid w:val="00C53540"/>
    <w:rsid w:val="00C53C98"/>
    <w:rsid w:val="00C53D04"/>
    <w:rsid w:val="00C5401A"/>
    <w:rsid w:val="00C54218"/>
    <w:rsid w:val="00C546A0"/>
    <w:rsid w:val="00C546DE"/>
    <w:rsid w:val="00C559D9"/>
    <w:rsid w:val="00C55AC0"/>
    <w:rsid w:val="00C55C09"/>
    <w:rsid w:val="00C55E64"/>
    <w:rsid w:val="00C56603"/>
    <w:rsid w:val="00C567B9"/>
    <w:rsid w:val="00C567CB"/>
    <w:rsid w:val="00C56B63"/>
    <w:rsid w:val="00C56FCF"/>
    <w:rsid w:val="00C57062"/>
    <w:rsid w:val="00C573F5"/>
    <w:rsid w:val="00C5754D"/>
    <w:rsid w:val="00C57699"/>
    <w:rsid w:val="00C5778D"/>
    <w:rsid w:val="00C57B6C"/>
    <w:rsid w:val="00C57BA8"/>
    <w:rsid w:val="00C57F92"/>
    <w:rsid w:val="00C6050F"/>
    <w:rsid w:val="00C6061D"/>
    <w:rsid w:val="00C60BF8"/>
    <w:rsid w:val="00C610DF"/>
    <w:rsid w:val="00C6111A"/>
    <w:rsid w:val="00C611EF"/>
    <w:rsid w:val="00C61515"/>
    <w:rsid w:val="00C6180B"/>
    <w:rsid w:val="00C61929"/>
    <w:rsid w:val="00C61DDA"/>
    <w:rsid w:val="00C62242"/>
    <w:rsid w:val="00C6226B"/>
    <w:rsid w:val="00C62580"/>
    <w:rsid w:val="00C628A6"/>
    <w:rsid w:val="00C62B63"/>
    <w:rsid w:val="00C62BA2"/>
    <w:rsid w:val="00C62BA5"/>
    <w:rsid w:val="00C62CE1"/>
    <w:rsid w:val="00C62D7A"/>
    <w:rsid w:val="00C62FC7"/>
    <w:rsid w:val="00C6304C"/>
    <w:rsid w:val="00C6307D"/>
    <w:rsid w:val="00C630A8"/>
    <w:rsid w:val="00C6316B"/>
    <w:rsid w:val="00C63278"/>
    <w:rsid w:val="00C63380"/>
    <w:rsid w:val="00C63387"/>
    <w:rsid w:val="00C63663"/>
    <w:rsid w:val="00C636FD"/>
    <w:rsid w:val="00C63772"/>
    <w:rsid w:val="00C63802"/>
    <w:rsid w:val="00C63B07"/>
    <w:rsid w:val="00C63BB6"/>
    <w:rsid w:val="00C63FB8"/>
    <w:rsid w:val="00C63FC7"/>
    <w:rsid w:val="00C63FFC"/>
    <w:rsid w:val="00C64279"/>
    <w:rsid w:val="00C64344"/>
    <w:rsid w:val="00C6437A"/>
    <w:rsid w:val="00C6439C"/>
    <w:rsid w:val="00C644F5"/>
    <w:rsid w:val="00C64B8C"/>
    <w:rsid w:val="00C64CCC"/>
    <w:rsid w:val="00C65108"/>
    <w:rsid w:val="00C651F9"/>
    <w:rsid w:val="00C6534B"/>
    <w:rsid w:val="00C65576"/>
    <w:rsid w:val="00C6568C"/>
    <w:rsid w:val="00C659EF"/>
    <w:rsid w:val="00C65C76"/>
    <w:rsid w:val="00C65CDA"/>
    <w:rsid w:val="00C65E7C"/>
    <w:rsid w:val="00C66107"/>
    <w:rsid w:val="00C66165"/>
    <w:rsid w:val="00C66232"/>
    <w:rsid w:val="00C66692"/>
    <w:rsid w:val="00C66B2E"/>
    <w:rsid w:val="00C67214"/>
    <w:rsid w:val="00C67675"/>
    <w:rsid w:val="00C67A25"/>
    <w:rsid w:val="00C67D13"/>
    <w:rsid w:val="00C67FFB"/>
    <w:rsid w:val="00C7060A"/>
    <w:rsid w:val="00C70A8B"/>
    <w:rsid w:val="00C70DC4"/>
    <w:rsid w:val="00C70FA8"/>
    <w:rsid w:val="00C7117A"/>
    <w:rsid w:val="00C7141D"/>
    <w:rsid w:val="00C7151A"/>
    <w:rsid w:val="00C7178D"/>
    <w:rsid w:val="00C717E3"/>
    <w:rsid w:val="00C71846"/>
    <w:rsid w:val="00C71D23"/>
    <w:rsid w:val="00C71F60"/>
    <w:rsid w:val="00C720E5"/>
    <w:rsid w:val="00C7217E"/>
    <w:rsid w:val="00C72241"/>
    <w:rsid w:val="00C722FD"/>
    <w:rsid w:val="00C7251D"/>
    <w:rsid w:val="00C7260E"/>
    <w:rsid w:val="00C72E8E"/>
    <w:rsid w:val="00C73A0D"/>
    <w:rsid w:val="00C73ECE"/>
    <w:rsid w:val="00C74159"/>
    <w:rsid w:val="00C74607"/>
    <w:rsid w:val="00C746AF"/>
    <w:rsid w:val="00C746F1"/>
    <w:rsid w:val="00C747FE"/>
    <w:rsid w:val="00C749AA"/>
    <w:rsid w:val="00C74FC4"/>
    <w:rsid w:val="00C74FCF"/>
    <w:rsid w:val="00C75012"/>
    <w:rsid w:val="00C750C8"/>
    <w:rsid w:val="00C7556C"/>
    <w:rsid w:val="00C7560F"/>
    <w:rsid w:val="00C757B4"/>
    <w:rsid w:val="00C75936"/>
    <w:rsid w:val="00C75A4C"/>
    <w:rsid w:val="00C75CF2"/>
    <w:rsid w:val="00C75F2C"/>
    <w:rsid w:val="00C76B34"/>
    <w:rsid w:val="00C77095"/>
    <w:rsid w:val="00C771C7"/>
    <w:rsid w:val="00C7727D"/>
    <w:rsid w:val="00C77302"/>
    <w:rsid w:val="00C77726"/>
    <w:rsid w:val="00C77762"/>
    <w:rsid w:val="00C7783F"/>
    <w:rsid w:val="00C779E4"/>
    <w:rsid w:val="00C779EA"/>
    <w:rsid w:val="00C77C19"/>
    <w:rsid w:val="00C77D08"/>
    <w:rsid w:val="00C77DBE"/>
    <w:rsid w:val="00C809D1"/>
    <w:rsid w:val="00C80A0E"/>
    <w:rsid w:val="00C80E4B"/>
    <w:rsid w:val="00C80F83"/>
    <w:rsid w:val="00C80FA6"/>
    <w:rsid w:val="00C81889"/>
    <w:rsid w:val="00C81BF6"/>
    <w:rsid w:val="00C81C63"/>
    <w:rsid w:val="00C81EC7"/>
    <w:rsid w:val="00C81FCD"/>
    <w:rsid w:val="00C8213F"/>
    <w:rsid w:val="00C82438"/>
    <w:rsid w:val="00C82D37"/>
    <w:rsid w:val="00C82F0B"/>
    <w:rsid w:val="00C82F7A"/>
    <w:rsid w:val="00C836F6"/>
    <w:rsid w:val="00C838D5"/>
    <w:rsid w:val="00C8410F"/>
    <w:rsid w:val="00C84659"/>
    <w:rsid w:val="00C84D48"/>
    <w:rsid w:val="00C84E4B"/>
    <w:rsid w:val="00C85154"/>
    <w:rsid w:val="00C8531B"/>
    <w:rsid w:val="00C855A8"/>
    <w:rsid w:val="00C8577C"/>
    <w:rsid w:val="00C85B79"/>
    <w:rsid w:val="00C8657F"/>
    <w:rsid w:val="00C86C15"/>
    <w:rsid w:val="00C86CE8"/>
    <w:rsid w:val="00C86E76"/>
    <w:rsid w:val="00C8797A"/>
    <w:rsid w:val="00C87991"/>
    <w:rsid w:val="00C879AA"/>
    <w:rsid w:val="00C87AD0"/>
    <w:rsid w:val="00C87BD8"/>
    <w:rsid w:val="00C87CDF"/>
    <w:rsid w:val="00C87D3F"/>
    <w:rsid w:val="00C87E73"/>
    <w:rsid w:val="00C90077"/>
    <w:rsid w:val="00C900B8"/>
    <w:rsid w:val="00C90267"/>
    <w:rsid w:val="00C905F8"/>
    <w:rsid w:val="00C90BFC"/>
    <w:rsid w:val="00C90C71"/>
    <w:rsid w:val="00C90CFE"/>
    <w:rsid w:val="00C90D9C"/>
    <w:rsid w:val="00C90E20"/>
    <w:rsid w:val="00C90F60"/>
    <w:rsid w:val="00C91389"/>
    <w:rsid w:val="00C91461"/>
    <w:rsid w:val="00C9171B"/>
    <w:rsid w:val="00C91B71"/>
    <w:rsid w:val="00C91D56"/>
    <w:rsid w:val="00C91EAD"/>
    <w:rsid w:val="00C91FD1"/>
    <w:rsid w:val="00C92403"/>
    <w:rsid w:val="00C926FE"/>
    <w:rsid w:val="00C927A6"/>
    <w:rsid w:val="00C929DB"/>
    <w:rsid w:val="00C92CCE"/>
    <w:rsid w:val="00C93090"/>
    <w:rsid w:val="00C93181"/>
    <w:rsid w:val="00C931CF"/>
    <w:rsid w:val="00C9320A"/>
    <w:rsid w:val="00C932B9"/>
    <w:rsid w:val="00C93426"/>
    <w:rsid w:val="00C93474"/>
    <w:rsid w:val="00C936A8"/>
    <w:rsid w:val="00C938CF"/>
    <w:rsid w:val="00C9399E"/>
    <w:rsid w:val="00C93ED0"/>
    <w:rsid w:val="00C94053"/>
    <w:rsid w:val="00C94130"/>
    <w:rsid w:val="00C94257"/>
    <w:rsid w:val="00C943EF"/>
    <w:rsid w:val="00C948DB"/>
    <w:rsid w:val="00C94C87"/>
    <w:rsid w:val="00C94CC3"/>
    <w:rsid w:val="00C94EDD"/>
    <w:rsid w:val="00C94FFD"/>
    <w:rsid w:val="00C95851"/>
    <w:rsid w:val="00C95982"/>
    <w:rsid w:val="00C95B8E"/>
    <w:rsid w:val="00C961BE"/>
    <w:rsid w:val="00C9624D"/>
    <w:rsid w:val="00C9632F"/>
    <w:rsid w:val="00C964E4"/>
    <w:rsid w:val="00C9654D"/>
    <w:rsid w:val="00C965BF"/>
    <w:rsid w:val="00C96759"/>
    <w:rsid w:val="00C969D2"/>
    <w:rsid w:val="00C969DA"/>
    <w:rsid w:val="00C96C5F"/>
    <w:rsid w:val="00C96C67"/>
    <w:rsid w:val="00C96E85"/>
    <w:rsid w:val="00C971FA"/>
    <w:rsid w:val="00C97449"/>
    <w:rsid w:val="00C9754D"/>
    <w:rsid w:val="00C97B10"/>
    <w:rsid w:val="00CA01F0"/>
    <w:rsid w:val="00CA051C"/>
    <w:rsid w:val="00CA0E4D"/>
    <w:rsid w:val="00CA0ED5"/>
    <w:rsid w:val="00CA142B"/>
    <w:rsid w:val="00CA1526"/>
    <w:rsid w:val="00CA1576"/>
    <w:rsid w:val="00CA174A"/>
    <w:rsid w:val="00CA2C77"/>
    <w:rsid w:val="00CA2E0A"/>
    <w:rsid w:val="00CA31A8"/>
    <w:rsid w:val="00CA366F"/>
    <w:rsid w:val="00CA382B"/>
    <w:rsid w:val="00CA38CC"/>
    <w:rsid w:val="00CA3992"/>
    <w:rsid w:val="00CA3BF5"/>
    <w:rsid w:val="00CA3E2E"/>
    <w:rsid w:val="00CA4413"/>
    <w:rsid w:val="00CA4446"/>
    <w:rsid w:val="00CA444F"/>
    <w:rsid w:val="00CA445B"/>
    <w:rsid w:val="00CA4611"/>
    <w:rsid w:val="00CA487F"/>
    <w:rsid w:val="00CA48F5"/>
    <w:rsid w:val="00CA4AA9"/>
    <w:rsid w:val="00CA4E90"/>
    <w:rsid w:val="00CA4F80"/>
    <w:rsid w:val="00CA5032"/>
    <w:rsid w:val="00CA5035"/>
    <w:rsid w:val="00CA51B7"/>
    <w:rsid w:val="00CA5245"/>
    <w:rsid w:val="00CA527F"/>
    <w:rsid w:val="00CA5466"/>
    <w:rsid w:val="00CA5489"/>
    <w:rsid w:val="00CA5709"/>
    <w:rsid w:val="00CA5FBD"/>
    <w:rsid w:val="00CA6593"/>
    <w:rsid w:val="00CA6D55"/>
    <w:rsid w:val="00CA6E21"/>
    <w:rsid w:val="00CA71F4"/>
    <w:rsid w:val="00CA734A"/>
    <w:rsid w:val="00CA736B"/>
    <w:rsid w:val="00CA7B09"/>
    <w:rsid w:val="00CA7CD2"/>
    <w:rsid w:val="00CA7CE0"/>
    <w:rsid w:val="00CB0198"/>
    <w:rsid w:val="00CB02DE"/>
    <w:rsid w:val="00CB03D8"/>
    <w:rsid w:val="00CB05D0"/>
    <w:rsid w:val="00CB0887"/>
    <w:rsid w:val="00CB0D01"/>
    <w:rsid w:val="00CB0E34"/>
    <w:rsid w:val="00CB0F72"/>
    <w:rsid w:val="00CB0F8A"/>
    <w:rsid w:val="00CB11BA"/>
    <w:rsid w:val="00CB12A5"/>
    <w:rsid w:val="00CB1395"/>
    <w:rsid w:val="00CB13E7"/>
    <w:rsid w:val="00CB15B0"/>
    <w:rsid w:val="00CB15D0"/>
    <w:rsid w:val="00CB17C0"/>
    <w:rsid w:val="00CB182F"/>
    <w:rsid w:val="00CB1BA3"/>
    <w:rsid w:val="00CB1C84"/>
    <w:rsid w:val="00CB1CAC"/>
    <w:rsid w:val="00CB205C"/>
    <w:rsid w:val="00CB20CA"/>
    <w:rsid w:val="00CB21A7"/>
    <w:rsid w:val="00CB2329"/>
    <w:rsid w:val="00CB2589"/>
    <w:rsid w:val="00CB27B9"/>
    <w:rsid w:val="00CB2E75"/>
    <w:rsid w:val="00CB2F2A"/>
    <w:rsid w:val="00CB3236"/>
    <w:rsid w:val="00CB367D"/>
    <w:rsid w:val="00CB381F"/>
    <w:rsid w:val="00CB3884"/>
    <w:rsid w:val="00CB399C"/>
    <w:rsid w:val="00CB3A20"/>
    <w:rsid w:val="00CB3BC0"/>
    <w:rsid w:val="00CB3E36"/>
    <w:rsid w:val="00CB40BE"/>
    <w:rsid w:val="00CB4188"/>
    <w:rsid w:val="00CB43AA"/>
    <w:rsid w:val="00CB4504"/>
    <w:rsid w:val="00CB4575"/>
    <w:rsid w:val="00CB45BD"/>
    <w:rsid w:val="00CB45FF"/>
    <w:rsid w:val="00CB4715"/>
    <w:rsid w:val="00CB4ADD"/>
    <w:rsid w:val="00CB4EC9"/>
    <w:rsid w:val="00CB51D8"/>
    <w:rsid w:val="00CB51FF"/>
    <w:rsid w:val="00CB523C"/>
    <w:rsid w:val="00CB5B1A"/>
    <w:rsid w:val="00CB5BF5"/>
    <w:rsid w:val="00CB5CD4"/>
    <w:rsid w:val="00CB5E6D"/>
    <w:rsid w:val="00CB5F88"/>
    <w:rsid w:val="00CB5FF5"/>
    <w:rsid w:val="00CB6178"/>
    <w:rsid w:val="00CB6179"/>
    <w:rsid w:val="00CB6AE2"/>
    <w:rsid w:val="00CB6B22"/>
    <w:rsid w:val="00CB6C1E"/>
    <w:rsid w:val="00CB6CF3"/>
    <w:rsid w:val="00CB6EF3"/>
    <w:rsid w:val="00CB714B"/>
    <w:rsid w:val="00CB752F"/>
    <w:rsid w:val="00CB7642"/>
    <w:rsid w:val="00CB776A"/>
    <w:rsid w:val="00CB7AC2"/>
    <w:rsid w:val="00CB7F5F"/>
    <w:rsid w:val="00CC0129"/>
    <w:rsid w:val="00CC047D"/>
    <w:rsid w:val="00CC04D3"/>
    <w:rsid w:val="00CC06B1"/>
    <w:rsid w:val="00CC0AA0"/>
    <w:rsid w:val="00CC0CB1"/>
    <w:rsid w:val="00CC0FF6"/>
    <w:rsid w:val="00CC1460"/>
    <w:rsid w:val="00CC154B"/>
    <w:rsid w:val="00CC1B39"/>
    <w:rsid w:val="00CC2034"/>
    <w:rsid w:val="00CC22E6"/>
    <w:rsid w:val="00CC236A"/>
    <w:rsid w:val="00CC290A"/>
    <w:rsid w:val="00CC2D1C"/>
    <w:rsid w:val="00CC2F45"/>
    <w:rsid w:val="00CC3293"/>
    <w:rsid w:val="00CC35EA"/>
    <w:rsid w:val="00CC382F"/>
    <w:rsid w:val="00CC3848"/>
    <w:rsid w:val="00CC3C21"/>
    <w:rsid w:val="00CC3C4C"/>
    <w:rsid w:val="00CC3D74"/>
    <w:rsid w:val="00CC3EDC"/>
    <w:rsid w:val="00CC40D7"/>
    <w:rsid w:val="00CC4174"/>
    <w:rsid w:val="00CC41C7"/>
    <w:rsid w:val="00CC4A0D"/>
    <w:rsid w:val="00CC538A"/>
    <w:rsid w:val="00CC5CC7"/>
    <w:rsid w:val="00CC5E6A"/>
    <w:rsid w:val="00CC6182"/>
    <w:rsid w:val="00CC67A0"/>
    <w:rsid w:val="00CC74E8"/>
    <w:rsid w:val="00CC7EFC"/>
    <w:rsid w:val="00CD098D"/>
    <w:rsid w:val="00CD0AF2"/>
    <w:rsid w:val="00CD0C8A"/>
    <w:rsid w:val="00CD103F"/>
    <w:rsid w:val="00CD1A8B"/>
    <w:rsid w:val="00CD1B11"/>
    <w:rsid w:val="00CD1F11"/>
    <w:rsid w:val="00CD23E2"/>
    <w:rsid w:val="00CD2422"/>
    <w:rsid w:val="00CD2496"/>
    <w:rsid w:val="00CD2956"/>
    <w:rsid w:val="00CD2D63"/>
    <w:rsid w:val="00CD3146"/>
    <w:rsid w:val="00CD3427"/>
    <w:rsid w:val="00CD3A15"/>
    <w:rsid w:val="00CD3AF2"/>
    <w:rsid w:val="00CD3B7B"/>
    <w:rsid w:val="00CD3F21"/>
    <w:rsid w:val="00CD3F77"/>
    <w:rsid w:val="00CD4765"/>
    <w:rsid w:val="00CD4791"/>
    <w:rsid w:val="00CD4DDD"/>
    <w:rsid w:val="00CD4EA2"/>
    <w:rsid w:val="00CD5053"/>
    <w:rsid w:val="00CD526B"/>
    <w:rsid w:val="00CD544B"/>
    <w:rsid w:val="00CD54CE"/>
    <w:rsid w:val="00CD55CA"/>
    <w:rsid w:val="00CD5733"/>
    <w:rsid w:val="00CD5F43"/>
    <w:rsid w:val="00CD61AD"/>
    <w:rsid w:val="00CD661F"/>
    <w:rsid w:val="00CD6987"/>
    <w:rsid w:val="00CD6ADC"/>
    <w:rsid w:val="00CD6B8A"/>
    <w:rsid w:val="00CD6D17"/>
    <w:rsid w:val="00CD6E3A"/>
    <w:rsid w:val="00CD6F3A"/>
    <w:rsid w:val="00CD7193"/>
    <w:rsid w:val="00CD7649"/>
    <w:rsid w:val="00CD787B"/>
    <w:rsid w:val="00CE03E0"/>
    <w:rsid w:val="00CE0450"/>
    <w:rsid w:val="00CE0AD6"/>
    <w:rsid w:val="00CE0B87"/>
    <w:rsid w:val="00CE0C20"/>
    <w:rsid w:val="00CE151D"/>
    <w:rsid w:val="00CE15E8"/>
    <w:rsid w:val="00CE19E4"/>
    <w:rsid w:val="00CE2393"/>
    <w:rsid w:val="00CE24AA"/>
    <w:rsid w:val="00CE2603"/>
    <w:rsid w:val="00CE274A"/>
    <w:rsid w:val="00CE2961"/>
    <w:rsid w:val="00CE2C4E"/>
    <w:rsid w:val="00CE2F4E"/>
    <w:rsid w:val="00CE318A"/>
    <w:rsid w:val="00CE3196"/>
    <w:rsid w:val="00CE320E"/>
    <w:rsid w:val="00CE33FB"/>
    <w:rsid w:val="00CE345A"/>
    <w:rsid w:val="00CE3525"/>
    <w:rsid w:val="00CE365C"/>
    <w:rsid w:val="00CE37B3"/>
    <w:rsid w:val="00CE38C8"/>
    <w:rsid w:val="00CE3A5C"/>
    <w:rsid w:val="00CE3E1B"/>
    <w:rsid w:val="00CE46DB"/>
    <w:rsid w:val="00CE4800"/>
    <w:rsid w:val="00CE4A51"/>
    <w:rsid w:val="00CE4A69"/>
    <w:rsid w:val="00CE4BFB"/>
    <w:rsid w:val="00CE5023"/>
    <w:rsid w:val="00CE5646"/>
    <w:rsid w:val="00CE5A2F"/>
    <w:rsid w:val="00CE5AD3"/>
    <w:rsid w:val="00CE5F28"/>
    <w:rsid w:val="00CE60C7"/>
    <w:rsid w:val="00CE612A"/>
    <w:rsid w:val="00CE6274"/>
    <w:rsid w:val="00CE62CC"/>
    <w:rsid w:val="00CE64C1"/>
    <w:rsid w:val="00CE6799"/>
    <w:rsid w:val="00CE69EB"/>
    <w:rsid w:val="00CE6AD6"/>
    <w:rsid w:val="00CE6B84"/>
    <w:rsid w:val="00CE6FAF"/>
    <w:rsid w:val="00CE73B7"/>
    <w:rsid w:val="00CE74ED"/>
    <w:rsid w:val="00CE7750"/>
    <w:rsid w:val="00CE77B6"/>
    <w:rsid w:val="00CE7802"/>
    <w:rsid w:val="00CE786E"/>
    <w:rsid w:val="00CE7A55"/>
    <w:rsid w:val="00CE7AED"/>
    <w:rsid w:val="00CE7F72"/>
    <w:rsid w:val="00CF011D"/>
    <w:rsid w:val="00CF04C8"/>
    <w:rsid w:val="00CF0511"/>
    <w:rsid w:val="00CF06FC"/>
    <w:rsid w:val="00CF0751"/>
    <w:rsid w:val="00CF075D"/>
    <w:rsid w:val="00CF0E8E"/>
    <w:rsid w:val="00CF1580"/>
    <w:rsid w:val="00CF1CDA"/>
    <w:rsid w:val="00CF217F"/>
    <w:rsid w:val="00CF223C"/>
    <w:rsid w:val="00CF2B8D"/>
    <w:rsid w:val="00CF2D25"/>
    <w:rsid w:val="00CF2F93"/>
    <w:rsid w:val="00CF32A2"/>
    <w:rsid w:val="00CF3447"/>
    <w:rsid w:val="00CF3678"/>
    <w:rsid w:val="00CF3A03"/>
    <w:rsid w:val="00CF4326"/>
    <w:rsid w:val="00CF456B"/>
    <w:rsid w:val="00CF4662"/>
    <w:rsid w:val="00CF497B"/>
    <w:rsid w:val="00CF4D17"/>
    <w:rsid w:val="00CF4D4F"/>
    <w:rsid w:val="00CF506E"/>
    <w:rsid w:val="00CF52C7"/>
    <w:rsid w:val="00CF533B"/>
    <w:rsid w:val="00CF559A"/>
    <w:rsid w:val="00CF5A22"/>
    <w:rsid w:val="00CF5ADB"/>
    <w:rsid w:val="00CF62C0"/>
    <w:rsid w:val="00CF65D2"/>
    <w:rsid w:val="00CF6916"/>
    <w:rsid w:val="00CF6F32"/>
    <w:rsid w:val="00CF71D0"/>
    <w:rsid w:val="00CF7322"/>
    <w:rsid w:val="00CF78AF"/>
    <w:rsid w:val="00D00CB3"/>
    <w:rsid w:val="00D01151"/>
    <w:rsid w:val="00D01904"/>
    <w:rsid w:val="00D01B90"/>
    <w:rsid w:val="00D01B98"/>
    <w:rsid w:val="00D01CBD"/>
    <w:rsid w:val="00D0204D"/>
    <w:rsid w:val="00D02170"/>
    <w:rsid w:val="00D02492"/>
    <w:rsid w:val="00D0262E"/>
    <w:rsid w:val="00D02747"/>
    <w:rsid w:val="00D028EA"/>
    <w:rsid w:val="00D0296A"/>
    <w:rsid w:val="00D02980"/>
    <w:rsid w:val="00D02D11"/>
    <w:rsid w:val="00D03417"/>
    <w:rsid w:val="00D0350A"/>
    <w:rsid w:val="00D0380F"/>
    <w:rsid w:val="00D04203"/>
    <w:rsid w:val="00D043EE"/>
    <w:rsid w:val="00D04468"/>
    <w:rsid w:val="00D0492A"/>
    <w:rsid w:val="00D0507C"/>
    <w:rsid w:val="00D05148"/>
    <w:rsid w:val="00D05460"/>
    <w:rsid w:val="00D054B1"/>
    <w:rsid w:val="00D059ED"/>
    <w:rsid w:val="00D05E3D"/>
    <w:rsid w:val="00D05F09"/>
    <w:rsid w:val="00D06139"/>
    <w:rsid w:val="00D065F3"/>
    <w:rsid w:val="00D06679"/>
    <w:rsid w:val="00D06A2D"/>
    <w:rsid w:val="00D06C07"/>
    <w:rsid w:val="00D072EF"/>
    <w:rsid w:val="00D0736D"/>
    <w:rsid w:val="00D076B4"/>
    <w:rsid w:val="00D0774F"/>
    <w:rsid w:val="00D07BED"/>
    <w:rsid w:val="00D07F86"/>
    <w:rsid w:val="00D107E8"/>
    <w:rsid w:val="00D108C2"/>
    <w:rsid w:val="00D110BD"/>
    <w:rsid w:val="00D1135E"/>
    <w:rsid w:val="00D11CB9"/>
    <w:rsid w:val="00D11DF8"/>
    <w:rsid w:val="00D11E62"/>
    <w:rsid w:val="00D11F59"/>
    <w:rsid w:val="00D12183"/>
    <w:rsid w:val="00D123CE"/>
    <w:rsid w:val="00D124F7"/>
    <w:rsid w:val="00D12B73"/>
    <w:rsid w:val="00D12BBC"/>
    <w:rsid w:val="00D13366"/>
    <w:rsid w:val="00D13675"/>
    <w:rsid w:val="00D13C92"/>
    <w:rsid w:val="00D13CA1"/>
    <w:rsid w:val="00D13CF6"/>
    <w:rsid w:val="00D13F5B"/>
    <w:rsid w:val="00D14108"/>
    <w:rsid w:val="00D1415E"/>
    <w:rsid w:val="00D141E1"/>
    <w:rsid w:val="00D14560"/>
    <w:rsid w:val="00D1466C"/>
    <w:rsid w:val="00D1492A"/>
    <w:rsid w:val="00D14E71"/>
    <w:rsid w:val="00D14F78"/>
    <w:rsid w:val="00D14FBD"/>
    <w:rsid w:val="00D15314"/>
    <w:rsid w:val="00D15357"/>
    <w:rsid w:val="00D1544D"/>
    <w:rsid w:val="00D15616"/>
    <w:rsid w:val="00D15E69"/>
    <w:rsid w:val="00D15F05"/>
    <w:rsid w:val="00D160FB"/>
    <w:rsid w:val="00D1668C"/>
    <w:rsid w:val="00D1669F"/>
    <w:rsid w:val="00D16964"/>
    <w:rsid w:val="00D16F58"/>
    <w:rsid w:val="00D17258"/>
    <w:rsid w:val="00D172E2"/>
    <w:rsid w:val="00D17573"/>
    <w:rsid w:val="00D1789E"/>
    <w:rsid w:val="00D17B70"/>
    <w:rsid w:val="00D17D6C"/>
    <w:rsid w:val="00D201C1"/>
    <w:rsid w:val="00D20616"/>
    <w:rsid w:val="00D20692"/>
    <w:rsid w:val="00D208D1"/>
    <w:rsid w:val="00D20D14"/>
    <w:rsid w:val="00D20EBF"/>
    <w:rsid w:val="00D2107E"/>
    <w:rsid w:val="00D211FB"/>
    <w:rsid w:val="00D2127E"/>
    <w:rsid w:val="00D214D7"/>
    <w:rsid w:val="00D2155B"/>
    <w:rsid w:val="00D2156F"/>
    <w:rsid w:val="00D216CF"/>
    <w:rsid w:val="00D21879"/>
    <w:rsid w:val="00D2197F"/>
    <w:rsid w:val="00D21D56"/>
    <w:rsid w:val="00D21D71"/>
    <w:rsid w:val="00D21DB5"/>
    <w:rsid w:val="00D21E61"/>
    <w:rsid w:val="00D22238"/>
    <w:rsid w:val="00D22329"/>
    <w:rsid w:val="00D22482"/>
    <w:rsid w:val="00D224C7"/>
    <w:rsid w:val="00D22735"/>
    <w:rsid w:val="00D22790"/>
    <w:rsid w:val="00D22944"/>
    <w:rsid w:val="00D229A7"/>
    <w:rsid w:val="00D229AE"/>
    <w:rsid w:val="00D22D1C"/>
    <w:rsid w:val="00D22DAA"/>
    <w:rsid w:val="00D2372D"/>
    <w:rsid w:val="00D2385F"/>
    <w:rsid w:val="00D23A74"/>
    <w:rsid w:val="00D23A8B"/>
    <w:rsid w:val="00D23B8D"/>
    <w:rsid w:val="00D23D11"/>
    <w:rsid w:val="00D23E7B"/>
    <w:rsid w:val="00D240C9"/>
    <w:rsid w:val="00D242DE"/>
    <w:rsid w:val="00D2445F"/>
    <w:rsid w:val="00D244B6"/>
    <w:rsid w:val="00D24826"/>
    <w:rsid w:val="00D24C41"/>
    <w:rsid w:val="00D24F49"/>
    <w:rsid w:val="00D251B4"/>
    <w:rsid w:val="00D25841"/>
    <w:rsid w:val="00D25914"/>
    <w:rsid w:val="00D259BD"/>
    <w:rsid w:val="00D25DB1"/>
    <w:rsid w:val="00D262CE"/>
    <w:rsid w:val="00D2669C"/>
    <w:rsid w:val="00D26964"/>
    <w:rsid w:val="00D26A36"/>
    <w:rsid w:val="00D26AEF"/>
    <w:rsid w:val="00D26F45"/>
    <w:rsid w:val="00D27269"/>
    <w:rsid w:val="00D2751F"/>
    <w:rsid w:val="00D2754D"/>
    <w:rsid w:val="00D2757E"/>
    <w:rsid w:val="00D27B27"/>
    <w:rsid w:val="00D304AA"/>
    <w:rsid w:val="00D306AF"/>
    <w:rsid w:val="00D30B01"/>
    <w:rsid w:val="00D30B84"/>
    <w:rsid w:val="00D30D2C"/>
    <w:rsid w:val="00D31120"/>
    <w:rsid w:val="00D3162B"/>
    <w:rsid w:val="00D31A58"/>
    <w:rsid w:val="00D31F63"/>
    <w:rsid w:val="00D3204C"/>
    <w:rsid w:val="00D320E0"/>
    <w:rsid w:val="00D322A0"/>
    <w:rsid w:val="00D324F9"/>
    <w:rsid w:val="00D3284E"/>
    <w:rsid w:val="00D32E1A"/>
    <w:rsid w:val="00D32F40"/>
    <w:rsid w:val="00D331A0"/>
    <w:rsid w:val="00D33232"/>
    <w:rsid w:val="00D332BF"/>
    <w:rsid w:val="00D3333B"/>
    <w:rsid w:val="00D33830"/>
    <w:rsid w:val="00D338F0"/>
    <w:rsid w:val="00D33BD2"/>
    <w:rsid w:val="00D33BE9"/>
    <w:rsid w:val="00D33E10"/>
    <w:rsid w:val="00D33EF3"/>
    <w:rsid w:val="00D33F93"/>
    <w:rsid w:val="00D343AC"/>
    <w:rsid w:val="00D348F4"/>
    <w:rsid w:val="00D349CC"/>
    <w:rsid w:val="00D34ACB"/>
    <w:rsid w:val="00D34B76"/>
    <w:rsid w:val="00D34BD4"/>
    <w:rsid w:val="00D34BDA"/>
    <w:rsid w:val="00D357FF"/>
    <w:rsid w:val="00D358D3"/>
    <w:rsid w:val="00D35A4B"/>
    <w:rsid w:val="00D36277"/>
    <w:rsid w:val="00D368FA"/>
    <w:rsid w:val="00D36A50"/>
    <w:rsid w:val="00D36FCD"/>
    <w:rsid w:val="00D37766"/>
    <w:rsid w:val="00D378BA"/>
    <w:rsid w:val="00D37A2D"/>
    <w:rsid w:val="00D40928"/>
    <w:rsid w:val="00D409A5"/>
    <w:rsid w:val="00D40A36"/>
    <w:rsid w:val="00D4114A"/>
    <w:rsid w:val="00D4166A"/>
    <w:rsid w:val="00D41C13"/>
    <w:rsid w:val="00D41C4E"/>
    <w:rsid w:val="00D41DDA"/>
    <w:rsid w:val="00D41F14"/>
    <w:rsid w:val="00D42146"/>
    <w:rsid w:val="00D424C7"/>
    <w:rsid w:val="00D42697"/>
    <w:rsid w:val="00D427D7"/>
    <w:rsid w:val="00D42994"/>
    <w:rsid w:val="00D42DB2"/>
    <w:rsid w:val="00D431FB"/>
    <w:rsid w:val="00D433CC"/>
    <w:rsid w:val="00D4380D"/>
    <w:rsid w:val="00D438A8"/>
    <w:rsid w:val="00D438F7"/>
    <w:rsid w:val="00D43A81"/>
    <w:rsid w:val="00D43B2A"/>
    <w:rsid w:val="00D43C57"/>
    <w:rsid w:val="00D43D83"/>
    <w:rsid w:val="00D43F64"/>
    <w:rsid w:val="00D44366"/>
    <w:rsid w:val="00D444AA"/>
    <w:rsid w:val="00D444E8"/>
    <w:rsid w:val="00D44596"/>
    <w:rsid w:val="00D448E0"/>
    <w:rsid w:val="00D448FF"/>
    <w:rsid w:val="00D44E20"/>
    <w:rsid w:val="00D44FB7"/>
    <w:rsid w:val="00D46708"/>
    <w:rsid w:val="00D46AA9"/>
    <w:rsid w:val="00D46B3D"/>
    <w:rsid w:val="00D47209"/>
    <w:rsid w:val="00D47575"/>
    <w:rsid w:val="00D50226"/>
    <w:rsid w:val="00D50549"/>
    <w:rsid w:val="00D50607"/>
    <w:rsid w:val="00D50640"/>
    <w:rsid w:val="00D50660"/>
    <w:rsid w:val="00D50A19"/>
    <w:rsid w:val="00D50C10"/>
    <w:rsid w:val="00D50E73"/>
    <w:rsid w:val="00D510F5"/>
    <w:rsid w:val="00D511F6"/>
    <w:rsid w:val="00D51356"/>
    <w:rsid w:val="00D517E4"/>
    <w:rsid w:val="00D5191F"/>
    <w:rsid w:val="00D51AE6"/>
    <w:rsid w:val="00D51C60"/>
    <w:rsid w:val="00D52164"/>
    <w:rsid w:val="00D5243B"/>
    <w:rsid w:val="00D52734"/>
    <w:rsid w:val="00D527AA"/>
    <w:rsid w:val="00D5280A"/>
    <w:rsid w:val="00D53260"/>
    <w:rsid w:val="00D53279"/>
    <w:rsid w:val="00D53355"/>
    <w:rsid w:val="00D533EC"/>
    <w:rsid w:val="00D53B67"/>
    <w:rsid w:val="00D541C8"/>
    <w:rsid w:val="00D54398"/>
    <w:rsid w:val="00D546EA"/>
    <w:rsid w:val="00D54877"/>
    <w:rsid w:val="00D54902"/>
    <w:rsid w:val="00D54B40"/>
    <w:rsid w:val="00D54B4B"/>
    <w:rsid w:val="00D55444"/>
    <w:rsid w:val="00D55695"/>
    <w:rsid w:val="00D559CB"/>
    <w:rsid w:val="00D55A1A"/>
    <w:rsid w:val="00D55FBC"/>
    <w:rsid w:val="00D562AE"/>
    <w:rsid w:val="00D5657F"/>
    <w:rsid w:val="00D56A95"/>
    <w:rsid w:val="00D56DFB"/>
    <w:rsid w:val="00D5724D"/>
    <w:rsid w:val="00D579EF"/>
    <w:rsid w:val="00D57CAA"/>
    <w:rsid w:val="00D6011A"/>
    <w:rsid w:val="00D6024F"/>
    <w:rsid w:val="00D60497"/>
    <w:rsid w:val="00D609CC"/>
    <w:rsid w:val="00D60F67"/>
    <w:rsid w:val="00D615DE"/>
    <w:rsid w:val="00D61F4C"/>
    <w:rsid w:val="00D61F53"/>
    <w:rsid w:val="00D621D0"/>
    <w:rsid w:val="00D62570"/>
    <w:rsid w:val="00D6284B"/>
    <w:rsid w:val="00D62A7E"/>
    <w:rsid w:val="00D62D56"/>
    <w:rsid w:val="00D635A0"/>
    <w:rsid w:val="00D639F4"/>
    <w:rsid w:val="00D63D1B"/>
    <w:rsid w:val="00D63E30"/>
    <w:rsid w:val="00D64198"/>
    <w:rsid w:val="00D64263"/>
    <w:rsid w:val="00D6435D"/>
    <w:rsid w:val="00D64743"/>
    <w:rsid w:val="00D6486A"/>
    <w:rsid w:val="00D651F5"/>
    <w:rsid w:val="00D6611C"/>
    <w:rsid w:val="00D66545"/>
    <w:rsid w:val="00D668C7"/>
    <w:rsid w:val="00D669C8"/>
    <w:rsid w:val="00D6757D"/>
    <w:rsid w:val="00D67781"/>
    <w:rsid w:val="00D7033E"/>
    <w:rsid w:val="00D7079B"/>
    <w:rsid w:val="00D70846"/>
    <w:rsid w:val="00D70A72"/>
    <w:rsid w:val="00D70F16"/>
    <w:rsid w:val="00D712FD"/>
    <w:rsid w:val="00D71382"/>
    <w:rsid w:val="00D717DF"/>
    <w:rsid w:val="00D71857"/>
    <w:rsid w:val="00D71F96"/>
    <w:rsid w:val="00D7214B"/>
    <w:rsid w:val="00D72753"/>
    <w:rsid w:val="00D72764"/>
    <w:rsid w:val="00D7276A"/>
    <w:rsid w:val="00D7276C"/>
    <w:rsid w:val="00D7293D"/>
    <w:rsid w:val="00D72D32"/>
    <w:rsid w:val="00D72DB6"/>
    <w:rsid w:val="00D72F57"/>
    <w:rsid w:val="00D73001"/>
    <w:rsid w:val="00D73A68"/>
    <w:rsid w:val="00D73F3F"/>
    <w:rsid w:val="00D74231"/>
    <w:rsid w:val="00D742F7"/>
    <w:rsid w:val="00D743E7"/>
    <w:rsid w:val="00D749C9"/>
    <w:rsid w:val="00D74B29"/>
    <w:rsid w:val="00D74F3F"/>
    <w:rsid w:val="00D75155"/>
    <w:rsid w:val="00D75337"/>
    <w:rsid w:val="00D75414"/>
    <w:rsid w:val="00D75513"/>
    <w:rsid w:val="00D75614"/>
    <w:rsid w:val="00D75745"/>
    <w:rsid w:val="00D7585D"/>
    <w:rsid w:val="00D75D27"/>
    <w:rsid w:val="00D7605D"/>
    <w:rsid w:val="00D767E3"/>
    <w:rsid w:val="00D76A42"/>
    <w:rsid w:val="00D76A44"/>
    <w:rsid w:val="00D76FA1"/>
    <w:rsid w:val="00D77596"/>
    <w:rsid w:val="00D7759F"/>
    <w:rsid w:val="00D777BC"/>
    <w:rsid w:val="00D777E3"/>
    <w:rsid w:val="00D778F3"/>
    <w:rsid w:val="00D77F67"/>
    <w:rsid w:val="00D8006E"/>
    <w:rsid w:val="00D80261"/>
    <w:rsid w:val="00D802BB"/>
    <w:rsid w:val="00D8054D"/>
    <w:rsid w:val="00D80AE6"/>
    <w:rsid w:val="00D80B07"/>
    <w:rsid w:val="00D81305"/>
    <w:rsid w:val="00D8143A"/>
    <w:rsid w:val="00D815EF"/>
    <w:rsid w:val="00D8175F"/>
    <w:rsid w:val="00D817ED"/>
    <w:rsid w:val="00D818D6"/>
    <w:rsid w:val="00D81A3B"/>
    <w:rsid w:val="00D81BD0"/>
    <w:rsid w:val="00D81F26"/>
    <w:rsid w:val="00D8237E"/>
    <w:rsid w:val="00D82392"/>
    <w:rsid w:val="00D82CB4"/>
    <w:rsid w:val="00D82F3C"/>
    <w:rsid w:val="00D83071"/>
    <w:rsid w:val="00D83131"/>
    <w:rsid w:val="00D83A76"/>
    <w:rsid w:val="00D83B44"/>
    <w:rsid w:val="00D844C6"/>
    <w:rsid w:val="00D8482F"/>
    <w:rsid w:val="00D85391"/>
    <w:rsid w:val="00D8555C"/>
    <w:rsid w:val="00D855DE"/>
    <w:rsid w:val="00D85888"/>
    <w:rsid w:val="00D859FB"/>
    <w:rsid w:val="00D85C96"/>
    <w:rsid w:val="00D85DD7"/>
    <w:rsid w:val="00D85FBB"/>
    <w:rsid w:val="00D86231"/>
    <w:rsid w:val="00D862AF"/>
    <w:rsid w:val="00D86455"/>
    <w:rsid w:val="00D86B4B"/>
    <w:rsid w:val="00D86E68"/>
    <w:rsid w:val="00D86F1B"/>
    <w:rsid w:val="00D8742E"/>
    <w:rsid w:val="00D87955"/>
    <w:rsid w:val="00D87CCD"/>
    <w:rsid w:val="00D87D0B"/>
    <w:rsid w:val="00D9022C"/>
    <w:rsid w:val="00D9052D"/>
    <w:rsid w:val="00D906DF"/>
    <w:rsid w:val="00D909B4"/>
    <w:rsid w:val="00D90A05"/>
    <w:rsid w:val="00D90C86"/>
    <w:rsid w:val="00D91923"/>
    <w:rsid w:val="00D91A65"/>
    <w:rsid w:val="00D91ECA"/>
    <w:rsid w:val="00D921CA"/>
    <w:rsid w:val="00D924D7"/>
    <w:rsid w:val="00D92FE5"/>
    <w:rsid w:val="00D933B1"/>
    <w:rsid w:val="00D934E1"/>
    <w:rsid w:val="00D936E6"/>
    <w:rsid w:val="00D93716"/>
    <w:rsid w:val="00D93753"/>
    <w:rsid w:val="00D93A2A"/>
    <w:rsid w:val="00D93AE6"/>
    <w:rsid w:val="00D94480"/>
    <w:rsid w:val="00D947C2"/>
    <w:rsid w:val="00D949D1"/>
    <w:rsid w:val="00D94A86"/>
    <w:rsid w:val="00D94AC0"/>
    <w:rsid w:val="00D94C3A"/>
    <w:rsid w:val="00D94EF7"/>
    <w:rsid w:val="00D94FC1"/>
    <w:rsid w:val="00D94FE3"/>
    <w:rsid w:val="00D95330"/>
    <w:rsid w:val="00D95469"/>
    <w:rsid w:val="00D955E4"/>
    <w:rsid w:val="00D9571E"/>
    <w:rsid w:val="00D95B5B"/>
    <w:rsid w:val="00D95BF4"/>
    <w:rsid w:val="00D95E2B"/>
    <w:rsid w:val="00D95FCD"/>
    <w:rsid w:val="00D962CC"/>
    <w:rsid w:val="00D968CA"/>
    <w:rsid w:val="00D96AA1"/>
    <w:rsid w:val="00D96FD4"/>
    <w:rsid w:val="00D971B7"/>
    <w:rsid w:val="00D973CD"/>
    <w:rsid w:val="00D973EE"/>
    <w:rsid w:val="00D97655"/>
    <w:rsid w:val="00D97DAD"/>
    <w:rsid w:val="00D97E56"/>
    <w:rsid w:val="00DA00F6"/>
    <w:rsid w:val="00DA05A0"/>
    <w:rsid w:val="00DA0B33"/>
    <w:rsid w:val="00DA0C3C"/>
    <w:rsid w:val="00DA0DA5"/>
    <w:rsid w:val="00DA12F1"/>
    <w:rsid w:val="00DA1B08"/>
    <w:rsid w:val="00DA1CC3"/>
    <w:rsid w:val="00DA1F6B"/>
    <w:rsid w:val="00DA1FE8"/>
    <w:rsid w:val="00DA26BE"/>
    <w:rsid w:val="00DA27CF"/>
    <w:rsid w:val="00DA2F2F"/>
    <w:rsid w:val="00DA3167"/>
    <w:rsid w:val="00DA31AE"/>
    <w:rsid w:val="00DA3901"/>
    <w:rsid w:val="00DA3A43"/>
    <w:rsid w:val="00DA3B41"/>
    <w:rsid w:val="00DA3B87"/>
    <w:rsid w:val="00DA3F0E"/>
    <w:rsid w:val="00DA44F4"/>
    <w:rsid w:val="00DA466F"/>
    <w:rsid w:val="00DA4DC3"/>
    <w:rsid w:val="00DA5233"/>
    <w:rsid w:val="00DA542C"/>
    <w:rsid w:val="00DA54B8"/>
    <w:rsid w:val="00DA550C"/>
    <w:rsid w:val="00DA5612"/>
    <w:rsid w:val="00DA5680"/>
    <w:rsid w:val="00DA5CBD"/>
    <w:rsid w:val="00DA5D38"/>
    <w:rsid w:val="00DA661C"/>
    <w:rsid w:val="00DA6735"/>
    <w:rsid w:val="00DA6BB2"/>
    <w:rsid w:val="00DA6C78"/>
    <w:rsid w:val="00DA6F47"/>
    <w:rsid w:val="00DA7029"/>
    <w:rsid w:val="00DA7646"/>
    <w:rsid w:val="00DA77A5"/>
    <w:rsid w:val="00DA7A8B"/>
    <w:rsid w:val="00DA7AF3"/>
    <w:rsid w:val="00DA7C83"/>
    <w:rsid w:val="00DA7CAE"/>
    <w:rsid w:val="00DA7D39"/>
    <w:rsid w:val="00DB011F"/>
    <w:rsid w:val="00DB02EA"/>
    <w:rsid w:val="00DB031D"/>
    <w:rsid w:val="00DB04F6"/>
    <w:rsid w:val="00DB0566"/>
    <w:rsid w:val="00DB0725"/>
    <w:rsid w:val="00DB08E6"/>
    <w:rsid w:val="00DB0984"/>
    <w:rsid w:val="00DB0E32"/>
    <w:rsid w:val="00DB139C"/>
    <w:rsid w:val="00DB13F1"/>
    <w:rsid w:val="00DB15EB"/>
    <w:rsid w:val="00DB17C1"/>
    <w:rsid w:val="00DB198C"/>
    <w:rsid w:val="00DB209A"/>
    <w:rsid w:val="00DB2437"/>
    <w:rsid w:val="00DB2493"/>
    <w:rsid w:val="00DB24DF"/>
    <w:rsid w:val="00DB25D9"/>
    <w:rsid w:val="00DB280D"/>
    <w:rsid w:val="00DB28A0"/>
    <w:rsid w:val="00DB2C25"/>
    <w:rsid w:val="00DB2D70"/>
    <w:rsid w:val="00DB2DE2"/>
    <w:rsid w:val="00DB364A"/>
    <w:rsid w:val="00DB36A3"/>
    <w:rsid w:val="00DB36A7"/>
    <w:rsid w:val="00DB3A23"/>
    <w:rsid w:val="00DB3D6F"/>
    <w:rsid w:val="00DB3DBF"/>
    <w:rsid w:val="00DB440B"/>
    <w:rsid w:val="00DB4718"/>
    <w:rsid w:val="00DB4808"/>
    <w:rsid w:val="00DB484F"/>
    <w:rsid w:val="00DB4B55"/>
    <w:rsid w:val="00DB4BE3"/>
    <w:rsid w:val="00DB4C9D"/>
    <w:rsid w:val="00DB4FEE"/>
    <w:rsid w:val="00DB51F9"/>
    <w:rsid w:val="00DB5AD3"/>
    <w:rsid w:val="00DB5BC1"/>
    <w:rsid w:val="00DB5CAE"/>
    <w:rsid w:val="00DB60C2"/>
    <w:rsid w:val="00DB611A"/>
    <w:rsid w:val="00DB6200"/>
    <w:rsid w:val="00DB6540"/>
    <w:rsid w:val="00DB6762"/>
    <w:rsid w:val="00DB6C37"/>
    <w:rsid w:val="00DB6DA5"/>
    <w:rsid w:val="00DB6DC6"/>
    <w:rsid w:val="00DB72AA"/>
    <w:rsid w:val="00DB73B5"/>
    <w:rsid w:val="00DB73E2"/>
    <w:rsid w:val="00DB7441"/>
    <w:rsid w:val="00DB74A0"/>
    <w:rsid w:val="00DB75E2"/>
    <w:rsid w:val="00DC011A"/>
    <w:rsid w:val="00DC038E"/>
    <w:rsid w:val="00DC04F6"/>
    <w:rsid w:val="00DC0690"/>
    <w:rsid w:val="00DC06B1"/>
    <w:rsid w:val="00DC0881"/>
    <w:rsid w:val="00DC0B48"/>
    <w:rsid w:val="00DC0FE1"/>
    <w:rsid w:val="00DC120C"/>
    <w:rsid w:val="00DC14CB"/>
    <w:rsid w:val="00DC14D2"/>
    <w:rsid w:val="00DC151A"/>
    <w:rsid w:val="00DC1660"/>
    <w:rsid w:val="00DC1D5C"/>
    <w:rsid w:val="00DC1D65"/>
    <w:rsid w:val="00DC20B9"/>
    <w:rsid w:val="00DC2185"/>
    <w:rsid w:val="00DC24F8"/>
    <w:rsid w:val="00DC2649"/>
    <w:rsid w:val="00DC26F9"/>
    <w:rsid w:val="00DC2C75"/>
    <w:rsid w:val="00DC2E7B"/>
    <w:rsid w:val="00DC2E87"/>
    <w:rsid w:val="00DC2FC3"/>
    <w:rsid w:val="00DC2FCD"/>
    <w:rsid w:val="00DC3099"/>
    <w:rsid w:val="00DC311B"/>
    <w:rsid w:val="00DC31B7"/>
    <w:rsid w:val="00DC35A4"/>
    <w:rsid w:val="00DC38CA"/>
    <w:rsid w:val="00DC3926"/>
    <w:rsid w:val="00DC39D0"/>
    <w:rsid w:val="00DC3BEA"/>
    <w:rsid w:val="00DC3C57"/>
    <w:rsid w:val="00DC3FCE"/>
    <w:rsid w:val="00DC460A"/>
    <w:rsid w:val="00DC487F"/>
    <w:rsid w:val="00DC49F3"/>
    <w:rsid w:val="00DC4AE0"/>
    <w:rsid w:val="00DC53A2"/>
    <w:rsid w:val="00DC53F2"/>
    <w:rsid w:val="00DC5501"/>
    <w:rsid w:val="00DC559C"/>
    <w:rsid w:val="00DC56F5"/>
    <w:rsid w:val="00DC5F82"/>
    <w:rsid w:val="00DC6466"/>
    <w:rsid w:val="00DC66F0"/>
    <w:rsid w:val="00DC6ADE"/>
    <w:rsid w:val="00DC6B7A"/>
    <w:rsid w:val="00DC6C88"/>
    <w:rsid w:val="00DC7154"/>
    <w:rsid w:val="00DC72B1"/>
    <w:rsid w:val="00DC73D6"/>
    <w:rsid w:val="00DC7878"/>
    <w:rsid w:val="00DC787F"/>
    <w:rsid w:val="00DC7954"/>
    <w:rsid w:val="00DC7B3E"/>
    <w:rsid w:val="00DC7C88"/>
    <w:rsid w:val="00DC7D7A"/>
    <w:rsid w:val="00DC7E8A"/>
    <w:rsid w:val="00DD0156"/>
    <w:rsid w:val="00DD044E"/>
    <w:rsid w:val="00DD0545"/>
    <w:rsid w:val="00DD0822"/>
    <w:rsid w:val="00DD0F78"/>
    <w:rsid w:val="00DD11EB"/>
    <w:rsid w:val="00DD123F"/>
    <w:rsid w:val="00DD12CA"/>
    <w:rsid w:val="00DD1EEB"/>
    <w:rsid w:val="00DD1F67"/>
    <w:rsid w:val="00DD2039"/>
    <w:rsid w:val="00DD249C"/>
    <w:rsid w:val="00DD273C"/>
    <w:rsid w:val="00DD29F0"/>
    <w:rsid w:val="00DD2A0D"/>
    <w:rsid w:val="00DD2CE7"/>
    <w:rsid w:val="00DD3099"/>
    <w:rsid w:val="00DD31F3"/>
    <w:rsid w:val="00DD35A1"/>
    <w:rsid w:val="00DD38FB"/>
    <w:rsid w:val="00DD3A88"/>
    <w:rsid w:val="00DD3C5C"/>
    <w:rsid w:val="00DD3D9D"/>
    <w:rsid w:val="00DD3F05"/>
    <w:rsid w:val="00DD3F28"/>
    <w:rsid w:val="00DD4507"/>
    <w:rsid w:val="00DD4537"/>
    <w:rsid w:val="00DD48D4"/>
    <w:rsid w:val="00DD4A4B"/>
    <w:rsid w:val="00DD4D2C"/>
    <w:rsid w:val="00DD4D7F"/>
    <w:rsid w:val="00DD4E15"/>
    <w:rsid w:val="00DD5263"/>
    <w:rsid w:val="00DD58AB"/>
    <w:rsid w:val="00DD5F19"/>
    <w:rsid w:val="00DD5F69"/>
    <w:rsid w:val="00DD60AE"/>
    <w:rsid w:val="00DD6147"/>
    <w:rsid w:val="00DD653C"/>
    <w:rsid w:val="00DD66EF"/>
    <w:rsid w:val="00DD6A8F"/>
    <w:rsid w:val="00DD6D3B"/>
    <w:rsid w:val="00DD6F80"/>
    <w:rsid w:val="00DD6FCA"/>
    <w:rsid w:val="00DD70AD"/>
    <w:rsid w:val="00DD752E"/>
    <w:rsid w:val="00DD7CDB"/>
    <w:rsid w:val="00DE02EC"/>
    <w:rsid w:val="00DE0359"/>
    <w:rsid w:val="00DE0B4E"/>
    <w:rsid w:val="00DE0D01"/>
    <w:rsid w:val="00DE0D19"/>
    <w:rsid w:val="00DE0EDE"/>
    <w:rsid w:val="00DE11A9"/>
    <w:rsid w:val="00DE1839"/>
    <w:rsid w:val="00DE1F0E"/>
    <w:rsid w:val="00DE2109"/>
    <w:rsid w:val="00DE22B4"/>
    <w:rsid w:val="00DE22E0"/>
    <w:rsid w:val="00DE2304"/>
    <w:rsid w:val="00DE2320"/>
    <w:rsid w:val="00DE23CC"/>
    <w:rsid w:val="00DE25C5"/>
    <w:rsid w:val="00DE2B47"/>
    <w:rsid w:val="00DE2C3B"/>
    <w:rsid w:val="00DE2C58"/>
    <w:rsid w:val="00DE2CB9"/>
    <w:rsid w:val="00DE2F43"/>
    <w:rsid w:val="00DE3138"/>
    <w:rsid w:val="00DE33E7"/>
    <w:rsid w:val="00DE346D"/>
    <w:rsid w:val="00DE37F8"/>
    <w:rsid w:val="00DE3A2D"/>
    <w:rsid w:val="00DE3B52"/>
    <w:rsid w:val="00DE3B84"/>
    <w:rsid w:val="00DE40E6"/>
    <w:rsid w:val="00DE41F4"/>
    <w:rsid w:val="00DE4371"/>
    <w:rsid w:val="00DE4725"/>
    <w:rsid w:val="00DE4741"/>
    <w:rsid w:val="00DE483C"/>
    <w:rsid w:val="00DE4872"/>
    <w:rsid w:val="00DE4C41"/>
    <w:rsid w:val="00DE4FCB"/>
    <w:rsid w:val="00DE568D"/>
    <w:rsid w:val="00DE5909"/>
    <w:rsid w:val="00DE5D07"/>
    <w:rsid w:val="00DE5D57"/>
    <w:rsid w:val="00DE5F4C"/>
    <w:rsid w:val="00DE6179"/>
    <w:rsid w:val="00DE63C7"/>
    <w:rsid w:val="00DE63F7"/>
    <w:rsid w:val="00DE657C"/>
    <w:rsid w:val="00DE668E"/>
    <w:rsid w:val="00DE67FE"/>
    <w:rsid w:val="00DE68C6"/>
    <w:rsid w:val="00DE696D"/>
    <w:rsid w:val="00DE6F1D"/>
    <w:rsid w:val="00DE72A7"/>
    <w:rsid w:val="00DE7749"/>
    <w:rsid w:val="00DE7832"/>
    <w:rsid w:val="00DE7C02"/>
    <w:rsid w:val="00DF0678"/>
    <w:rsid w:val="00DF07F3"/>
    <w:rsid w:val="00DF0C97"/>
    <w:rsid w:val="00DF11A7"/>
    <w:rsid w:val="00DF11D5"/>
    <w:rsid w:val="00DF11F8"/>
    <w:rsid w:val="00DF128E"/>
    <w:rsid w:val="00DF18FC"/>
    <w:rsid w:val="00DF1F02"/>
    <w:rsid w:val="00DF2034"/>
    <w:rsid w:val="00DF228A"/>
    <w:rsid w:val="00DF2429"/>
    <w:rsid w:val="00DF2633"/>
    <w:rsid w:val="00DF2F0A"/>
    <w:rsid w:val="00DF2FDC"/>
    <w:rsid w:val="00DF35E2"/>
    <w:rsid w:val="00DF3A45"/>
    <w:rsid w:val="00DF3C51"/>
    <w:rsid w:val="00DF3DB6"/>
    <w:rsid w:val="00DF42F0"/>
    <w:rsid w:val="00DF47AB"/>
    <w:rsid w:val="00DF47D1"/>
    <w:rsid w:val="00DF4AD5"/>
    <w:rsid w:val="00DF4AED"/>
    <w:rsid w:val="00DF4AF7"/>
    <w:rsid w:val="00DF4F36"/>
    <w:rsid w:val="00DF5244"/>
    <w:rsid w:val="00DF53F3"/>
    <w:rsid w:val="00DF55B3"/>
    <w:rsid w:val="00DF5C61"/>
    <w:rsid w:val="00DF5D2B"/>
    <w:rsid w:val="00DF61CF"/>
    <w:rsid w:val="00DF6201"/>
    <w:rsid w:val="00DF683D"/>
    <w:rsid w:val="00DF6A10"/>
    <w:rsid w:val="00DF7213"/>
    <w:rsid w:val="00DF77D1"/>
    <w:rsid w:val="00DF7826"/>
    <w:rsid w:val="00DF7CDF"/>
    <w:rsid w:val="00DF7CF7"/>
    <w:rsid w:val="00DF7F51"/>
    <w:rsid w:val="00DF7FAE"/>
    <w:rsid w:val="00E00035"/>
    <w:rsid w:val="00E0059B"/>
    <w:rsid w:val="00E00607"/>
    <w:rsid w:val="00E007AF"/>
    <w:rsid w:val="00E007D7"/>
    <w:rsid w:val="00E00C04"/>
    <w:rsid w:val="00E00E8E"/>
    <w:rsid w:val="00E0191D"/>
    <w:rsid w:val="00E01FB1"/>
    <w:rsid w:val="00E020C9"/>
    <w:rsid w:val="00E02182"/>
    <w:rsid w:val="00E02199"/>
    <w:rsid w:val="00E022E1"/>
    <w:rsid w:val="00E02453"/>
    <w:rsid w:val="00E025BE"/>
    <w:rsid w:val="00E02B44"/>
    <w:rsid w:val="00E02B9F"/>
    <w:rsid w:val="00E02C25"/>
    <w:rsid w:val="00E02E0C"/>
    <w:rsid w:val="00E032BF"/>
    <w:rsid w:val="00E039A7"/>
    <w:rsid w:val="00E039ED"/>
    <w:rsid w:val="00E03F7F"/>
    <w:rsid w:val="00E043BD"/>
    <w:rsid w:val="00E04456"/>
    <w:rsid w:val="00E04848"/>
    <w:rsid w:val="00E048F2"/>
    <w:rsid w:val="00E049CC"/>
    <w:rsid w:val="00E04D91"/>
    <w:rsid w:val="00E050A2"/>
    <w:rsid w:val="00E05105"/>
    <w:rsid w:val="00E05210"/>
    <w:rsid w:val="00E052D6"/>
    <w:rsid w:val="00E053E4"/>
    <w:rsid w:val="00E0547B"/>
    <w:rsid w:val="00E054CF"/>
    <w:rsid w:val="00E05630"/>
    <w:rsid w:val="00E0575B"/>
    <w:rsid w:val="00E05818"/>
    <w:rsid w:val="00E05838"/>
    <w:rsid w:val="00E063F8"/>
    <w:rsid w:val="00E0647A"/>
    <w:rsid w:val="00E06B3B"/>
    <w:rsid w:val="00E06DBB"/>
    <w:rsid w:val="00E07013"/>
    <w:rsid w:val="00E070D8"/>
    <w:rsid w:val="00E073C5"/>
    <w:rsid w:val="00E073CD"/>
    <w:rsid w:val="00E074CE"/>
    <w:rsid w:val="00E10149"/>
    <w:rsid w:val="00E10612"/>
    <w:rsid w:val="00E106D0"/>
    <w:rsid w:val="00E11340"/>
    <w:rsid w:val="00E11501"/>
    <w:rsid w:val="00E11658"/>
    <w:rsid w:val="00E11BE5"/>
    <w:rsid w:val="00E11C01"/>
    <w:rsid w:val="00E122A1"/>
    <w:rsid w:val="00E126E0"/>
    <w:rsid w:val="00E12917"/>
    <w:rsid w:val="00E12997"/>
    <w:rsid w:val="00E12A18"/>
    <w:rsid w:val="00E12C56"/>
    <w:rsid w:val="00E12D7F"/>
    <w:rsid w:val="00E13511"/>
    <w:rsid w:val="00E1386C"/>
    <w:rsid w:val="00E139DF"/>
    <w:rsid w:val="00E13FC3"/>
    <w:rsid w:val="00E1477F"/>
    <w:rsid w:val="00E1484D"/>
    <w:rsid w:val="00E149AE"/>
    <w:rsid w:val="00E15253"/>
    <w:rsid w:val="00E1568E"/>
    <w:rsid w:val="00E157E3"/>
    <w:rsid w:val="00E15B6F"/>
    <w:rsid w:val="00E16372"/>
    <w:rsid w:val="00E16626"/>
    <w:rsid w:val="00E1666C"/>
    <w:rsid w:val="00E16CC8"/>
    <w:rsid w:val="00E1752A"/>
    <w:rsid w:val="00E176C9"/>
    <w:rsid w:val="00E1777D"/>
    <w:rsid w:val="00E17799"/>
    <w:rsid w:val="00E177DE"/>
    <w:rsid w:val="00E17A76"/>
    <w:rsid w:val="00E17F38"/>
    <w:rsid w:val="00E206D1"/>
    <w:rsid w:val="00E20787"/>
    <w:rsid w:val="00E20AE0"/>
    <w:rsid w:val="00E20B7F"/>
    <w:rsid w:val="00E20DFF"/>
    <w:rsid w:val="00E20E4D"/>
    <w:rsid w:val="00E20E53"/>
    <w:rsid w:val="00E20ED6"/>
    <w:rsid w:val="00E212BB"/>
    <w:rsid w:val="00E212FA"/>
    <w:rsid w:val="00E21358"/>
    <w:rsid w:val="00E21BCC"/>
    <w:rsid w:val="00E21E14"/>
    <w:rsid w:val="00E222F5"/>
    <w:rsid w:val="00E2249B"/>
    <w:rsid w:val="00E228CC"/>
    <w:rsid w:val="00E22A07"/>
    <w:rsid w:val="00E22A0D"/>
    <w:rsid w:val="00E22BCA"/>
    <w:rsid w:val="00E22CBE"/>
    <w:rsid w:val="00E22ECE"/>
    <w:rsid w:val="00E22EEB"/>
    <w:rsid w:val="00E23366"/>
    <w:rsid w:val="00E23393"/>
    <w:rsid w:val="00E23767"/>
    <w:rsid w:val="00E23876"/>
    <w:rsid w:val="00E242A0"/>
    <w:rsid w:val="00E244AE"/>
    <w:rsid w:val="00E244F6"/>
    <w:rsid w:val="00E2496E"/>
    <w:rsid w:val="00E24ED4"/>
    <w:rsid w:val="00E2500F"/>
    <w:rsid w:val="00E25125"/>
    <w:rsid w:val="00E2548D"/>
    <w:rsid w:val="00E25D3E"/>
    <w:rsid w:val="00E26D01"/>
    <w:rsid w:val="00E26D43"/>
    <w:rsid w:val="00E26E15"/>
    <w:rsid w:val="00E26EE5"/>
    <w:rsid w:val="00E27539"/>
    <w:rsid w:val="00E2771E"/>
    <w:rsid w:val="00E27815"/>
    <w:rsid w:val="00E27BF2"/>
    <w:rsid w:val="00E30095"/>
    <w:rsid w:val="00E3059F"/>
    <w:rsid w:val="00E305BD"/>
    <w:rsid w:val="00E30EDD"/>
    <w:rsid w:val="00E311EF"/>
    <w:rsid w:val="00E313C3"/>
    <w:rsid w:val="00E31512"/>
    <w:rsid w:val="00E3162D"/>
    <w:rsid w:val="00E318D2"/>
    <w:rsid w:val="00E32180"/>
    <w:rsid w:val="00E32444"/>
    <w:rsid w:val="00E32752"/>
    <w:rsid w:val="00E3281F"/>
    <w:rsid w:val="00E32A0F"/>
    <w:rsid w:val="00E32B14"/>
    <w:rsid w:val="00E32F35"/>
    <w:rsid w:val="00E331C8"/>
    <w:rsid w:val="00E33600"/>
    <w:rsid w:val="00E339B7"/>
    <w:rsid w:val="00E33A14"/>
    <w:rsid w:val="00E33E93"/>
    <w:rsid w:val="00E33FC3"/>
    <w:rsid w:val="00E34053"/>
    <w:rsid w:val="00E34056"/>
    <w:rsid w:val="00E34354"/>
    <w:rsid w:val="00E34933"/>
    <w:rsid w:val="00E34948"/>
    <w:rsid w:val="00E34BC0"/>
    <w:rsid w:val="00E34FC0"/>
    <w:rsid w:val="00E34FD7"/>
    <w:rsid w:val="00E350CC"/>
    <w:rsid w:val="00E35332"/>
    <w:rsid w:val="00E35AAA"/>
    <w:rsid w:val="00E35E29"/>
    <w:rsid w:val="00E36BA5"/>
    <w:rsid w:val="00E36E55"/>
    <w:rsid w:val="00E36EEA"/>
    <w:rsid w:val="00E37212"/>
    <w:rsid w:val="00E37292"/>
    <w:rsid w:val="00E37380"/>
    <w:rsid w:val="00E37569"/>
    <w:rsid w:val="00E37865"/>
    <w:rsid w:val="00E378EC"/>
    <w:rsid w:val="00E37A18"/>
    <w:rsid w:val="00E37DC4"/>
    <w:rsid w:val="00E4012C"/>
    <w:rsid w:val="00E401B2"/>
    <w:rsid w:val="00E40226"/>
    <w:rsid w:val="00E410B6"/>
    <w:rsid w:val="00E418E4"/>
    <w:rsid w:val="00E41AC2"/>
    <w:rsid w:val="00E41DB9"/>
    <w:rsid w:val="00E41E30"/>
    <w:rsid w:val="00E42137"/>
    <w:rsid w:val="00E42862"/>
    <w:rsid w:val="00E42D41"/>
    <w:rsid w:val="00E42F73"/>
    <w:rsid w:val="00E430EC"/>
    <w:rsid w:val="00E4314E"/>
    <w:rsid w:val="00E4334A"/>
    <w:rsid w:val="00E4344C"/>
    <w:rsid w:val="00E43760"/>
    <w:rsid w:val="00E43D70"/>
    <w:rsid w:val="00E43DAA"/>
    <w:rsid w:val="00E4400E"/>
    <w:rsid w:val="00E4402E"/>
    <w:rsid w:val="00E445A8"/>
    <w:rsid w:val="00E44B78"/>
    <w:rsid w:val="00E45033"/>
    <w:rsid w:val="00E4515D"/>
    <w:rsid w:val="00E4524C"/>
    <w:rsid w:val="00E453F8"/>
    <w:rsid w:val="00E45766"/>
    <w:rsid w:val="00E46244"/>
    <w:rsid w:val="00E46449"/>
    <w:rsid w:val="00E466F3"/>
    <w:rsid w:val="00E46A46"/>
    <w:rsid w:val="00E46C6B"/>
    <w:rsid w:val="00E46EA5"/>
    <w:rsid w:val="00E46FAF"/>
    <w:rsid w:val="00E46FE3"/>
    <w:rsid w:val="00E47197"/>
    <w:rsid w:val="00E471CE"/>
    <w:rsid w:val="00E471E6"/>
    <w:rsid w:val="00E47B2C"/>
    <w:rsid w:val="00E47BC6"/>
    <w:rsid w:val="00E47EE9"/>
    <w:rsid w:val="00E47F60"/>
    <w:rsid w:val="00E50B02"/>
    <w:rsid w:val="00E50BF9"/>
    <w:rsid w:val="00E5103C"/>
    <w:rsid w:val="00E51560"/>
    <w:rsid w:val="00E51571"/>
    <w:rsid w:val="00E51730"/>
    <w:rsid w:val="00E51B50"/>
    <w:rsid w:val="00E51FEA"/>
    <w:rsid w:val="00E52342"/>
    <w:rsid w:val="00E52348"/>
    <w:rsid w:val="00E52593"/>
    <w:rsid w:val="00E525BA"/>
    <w:rsid w:val="00E525C8"/>
    <w:rsid w:val="00E52A70"/>
    <w:rsid w:val="00E52C54"/>
    <w:rsid w:val="00E53603"/>
    <w:rsid w:val="00E53615"/>
    <w:rsid w:val="00E53670"/>
    <w:rsid w:val="00E53A72"/>
    <w:rsid w:val="00E53FC8"/>
    <w:rsid w:val="00E5414E"/>
    <w:rsid w:val="00E5416E"/>
    <w:rsid w:val="00E54347"/>
    <w:rsid w:val="00E54413"/>
    <w:rsid w:val="00E54459"/>
    <w:rsid w:val="00E54858"/>
    <w:rsid w:val="00E5485E"/>
    <w:rsid w:val="00E548FF"/>
    <w:rsid w:val="00E54B3E"/>
    <w:rsid w:val="00E54C09"/>
    <w:rsid w:val="00E551F3"/>
    <w:rsid w:val="00E55424"/>
    <w:rsid w:val="00E55768"/>
    <w:rsid w:val="00E55915"/>
    <w:rsid w:val="00E55AE2"/>
    <w:rsid w:val="00E55B54"/>
    <w:rsid w:val="00E55BB5"/>
    <w:rsid w:val="00E55C56"/>
    <w:rsid w:val="00E55E80"/>
    <w:rsid w:val="00E5611A"/>
    <w:rsid w:val="00E56623"/>
    <w:rsid w:val="00E56790"/>
    <w:rsid w:val="00E56A64"/>
    <w:rsid w:val="00E56F2F"/>
    <w:rsid w:val="00E570DC"/>
    <w:rsid w:val="00E57138"/>
    <w:rsid w:val="00E576CE"/>
    <w:rsid w:val="00E577AF"/>
    <w:rsid w:val="00E5790A"/>
    <w:rsid w:val="00E57D83"/>
    <w:rsid w:val="00E60184"/>
    <w:rsid w:val="00E602D6"/>
    <w:rsid w:val="00E603A4"/>
    <w:rsid w:val="00E607CA"/>
    <w:rsid w:val="00E609F4"/>
    <w:rsid w:val="00E60E8A"/>
    <w:rsid w:val="00E611A4"/>
    <w:rsid w:val="00E61671"/>
    <w:rsid w:val="00E616BF"/>
    <w:rsid w:val="00E6187A"/>
    <w:rsid w:val="00E61A02"/>
    <w:rsid w:val="00E61BEA"/>
    <w:rsid w:val="00E61E4D"/>
    <w:rsid w:val="00E61FF5"/>
    <w:rsid w:val="00E6230F"/>
    <w:rsid w:val="00E62435"/>
    <w:rsid w:val="00E62789"/>
    <w:rsid w:val="00E62923"/>
    <w:rsid w:val="00E6301E"/>
    <w:rsid w:val="00E630BE"/>
    <w:rsid w:val="00E632FE"/>
    <w:rsid w:val="00E63464"/>
    <w:rsid w:val="00E63959"/>
    <w:rsid w:val="00E63BDC"/>
    <w:rsid w:val="00E641D4"/>
    <w:rsid w:val="00E64B68"/>
    <w:rsid w:val="00E64F5D"/>
    <w:rsid w:val="00E65102"/>
    <w:rsid w:val="00E6522C"/>
    <w:rsid w:val="00E65754"/>
    <w:rsid w:val="00E65CEC"/>
    <w:rsid w:val="00E65D28"/>
    <w:rsid w:val="00E65E79"/>
    <w:rsid w:val="00E65F31"/>
    <w:rsid w:val="00E65FD2"/>
    <w:rsid w:val="00E66397"/>
    <w:rsid w:val="00E6641C"/>
    <w:rsid w:val="00E66AF4"/>
    <w:rsid w:val="00E66B8F"/>
    <w:rsid w:val="00E66BA2"/>
    <w:rsid w:val="00E66D8B"/>
    <w:rsid w:val="00E66F4C"/>
    <w:rsid w:val="00E66F87"/>
    <w:rsid w:val="00E673E7"/>
    <w:rsid w:val="00E67416"/>
    <w:rsid w:val="00E676CB"/>
    <w:rsid w:val="00E67961"/>
    <w:rsid w:val="00E679E7"/>
    <w:rsid w:val="00E67A86"/>
    <w:rsid w:val="00E67C07"/>
    <w:rsid w:val="00E67C61"/>
    <w:rsid w:val="00E67ECF"/>
    <w:rsid w:val="00E67F5C"/>
    <w:rsid w:val="00E7068E"/>
    <w:rsid w:val="00E70DBA"/>
    <w:rsid w:val="00E711F8"/>
    <w:rsid w:val="00E718B6"/>
    <w:rsid w:val="00E71A9E"/>
    <w:rsid w:val="00E71B1A"/>
    <w:rsid w:val="00E71D49"/>
    <w:rsid w:val="00E72071"/>
    <w:rsid w:val="00E72087"/>
    <w:rsid w:val="00E72149"/>
    <w:rsid w:val="00E72238"/>
    <w:rsid w:val="00E723BA"/>
    <w:rsid w:val="00E728E7"/>
    <w:rsid w:val="00E72C67"/>
    <w:rsid w:val="00E73034"/>
    <w:rsid w:val="00E73198"/>
    <w:rsid w:val="00E73378"/>
    <w:rsid w:val="00E73385"/>
    <w:rsid w:val="00E73581"/>
    <w:rsid w:val="00E73B76"/>
    <w:rsid w:val="00E73BAF"/>
    <w:rsid w:val="00E73C24"/>
    <w:rsid w:val="00E73C6C"/>
    <w:rsid w:val="00E73C95"/>
    <w:rsid w:val="00E73E1B"/>
    <w:rsid w:val="00E73F6D"/>
    <w:rsid w:val="00E740B0"/>
    <w:rsid w:val="00E741C0"/>
    <w:rsid w:val="00E74299"/>
    <w:rsid w:val="00E74374"/>
    <w:rsid w:val="00E7452D"/>
    <w:rsid w:val="00E746E0"/>
    <w:rsid w:val="00E75026"/>
    <w:rsid w:val="00E75729"/>
    <w:rsid w:val="00E75AFD"/>
    <w:rsid w:val="00E75B90"/>
    <w:rsid w:val="00E75F06"/>
    <w:rsid w:val="00E761A4"/>
    <w:rsid w:val="00E7689A"/>
    <w:rsid w:val="00E76951"/>
    <w:rsid w:val="00E77567"/>
    <w:rsid w:val="00E77713"/>
    <w:rsid w:val="00E7793E"/>
    <w:rsid w:val="00E77B28"/>
    <w:rsid w:val="00E77B89"/>
    <w:rsid w:val="00E77F8C"/>
    <w:rsid w:val="00E80113"/>
    <w:rsid w:val="00E8032D"/>
    <w:rsid w:val="00E8062E"/>
    <w:rsid w:val="00E806E3"/>
    <w:rsid w:val="00E80974"/>
    <w:rsid w:val="00E80CDC"/>
    <w:rsid w:val="00E80E9D"/>
    <w:rsid w:val="00E81366"/>
    <w:rsid w:val="00E81645"/>
    <w:rsid w:val="00E81B84"/>
    <w:rsid w:val="00E81E9E"/>
    <w:rsid w:val="00E822D6"/>
    <w:rsid w:val="00E8240E"/>
    <w:rsid w:val="00E82F23"/>
    <w:rsid w:val="00E83364"/>
    <w:rsid w:val="00E833F7"/>
    <w:rsid w:val="00E8373C"/>
    <w:rsid w:val="00E83A38"/>
    <w:rsid w:val="00E83BDF"/>
    <w:rsid w:val="00E83D1D"/>
    <w:rsid w:val="00E84285"/>
    <w:rsid w:val="00E844A0"/>
    <w:rsid w:val="00E84B89"/>
    <w:rsid w:val="00E84DA7"/>
    <w:rsid w:val="00E84E69"/>
    <w:rsid w:val="00E84EE7"/>
    <w:rsid w:val="00E850E2"/>
    <w:rsid w:val="00E85130"/>
    <w:rsid w:val="00E85497"/>
    <w:rsid w:val="00E855EE"/>
    <w:rsid w:val="00E855FA"/>
    <w:rsid w:val="00E8584E"/>
    <w:rsid w:val="00E85B06"/>
    <w:rsid w:val="00E85B70"/>
    <w:rsid w:val="00E85C77"/>
    <w:rsid w:val="00E85E41"/>
    <w:rsid w:val="00E8606C"/>
    <w:rsid w:val="00E864C8"/>
    <w:rsid w:val="00E86653"/>
    <w:rsid w:val="00E866EC"/>
    <w:rsid w:val="00E8678B"/>
    <w:rsid w:val="00E86A72"/>
    <w:rsid w:val="00E86B15"/>
    <w:rsid w:val="00E8714A"/>
    <w:rsid w:val="00E871C4"/>
    <w:rsid w:val="00E87620"/>
    <w:rsid w:val="00E879CD"/>
    <w:rsid w:val="00E87A1D"/>
    <w:rsid w:val="00E87A87"/>
    <w:rsid w:val="00E87B41"/>
    <w:rsid w:val="00E87F75"/>
    <w:rsid w:val="00E87FAC"/>
    <w:rsid w:val="00E90759"/>
    <w:rsid w:val="00E9094A"/>
    <w:rsid w:val="00E90B2D"/>
    <w:rsid w:val="00E90B77"/>
    <w:rsid w:val="00E90FFC"/>
    <w:rsid w:val="00E910BC"/>
    <w:rsid w:val="00E91554"/>
    <w:rsid w:val="00E91833"/>
    <w:rsid w:val="00E91D35"/>
    <w:rsid w:val="00E91FC1"/>
    <w:rsid w:val="00E92317"/>
    <w:rsid w:val="00E92590"/>
    <w:rsid w:val="00E92690"/>
    <w:rsid w:val="00E92692"/>
    <w:rsid w:val="00E926A5"/>
    <w:rsid w:val="00E93831"/>
    <w:rsid w:val="00E93ACC"/>
    <w:rsid w:val="00E93B52"/>
    <w:rsid w:val="00E93DD5"/>
    <w:rsid w:val="00E944A4"/>
    <w:rsid w:val="00E944FE"/>
    <w:rsid w:val="00E945E0"/>
    <w:rsid w:val="00E9494F"/>
    <w:rsid w:val="00E94DC8"/>
    <w:rsid w:val="00E94E57"/>
    <w:rsid w:val="00E94EAC"/>
    <w:rsid w:val="00E9501A"/>
    <w:rsid w:val="00E95139"/>
    <w:rsid w:val="00E95201"/>
    <w:rsid w:val="00E9524B"/>
    <w:rsid w:val="00E9575A"/>
    <w:rsid w:val="00E95C65"/>
    <w:rsid w:val="00E9614A"/>
    <w:rsid w:val="00E96172"/>
    <w:rsid w:val="00E9663B"/>
    <w:rsid w:val="00E96D4A"/>
    <w:rsid w:val="00E97320"/>
    <w:rsid w:val="00E97845"/>
    <w:rsid w:val="00E97A45"/>
    <w:rsid w:val="00EA010F"/>
    <w:rsid w:val="00EA0492"/>
    <w:rsid w:val="00EA07B7"/>
    <w:rsid w:val="00EA11F1"/>
    <w:rsid w:val="00EA1363"/>
    <w:rsid w:val="00EA1599"/>
    <w:rsid w:val="00EA17C3"/>
    <w:rsid w:val="00EA1A40"/>
    <w:rsid w:val="00EA1E62"/>
    <w:rsid w:val="00EA2069"/>
    <w:rsid w:val="00EA286D"/>
    <w:rsid w:val="00EA2C51"/>
    <w:rsid w:val="00EA2CAA"/>
    <w:rsid w:val="00EA2D2E"/>
    <w:rsid w:val="00EA322B"/>
    <w:rsid w:val="00EA35D2"/>
    <w:rsid w:val="00EA3864"/>
    <w:rsid w:val="00EA386B"/>
    <w:rsid w:val="00EA3880"/>
    <w:rsid w:val="00EA3A6A"/>
    <w:rsid w:val="00EA3CF7"/>
    <w:rsid w:val="00EA3F44"/>
    <w:rsid w:val="00EA3F98"/>
    <w:rsid w:val="00EA40C3"/>
    <w:rsid w:val="00EA418A"/>
    <w:rsid w:val="00EA420C"/>
    <w:rsid w:val="00EA4216"/>
    <w:rsid w:val="00EA47B6"/>
    <w:rsid w:val="00EA47C4"/>
    <w:rsid w:val="00EA48C3"/>
    <w:rsid w:val="00EA497D"/>
    <w:rsid w:val="00EA4DDA"/>
    <w:rsid w:val="00EA4E8B"/>
    <w:rsid w:val="00EA5020"/>
    <w:rsid w:val="00EA50E4"/>
    <w:rsid w:val="00EA5280"/>
    <w:rsid w:val="00EA5A90"/>
    <w:rsid w:val="00EA5EF0"/>
    <w:rsid w:val="00EA6174"/>
    <w:rsid w:val="00EA67E0"/>
    <w:rsid w:val="00EA682F"/>
    <w:rsid w:val="00EA68EC"/>
    <w:rsid w:val="00EA6AE1"/>
    <w:rsid w:val="00EA6EC9"/>
    <w:rsid w:val="00EA7261"/>
    <w:rsid w:val="00EA767A"/>
    <w:rsid w:val="00EA7C1A"/>
    <w:rsid w:val="00EA7DCA"/>
    <w:rsid w:val="00EA7F1C"/>
    <w:rsid w:val="00EA7F68"/>
    <w:rsid w:val="00EB0A44"/>
    <w:rsid w:val="00EB0FC4"/>
    <w:rsid w:val="00EB15B6"/>
    <w:rsid w:val="00EB200B"/>
    <w:rsid w:val="00EB227E"/>
    <w:rsid w:val="00EB2C3C"/>
    <w:rsid w:val="00EB2ED4"/>
    <w:rsid w:val="00EB3022"/>
    <w:rsid w:val="00EB307A"/>
    <w:rsid w:val="00EB30FC"/>
    <w:rsid w:val="00EB31F9"/>
    <w:rsid w:val="00EB32D7"/>
    <w:rsid w:val="00EB3B3C"/>
    <w:rsid w:val="00EB3BCF"/>
    <w:rsid w:val="00EB3CF5"/>
    <w:rsid w:val="00EB3D06"/>
    <w:rsid w:val="00EB40D3"/>
    <w:rsid w:val="00EB41CD"/>
    <w:rsid w:val="00EB4578"/>
    <w:rsid w:val="00EB4903"/>
    <w:rsid w:val="00EB4904"/>
    <w:rsid w:val="00EB4916"/>
    <w:rsid w:val="00EB4C9B"/>
    <w:rsid w:val="00EB4D84"/>
    <w:rsid w:val="00EB4F11"/>
    <w:rsid w:val="00EB5123"/>
    <w:rsid w:val="00EB5940"/>
    <w:rsid w:val="00EB5D50"/>
    <w:rsid w:val="00EB6062"/>
    <w:rsid w:val="00EB61CB"/>
    <w:rsid w:val="00EB6ACC"/>
    <w:rsid w:val="00EB6AD3"/>
    <w:rsid w:val="00EB6CD2"/>
    <w:rsid w:val="00EB6CFD"/>
    <w:rsid w:val="00EB6ECB"/>
    <w:rsid w:val="00EC005A"/>
    <w:rsid w:val="00EC00BF"/>
    <w:rsid w:val="00EC00C9"/>
    <w:rsid w:val="00EC03CC"/>
    <w:rsid w:val="00EC0643"/>
    <w:rsid w:val="00EC0ACB"/>
    <w:rsid w:val="00EC0DD9"/>
    <w:rsid w:val="00EC0F4F"/>
    <w:rsid w:val="00EC1029"/>
    <w:rsid w:val="00EC108B"/>
    <w:rsid w:val="00EC12F4"/>
    <w:rsid w:val="00EC18C2"/>
    <w:rsid w:val="00EC19C1"/>
    <w:rsid w:val="00EC1E0C"/>
    <w:rsid w:val="00EC20EF"/>
    <w:rsid w:val="00EC24EA"/>
    <w:rsid w:val="00EC2649"/>
    <w:rsid w:val="00EC26FD"/>
    <w:rsid w:val="00EC2A9B"/>
    <w:rsid w:val="00EC2BB2"/>
    <w:rsid w:val="00EC2CBD"/>
    <w:rsid w:val="00EC2E06"/>
    <w:rsid w:val="00EC2E7C"/>
    <w:rsid w:val="00EC2FA7"/>
    <w:rsid w:val="00EC31ED"/>
    <w:rsid w:val="00EC32CA"/>
    <w:rsid w:val="00EC3425"/>
    <w:rsid w:val="00EC38FD"/>
    <w:rsid w:val="00EC3A53"/>
    <w:rsid w:val="00EC3E75"/>
    <w:rsid w:val="00EC41C9"/>
    <w:rsid w:val="00EC48EF"/>
    <w:rsid w:val="00EC4AFC"/>
    <w:rsid w:val="00EC4E3C"/>
    <w:rsid w:val="00EC50A7"/>
    <w:rsid w:val="00EC5836"/>
    <w:rsid w:val="00EC5B3B"/>
    <w:rsid w:val="00EC5EC4"/>
    <w:rsid w:val="00EC6055"/>
    <w:rsid w:val="00EC6236"/>
    <w:rsid w:val="00EC688C"/>
    <w:rsid w:val="00EC69E3"/>
    <w:rsid w:val="00EC6B1F"/>
    <w:rsid w:val="00EC6EB9"/>
    <w:rsid w:val="00EC7013"/>
    <w:rsid w:val="00EC70A3"/>
    <w:rsid w:val="00EC7751"/>
    <w:rsid w:val="00EC7831"/>
    <w:rsid w:val="00EC7AA4"/>
    <w:rsid w:val="00EC7F2B"/>
    <w:rsid w:val="00ED0302"/>
    <w:rsid w:val="00ED077E"/>
    <w:rsid w:val="00ED07A7"/>
    <w:rsid w:val="00ED0997"/>
    <w:rsid w:val="00ED0AE4"/>
    <w:rsid w:val="00ED0E10"/>
    <w:rsid w:val="00ED0F19"/>
    <w:rsid w:val="00ED1193"/>
    <w:rsid w:val="00ED11D5"/>
    <w:rsid w:val="00ED18D1"/>
    <w:rsid w:val="00ED1CF8"/>
    <w:rsid w:val="00ED24FB"/>
    <w:rsid w:val="00ED2A93"/>
    <w:rsid w:val="00ED2CFC"/>
    <w:rsid w:val="00ED2FAB"/>
    <w:rsid w:val="00ED308A"/>
    <w:rsid w:val="00ED3144"/>
    <w:rsid w:val="00ED32FC"/>
    <w:rsid w:val="00ED3754"/>
    <w:rsid w:val="00ED39B4"/>
    <w:rsid w:val="00ED3B24"/>
    <w:rsid w:val="00ED457A"/>
    <w:rsid w:val="00ED462B"/>
    <w:rsid w:val="00ED4ED3"/>
    <w:rsid w:val="00ED53A0"/>
    <w:rsid w:val="00ED57EA"/>
    <w:rsid w:val="00ED5BD4"/>
    <w:rsid w:val="00ED5F44"/>
    <w:rsid w:val="00ED6028"/>
    <w:rsid w:val="00ED664E"/>
    <w:rsid w:val="00ED6951"/>
    <w:rsid w:val="00ED6FC3"/>
    <w:rsid w:val="00ED730A"/>
    <w:rsid w:val="00ED76A6"/>
    <w:rsid w:val="00ED7929"/>
    <w:rsid w:val="00ED7B72"/>
    <w:rsid w:val="00ED7BDA"/>
    <w:rsid w:val="00EE00F1"/>
    <w:rsid w:val="00EE02F6"/>
    <w:rsid w:val="00EE0543"/>
    <w:rsid w:val="00EE07D3"/>
    <w:rsid w:val="00EE0832"/>
    <w:rsid w:val="00EE0A55"/>
    <w:rsid w:val="00EE0BD5"/>
    <w:rsid w:val="00EE17B4"/>
    <w:rsid w:val="00EE1996"/>
    <w:rsid w:val="00EE19D8"/>
    <w:rsid w:val="00EE1C01"/>
    <w:rsid w:val="00EE1CBF"/>
    <w:rsid w:val="00EE212E"/>
    <w:rsid w:val="00EE2261"/>
    <w:rsid w:val="00EE22AF"/>
    <w:rsid w:val="00EE243D"/>
    <w:rsid w:val="00EE2489"/>
    <w:rsid w:val="00EE2737"/>
    <w:rsid w:val="00EE2A8F"/>
    <w:rsid w:val="00EE3769"/>
    <w:rsid w:val="00EE3D65"/>
    <w:rsid w:val="00EE4109"/>
    <w:rsid w:val="00EE419A"/>
    <w:rsid w:val="00EE41F8"/>
    <w:rsid w:val="00EE42CD"/>
    <w:rsid w:val="00EE4A43"/>
    <w:rsid w:val="00EE4D1F"/>
    <w:rsid w:val="00EE4E86"/>
    <w:rsid w:val="00EE50BB"/>
    <w:rsid w:val="00EE57CF"/>
    <w:rsid w:val="00EE5E68"/>
    <w:rsid w:val="00EE5EAC"/>
    <w:rsid w:val="00EE61A6"/>
    <w:rsid w:val="00EE63F5"/>
    <w:rsid w:val="00EE6DE3"/>
    <w:rsid w:val="00EE6E85"/>
    <w:rsid w:val="00EE7425"/>
    <w:rsid w:val="00EE75B5"/>
    <w:rsid w:val="00EE75EC"/>
    <w:rsid w:val="00EE77D2"/>
    <w:rsid w:val="00EF0171"/>
    <w:rsid w:val="00EF03F3"/>
    <w:rsid w:val="00EF0878"/>
    <w:rsid w:val="00EF08F5"/>
    <w:rsid w:val="00EF092F"/>
    <w:rsid w:val="00EF0A02"/>
    <w:rsid w:val="00EF0B0F"/>
    <w:rsid w:val="00EF178C"/>
    <w:rsid w:val="00EF1B25"/>
    <w:rsid w:val="00EF1DA0"/>
    <w:rsid w:val="00EF1E3F"/>
    <w:rsid w:val="00EF2494"/>
    <w:rsid w:val="00EF24D0"/>
    <w:rsid w:val="00EF259B"/>
    <w:rsid w:val="00EF263C"/>
    <w:rsid w:val="00EF2992"/>
    <w:rsid w:val="00EF2CD1"/>
    <w:rsid w:val="00EF2D70"/>
    <w:rsid w:val="00EF309A"/>
    <w:rsid w:val="00EF322A"/>
    <w:rsid w:val="00EF3762"/>
    <w:rsid w:val="00EF38E0"/>
    <w:rsid w:val="00EF3E05"/>
    <w:rsid w:val="00EF42A0"/>
    <w:rsid w:val="00EF4370"/>
    <w:rsid w:val="00EF447A"/>
    <w:rsid w:val="00EF45C4"/>
    <w:rsid w:val="00EF4747"/>
    <w:rsid w:val="00EF4795"/>
    <w:rsid w:val="00EF48DE"/>
    <w:rsid w:val="00EF4BF8"/>
    <w:rsid w:val="00EF4F2D"/>
    <w:rsid w:val="00EF4FC2"/>
    <w:rsid w:val="00EF5324"/>
    <w:rsid w:val="00EF53B7"/>
    <w:rsid w:val="00EF54AD"/>
    <w:rsid w:val="00EF5746"/>
    <w:rsid w:val="00EF5BB5"/>
    <w:rsid w:val="00EF5F6F"/>
    <w:rsid w:val="00EF6431"/>
    <w:rsid w:val="00EF67A1"/>
    <w:rsid w:val="00EF6CD9"/>
    <w:rsid w:val="00EF74A4"/>
    <w:rsid w:val="00EF798C"/>
    <w:rsid w:val="00EF7C50"/>
    <w:rsid w:val="00EF7DDB"/>
    <w:rsid w:val="00EF7FEC"/>
    <w:rsid w:val="00F002DA"/>
    <w:rsid w:val="00F005E9"/>
    <w:rsid w:val="00F0065A"/>
    <w:rsid w:val="00F008B0"/>
    <w:rsid w:val="00F00A78"/>
    <w:rsid w:val="00F00C98"/>
    <w:rsid w:val="00F00F32"/>
    <w:rsid w:val="00F01215"/>
    <w:rsid w:val="00F0152F"/>
    <w:rsid w:val="00F0160A"/>
    <w:rsid w:val="00F01BB7"/>
    <w:rsid w:val="00F01F9D"/>
    <w:rsid w:val="00F02253"/>
    <w:rsid w:val="00F02542"/>
    <w:rsid w:val="00F026C2"/>
    <w:rsid w:val="00F028D2"/>
    <w:rsid w:val="00F0299C"/>
    <w:rsid w:val="00F03052"/>
    <w:rsid w:val="00F03255"/>
    <w:rsid w:val="00F032DE"/>
    <w:rsid w:val="00F03C2E"/>
    <w:rsid w:val="00F03DE5"/>
    <w:rsid w:val="00F03E7A"/>
    <w:rsid w:val="00F03FC0"/>
    <w:rsid w:val="00F040B0"/>
    <w:rsid w:val="00F0415E"/>
    <w:rsid w:val="00F0426E"/>
    <w:rsid w:val="00F043B2"/>
    <w:rsid w:val="00F0467E"/>
    <w:rsid w:val="00F04A66"/>
    <w:rsid w:val="00F04A91"/>
    <w:rsid w:val="00F04B4B"/>
    <w:rsid w:val="00F04EEA"/>
    <w:rsid w:val="00F0516C"/>
    <w:rsid w:val="00F051D0"/>
    <w:rsid w:val="00F05334"/>
    <w:rsid w:val="00F0540C"/>
    <w:rsid w:val="00F056E5"/>
    <w:rsid w:val="00F05BF7"/>
    <w:rsid w:val="00F05FED"/>
    <w:rsid w:val="00F060F1"/>
    <w:rsid w:val="00F0639B"/>
    <w:rsid w:val="00F06422"/>
    <w:rsid w:val="00F06518"/>
    <w:rsid w:val="00F067A2"/>
    <w:rsid w:val="00F06818"/>
    <w:rsid w:val="00F06AA7"/>
    <w:rsid w:val="00F070DD"/>
    <w:rsid w:val="00F072DC"/>
    <w:rsid w:val="00F072F7"/>
    <w:rsid w:val="00F078D0"/>
    <w:rsid w:val="00F07B9E"/>
    <w:rsid w:val="00F07C17"/>
    <w:rsid w:val="00F07D0A"/>
    <w:rsid w:val="00F07DC3"/>
    <w:rsid w:val="00F100C5"/>
    <w:rsid w:val="00F103DE"/>
    <w:rsid w:val="00F104B4"/>
    <w:rsid w:val="00F109C0"/>
    <w:rsid w:val="00F10CED"/>
    <w:rsid w:val="00F10E13"/>
    <w:rsid w:val="00F10EE1"/>
    <w:rsid w:val="00F10F5B"/>
    <w:rsid w:val="00F1116F"/>
    <w:rsid w:val="00F111C2"/>
    <w:rsid w:val="00F113BD"/>
    <w:rsid w:val="00F11EC1"/>
    <w:rsid w:val="00F11F97"/>
    <w:rsid w:val="00F12173"/>
    <w:rsid w:val="00F1263A"/>
    <w:rsid w:val="00F1264F"/>
    <w:rsid w:val="00F126F1"/>
    <w:rsid w:val="00F12707"/>
    <w:rsid w:val="00F1284D"/>
    <w:rsid w:val="00F12C9A"/>
    <w:rsid w:val="00F14E58"/>
    <w:rsid w:val="00F14F4A"/>
    <w:rsid w:val="00F1519D"/>
    <w:rsid w:val="00F15845"/>
    <w:rsid w:val="00F15917"/>
    <w:rsid w:val="00F15B77"/>
    <w:rsid w:val="00F15B86"/>
    <w:rsid w:val="00F15E28"/>
    <w:rsid w:val="00F16A11"/>
    <w:rsid w:val="00F16AE5"/>
    <w:rsid w:val="00F1730A"/>
    <w:rsid w:val="00F17A50"/>
    <w:rsid w:val="00F17B5A"/>
    <w:rsid w:val="00F201AA"/>
    <w:rsid w:val="00F20413"/>
    <w:rsid w:val="00F20C9E"/>
    <w:rsid w:val="00F21127"/>
    <w:rsid w:val="00F21190"/>
    <w:rsid w:val="00F2186B"/>
    <w:rsid w:val="00F21979"/>
    <w:rsid w:val="00F21FB3"/>
    <w:rsid w:val="00F221FA"/>
    <w:rsid w:val="00F223E4"/>
    <w:rsid w:val="00F224D5"/>
    <w:rsid w:val="00F2260E"/>
    <w:rsid w:val="00F2268A"/>
    <w:rsid w:val="00F2288C"/>
    <w:rsid w:val="00F22C94"/>
    <w:rsid w:val="00F22D1B"/>
    <w:rsid w:val="00F22D7E"/>
    <w:rsid w:val="00F23218"/>
    <w:rsid w:val="00F23346"/>
    <w:rsid w:val="00F23446"/>
    <w:rsid w:val="00F2383D"/>
    <w:rsid w:val="00F23A0E"/>
    <w:rsid w:val="00F23DFA"/>
    <w:rsid w:val="00F23DFE"/>
    <w:rsid w:val="00F24197"/>
    <w:rsid w:val="00F24355"/>
    <w:rsid w:val="00F244EC"/>
    <w:rsid w:val="00F246BB"/>
    <w:rsid w:val="00F2477B"/>
    <w:rsid w:val="00F24837"/>
    <w:rsid w:val="00F24D13"/>
    <w:rsid w:val="00F24D35"/>
    <w:rsid w:val="00F24D63"/>
    <w:rsid w:val="00F25197"/>
    <w:rsid w:val="00F25313"/>
    <w:rsid w:val="00F25532"/>
    <w:rsid w:val="00F255CE"/>
    <w:rsid w:val="00F256B3"/>
    <w:rsid w:val="00F2572B"/>
    <w:rsid w:val="00F2575F"/>
    <w:rsid w:val="00F257A2"/>
    <w:rsid w:val="00F25952"/>
    <w:rsid w:val="00F25B7C"/>
    <w:rsid w:val="00F25FED"/>
    <w:rsid w:val="00F26085"/>
    <w:rsid w:val="00F268FE"/>
    <w:rsid w:val="00F26965"/>
    <w:rsid w:val="00F26D7B"/>
    <w:rsid w:val="00F26F81"/>
    <w:rsid w:val="00F27565"/>
    <w:rsid w:val="00F27896"/>
    <w:rsid w:val="00F27D7F"/>
    <w:rsid w:val="00F3025A"/>
    <w:rsid w:val="00F306FA"/>
    <w:rsid w:val="00F30A36"/>
    <w:rsid w:val="00F30E9F"/>
    <w:rsid w:val="00F30F05"/>
    <w:rsid w:val="00F310D4"/>
    <w:rsid w:val="00F316A7"/>
    <w:rsid w:val="00F31D5A"/>
    <w:rsid w:val="00F32041"/>
    <w:rsid w:val="00F324BB"/>
    <w:rsid w:val="00F324F8"/>
    <w:rsid w:val="00F3250D"/>
    <w:rsid w:val="00F32B0B"/>
    <w:rsid w:val="00F32B0C"/>
    <w:rsid w:val="00F32F12"/>
    <w:rsid w:val="00F33352"/>
    <w:rsid w:val="00F33776"/>
    <w:rsid w:val="00F33975"/>
    <w:rsid w:val="00F33DE9"/>
    <w:rsid w:val="00F34202"/>
    <w:rsid w:val="00F345AC"/>
    <w:rsid w:val="00F3471A"/>
    <w:rsid w:val="00F34866"/>
    <w:rsid w:val="00F34935"/>
    <w:rsid w:val="00F349B3"/>
    <w:rsid w:val="00F34CC5"/>
    <w:rsid w:val="00F34D4B"/>
    <w:rsid w:val="00F34ED1"/>
    <w:rsid w:val="00F35047"/>
    <w:rsid w:val="00F3526F"/>
    <w:rsid w:val="00F35648"/>
    <w:rsid w:val="00F359DA"/>
    <w:rsid w:val="00F35D1F"/>
    <w:rsid w:val="00F35E6D"/>
    <w:rsid w:val="00F360CF"/>
    <w:rsid w:val="00F36190"/>
    <w:rsid w:val="00F3619A"/>
    <w:rsid w:val="00F36216"/>
    <w:rsid w:val="00F36220"/>
    <w:rsid w:val="00F363FA"/>
    <w:rsid w:val="00F36848"/>
    <w:rsid w:val="00F368DB"/>
    <w:rsid w:val="00F36DF4"/>
    <w:rsid w:val="00F36F33"/>
    <w:rsid w:val="00F37843"/>
    <w:rsid w:val="00F37913"/>
    <w:rsid w:val="00F37CF2"/>
    <w:rsid w:val="00F37DB8"/>
    <w:rsid w:val="00F40137"/>
    <w:rsid w:val="00F40442"/>
    <w:rsid w:val="00F40AAA"/>
    <w:rsid w:val="00F40BA7"/>
    <w:rsid w:val="00F40C0D"/>
    <w:rsid w:val="00F40E2A"/>
    <w:rsid w:val="00F40F9D"/>
    <w:rsid w:val="00F40FE0"/>
    <w:rsid w:val="00F4100F"/>
    <w:rsid w:val="00F41050"/>
    <w:rsid w:val="00F4123B"/>
    <w:rsid w:val="00F41286"/>
    <w:rsid w:val="00F4171D"/>
    <w:rsid w:val="00F41A92"/>
    <w:rsid w:val="00F41ACD"/>
    <w:rsid w:val="00F41C70"/>
    <w:rsid w:val="00F41F22"/>
    <w:rsid w:val="00F42040"/>
    <w:rsid w:val="00F4230B"/>
    <w:rsid w:val="00F430D1"/>
    <w:rsid w:val="00F431FF"/>
    <w:rsid w:val="00F43676"/>
    <w:rsid w:val="00F436FB"/>
    <w:rsid w:val="00F43A28"/>
    <w:rsid w:val="00F4413A"/>
    <w:rsid w:val="00F44340"/>
    <w:rsid w:val="00F44397"/>
    <w:rsid w:val="00F44BD6"/>
    <w:rsid w:val="00F4547B"/>
    <w:rsid w:val="00F45EEA"/>
    <w:rsid w:val="00F4606B"/>
    <w:rsid w:val="00F460E7"/>
    <w:rsid w:val="00F463B5"/>
    <w:rsid w:val="00F46529"/>
    <w:rsid w:val="00F46821"/>
    <w:rsid w:val="00F469EF"/>
    <w:rsid w:val="00F46CB6"/>
    <w:rsid w:val="00F46D0E"/>
    <w:rsid w:val="00F47025"/>
    <w:rsid w:val="00F47090"/>
    <w:rsid w:val="00F4721B"/>
    <w:rsid w:val="00F47424"/>
    <w:rsid w:val="00F47453"/>
    <w:rsid w:val="00F47475"/>
    <w:rsid w:val="00F4756D"/>
    <w:rsid w:val="00F47679"/>
    <w:rsid w:val="00F47780"/>
    <w:rsid w:val="00F47A86"/>
    <w:rsid w:val="00F47C8C"/>
    <w:rsid w:val="00F47DE8"/>
    <w:rsid w:val="00F47F50"/>
    <w:rsid w:val="00F501BF"/>
    <w:rsid w:val="00F502F3"/>
    <w:rsid w:val="00F5076F"/>
    <w:rsid w:val="00F509D7"/>
    <w:rsid w:val="00F50C8C"/>
    <w:rsid w:val="00F50E42"/>
    <w:rsid w:val="00F51225"/>
    <w:rsid w:val="00F5166C"/>
    <w:rsid w:val="00F517BB"/>
    <w:rsid w:val="00F51844"/>
    <w:rsid w:val="00F51A84"/>
    <w:rsid w:val="00F51D18"/>
    <w:rsid w:val="00F51F16"/>
    <w:rsid w:val="00F520E6"/>
    <w:rsid w:val="00F52225"/>
    <w:rsid w:val="00F522B8"/>
    <w:rsid w:val="00F529AE"/>
    <w:rsid w:val="00F52D88"/>
    <w:rsid w:val="00F52E95"/>
    <w:rsid w:val="00F52FB4"/>
    <w:rsid w:val="00F5315C"/>
    <w:rsid w:val="00F534D9"/>
    <w:rsid w:val="00F53AE5"/>
    <w:rsid w:val="00F53C74"/>
    <w:rsid w:val="00F53CB3"/>
    <w:rsid w:val="00F541DC"/>
    <w:rsid w:val="00F541E8"/>
    <w:rsid w:val="00F542C1"/>
    <w:rsid w:val="00F54368"/>
    <w:rsid w:val="00F5439E"/>
    <w:rsid w:val="00F54A40"/>
    <w:rsid w:val="00F54A9B"/>
    <w:rsid w:val="00F54FB2"/>
    <w:rsid w:val="00F55462"/>
    <w:rsid w:val="00F555B2"/>
    <w:rsid w:val="00F55BD0"/>
    <w:rsid w:val="00F55E73"/>
    <w:rsid w:val="00F55EDA"/>
    <w:rsid w:val="00F55F92"/>
    <w:rsid w:val="00F562FC"/>
    <w:rsid w:val="00F56525"/>
    <w:rsid w:val="00F56629"/>
    <w:rsid w:val="00F56709"/>
    <w:rsid w:val="00F5677D"/>
    <w:rsid w:val="00F56C80"/>
    <w:rsid w:val="00F56E47"/>
    <w:rsid w:val="00F57228"/>
    <w:rsid w:val="00F57887"/>
    <w:rsid w:val="00F57898"/>
    <w:rsid w:val="00F57941"/>
    <w:rsid w:val="00F57B3E"/>
    <w:rsid w:val="00F60092"/>
    <w:rsid w:val="00F60345"/>
    <w:rsid w:val="00F60730"/>
    <w:rsid w:val="00F6117D"/>
    <w:rsid w:val="00F619B3"/>
    <w:rsid w:val="00F61B97"/>
    <w:rsid w:val="00F61C18"/>
    <w:rsid w:val="00F62039"/>
    <w:rsid w:val="00F621CB"/>
    <w:rsid w:val="00F624A2"/>
    <w:rsid w:val="00F62899"/>
    <w:rsid w:val="00F62960"/>
    <w:rsid w:val="00F629D1"/>
    <w:rsid w:val="00F62CE0"/>
    <w:rsid w:val="00F63040"/>
    <w:rsid w:val="00F63795"/>
    <w:rsid w:val="00F63CBB"/>
    <w:rsid w:val="00F63DDC"/>
    <w:rsid w:val="00F63FB8"/>
    <w:rsid w:val="00F63FF6"/>
    <w:rsid w:val="00F641AB"/>
    <w:rsid w:val="00F64B94"/>
    <w:rsid w:val="00F655BA"/>
    <w:rsid w:val="00F65A16"/>
    <w:rsid w:val="00F65AE4"/>
    <w:rsid w:val="00F65B60"/>
    <w:rsid w:val="00F65D26"/>
    <w:rsid w:val="00F65F4B"/>
    <w:rsid w:val="00F6607E"/>
    <w:rsid w:val="00F6626A"/>
    <w:rsid w:val="00F6648F"/>
    <w:rsid w:val="00F668E8"/>
    <w:rsid w:val="00F669EA"/>
    <w:rsid w:val="00F66A72"/>
    <w:rsid w:val="00F66ED0"/>
    <w:rsid w:val="00F66F25"/>
    <w:rsid w:val="00F670E3"/>
    <w:rsid w:val="00F678AD"/>
    <w:rsid w:val="00F67A69"/>
    <w:rsid w:val="00F67BA4"/>
    <w:rsid w:val="00F67BE5"/>
    <w:rsid w:val="00F67CF1"/>
    <w:rsid w:val="00F67F1A"/>
    <w:rsid w:val="00F70346"/>
    <w:rsid w:val="00F70765"/>
    <w:rsid w:val="00F7077A"/>
    <w:rsid w:val="00F7079A"/>
    <w:rsid w:val="00F70951"/>
    <w:rsid w:val="00F70A1B"/>
    <w:rsid w:val="00F70BFF"/>
    <w:rsid w:val="00F70C44"/>
    <w:rsid w:val="00F70C9D"/>
    <w:rsid w:val="00F70CC3"/>
    <w:rsid w:val="00F70E1C"/>
    <w:rsid w:val="00F70FCD"/>
    <w:rsid w:val="00F710FB"/>
    <w:rsid w:val="00F71509"/>
    <w:rsid w:val="00F718CA"/>
    <w:rsid w:val="00F71913"/>
    <w:rsid w:val="00F71943"/>
    <w:rsid w:val="00F71A16"/>
    <w:rsid w:val="00F71B26"/>
    <w:rsid w:val="00F71FBE"/>
    <w:rsid w:val="00F71FD9"/>
    <w:rsid w:val="00F7213F"/>
    <w:rsid w:val="00F7238B"/>
    <w:rsid w:val="00F72BBC"/>
    <w:rsid w:val="00F72F81"/>
    <w:rsid w:val="00F73BDA"/>
    <w:rsid w:val="00F73D25"/>
    <w:rsid w:val="00F73EBF"/>
    <w:rsid w:val="00F73ECB"/>
    <w:rsid w:val="00F73F58"/>
    <w:rsid w:val="00F742BA"/>
    <w:rsid w:val="00F748DF"/>
    <w:rsid w:val="00F749B1"/>
    <w:rsid w:val="00F74C2A"/>
    <w:rsid w:val="00F74C3D"/>
    <w:rsid w:val="00F74CD9"/>
    <w:rsid w:val="00F74DC1"/>
    <w:rsid w:val="00F74E6F"/>
    <w:rsid w:val="00F7512C"/>
    <w:rsid w:val="00F75236"/>
    <w:rsid w:val="00F752C6"/>
    <w:rsid w:val="00F75790"/>
    <w:rsid w:val="00F7588A"/>
    <w:rsid w:val="00F759E3"/>
    <w:rsid w:val="00F75EB9"/>
    <w:rsid w:val="00F75F97"/>
    <w:rsid w:val="00F76130"/>
    <w:rsid w:val="00F7635C"/>
    <w:rsid w:val="00F771B9"/>
    <w:rsid w:val="00F77A44"/>
    <w:rsid w:val="00F805EF"/>
    <w:rsid w:val="00F80A21"/>
    <w:rsid w:val="00F80A7B"/>
    <w:rsid w:val="00F80C80"/>
    <w:rsid w:val="00F80E5D"/>
    <w:rsid w:val="00F80FDD"/>
    <w:rsid w:val="00F81079"/>
    <w:rsid w:val="00F811C3"/>
    <w:rsid w:val="00F813DB"/>
    <w:rsid w:val="00F8181B"/>
    <w:rsid w:val="00F818D0"/>
    <w:rsid w:val="00F81E78"/>
    <w:rsid w:val="00F81F46"/>
    <w:rsid w:val="00F822A7"/>
    <w:rsid w:val="00F8238A"/>
    <w:rsid w:val="00F823FB"/>
    <w:rsid w:val="00F82461"/>
    <w:rsid w:val="00F8259E"/>
    <w:rsid w:val="00F8265E"/>
    <w:rsid w:val="00F828C2"/>
    <w:rsid w:val="00F82F27"/>
    <w:rsid w:val="00F830E5"/>
    <w:rsid w:val="00F831AF"/>
    <w:rsid w:val="00F8327C"/>
    <w:rsid w:val="00F83293"/>
    <w:rsid w:val="00F834A2"/>
    <w:rsid w:val="00F8373F"/>
    <w:rsid w:val="00F838F9"/>
    <w:rsid w:val="00F83A54"/>
    <w:rsid w:val="00F83ADD"/>
    <w:rsid w:val="00F83C99"/>
    <w:rsid w:val="00F83F38"/>
    <w:rsid w:val="00F84183"/>
    <w:rsid w:val="00F84483"/>
    <w:rsid w:val="00F84772"/>
    <w:rsid w:val="00F849D2"/>
    <w:rsid w:val="00F84B10"/>
    <w:rsid w:val="00F84F87"/>
    <w:rsid w:val="00F851CE"/>
    <w:rsid w:val="00F85277"/>
    <w:rsid w:val="00F85382"/>
    <w:rsid w:val="00F856B6"/>
    <w:rsid w:val="00F858F8"/>
    <w:rsid w:val="00F86184"/>
    <w:rsid w:val="00F8620D"/>
    <w:rsid w:val="00F868D4"/>
    <w:rsid w:val="00F86AF8"/>
    <w:rsid w:val="00F86D5E"/>
    <w:rsid w:val="00F8771A"/>
    <w:rsid w:val="00F87996"/>
    <w:rsid w:val="00F87BB7"/>
    <w:rsid w:val="00F87C1B"/>
    <w:rsid w:val="00F87D1F"/>
    <w:rsid w:val="00F87D72"/>
    <w:rsid w:val="00F87DE1"/>
    <w:rsid w:val="00F9001A"/>
    <w:rsid w:val="00F902A9"/>
    <w:rsid w:val="00F903CE"/>
    <w:rsid w:val="00F90502"/>
    <w:rsid w:val="00F90700"/>
    <w:rsid w:val="00F9074C"/>
    <w:rsid w:val="00F90824"/>
    <w:rsid w:val="00F908C5"/>
    <w:rsid w:val="00F908EC"/>
    <w:rsid w:val="00F90E14"/>
    <w:rsid w:val="00F91183"/>
    <w:rsid w:val="00F91219"/>
    <w:rsid w:val="00F918A7"/>
    <w:rsid w:val="00F91918"/>
    <w:rsid w:val="00F91D20"/>
    <w:rsid w:val="00F92129"/>
    <w:rsid w:val="00F92412"/>
    <w:rsid w:val="00F9243D"/>
    <w:rsid w:val="00F92444"/>
    <w:rsid w:val="00F92961"/>
    <w:rsid w:val="00F92B70"/>
    <w:rsid w:val="00F92CCA"/>
    <w:rsid w:val="00F92E47"/>
    <w:rsid w:val="00F930C0"/>
    <w:rsid w:val="00F93621"/>
    <w:rsid w:val="00F9393E"/>
    <w:rsid w:val="00F93BF6"/>
    <w:rsid w:val="00F93FEE"/>
    <w:rsid w:val="00F940D1"/>
    <w:rsid w:val="00F94138"/>
    <w:rsid w:val="00F945EE"/>
    <w:rsid w:val="00F94B48"/>
    <w:rsid w:val="00F94BDE"/>
    <w:rsid w:val="00F95036"/>
    <w:rsid w:val="00F95063"/>
    <w:rsid w:val="00F9507E"/>
    <w:rsid w:val="00F958FB"/>
    <w:rsid w:val="00F959A8"/>
    <w:rsid w:val="00F95CB6"/>
    <w:rsid w:val="00F95E2E"/>
    <w:rsid w:val="00F960C7"/>
    <w:rsid w:val="00F963E3"/>
    <w:rsid w:val="00F967D6"/>
    <w:rsid w:val="00F96DCE"/>
    <w:rsid w:val="00F96FD0"/>
    <w:rsid w:val="00F97296"/>
    <w:rsid w:val="00F97354"/>
    <w:rsid w:val="00F97360"/>
    <w:rsid w:val="00F973BE"/>
    <w:rsid w:val="00F97533"/>
    <w:rsid w:val="00F976EE"/>
    <w:rsid w:val="00F97840"/>
    <w:rsid w:val="00F97A78"/>
    <w:rsid w:val="00F97C0C"/>
    <w:rsid w:val="00F97D3B"/>
    <w:rsid w:val="00FA01EB"/>
    <w:rsid w:val="00FA0213"/>
    <w:rsid w:val="00FA0A93"/>
    <w:rsid w:val="00FA0B20"/>
    <w:rsid w:val="00FA0F22"/>
    <w:rsid w:val="00FA142E"/>
    <w:rsid w:val="00FA1852"/>
    <w:rsid w:val="00FA1D3E"/>
    <w:rsid w:val="00FA1E1D"/>
    <w:rsid w:val="00FA1FE0"/>
    <w:rsid w:val="00FA21A3"/>
    <w:rsid w:val="00FA230F"/>
    <w:rsid w:val="00FA24E7"/>
    <w:rsid w:val="00FA2634"/>
    <w:rsid w:val="00FA263D"/>
    <w:rsid w:val="00FA2B57"/>
    <w:rsid w:val="00FA2B8C"/>
    <w:rsid w:val="00FA36A2"/>
    <w:rsid w:val="00FA3D39"/>
    <w:rsid w:val="00FA3E40"/>
    <w:rsid w:val="00FA441A"/>
    <w:rsid w:val="00FA46B1"/>
    <w:rsid w:val="00FA470C"/>
    <w:rsid w:val="00FA4720"/>
    <w:rsid w:val="00FA49D0"/>
    <w:rsid w:val="00FA4A46"/>
    <w:rsid w:val="00FA4A91"/>
    <w:rsid w:val="00FA4EC0"/>
    <w:rsid w:val="00FA5083"/>
    <w:rsid w:val="00FA5343"/>
    <w:rsid w:val="00FA5A84"/>
    <w:rsid w:val="00FA5DC9"/>
    <w:rsid w:val="00FA5E76"/>
    <w:rsid w:val="00FA5EE6"/>
    <w:rsid w:val="00FA610D"/>
    <w:rsid w:val="00FA6223"/>
    <w:rsid w:val="00FA6249"/>
    <w:rsid w:val="00FA6814"/>
    <w:rsid w:val="00FA68DF"/>
    <w:rsid w:val="00FA6C3F"/>
    <w:rsid w:val="00FA6D0B"/>
    <w:rsid w:val="00FA6D8C"/>
    <w:rsid w:val="00FA7028"/>
    <w:rsid w:val="00FA72A7"/>
    <w:rsid w:val="00FA7419"/>
    <w:rsid w:val="00FA7956"/>
    <w:rsid w:val="00FA7ABB"/>
    <w:rsid w:val="00FA7C62"/>
    <w:rsid w:val="00FA7EC2"/>
    <w:rsid w:val="00FB02F2"/>
    <w:rsid w:val="00FB04AB"/>
    <w:rsid w:val="00FB0A28"/>
    <w:rsid w:val="00FB0D8F"/>
    <w:rsid w:val="00FB119E"/>
    <w:rsid w:val="00FB16B4"/>
    <w:rsid w:val="00FB1A8F"/>
    <w:rsid w:val="00FB1E14"/>
    <w:rsid w:val="00FB1FE3"/>
    <w:rsid w:val="00FB2000"/>
    <w:rsid w:val="00FB216F"/>
    <w:rsid w:val="00FB2AF5"/>
    <w:rsid w:val="00FB2AFD"/>
    <w:rsid w:val="00FB2B5D"/>
    <w:rsid w:val="00FB2D71"/>
    <w:rsid w:val="00FB2DD7"/>
    <w:rsid w:val="00FB2DDB"/>
    <w:rsid w:val="00FB2FCB"/>
    <w:rsid w:val="00FB3056"/>
    <w:rsid w:val="00FB33D1"/>
    <w:rsid w:val="00FB395D"/>
    <w:rsid w:val="00FB397E"/>
    <w:rsid w:val="00FB3AB4"/>
    <w:rsid w:val="00FB3DBF"/>
    <w:rsid w:val="00FB3E4A"/>
    <w:rsid w:val="00FB4445"/>
    <w:rsid w:val="00FB4545"/>
    <w:rsid w:val="00FB471E"/>
    <w:rsid w:val="00FB4764"/>
    <w:rsid w:val="00FB47E6"/>
    <w:rsid w:val="00FB485B"/>
    <w:rsid w:val="00FB4ADB"/>
    <w:rsid w:val="00FB4D0C"/>
    <w:rsid w:val="00FB505A"/>
    <w:rsid w:val="00FB520A"/>
    <w:rsid w:val="00FB5BAF"/>
    <w:rsid w:val="00FB5CBB"/>
    <w:rsid w:val="00FB6245"/>
    <w:rsid w:val="00FB66BD"/>
    <w:rsid w:val="00FB6984"/>
    <w:rsid w:val="00FB7438"/>
    <w:rsid w:val="00FB76EB"/>
    <w:rsid w:val="00FB7780"/>
    <w:rsid w:val="00FB7A5C"/>
    <w:rsid w:val="00FB7B16"/>
    <w:rsid w:val="00FB7C55"/>
    <w:rsid w:val="00FC0880"/>
    <w:rsid w:val="00FC08D6"/>
    <w:rsid w:val="00FC08DE"/>
    <w:rsid w:val="00FC0E7C"/>
    <w:rsid w:val="00FC0F42"/>
    <w:rsid w:val="00FC1074"/>
    <w:rsid w:val="00FC123B"/>
    <w:rsid w:val="00FC1520"/>
    <w:rsid w:val="00FC1621"/>
    <w:rsid w:val="00FC172C"/>
    <w:rsid w:val="00FC1884"/>
    <w:rsid w:val="00FC1994"/>
    <w:rsid w:val="00FC1E29"/>
    <w:rsid w:val="00FC2C42"/>
    <w:rsid w:val="00FC2C84"/>
    <w:rsid w:val="00FC2EE7"/>
    <w:rsid w:val="00FC2FF7"/>
    <w:rsid w:val="00FC371D"/>
    <w:rsid w:val="00FC388B"/>
    <w:rsid w:val="00FC39EC"/>
    <w:rsid w:val="00FC3E74"/>
    <w:rsid w:val="00FC4336"/>
    <w:rsid w:val="00FC448F"/>
    <w:rsid w:val="00FC4588"/>
    <w:rsid w:val="00FC48A9"/>
    <w:rsid w:val="00FC4931"/>
    <w:rsid w:val="00FC49D0"/>
    <w:rsid w:val="00FC4D79"/>
    <w:rsid w:val="00FC4E64"/>
    <w:rsid w:val="00FC526A"/>
    <w:rsid w:val="00FC5391"/>
    <w:rsid w:val="00FC53D3"/>
    <w:rsid w:val="00FC5520"/>
    <w:rsid w:val="00FC5D15"/>
    <w:rsid w:val="00FC5F0B"/>
    <w:rsid w:val="00FC6045"/>
    <w:rsid w:val="00FC61A1"/>
    <w:rsid w:val="00FC66A8"/>
    <w:rsid w:val="00FC672E"/>
    <w:rsid w:val="00FC6A9B"/>
    <w:rsid w:val="00FC6B69"/>
    <w:rsid w:val="00FC6CA0"/>
    <w:rsid w:val="00FC6D60"/>
    <w:rsid w:val="00FC6D6C"/>
    <w:rsid w:val="00FC7AB9"/>
    <w:rsid w:val="00FD0340"/>
    <w:rsid w:val="00FD065E"/>
    <w:rsid w:val="00FD0D23"/>
    <w:rsid w:val="00FD10C4"/>
    <w:rsid w:val="00FD11FB"/>
    <w:rsid w:val="00FD138A"/>
    <w:rsid w:val="00FD1D80"/>
    <w:rsid w:val="00FD20B4"/>
    <w:rsid w:val="00FD2100"/>
    <w:rsid w:val="00FD25C7"/>
    <w:rsid w:val="00FD290F"/>
    <w:rsid w:val="00FD2AFF"/>
    <w:rsid w:val="00FD2CA7"/>
    <w:rsid w:val="00FD2EF7"/>
    <w:rsid w:val="00FD2FCE"/>
    <w:rsid w:val="00FD348B"/>
    <w:rsid w:val="00FD3498"/>
    <w:rsid w:val="00FD3B70"/>
    <w:rsid w:val="00FD3DDB"/>
    <w:rsid w:val="00FD3E5B"/>
    <w:rsid w:val="00FD411F"/>
    <w:rsid w:val="00FD436C"/>
    <w:rsid w:val="00FD4454"/>
    <w:rsid w:val="00FD446D"/>
    <w:rsid w:val="00FD4A96"/>
    <w:rsid w:val="00FD4CB8"/>
    <w:rsid w:val="00FD4F2C"/>
    <w:rsid w:val="00FD4F2F"/>
    <w:rsid w:val="00FD525D"/>
    <w:rsid w:val="00FD5387"/>
    <w:rsid w:val="00FD53FE"/>
    <w:rsid w:val="00FD568E"/>
    <w:rsid w:val="00FD56AD"/>
    <w:rsid w:val="00FD6394"/>
    <w:rsid w:val="00FD63AD"/>
    <w:rsid w:val="00FD72C1"/>
    <w:rsid w:val="00FD739F"/>
    <w:rsid w:val="00FD77A1"/>
    <w:rsid w:val="00FD7A91"/>
    <w:rsid w:val="00FD7F16"/>
    <w:rsid w:val="00FE0017"/>
    <w:rsid w:val="00FE0071"/>
    <w:rsid w:val="00FE0090"/>
    <w:rsid w:val="00FE06C6"/>
    <w:rsid w:val="00FE0873"/>
    <w:rsid w:val="00FE0CAB"/>
    <w:rsid w:val="00FE0E6C"/>
    <w:rsid w:val="00FE0FE2"/>
    <w:rsid w:val="00FE1234"/>
    <w:rsid w:val="00FE186F"/>
    <w:rsid w:val="00FE1A24"/>
    <w:rsid w:val="00FE1A68"/>
    <w:rsid w:val="00FE1B75"/>
    <w:rsid w:val="00FE1C49"/>
    <w:rsid w:val="00FE1CDC"/>
    <w:rsid w:val="00FE1DFE"/>
    <w:rsid w:val="00FE1ED4"/>
    <w:rsid w:val="00FE20D1"/>
    <w:rsid w:val="00FE2594"/>
    <w:rsid w:val="00FE25D4"/>
    <w:rsid w:val="00FE28A7"/>
    <w:rsid w:val="00FE309A"/>
    <w:rsid w:val="00FE31BC"/>
    <w:rsid w:val="00FE324A"/>
    <w:rsid w:val="00FE3853"/>
    <w:rsid w:val="00FE3A33"/>
    <w:rsid w:val="00FE3AF9"/>
    <w:rsid w:val="00FE3D54"/>
    <w:rsid w:val="00FE3DD1"/>
    <w:rsid w:val="00FE4074"/>
    <w:rsid w:val="00FE4873"/>
    <w:rsid w:val="00FE4931"/>
    <w:rsid w:val="00FE49C7"/>
    <w:rsid w:val="00FE4A1C"/>
    <w:rsid w:val="00FE4B0D"/>
    <w:rsid w:val="00FE4E30"/>
    <w:rsid w:val="00FE4EFA"/>
    <w:rsid w:val="00FE5201"/>
    <w:rsid w:val="00FE5297"/>
    <w:rsid w:val="00FE5472"/>
    <w:rsid w:val="00FE5492"/>
    <w:rsid w:val="00FE559C"/>
    <w:rsid w:val="00FE5A0A"/>
    <w:rsid w:val="00FE5A51"/>
    <w:rsid w:val="00FE5B77"/>
    <w:rsid w:val="00FE5C6C"/>
    <w:rsid w:val="00FE5E62"/>
    <w:rsid w:val="00FE5EDB"/>
    <w:rsid w:val="00FE62B6"/>
    <w:rsid w:val="00FE6315"/>
    <w:rsid w:val="00FE66BB"/>
    <w:rsid w:val="00FE6724"/>
    <w:rsid w:val="00FE6D75"/>
    <w:rsid w:val="00FE70C3"/>
    <w:rsid w:val="00FE74B3"/>
    <w:rsid w:val="00FE7983"/>
    <w:rsid w:val="00FE7E7E"/>
    <w:rsid w:val="00FF007E"/>
    <w:rsid w:val="00FF0192"/>
    <w:rsid w:val="00FF028F"/>
    <w:rsid w:val="00FF05E2"/>
    <w:rsid w:val="00FF076A"/>
    <w:rsid w:val="00FF0E2C"/>
    <w:rsid w:val="00FF10CC"/>
    <w:rsid w:val="00FF12FF"/>
    <w:rsid w:val="00FF179A"/>
    <w:rsid w:val="00FF1847"/>
    <w:rsid w:val="00FF20FD"/>
    <w:rsid w:val="00FF2882"/>
    <w:rsid w:val="00FF2ACA"/>
    <w:rsid w:val="00FF2AD9"/>
    <w:rsid w:val="00FF2C9B"/>
    <w:rsid w:val="00FF2EA2"/>
    <w:rsid w:val="00FF2F19"/>
    <w:rsid w:val="00FF3014"/>
    <w:rsid w:val="00FF3175"/>
    <w:rsid w:val="00FF3337"/>
    <w:rsid w:val="00FF359F"/>
    <w:rsid w:val="00FF3720"/>
    <w:rsid w:val="00FF39C5"/>
    <w:rsid w:val="00FF3BE4"/>
    <w:rsid w:val="00FF3DCF"/>
    <w:rsid w:val="00FF4078"/>
    <w:rsid w:val="00FF4462"/>
    <w:rsid w:val="00FF492C"/>
    <w:rsid w:val="00FF4A21"/>
    <w:rsid w:val="00FF4C2A"/>
    <w:rsid w:val="00FF4CA4"/>
    <w:rsid w:val="00FF5232"/>
    <w:rsid w:val="00FF53C3"/>
    <w:rsid w:val="00FF59E9"/>
    <w:rsid w:val="00FF5A07"/>
    <w:rsid w:val="00FF5A7B"/>
    <w:rsid w:val="00FF5AA3"/>
    <w:rsid w:val="00FF5AD8"/>
    <w:rsid w:val="00FF5C99"/>
    <w:rsid w:val="00FF6950"/>
    <w:rsid w:val="00FF6C23"/>
    <w:rsid w:val="00FF6F70"/>
    <w:rsid w:val="00FF7043"/>
    <w:rsid w:val="00FF726A"/>
    <w:rsid w:val="00FF726D"/>
    <w:rsid w:val="00FF738F"/>
    <w:rsid w:val="00FF73C9"/>
    <w:rsid w:val="00FF7D81"/>
    <w:rsid w:val="0EEA3A09"/>
    <w:rsid w:val="19E1CF9E"/>
    <w:rsid w:val="19E3AE17"/>
    <w:rsid w:val="1ED7C107"/>
    <w:rsid w:val="273F2BD0"/>
    <w:rsid w:val="2F40EF69"/>
    <w:rsid w:val="3148C8BD"/>
    <w:rsid w:val="34E0CD62"/>
    <w:rsid w:val="39DB94A2"/>
    <w:rsid w:val="40A595E6"/>
    <w:rsid w:val="5A43B7AA"/>
    <w:rsid w:val="5B9271C0"/>
    <w:rsid w:val="66DD43C3"/>
    <w:rsid w:val="6FC41F2E"/>
    <w:rsid w:val="753E3CF9"/>
    <w:rsid w:val="7DF949D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1B5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 w:unhideWhenUsed="1" w:qFormat="1"/>
    <w:lsdException w:name="footer" w:semiHidden="1" w:uiPriority="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9"/>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link w:val="Heading3Char"/>
    <w:uiPriority w:val="9"/>
    <w:qFormat/>
    <w:rsid w:val="001F7361"/>
    <w:pPr>
      <w:outlineLvl w:val="2"/>
    </w:pPr>
    <w:rPr>
      <w:u w:val="single"/>
    </w:rPr>
  </w:style>
  <w:style w:type="paragraph" w:styleId="Heading4">
    <w:name w:val="heading 4"/>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qFormat/>
    <w:rsid w:val="00F6626A"/>
    <w:pPr>
      <w:keepNext/>
      <w:spacing w:after="200"/>
      <w:jc w:val="left"/>
    </w:pPr>
    <w:rPr>
      <w:rFonts w:ascii="Arial Narrow" w:hAnsi="Arial Narrow"/>
      <w:b/>
      <w:bCs/>
      <w:sz w:val="20"/>
      <w:szCs w:val="20"/>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rsid w:val="00F6626A"/>
    <w:rPr>
      <w:rFonts w:ascii="Arial Narrow" w:hAnsi="Arial Narrow" w:cs="Arial"/>
      <w:b/>
      <w:bCs/>
    </w:rPr>
  </w:style>
  <w:style w:type="paragraph" w:styleId="Title">
    <w:name w:val="Title"/>
    <w:basedOn w:val="Normal"/>
    <w:next w:val="Normal"/>
    <w:link w:val="TitleChar"/>
    <w:uiPriority w:val="10"/>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124A51"/>
    <w:rPr>
      <w:rFonts w:ascii="Cambria" w:hAnsi="Cambria"/>
      <w:b/>
      <w:bCs/>
      <w:snapToGrid w:val="0"/>
      <w:kern w:val="28"/>
      <w:sz w:val="32"/>
      <w:szCs w:val="32"/>
      <w:lang w:eastAsia="en-US"/>
    </w:rPr>
  </w:style>
  <w:style w:type="paragraph" w:styleId="BodyText">
    <w:name w:val="Body Text"/>
    <w:basedOn w:val="Normal"/>
    <w:link w:val="BodyTextChar"/>
    <w:uiPriority w:val="99"/>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Styl moj,Akapit z listą1,Akapit z listą11,Figure_na"/>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
    <w:rsid w:val="00EE1996"/>
    <w:rPr>
      <w:rFonts w:ascii="Calibri" w:hAnsi="Calibri" w:cs="Arial"/>
      <w:sz w:val="24"/>
      <w:szCs w:val="24"/>
    </w:rPr>
  </w:style>
  <w:style w:type="paragraph" w:styleId="Footer">
    <w:name w:val="footer"/>
    <w:basedOn w:val="Normal"/>
    <w:link w:val="FooterChar"/>
    <w:uiPriority w:val="9"/>
    <w:rsid w:val="00124A51"/>
    <w:pPr>
      <w:tabs>
        <w:tab w:val="center" w:pos="4513"/>
        <w:tab w:val="right" w:pos="9026"/>
      </w:tabs>
    </w:pPr>
  </w:style>
  <w:style w:type="character" w:customStyle="1" w:styleId="FooterChar">
    <w:name w:val="Footer Char"/>
    <w:basedOn w:val="DefaultParagraphFont"/>
    <w:link w:val="Footer"/>
    <w:uiPriority w:val="9"/>
    <w:rsid w:val="00124A51"/>
    <w:rPr>
      <w:rFonts w:ascii="Arial" w:hAnsi="Arial" w:cs="Arial"/>
      <w:snapToGrid w:val="0"/>
      <w:sz w:val="22"/>
      <w:lang w:eastAsia="en-US"/>
    </w:rPr>
  </w:style>
  <w:style w:type="table" w:styleId="TableGrid">
    <w:name w:val="Table Grid"/>
    <w:aliases w:val="Summary box,Table Gridbeth,CMA Table Template,ASD Table,PBAC table,new style,HTAtableplain"/>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9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uiPriority w:val="99"/>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uiPriority w:val="99"/>
    <w:qFormat/>
    <w:rsid w:val="004E18E9"/>
    <w:pPr>
      <w:numPr>
        <w:ilvl w:val="1"/>
        <w:numId w:val="1"/>
      </w:numPr>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List Bullet 1"/>
    <w:basedOn w:val="Normal"/>
    <w:unhideWhenUsed/>
    <w:qFormat/>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styleId="FootnoteText">
    <w:name w:val="footnote text"/>
    <w:basedOn w:val="BodyText"/>
    <w:link w:val="FootnoteTextChar"/>
    <w:uiPriority w:val="99"/>
    <w:rsid w:val="00251406"/>
    <w:pPr>
      <w:spacing w:after="200" w:line="276" w:lineRule="auto"/>
    </w:pPr>
    <w:rPr>
      <w:rFonts w:asciiTheme="minorHAnsi" w:eastAsiaTheme="minorHAnsi" w:hAnsiTheme="minorHAnsi" w:cs="Tahoma"/>
      <w:color w:val="000000"/>
      <w:sz w:val="20"/>
      <w:szCs w:val="22"/>
    </w:rPr>
  </w:style>
  <w:style w:type="character" w:customStyle="1" w:styleId="FootnoteTextChar">
    <w:name w:val="Footnote Text Char"/>
    <w:basedOn w:val="DefaultParagraphFont"/>
    <w:link w:val="FootnoteText"/>
    <w:uiPriority w:val="99"/>
    <w:rsid w:val="00251406"/>
    <w:rPr>
      <w:rFonts w:asciiTheme="minorHAnsi" w:eastAsiaTheme="minorHAnsi" w:hAnsiTheme="minorHAnsi" w:cs="Tahoma"/>
      <w:color w:val="000000"/>
      <w:szCs w:val="22"/>
    </w:rPr>
  </w:style>
  <w:style w:type="character" w:styleId="FootnoteReference">
    <w:name w:val="footnote reference"/>
    <w:basedOn w:val="DefaultParagraphFont"/>
    <w:uiPriority w:val="99"/>
    <w:unhideWhenUsed/>
    <w:rsid w:val="00251406"/>
    <w:rPr>
      <w:vertAlign w:val="superscript"/>
    </w:rPr>
  </w:style>
  <w:style w:type="paragraph" w:customStyle="1" w:styleId="Default">
    <w:name w:val="Default"/>
    <w:rsid w:val="00705A67"/>
    <w:pPr>
      <w:autoSpaceDE w:val="0"/>
      <w:autoSpaceDN w:val="0"/>
      <w:adjustRightInd w:val="0"/>
    </w:pPr>
    <w:rPr>
      <w:color w:val="000000"/>
      <w:sz w:val="24"/>
      <w:szCs w:val="24"/>
      <w:lang w:val="en-US" w:eastAsia="en-US"/>
    </w:rPr>
  </w:style>
  <w:style w:type="table" w:customStyle="1" w:styleId="HTATableshaded">
    <w:name w:val="HTA Table shaded"/>
    <w:basedOn w:val="TableNormal"/>
    <w:rsid w:val="00705A6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1">
    <w:name w:val="Table H1"/>
    <w:basedOn w:val="BodyText"/>
    <w:uiPriority w:val="4"/>
    <w:qFormat/>
    <w:rsid w:val="00705A67"/>
    <w:pPr>
      <w:keepNext/>
      <w:tabs>
        <w:tab w:val="left" w:pos="416"/>
        <w:tab w:val="left" w:pos="582"/>
        <w:tab w:val="left" w:pos="1134"/>
      </w:tabs>
      <w:spacing w:before="40" w:after="40"/>
    </w:pPr>
    <w:rPr>
      <w:rFonts w:asciiTheme="minorHAnsi" w:eastAsiaTheme="minorHAnsi" w:hAnsiTheme="minorHAnsi" w:cs="Tahoma"/>
      <w:b/>
      <w:spacing w:val="-1"/>
      <w:sz w:val="18"/>
      <w:szCs w:val="18"/>
      <w:lang w:val="en-US" w:eastAsia="en-US"/>
    </w:rPr>
  </w:style>
  <w:style w:type="paragraph" w:customStyle="1" w:styleId="TableHeadingleft">
    <w:name w:val="Table Heading left"/>
    <w:basedOn w:val="Normal"/>
    <w:next w:val="Normal"/>
    <w:qFormat/>
    <w:rsid w:val="00705A67"/>
    <w:pPr>
      <w:spacing w:before="40" w:after="40"/>
      <w:jc w:val="left"/>
    </w:pPr>
    <w:rPr>
      <w:rFonts w:asciiTheme="minorHAnsi" w:eastAsiaTheme="minorHAnsi" w:hAnsiTheme="minorHAnsi" w:cs="Tahoma"/>
      <w:b/>
      <w:sz w:val="18"/>
      <w:szCs w:val="18"/>
      <w:lang w:val="de-DE" w:eastAsia="en-US"/>
    </w:rPr>
  </w:style>
  <w:style w:type="character" w:styleId="Emphasis">
    <w:name w:val="Emphasis"/>
    <w:basedOn w:val="DefaultParagraphFont"/>
    <w:uiPriority w:val="20"/>
    <w:qFormat/>
    <w:rsid w:val="00933EC3"/>
    <w:rPr>
      <w:i/>
      <w:iCs/>
    </w:rPr>
  </w:style>
  <w:style w:type="paragraph" w:customStyle="1" w:styleId="Tabletextleft">
    <w:name w:val="Table text left"/>
    <w:basedOn w:val="Normal"/>
    <w:link w:val="TabletextleftChar"/>
    <w:qFormat/>
    <w:rsid w:val="00C969D2"/>
    <w:pPr>
      <w:spacing w:before="20" w:after="20"/>
      <w:jc w:val="left"/>
    </w:pPr>
    <w:rPr>
      <w:rFonts w:asciiTheme="minorHAnsi" w:hAnsiTheme="minorHAnsi" w:cs="Times New Roman"/>
      <w:sz w:val="18"/>
      <w:szCs w:val="20"/>
    </w:rPr>
  </w:style>
  <w:style w:type="character" w:customStyle="1" w:styleId="TabletextleftChar">
    <w:name w:val="Table text left Char"/>
    <w:basedOn w:val="DefaultParagraphFont"/>
    <w:link w:val="Tabletextleft"/>
    <w:rsid w:val="00C969D2"/>
    <w:rPr>
      <w:rFonts w:asciiTheme="minorHAnsi" w:hAnsiTheme="minorHAnsi"/>
      <w:sz w:val="18"/>
    </w:rPr>
  </w:style>
  <w:style w:type="paragraph" w:customStyle="1" w:styleId="TableFigNotes0">
    <w:name w:val="TableFigNotes+0"/>
    <w:basedOn w:val="Normal"/>
    <w:uiPriority w:val="4"/>
    <w:rsid w:val="00AA40FC"/>
    <w:pPr>
      <w:keepNext/>
      <w:keepLines/>
      <w:jc w:val="left"/>
    </w:pPr>
    <w:rPr>
      <w:rFonts w:cs="Tahoma"/>
      <w:color w:val="000000"/>
      <w:sz w:val="16"/>
      <w:szCs w:val="18"/>
      <w:lang w:val="en-US"/>
    </w:rPr>
  </w:style>
  <w:style w:type="paragraph" w:customStyle="1" w:styleId="TableFigNotes18">
    <w:name w:val="TableFigNotes+18"/>
    <w:basedOn w:val="BodyText"/>
    <w:next w:val="BodyText"/>
    <w:link w:val="TableFigNotes18Char"/>
    <w:uiPriority w:val="4"/>
    <w:qFormat/>
    <w:rsid w:val="00AA40FC"/>
    <w:pPr>
      <w:keepLines/>
      <w:spacing w:after="360" w:line="276" w:lineRule="auto"/>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AA40FC"/>
    <w:rPr>
      <w:rFonts w:asciiTheme="minorHAnsi" w:eastAsiaTheme="minorHAnsi" w:hAnsiTheme="minorHAnsi" w:cs="Tahoma"/>
      <w:color w:val="000000"/>
      <w:sz w:val="16"/>
      <w:szCs w:val="18"/>
    </w:rPr>
  </w:style>
  <w:style w:type="paragraph" w:customStyle="1" w:styleId="Tableandfigurefooter">
    <w:name w:val="Table and figure footer"/>
    <w:basedOn w:val="Normal"/>
    <w:link w:val="TableandfigurefooterChar"/>
    <w:qFormat/>
    <w:rsid w:val="000D12AC"/>
    <w:pPr>
      <w:spacing w:before="120" w:after="120" w:line="276" w:lineRule="auto"/>
      <w:jc w:val="left"/>
    </w:pPr>
    <w:rPr>
      <w:rFonts w:asciiTheme="minorHAnsi" w:eastAsiaTheme="minorEastAsia" w:hAnsiTheme="minorHAnsi" w:cstheme="minorBidi"/>
      <w:sz w:val="16"/>
      <w:szCs w:val="22"/>
      <w:lang w:val="en-US" w:eastAsia="en-US"/>
    </w:rPr>
  </w:style>
  <w:style w:type="character" w:customStyle="1" w:styleId="TableandfigurefooterChar">
    <w:name w:val="Table and figure footer Char"/>
    <w:basedOn w:val="DefaultParagraphFont"/>
    <w:link w:val="Tableandfigurefooter"/>
    <w:rsid w:val="000D12AC"/>
    <w:rPr>
      <w:rFonts w:asciiTheme="minorHAnsi" w:eastAsiaTheme="minorEastAsia" w:hAnsiTheme="minorHAnsi" w:cstheme="minorBidi"/>
      <w:sz w:val="16"/>
      <w:szCs w:val="22"/>
      <w:lang w:val="en-US" w:eastAsia="en-US"/>
    </w:rPr>
  </w:style>
  <w:style w:type="table" w:customStyle="1" w:styleId="TableHTAsimple">
    <w:name w:val="Table HTA simple"/>
    <w:basedOn w:val="TableNormal"/>
    <w:uiPriority w:val="99"/>
    <w:rsid w:val="008B71A6"/>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textbold">
    <w:name w:val="Table text bold"/>
    <w:basedOn w:val="Tabletextleft"/>
    <w:qFormat/>
    <w:rsid w:val="003A4536"/>
    <w:pPr>
      <w:ind w:left="57" w:right="57"/>
    </w:pPr>
    <w:rPr>
      <w:rFonts w:eastAsia="Arial"/>
      <w:b/>
      <w:lang w:val="de-DE"/>
    </w:rPr>
  </w:style>
  <w:style w:type="paragraph" w:customStyle="1" w:styleId="Tabletextcent">
    <w:name w:val="Table text cent"/>
    <w:basedOn w:val="Tabletextleft"/>
    <w:qFormat/>
    <w:rsid w:val="00A044DA"/>
    <w:pPr>
      <w:jc w:val="center"/>
    </w:pPr>
    <w:rPr>
      <w:lang w:val="de-DE"/>
    </w:rPr>
  </w:style>
  <w:style w:type="paragraph" w:customStyle="1" w:styleId="Tableheadingcent">
    <w:name w:val="Table heading cent"/>
    <w:basedOn w:val="TableHeadingleft"/>
    <w:qFormat/>
    <w:rsid w:val="00A044DA"/>
    <w:pPr>
      <w:jc w:val="center"/>
    </w:pPr>
  </w:style>
  <w:style w:type="paragraph" w:styleId="EndnoteText">
    <w:name w:val="endnote text"/>
    <w:basedOn w:val="Normal"/>
    <w:link w:val="EndnoteTextChar"/>
    <w:uiPriority w:val="99"/>
    <w:semiHidden/>
    <w:unhideWhenUsed/>
    <w:rsid w:val="001B40C7"/>
    <w:rPr>
      <w:sz w:val="20"/>
      <w:szCs w:val="20"/>
    </w:rPr>
  </w:style>
  <w:style w:type="character" w:customStyle="1" w:styleId="EndnoteTextChar">
    <w:name w:val="Endnote Text Char"/>
    <w:basedOn w:val="DefaultParagraphFont"/>
    <w:link w:val="EndnoteText"/>
    <w:uiPriority w:val="99"/>
    <w:semiHidden/>
    <w:rsid w:val="001B40C7"/>
    <w:rPr>
      <w:rFonts w:ascii="Calibri" w:hAnsi="Calibri" w:cs="Arial"/>
    </w:rPr>
  </w:style>
  <w:style w:type="character" w:styleId="EndnoteReference">
    <w:name w:val="endnote reference"/>
    <w:basedOn w:val="DefaultParagraphFont"/>
    <w:semiHidden/>
    <w:unhideWhenUsed/>
    <w:rsid w:val="001B40C7"/>
    <w:rPr>
      <w:vertAlign w:val="superscript"/>
    </w:rPr>
  </w:style>
  <w:style w:type="character" w:customStyle="1" w:styleId="Bullet0Char">
    <w:name w:val="Bullet+0 Char"/>
    <w:basedOn w:val="DefaultParagraphFont"/>
    <w:link w:val="Bullet0"/>
    <w:uiPriority w:val="2"/>
    <w:locked/>
    <w:rsid w:val="00BE704E"/>
    <w:rPr>
      <w:rFonts w:ascii="Arial" w:hAnsi="Arial" w:cs="Arial"/>
    </w:rPr>
  </w:style>
  <w:style w:type="paragraph" w:customStyle="1" w:styleId="Bullet0">
    <w:name w:val="Bullet+0"/>
    <w:basedOn w:val="BodyText"/>
    <w:link w:val="Bullet0Char"/>
    <w:uiPriority w:val="2"/>
    <w:qFormat/>
    <w:rsid w:val="00BE704E"/>
    <w:pPr>
      <w:numPr>
        <w:numId w:val="5"/>
      </w:numPr>
      <w:spacing w:line="276" w:lineRule="auto"/>
    </w:pPr>
    <w:rPr>
      <w:rFonts w:ascii="Arial" w:hAnsi="Arial"/>
      <w:sz w:val="20"/>
      <w:szCs w:val="20"/>
    </w:rPr>
  </w:style>
  <w:style w:type="table" w:customStyle="1" w:styleId="Summarybox1">
    <w:name w:val="Summary box1"/>
    <w:basedOn w:val="TableNormal"/>
    <w:next w:val="TableGrid"/>
    <w:uiPriority w:val="59"/>
    <w:rsid w:val="00265CE9"/>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TATableshaded1">
    <w:name w:val="HTA Table shaded1"/>
    <w:basedOn w:val="TableNormal"/>
    <w:rsid w:val="0072446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UnresolvedMention1">
    <w:name w:val="Unresolved Mention1"/>
    <w:basedOn w:val="DefaultParagraphFont"/>
    <w:uiPriority w:val="99"/>
    <w:semiHidden/>
    <w:unhideWhenUsed/>
    <w:rsid w:val="00234A6A"/>
    <w:rPr>
      <w:color w:val="605E5C"/>
      <w:shd w:val="clear" w:color="auto" w:fill="E1DFDD"/>
    </w:rPr>
  </w:style>
  <w:style w:type="paragraph" w:customStyle="1" w:styleId="HAppendix1">
    <w:name w:val="H Appendix 1"/>
    <w:basedOn w:val="Heading1"/>
    <w:qFormat/>
    <w:rsid w:val="00B4296B"/>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val="en-GB" w:eastAsia="en-GB"/>
    </w:rPr>
  </w:style>
  <w:style w:type="paragraph" w:styleId="BlockText">
    <w:name w:val="Block Text"/>
    <w:basedOn w:val="Normal"/>
    <w:uiPriority w:val="99"/>
    <w:semiHidden/>
    <w:unhideWhenUsed/>
    <w:rsid w:val="00B4296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00" w:line="276" w:lineRule="auto"/>
      <w:ind w:left="1152" w:right="1152"/>
      <w:jc w:val="left"/>
    </w:pPr>
    <w:rPr>
      <w:rFonts w:asciiTheme="minorHAnsi" w:eastAsiaTheme="minorEastAsia" w:hAnsiTheme="minorHAnsi" w:cstheme="minorBidi"/>
      <w:i/>
      <w:iCs/>
      <w:color w:val="4F81BD" w:themeColor="accent1"/>
      <w:sz w:val="22"/>
      <w:szCs w:val="22"/>
      <w:lang w:eastAsia="en-US"/>
    </w:rPr>
  </w:style>
  <w:style w:type="paragraph" w:customStyle="1" w:styleId="BoxHeading">
    <w:name w:val="BoxHeading"/>
    <w:basedOn w:val="BodyText"/>
    <w:link w:val="BoxHeadingChar"/>
    <w:uiPriority w:val="3"/>
    <w:rsid w:val="00B4296B"/>
    <w:pPr>
      <w:pBdr>
        <w:top w:val="single" w:sz="6" w:space="1" w:color="000000"/>
        <w:left w:val="single" w:sz="6" w:space="4" w:color="000000"/>
        <w:bottom w:val="single" w:sz="6" w:space="1" w:color="000000"/>
        <w:right w:val="single" w:sz="6" w:space="4" w:color="000000"/>
      </w:pBdr>
      <w:tabs>
        <w:tab w:val="left" w:pos="1418"/>
      </w:tabs>
      <w:spacing w:before="120" w:after="120" w:line="276" w:lineRule="auto"/>
    </w:pPr>
    <w:rPr>
      <w:rFonts w:asciiTheme="minorHAnsi" w:eastAsiaTheme="minorHAnsi" w:hAnsiTheme="minorHAnsi" w:cs="Tahoma"/>
      <w:b/>
      <w:bCs/>
      <w:sz w:val="22"/>
      <w:szCs w:val="20"/>
      <w:lang w:eastAsia="en-US"/>
    </w:rPr>
  </w:style>
  <w:style w:type="character" w:customStyle="1" w:styleId="BoxHeadingChar">
    <w:name w:val="BoxHeading Char"/>
    <w:basedOn w:val="DefaultParagraphFont"/>
    <w:link w:val="BoxHeading"/>
    <w:uiPriority w:val="3"/>
    <w:rsid w:val="00B4296B"/>
    <w:rPr>
      <w:rFonts w:asciiTheme="minorHAnsi" w:eastAsiaTheme="minorHAnsi" w:hAnsiTheme="minorHAnsi" w:cs="Tahoma"/>
      <w:b/>
      <w:bCs/>
      <w:sz w:val="22"/>
      <w:lang w:eastAsia="en-US"/>
    </w:rPr>
  </w:style>
  <w:style w:type="paragraph" w:customStyle="1" w:styleId="TableHyerlink">
    <w:name w:val="Table Hyerlink"/>
    <w:basedOn w:val="Tabletextleft"/>
    <w:qFormat/>
    <w:rsid w:val="00B4296B"/>
  </w:style>
  <w:style w:type="paragraph" w:customStyle="1" w:styleId="BoxText">
    <w:name w:val="BoxText"/>
    <w:basedOn w:val="BodyText"/>
    <w:link w:val="BoxTextChar"/>
    <w:uiPriority w:val="3"/>
    <w:rsid w:val="00B4296B"/>
    <w:pPr>
      <w:pBdr>
        <w:top w:val="single" w:sz="6" w:space="1" w:color="000000"/>
        <w:left w:val="single" w:sz="6" w:space="4" w:color="000000"/>
        <w:bottom w:val="single" w:sz="6" w:space="1" w:color="000000"/>
        <w:right w:val="single" w:sz="6" w:space="4" w:color="000000"/>
      </w:pBdr>
      <w:spacing w:after="200" w:line="276" w:lineRule="auto"/>
    </w:pPr>
    <w:rPr>
      <w:rFonts w:asciiTheme="minorHAnsi" w:eastAsiaTheme="minorHAnsi" w:hAnsiTheme="minorHAnsi" w:cs="Tahoma"/>
      <w:sz w:val="22"/>
      <w:szCs w:val="22"/>
      <w:lang w:eastAsia="en-US"/>
    </w:rPr>
  </w:style>
  <w:style w:type="character" w:customStyle="1" w:styleId="BoxTextChar">
    <w:name w:val="BoxText Char"/>
    <w:basedOn w:val="DefaultParagraphFont"/>
    <w:link w:val="BoxText"/>
    <w:uiPriority w:val="3"/>
    <w:rsid w:val="00B4296B"/>
    <w:rPr>
      <w:rFonts w:asciiTheme="minorHAnsi" w:eastAsiaTheme="minorHAnsi" w:hAnsiTheme="minorHAnsi" w:cs="Tahoma"/>
      <w:sz w:val="22"/>
      <w:szCs w:val="22"/>
      <w:lang w:eastAsia="en-US"/>
    </w:rPr>
  </w:style>
  <w:style w:type="paragraph" w:customStyle="1" w:styleId="ListNos12">
    <w:name w:val="ListNos+12"/>
    <w:basedOn w:val="Normal"/>
    <w:next w:val="BodyText"/>
    <w:uiPriority w:val="2"/>
    <w:qFormat/>
    <w:rsid w:val="00B4296B"/>
    <w:pPr>
      <w:spacing w:after="240"/>
      <w:jc w:val="left"/>
    </w:pPr>
    <w:rPr>
      <w:rFonts w:cs="Times New Roman"/>
      <w:sz w:val="22"/>
      <w:lang w:val="en-US" w:eastAsia="en-US"/>
    </w:rPr>
  </w:style>
  <w:style w:type="paragraph" w:customStyle="1" w:styleId="References">
    <w:name w:val="References"/>
    <w:basedOn w:val="BodyText"/>
    <w:uiPriority w:val="6"/>
    <w:rsid w:val="00B4296B"/>
    <w:pPr>
      <w:keepLines/>
      <w:spacing w:after="200" w:line="276" w:lineRule="auto"/>
      <w:ind w:left="1440" w:hanging="720"/>
    </w:pPr>
    <w:rPr>
      <w:rFonts w:asciiTheme="minorHAnsi" w:eastAsiaTheme="minorHAnsi" w:hAnsiTheme="minorHAnsi" w:cs="Tahoma"/>
      <w:color w:val="000000"/>
      <w:sz w:val="22"/>
      <w:szCs w:val="22"/>
      <w:lang w:val="en-GB" w:eastAsia="en-US"/>
    </w:rPr>
  </w:style>
  <w:style w:type="paragraph" w:customStyle="1" w:styleId="ListNos0">
    <w:name w:val="ListNos+0"/>
    <w:basedOn w:val="BodyText"/>
    <w:uiPriority w:val="2"/>
    <w:qFormat/>
    <w:rsid w:val="00B4296B"/>
    <w:pPr>
      <w:numPr>
        <w:numId w:val="6"/>
      </w:numPr>
      <w:spacing w:line="276" w:lineRule="auto"/>
    </w:pPr>
    <w:rPr>
      <w:rFonts w:asciiTheme="minorHAnsi" w:eastAsiaTheme="minorHAnsi" w:hAnsiTheme="minorHAnsi" w:cs="Tahoma"/>
      <w:sz w:val="22"/>
      <w:szCs w:val="22"/>
      <w:lang w:eastAsia="en-US"/>
    </w:rPr>
  </w:style>
  <w:style w:type="table" w:customStyle="1" w:styleId="HTAsimpletable">
    <w:name w:val="HTA simple table"/>
    <w:basedOn w:val="TableNormal"/>
    <w:uiPriority w:val="99"/>
    <w:rsid w:val="00B14E28"/>
    <w:rPr>
      <w:rFonts w:asciiTheme="minorHAnsi" w:eastAsiaTheme="minorHAnsi" w:hAnsiTheme="minorHAnsi" w:cstheme="minorBidi"/>
      <w:sz w:val="22"/>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sz w:val="18"/>
      </w:rPr>
    </w:tblStylePr>
    <w:tblStylePr w:type="band2Horz">
      <w:pPr>
        <w:wordWrap/>
        <w:spacing w:beforeLines="0" w:before="20" w:beforeAutospacing="0" w:afterLines="0" w:after="20" w:afterAutospacing="0" w:line="240" w:lineRule="auto"/>
      </w:pPr>
    </w:tblStylePr>
  </w:style>
  <w:style w:type="paragraph" w:customStyle="1" w:styleId="Tablebulletlist">
    <w:name w:val="Table bullet list"/>
    <w:basedOn w:val="Tabletextleft"/>
    <w:link w:val="TablebulletlistChar"/>
    <w:qFormat/>
    <w:rsid w:val="00B010F7"/>
    <w:pPr>
      <w:widowControl w:val="0"/>
      <w:numPr>
        <w:numId w:val="7"/>
      </w:numPr>
      <w:tabs>
        <w:tab w:val="left" w:pos="464"/>
      </w:tabs>
      <w:spacing w:before="34" w:after="0"/>
    </w:pPr>
    <w:rPr>
      <w:rFonts w:eastAsia="Calibri"/>
      <w:szCs w:val="18"/>
      <w:lang w:val="en-US"/>
    </w:rPr>
  </w:style>
  <w:style w:type="character" w:customStyle="1" w:styleId="TablebulletlistChar">
    <w:name w:val="Table bullet list Char"/>
    <w:basedOn w:val="TabletextleftChar"/>
    <w:link w:val="Tablebulletlist"/>
    <w:rsid w:val="00B010F7"/>
    <w:rPr>
      <w:rFonts w:asciiTheme="minorHAnsi" w:eastAsia="Calibri" w:hAnsiTheme="minorHAnsi"/>
      <w:sz w:val="18"/>
      <w:szCs w:val="18"/>
      <w:lang w:val="en-US"/>
    </w:rPr>
  </w:style>
  <w:style w:type="table" w:customStyle="1" w:styleId="TableHTAsimple1">
    <w:name w:val="Table HTA simple1"/>
    <w:basedOn w:val="TableNormal"/>
    <w:uiPriority w:val="99"/>
    <w:rsid w:val="008A75A8"/>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table" w:customStyle="1" w:styleId="HTATableshaded2">
    <w:name w:val="HTA Table shaded2"/>
    <w:basedOn w:val="TableNormal"/>
    <w:rsid w:val="003E442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xxmsonormal">
    <w:name w:val="x_xmsonormal"/>
    <w:basedOn w:val="Normal"/>
    <w:uiPriority w:val="99"/>
    <w:rsid w:val="00FC1520"/>
    <w:pPr>
      <w:jc w:val="left"/>
    </w:pPr>
    <w:rPr>
      <w:rFonts w:eastAsiaTheme="minorHAnsi" w:cs="Times New Roman"/>
      <w:sz w:val="22"/>
      <w:szCs w:val="22"/>
    </w:rPr>
  </w:style>
  <w:style w:type="paragraph" w:customStyle="1" w:styleId="RJWNormal">
    <w:name w:val="RJW Normal"/>
    <w:basedOn w:val="Normal"/>
    <w:link w:val="RJWNormalChar"/>
    <w:uiPriority w:val="99"/>
    <w:qFormat/>
    <w:rsid w:val="00E35332"/>
    <w:pPr>
      <w:spacing w:before="120" w:after="120" w:line="276" w:lineRule="auto"/>
      <w:jc w:val="left"/>
    </w:pPr>
    <w:rPr>
      <w:rFonts w:asciiTheme="minorHAnsi" w:eastAsiaTheme="minorEastAsia" w:hAnsiTheme="minorHAnsi" w:cstheme="minorBidi"/>
      <w:sz w:val="22"/>
      <w:szCs w:val="22"/>
      <w:lang w:val="en-US" w:eastAsia="en-US"/>
    </w:rPr>
  </w:style>
  <w:style w:type="character" w:customStyle="1" w:styleId="RJWNormalChar">
    <w:name w:val="RJW Normal Char"/>
    <w:basedOn w:val="DefaultParagraphFont"/>
    <w:link w:val="RJWNormal"/>
    <w:uiPriority w:val="99"/>
    <w:rsid w:val="00E35332"/>
    <w:rPr>
      <w:rFonts w:asciiTheme="minorHAnsi" w:eastAsiaTheme="minorEastAsia" w:hAnsiTheme="minorHAnsi" w:cstheme="minorBidi"/>
      <w:sz w:val="22"/>
      <w:szCs w:val="22"/>
      <w:lang w:val="en-US" w:eastAsia="en-US"/>
    </w:rPr>
  </w:style>
  <w:style w:type="paragraph" w:customStyle="1" w:styleId="Tablecaption">
    <w:name w:val="Table caption"/>
    <w:basedOn w:val="Normal"/>
    <w:link w:val="TablecaptionChar"/>
    <w:qFormat/>
    <w:rsid w:val="000E7ACA"/>
    <w:pPr>
      <w:keepNext/>
      <w:keepLines/>
    </w:pPr>
    <w:rPr>
      <w:rFonts w:ascii="Arial Narrow" w:hAnsi="Arial Narrow"/>
      <w:sz w:val="20"/>
      <w:szCs w:val="20"/>
      <w:lang w:eastAsia="en-US"/>
    </w:rPr>
  </w:style>
  <w:style w:type="character" w:customStyle="1" w:styleId="TablecaptionChar">
    <w:name w:val="Table caption Char"/>
    <w:basedOn w:val="DefaultParagraphFont"/>
    <w:link w:val="Tablecaption"/>
    <w:rsid w:val="000E7ACA"/>
    <w:rPr>
      <w:rFonts w:ascii="Arial Narrow" w:hAnsi="Arial Narrow" w:cs="Arial"/>
      <w:lang w:eastAsia="en-US"/>
    </w:rPr>
  </w:style>
  <w:style w:type="paragraph" w:customStyle="1" w:styleId="Tablename0">
    <w:name w:val="Table name"/>
    <w:basedOn w:val="BodyText"/>
    <w:uiPriority w:val="4"/>
    <w:qFormat/>
    <w:rsid w:val="00827739"/>
    <w:pPr>
      <w:keepNext/>
      <w:tabs>
        <w:tab w:val="left" w:pos="1418"/>
      </w:tabs>
      <w:spacing w:before="120" w:after="120"/>
      <w:ind w:left="1418" w:hanging="1418"/>
    </w:pPr>
    <w:rPr>
      <w:rFonts w:cs="Times New Roman"/>
      <w:b/>
      <w:bCs/>
      <w:sz w:val="22"/>
      <w:szCs w:val="20"/>
      <w:lang w:val="en-US" w:eastAsia="en-US"/>
    </w:rPr>
  </w:style>
  <w:style w:type="character" w:customStyle="1" w:styleId="Heading1Char">
    <w:name w:val="Heading 1 Char"/>
    <w:basedOn w:val="DefaultParagraphFont"/>
    <w:link w:val="Heading1"/>
    <w:uiPriority w:val="9"/>
    <w:rsid w:val="006C2AF4"/>
    <w:rPr>
      <w:rFonts w:ascii="Calibri" w:hAnsi="Calibri" w:cs="Arial"/>
      <w:b/>
      <w:caps/>
      <w:sz w:val="32"/>
      <w:szCs w:val="24"/>
    </w:rPr>
  </w:style>
  <w:style w:type="character" w:customStyle="1" w:styleId="Heading3Char">
    <w:name w:val="Heading 3 Char"/>
    <w:basedOn w:val="DefaultParagraphFont"/>
    <w:link w:val="Heading3"/>
    <w:uiPriority w:val="9"/>
    <w:rsid w:val="006C2AF4"/>
    <w:rPr>
      <w:rFonts w:ascii="Calibri" w:hAnsi="Calibri" w:cs="Arial"/>
      <w:sz w:val="24"/>
      <w:szCs w:val="24"/>
      <w:u w:val="single"/>
    </w:rPr>
  </w:style>
  <w:style w:type="character" w:customStyle="1" w:styleId="Heading4Char">
    <w:name w:val="Heading 4 Char"/>
    <w:basedOn w:val="DefaultParagraphFont"/>
    <w:link w:val="Heading4"/>
    <w:uiPriority w:val="9"/>
    <w:rsid w:val="006C2AF4"/>
    <w:rPr>
      <w:rFonts w:ascii="Calibri" w:hAnsi="Calibri" w:cs="Arial"/>
      <w:b/>
      <w:bCs/>
      <w:i/>
      <w:sz w:val="26"/>
      <w:szCs w:val="28"/>
    </w:rPr>
  </w:style>
  <w:style w:type="character" w:customStyle="1" w:styleId="Heading5Char">
    <w:name w:val="Heading 5 Char"/>
    <w:basedOn w:val="DefaultParagraphFont"/>
    <w:link w:val="Heading5"/>
    <w:uiPriority w:val="9"/>
    <w:rsid w:val="006C2AF4"/>
    <w:rPr>
      <w:rFonts w:ascii="Calibri" w:hAnsi="Calibri" w:cs="Arial"/>
      <w:b/>
      <w:bCs/>
      <w:iCs/>
      <w:sz w:val="26"/>
      <w:szCs w:val="26"/>
    </w:rPr>
  </w:style>
  <w:style w:type="character" w:customStyle="1" w:styleId="Heading6Char">
    <w:name w:val="Heading 6 Char"/>
    <w:basedOn w:val="DefaultParagraphFont"/>
    <w:link w:val="Heading6"/>
    <w:uiPriority w:val="9"/>
    <w:rsid w:val="006C2AF4"/>
    <w:rPr>
      <w:rFonts w:ascii="Calibri" w:hAnsi="Calibri" w:cs="Arial"/>
      <w:b/>
      <w:bCs/>
      <w:i/>
      <w:sz w:val="24"/>
      <w:szCs w:val="24"/>
    </w:rPr>
  </w:style>
  <w:style w:type="paragraph" w:customStyle="1" w:styleId="msonormal0">
    <w:name w:val="msonormal"/>
    <w:basedOn w:val="Normal"/>
    <w:uiPriority w:val="99"/>
    <w:rsid w:val="006C2AF4"/>
    <w:pPr>
      <w:snapToGrid w:val="0"/>
      <w:spacing w:before="100" w:after="100"/>
      <w:jc w:val="left"/>
    </w:pPr>
    <w:rPr>
      <w:rFonts w:ascii="Times New Roman" w:hAnsi="Times New Roman" w:cs="Times New Roman"/>
      <w:lang w:val="en-GB"/>
    </w:rPr>
  </w:style>
  <w:style w:type="character" w:customStyle="1" w:styleId="HeaderChar1">
    <w:name w:val="Header Char1"/>
    <w:aliases w:val="Page Header Char1,Header title Char1,he=header Char1,cntr/bld Char1"/>
    <w:basedOn w:val="DefaultParagraphFont"/>
    <w:semiHidden/>
    <w:rsid w:val="006C2AF4"/>
    <w:rPr>
      <w:rFonts w:ascii="Calibri" w:hAnsi="Calibri" w:cs="Arial"/>
      <w:sz w:val="24"/>
      <w:szCs w:val="24"/>
    </w:rPr>
  </w:style>
  <w:style w:type="character" w:customStyle="1" w:styleId="UnresolvedMention2">
    <w:name w:val="Unresolved Mention2"/>
    <w:basedOn w:val="DefaultParagraphFont"/>
    <w:uiPriority w:val="99"/>
    <w:semiHidden/>
    <w:rsid w:val="006C2AF4"/>
    <w:rPr>
      <w:color w:val="605E5C"/>
      <w:shd w:val="clear" w:color="auto" w:fill="E1DFDD"/>
    </w:rPr>
  </w:style>
  <w:style w:type="character" w:customStyle="1" w:styleId="FontBold">
    <w:name w:val="Font Bold"/>
    <w:basedOn w:val="DefaultParagraphFont"/>
    <w:uiPriority w:val="1"/>
    <w:qFormat/>
    <w:rsid w:val="005E6FD5"/>
    <w:rPr>
      <w:rFonts w:ascii="Calibri" w:hAnsi="Calibri"/>
      <w:b/>
      <w:i w:val="0"/>
      <w:sz w:val="24"/>
    </w:rPr>
  </w:style>
  <w:style w:type="numbering" w:customStyle="1" w:styleId="PBAC">
    <w:name w:val="PBAC"/>
    <w:uiPriority w:val="99"/>
    <w:rsid w:val="007C3839"/>
    <w:pPr>
      <w:numPr>
        <w:numId w:val="8"/>
      </w:numPr>
    </w:pPr>
  </w:style>
  <w:style w:type="paragraph" w:customStyle="1" w:styleId="BoxName">
    <w:name w:val="BoxName"/>
    <w:basedOn w:val="Normal"/>
    <w:uiPriority w:val="3"/>
    <w:rsid w:val="007C3839"/>
    <w:pPr>
      <w:keepNext/>
      <w:spacing w:before="180" w:after="240"/>
      <w:ind w:left="1886" w:hanging="1080"/>
      <w:jc w:val="left"/>
    </w:pPr>
    <w:rPr>
      <w:rFonts w:ascii="Arial Narrow" w:hAnsi="Arial Narrow" w:cs="Times New Roman"/>
      <w:b/>
      <w:bCs/>
      <w:sz w:val="22"/>
      <w:lang w:val="en-US" w:eastAsia="en-US"/>
    </w:rPr>
  </w:style>
  <w:style w:type="paragraph" w:customStyle="1" w:styleId="Bulletintro">
    <w:name w:val="Bullet intro"/>
    <w:basedOn w:val="BodyText"/>
    <w:uiPriority w:val="2"/>
    <w:qFormat/>
    <w:rsid w:val="007C3839"/>
    <w:pPr>
      <w:spacing w:after="120" w:line="276" w:lineRule="auto"/>
    </w:pPr>
    <w:rPr>
      <w:rFonts w:asciiTheme="minorHAnsi" w:eastAsiaTheme="minorHAnsi" w:hAnsiTheme="minorHAnsi"/>
      <w:sz w:val="22"/>
      <w:szCs w:val="22"/>
      <w:lang w:eastAsia="en-US"/>
    </w:rPr>
  </w:style>
  <w:style w:type="paragraph" w:customStyle="1" w:styleId="Bullet12">
    <w:name w:val="Bullet+12"/>
    <w:basedOn w:val="Bullet0"/>
    <w:next w:val="BodyText"/>
    <w:link w:val="Bullet12Char"/>
    <w:uiPriority w:val="2"/>
    <w:qFormat/>
    <w:rsid w:val="007C3839"/>
    <w:pPr>
      <w:numPr>
        <w:numId w:val="0"/>
      </w:numPr>
      <w:spacing w:after="240" w:line="240" w:lineRule="auto"/>
      <w:ind w:left="720" w:hanging="360"/>
    </w:pPr>
    <w:rPr>
      <w:rFonts w:ascii="Calibri" w:hAnsi="Calibri"/>
      <w:sz w:val="22"/>
      <w:szCs w:val="24"/>
      <w:lang w:val="en-US" w:eastAsia="en-US"/>
    </w:rPr>
  </w:style>
  <w:style w:type="character" w:customStyle="1" w:styleId="Bullet12Char">
    <w:name w:val="Bullet+12 Char"/>
    <w:basedOn w:val="DefaultParagraphFont"/>
    <w:link w:val="Bullet12"/>
    <w:uiPriority w:val="2"/>
    <w:rsid w:val="007C3839"/>
    <w:rPr>
      <w:rFonts w:ascii="Calibri" w:hAnsi="Calibri" w:cs="Arial"/>
      <w:sz w:val="22"/>
      <w:szCs w:val="24"/>
      <w:lang w:val="en-US" w:eastAsia="en-US"/>
    </w:rPr>
  </w:style>
  <w:style w:type="paragraph" w:customStyle="1" w:styleId="Bullet6">
    <w:name w:val="Bullet+6"/>
    <w:basedOn w:val="Bullet0"/>
    <w:next w:val="BodyText"/>
    <w:link w:val="Bullet6Char"/>
    <w:uiPriority w:val="2"/>
    <w:qFormat/>
    <w:rsid w:val="007C3839"/>
    <w:pPr>
      <w:numPr>
        <w:numId w:val="11"/>
      </w:numPr>
      <w:spacing w:after="120"/>
    </w:pPr>
    <w:rPr>
      <w:rFonts w:asciiTheme="minorHAnsi" w:eastAsiaTheme="minorHAnsi" w:hAnsiTheme="minorHAnsi"/>
      <w:sz w:val="22"/>
      <w:szCs w:val="22"/>
      <w:lang w:eastAsia="en-US"/>
    </w:rPr>
  </w:style>
  <w:style w:type="character" w:customStyle="1" w:styleId="Bullet6Char">
    <w:name w:val="Bullet+6 Char"/>
    <w:basedOn w:val="Bullet0Char"/>
    <w:link w:val="Bullet6"/>
    <w:uiPriority w:val="2"/>
    <w:rsid w:val="007C3839"/>
    <w:rPr>
      <w:rFonts w:asciiTheme="minorHAnsi" w:eastAsiaTheme="minorHAnsi" w:hAnsiTheme="minorHAnsi" w:cs="Arial"/>
      <w:sz w:val="22"/>
      <w:szCs w:val="22"/>
      <w:lang w:eastAsia="en-US"/>
    </w:rPr>
  </w:style>
  <w:style w:type="paragraph" w:customStyle="1" w:styleId="Company">
    <w:name w:val="Company"/>
    <w:basedOn w:val="Normal"/>
    <w:uiPriority w:val="8"/>
    <w:qFormat/>
    <w:rsid w:val="007C3839"/>
    <w:pPr>
      <w:jc w:val="center"/>
    </w:pPr>
    <w:rPr>
      <w:rFonts w:ascii="Tahoma" w:hAnsi="Tahoma" w:cs="Times New Roman"/>
      <w:b/>
      <w:bCs/>
      <w:szCs w:val="28"/>
      <w:lang w:eastAsia="en-GB"/>
    </w:rPr>
  </w:style>
  <w:style w:type="paragraph" w:customStyle="1" w:styleId="Dash0">
    <w:name w:val="Dash+0"/>
    <w:basedOn w:val="Bullet0"/>
    <w:uiPriority w:val="2"/>
    <w:rsid w:val="007C3839"/>
    <w:pPr>
      <w:numPr>
        <w:numId w:val="10"/>
      </w:numPr>
      <w:tabs>
        <w:tab w:val="left" w:pos="1134"/>
      </w:tabs>
    </w:pPr>
    <w:rPr>
      <w:rFonts w:asciiTheme="minorHAnsi" w:eastAsiaTheme="minorHAnsi" w:hAnsiTheme="minorHAnsi" w:cs="Tahoma"/>
      <w:color w:val="000000"/>
      <w:sz w:val="22"/>
      <w:szCs w:val="22"/>
    </w:rPr>
  </w:style>
  <w:style w:type="paragraph" w:customStyle="1" w:styleId="Dash12">
    <w:name w:val="Dash+12"/>
    <w:basedOn w:val="Dash0"/>
    <w:uiPriority w:val="2"/>
    <w:rsid w:val="007C3839"/>
    <w:pPr>
      <w:numPr>
        <w:numId w:val="0"/>
      </w:numPr>
      <w:spacing w:after="240"/>
    </w:pPr>
  </w:style>
  <w:style w:type="paragraph" w:customStyle="1" w:styleId="Dash6">
    <w:name w:val="Dash+6"/>
    <w:basedOn w:val="Dash12"/>
    <w:uiPriority w:val="2"/>
    <w:rsid w:val="007C3839"/>
    <w:pPr>
      <w:spacing w:after="120"/>
    </w:pPr>
  </w:style>
  <w:style w:type="paragraph" w:styleId="Date">
    <w:name w:val="Date"/>
    <w:basedOn w:val="Normal"/>
    <w:next w:val="Title"/>
    <w:link w:val="DateChar"/>
    <w:uiPriority w:val="6"/>
    <w:rsid w:val="007C3839"/>
    <w:pPr>
      <w:jc w:val="right"/>
    </w:pPr>
    <w:rPr>
      <w:rFonts w:ascii="Helvetica" w:hAnsi="Helvetica" w:cs="Times New Roman"/>
      <w:bCs/>
      <w:sz w:val="22"/>
      <w:szCs w:val="28"/>
      <w:lang w:eastAsia="en-GB"/>
    </w:rPr>
  </w:style>
  <w:style w:type="character" w:customStyle="1" w:styleId="DateChar">
    <w:name w:val="Date Char"/>
    <w:basedOn w:val="DefaultParagraphFont"/>
    <w:link w:val="Date"/>
    <w:uiPriority w:val="6"/>
    <w:rsid w:val="007C3839"/>
    <w:rPr>
      <w:rFonts w:ascii="Helvetica" w:hAnsi="Helvetica"/>
      <w:bCs/>
      <w:sz w:val="22"/>
      <w:szCs w:val="28"/>
      <w:lang w:eastAsia="en-GB"/>
    </w:rPr>
  </w:style>
  <w:style w:type="paragraph" w:customStyle="1" w:styleId="Drugname">
    <w:name w:val="Drug name"/>
    <w:basedOn w:val="Normal"/>
    <w:next w:val="Normal"/>
    <w:link w:val="DrugnameChar"/>
    <w:semiHidden/>
    <w:qFormat/>
    <w:rsid w:val="007C3839"/>
    <w:pPr>
      <w:jc w:val="right"/>
    </w:pPr>
    <w:rPr>
      <w:rFonts w:ascii="Helvetica" w:hAnsi="Helvetica" w:cs="Times New Roman"/>
      <w:b/>
      <w:bCs/>
      <w:caps/>
      <w:sz w:val="36"/>
      <w:szCs w:val="36"/>
      <w:lang w:eastAsia="en-GB"/>
    </w:rPr>
  </w:style>
  <w:style w:type="character" w:customStyle="1" w:styleId="DrugnameChar">
    <w:name w:val="Drug name Char"/>
    <w:basedOn w:val="DefaultParagraphFont"/>
    <w:link w:val="Drugname"/>
    <w:semiHidden/>
    <w:rsid w:val="007C3839"/>
    <w:rPr>
      <w:rFonts w:ascii="Helvetica" w:hAnsi="Helvetica"/>
      <w:b/>
      <w:bCs/>
      <w:caps/>
      <w:sz w:val="36"/>
      <w:szCs w:val="36"/>
      <w:lang w:eastAsia="en-GB"/>
    </w:rPr>
  </w:style>
  <w:style w:type="paragraph" w:customStyle="1" w:styleId="H1-NoNum">
    <w:name w:val="H1-NoNum"/>
    <w:next w:val="BodyText"/>
    <w:uiPriority w:val="1"/>
    <w:rsid w:val="007C3839"/>
    <w:pPr>
      <w:keepNext/>
      <w:keepLines/>
      <w:pageBreakBefore/>
      <w:pBdr>
        <w:bottom w:val="single" w:sz="4" w:space="1" w:color="000000" w:themeColor="text1"/>
      </w:pBdr>
      <w:spacing w:before="240" w:after="240"/>
    </w:pPr>
    <w:rPr>
      <w:rFonts w:ascii="Tahoma" w:hAnsi="Tahoma" w:cs="Arial"/>
      <w:b/>
      <w:caps/>
      <w:kern w:val="32"/>
      <w:sz w:val="32"/>
      <w:szCs w:val="32"/>
      <w:lang w:val="en-GB" w:eastAsia="en-GB"/>
    </w:rPr>
  </w:style>
  <w:style w:type="paragraph" w:styleId="ListBullet2">
    <w:name w:val="List Bullet 2"/>
    <w:basedOn w:val="Normal"/>
    <w:semiHidden/>
    <w:unhideWhenUsed/>
    <w:rsid w:val="007C3839"/>
    <w:pPr>
      <w:tabs>
        <w:tab w:val="num" w:pos="643"/>
      </w:tabs>
      <w:spacing w:after="240"/>
      <w:ind w:left="643" w:hanging="360"/>
      <w:contextualSpacing/>
      <w:jc w:val="left"/>
    </w:pPr>
    <w:rPr>
      <w:rFonts w:cs="Tahoma"/>
      <w:color w:val="000000"/>
      <w:sz w:val="22"/>
      <w:lang w:val="en-GB" w:eastAsia="en-US"/>
    </w:rPr>
  </w:style>
  <w:style w:type="paragraph" w:styleId="ListNumber3">
    <w:name w:val="List Number 3"/>
    <w:basedOn w:val="Normal"/>
    <w:uiPriority w:val="99"/>
    <w:semiHidden/>
    <w:unhideWhenUsed/>
    <w:rsid w:val="007C3839"/>
    <w:pPr>
      <w:numPr>
        <w:numId w:val="9"/>
      </w:numPr>
      <w:spacing w:after="240"/>
      <w:contextualSpacing/>
      <w:jc w:val="left"/>
    </w:pPr>
    <w:rPr>
      <w:rFonts w:cs="Times New Roman"/>
      <w:sz w:val="22"/>
      <w:lang w:val="en-US" w:eastAsia="en-US"/>
    </w:rPr>
  </w:style>
  <w:style w:type="paragraph" w:customStyle="1" w:styleId="ListNos6">
    <w:name w:val="ListNos+6"/>
    <w:basedOn w:val="ListNos0"/>
    <w:uiPriority w:val="2"/>
    <w:qFormat/>
    <w:rsid w:val="007C3839"/>
    <w:pPr>
      <w:numPr>
        <w:numId w:val="0"/>
      </w:numPr>
      <w:spacing w:after="120"/>
    </w:pPr>
  </w:style>
  <w:style w:type="paragraph" w:styleId="Quote">
    <w:name w:val="Quote"/>
    <w:basedOn w:val="BodyText"/>
    <w:next w:val="BodyText"/>
    <w:link w:val="QuoteChar"/>
    <w:uiPriority w:val="6"/>
    <w:rsid w:val="007C3839"/>
    <w:pPr>
      <w:spacing w:before="120" w:after="120" w:line="276" w:lineRule="auto"/>
      <w:ind w:left="1134" w:right="851"/>
    </w:pPr>
    <w:rPr>
      <w:rFonts w:asciiTheme="minorHAnsi" w:eastAsiaTheme="minorHAnsi" w:hAnsiTheme="minorHAnsi" w:cs="Tahoma"/>
      <w:iCs/>
      <w:color w:val="000000" w:themeColor="text1"/>
      <w:sz w:val="22"/>
      <w:szCs w:val="22"/>
      <w:lang w:eastAsia="en-US"/>
    </w:rPr>
  </w:style>
  <w:style w:type="character" w:customStyle="1" w:styleId="QuoteChar">
    <w:name w:val="Quote Char"/>
    <w:basedOn w:val="DefaultParagraphFont"/>
    <w:link w:val="Quote"/>
    <w:uiPriority w:val="6"/>
    <w:rsid w:val="007C3839"/>
    <w:rPr>
      <w:rFonts w:asciiTheme="minorHAnsi" w:eastAsiaTheme="minorHAnsi" w:hAnsiTheme="minorHAnsi" w:cs="Tahoma"/>
      <w:iCs/>
      <w:color w:val="000000" w:themeColor="text1"/>
      <w:sz w:val="22"/>
      <w:szCs w:val="22"/>
      <w:lang w:eastAsia="en-US"/>
    </w:rPr>
  </w:style>
  <w:style w:type="paragraph" w:customStyle="1" w:styleId="QuoteBodyText">
    <w:name w:val="QuoteBodyText"/>
    <w:basedOn w:val="Quote"/>
    <w:next w:val="BodyText"/>
    <w:uiPriority w:val="6"/>
    <w:qFormat/>
    <w:rsid w:val="007C3839"/>
  </w:style>
  <w:style w:type="paragraph" w:customStyle="1" w:styleId="QuoteSmallText">
    <w:name w:val="QuoteSmallText"/>
    <w:basedOn w:val="QuoteBodyText"/>
    <w:next w:val="BodyText"/>
    <w:uiPriority w:val="6"/>
    <w:qFormat/>
    <w:rsid w:val="007C3839"/>
    <w:rPr>
      <w:sz w:val="18"/>
    </w:rPr>
  </w:style>
  <w:style w:type="table" w:customStyle="1" w:styleId="StandardTable">
    <w:name w:val="Standard Table"/>
    <w:basedOn w:val="TableNormal"/>
    <w:semiHidden/>
    <w:rsid w:val="007C3839"/>
    <w:rPr>
      <w:rFonts w:ascii="Garamond" w:hAnsi="Garamond"/>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tblStylePr w:type="firstRow">
      <w:pPr>
        <w:wordWrap/>
        <w:spacing w:beforeLines="0" w:beforeAutospacing="0" w:afterLines="0" w:afterAutospacing="0" w:line="240" w:lineRule="auto"/>
        <w:contextualSpacing w:val="0"/>
      </w:pPr>
      <w:rPr>
        <w:rFonts w:ascii="Arial Unicode MS" w:hAnsi="Arial Unicode MS"/>
        <w:b/>
        <w:sz w:val="18"/>
      </w:rPr>
      <w:tblPr/>
      <w:tcPr>
        <w:tcBorders>
          <w:top w:val="single" w:sz="12" w:space="0" w:color="auto"/>
          <w:bottom w:val="single" w:sz="12" w:space="0" w:color="auto"/>
        </w:tcBorders>
      </w:tcPr>
    </w:tblStylePr>
  </w:style>
  <w:style w:type="paragraph" w:customStyle="1" w:styleId="TableFigNotes6">
    <w:name w:val="TableFigNotes+6"/>
    <w:basedOn w:val="TableFigNotes0"/>
    <w:uiPriority w:val="4"/>
    <w:rsid w:val="007C3839"/>
    <w:pPr>
      <w:spacing w:after="120"/>
    </w:pPr>
  </w:style>
  <w:style w:type="paragraph" w:customStyle="1" w:styleId="Tabletextindent">
    <w:name w:val="Table text indent"/>
    <w:basedOn w:val="Normal"/>
    <w:uiPriority w:val="4"/>
    <w:qFormat/>
    <w:rsid w:val="007C3839"/>
    <w:pPr>
      <w:tabs>
        <w:tab w:val="left" w:pos="416"/>
        <w:tab w:val="left" w:pos="582"/>
      </w:tabs>
      <w:spacing w:before="20" w:after="20"/>
      <w:ind w:left="170"/>
      <w:jc w:val="left"/>
    </w:pPr>
    <w:rPr>
      <w:rFonts w:cs="Times New Roman"/>
      <w:sz w:val="18"/>
      <w:szCs w:val="18"/>
      <w:lang w:eastAsia="en-GB"/>
    </w:rPr>
  </w:style>
  <w:style w:type="paragraph" w:styleId="TableofFigures">
    <w:name w:val="table of figures"/>
    <w:basedOn w:val="TOC1"/>
    <w:link w:val="TableofFiguresChar"/>
    <w:uiPriority w:val="99"/>
    <w:rsid w:val="007C3839"/>
    <w:pPr>
      <w:tabs>
        <w:tab w:val="clear" w:pos="440"/>
        <w:tab w:val="clear" w:pos="9016"/>
        <w:tab w:val="right" w:leader="dot" w:pos="9072"/>
      </w:tabs>
      <w:spacing w:before="120" w:line="276" w:lineRule="auto"/>
      <w:ind w:left="1247" w:hanging="1247"/>
    </w:pPr>
    <w:rPr>
      <w:rFonts w:asciiTheme="minorHAnsi" w:eastAsiaTheme="minorHAnsi" w:hAnsiTheme="minorHAnsi" w:cs="Tahoma"/>
      <w:bCs w:val="0"/>
      <w:noProof/>
      <w:szCs w:val="22"/>
      <w:lang w:eastAsia="en-GB"/>
    </w:rPr>
  </w:style>
  <w:style w:type="character" w:customStyle="1" w:styleId="TableofFiguresChar">
    <w:name w:val="Table of Figures Char"/>
    <w:basedOn w:val="DefaultParagraphFont"/>
    <w:link w:val="TableofFigures"/>
    <w:uiPriority w:val="99"/>
    <w:rsid w:val="007C3839"/>
    <w:rPr>
      <w:rFonts w:asciiTheme="minorHAnsi" w:eastAsiaTheme="minorHAnsi" w:hAnsiTheme="minorHAnsi" w:cs="Tahoma"/>
      <w:noProof/>
      <w:szCs w:val="22"/>
      <w:lang w:eastAsia="en-GB"/>
    </w:rPr>
  </w:style>
  <w:style w:type="paragraph" w:customStyle="1" w:styleId="TableH2">
    <w:name w:val="Table H2"/>
    <w:basedOn w:val="TableH1"/>
    <w:next w:val="Tabletextleft"/>
    <w:uiPriority w:val="4"/>
    <w:qFormat/>
    <w:rsid w:val="007C3839"/>
  </w:style>
  <w:style w:type="paragraph" w:customStyle="1" w:styleId="TableH3">
    <w:name w:val="Table H3"/>
    <w:basedOn w:val="TableH2"/>
    <w:next w:val="Tabletextleft"/>
    <w:uiPriority w:val="4"/>
    <w:qFormat/>
    <w:rsid w:val="007C3839"/>
    <w:rPr>
      <w:i/>
    </w:rPr>
  </w:style>
  <w:style w:type="paragraph" w:customStyle="1" w:styleId="Tabledash">
    <w:name w:val="Table dash"/>
    <w:basedOn w:val="Dash0"/>
    <w:uiPriority w:val="4"/>
    <w:qFormat/>
    <w:rsid w:val="007C3839"/>
    <w:pPr>
      <w:numPr>
        <w:numId w:val="0"/>
      </w:numPr>
    </w:pPr>
    <w:rPr>
      <w:sz w:val="18"/>
    </w:rPr>
  </w:style>
  <w:style w:type="character" w:customStyle="1" w:styleId="Frontpagetext">
    <w:name w:val="Front page text"/>
    <w:basedOn w:val="DefaultParagraphFont"/>
    <w:uiPriority w:val="1"/>
    <w:qFormat/>
    <w:rsid w:val="007C3839"/>
    <w:rPr>
      <w:rFonts w:ascii="Tahoma" w:hAnsi="Tahoma" w:cs="Tahoma"/>
      <w:sz w:val="28"/>
    </w:rPr>
  </w:style>
  <w:style w:type="character" w:customStyle="1" w:styleId="Frontpagedrugname">
    <w:name w:val="Front page drug name"/>
    <w:basedOn w:val="DefaultParagraphFont"/>
    <w:uiPriority w:val="1"/>
    <w:qFormat/>
    <w:rsid w:val="007C3839"/>
    <w:rPr>
      <w:rFonts w:ascii="Tahoma" w:hAnsi="Tahoma"/>
      <w:b/>
      <w:caps/>
      <w:sz w:val="32"/>
    </w:rPr>
  </w:style>
  <w:style w:type="character" w:customStyle="1" w:styleId="FrontpageTahoma11ptbold">
    <w:name w:val="Front page Tahoma 11pt +bold"/>
    <w:basedOn w:val="DefaultParagraphFont"/>
    <w:uiPriority w:val="1"/>
    <w:qFormat/>
    <w:rsid w:val="007C3839"/>
    <w:rPr>
      <w:rFonts w:ascii="Tahoma" w:hAnsi="Tahoma" w:cs="Tahoma"/>
      <w:b/>
    </w:rPr>
  </w:style>
  <w:style w:type="character" w:customStyle="1" w:styleId="FrontpageTahoma10pt">
    <w:name w:val="Front page Tahoma 10pt"/>
    <w:basedOn w:val="DefaultParagraphFont"/>
    <w:uiPriority w:val="1"/>
    <w:qFormat/>
    <w:rsid w:val="007C3839"/>
    <w:rPr>
      <w:rFonts w:ascii="Tahoma" w:hAnsi="Tahoma" w:cs="Tahoma"/>
      <w:sz w:val="20"/>
    </w:rPr>
  </w:style>
  <w:style w:type="paragraph" w:customStyle="1" w:styleId="H2nonum">
    <w:name w:val="H2   nonum"/>
    <w:next w:val="BodyText"/>
    <w:qFormat/>
    <w:rsid w:val="007C3839"/>
    <w:pPr>
      <w:pBdr>
        <w:bottom w:val="single" w:sz="4" w:space="1" w:color="auto"/>
      </w:pBdr>
      <w:spacing w:after="200" w:line="276" w:lineRule="auto"/>
    </w:pPr>
    <w:rPr>
      <w:rFonts w:ascii="Tahoma" w:eastAsiaTheme="minorHAnsi" w:hAnsi="Tahoma" w:cs="Tahoma"/>
      <w:sz w:val="36"/>
      <w:szCs w:val="22"/>
      <w:lang w:eastAsia="en-US"/>
    </w:rPr>
  </w:style>
  <w:style w:type="paragraph" w:customStyle="1" w:styleId="Headingnonum">
    <w:name w:val="Heading  nonum"/>
    <w:basedOn w:val="H2nonum"/>
    <w:next w:val="BodyText"/>
    <w:qFormat/>
    <w:rsid w:val="007C3839"/>
    <w:pPr>
      <w:keepNext/>
      <w:keepLines/>
      <w:pBdr>
        <w:bottom w:val="none" w:sz="0" w:space="0" w:color="auto"/>
      </w:pBdr>
    </w:pPr>
    <w:rPr>
      <w:b/>
      <w:i/>
      <w:color w:val="7F7F7F" w:themeColor="text1" w:themeTint="80"/>
      <w:sz w:val="22"/>
    </w:rPr>
  </w:style>
  <w:style w:type="paragraph" w:customStyle="1" w:styleId="Headingnonum0">
    <w:name w:val="Heading nonum"/>
    <w:basedOn w:val="Normal"/>
    <w:next w:val="BodyText"/>
    <w:qFormat/>
    <w:rsid w:val="007C3839"/>
    <w:pPr>
      <w:spacing w:after="200" w:line="276" w:lineRule="auto"/>
      <w:jc w:val="left"/>
    </w:pPr>
    <w:rPr>
      <w:rFonts w:asciiTheme="minorHAnsi" w:eastAsiaTheme="minorHAnsi" w:hAnsiTheme="minorHAnsi" w:cs="Tahoma"/>
      <w:b/>
      <w:color w:val="000000" w:themeColor="text1"/>
      <w:szCs w:val="21"/>
      <w:lang w:eastAsia="en-US"/>
    </w:rPr>
  </w:style>
  <w:style w:type="paragraph" w:customStyle="1" w:styleId="HAppendix2">
    <w:name w:val="H Appendix 2"/>
    <w:basedOn w:val="HAppendix1"/>
    <w:next w:val="BodyText"/>
    <w:qFormat/>
    <w:rsid w:val="007C3839"/>
  </w:style>
  <w:style w:type="paragraph" w:customStyle="1" w:styleId="HAppendix3">
    <w:name w:val="H Appendix 3"/>
    <w:basedOn w:val="Normal"/>
    <w:next w:val="BodyText"/>
    <w:qFormat/>
    <w:rsid w:val="007C3839"/>
    <w:pPr>
      <w:spacing w:after="200" w:line="276" w:lineRule="auto"/>
      <w:jc w:val="left"/>
    </w:pPr>
    <w:rPr>
      <w:rFonts w:asciiTheme="minorHAnsi" w:eastAsiaTheme="minorHAnsi" w:hAnsiTheme="minorHAnsi" w:cstheme="minorBidi"/>
      <w:sz w:val="22"/>
      <w:szCs w:val="22"/>
      <w:lang w:val="en-GB" w:eastAsia="en-GB"/>
    </w:rPr>
  </w:style>
  <w:style w:type="paragraph" w:customStyle="1" w:styleId="H1nonumnoTOC">
    <w:name w:val="H1 nonum noTOC"/>
    <w:basedOn w:val="H1-NoNum"/>
    <w:qFormat/>
    <w:rsid w:val="007C3839"/>
  </w:style>
  <w:style w:type="paragraph" w:customStyle="1" w:styleId="Texttodelete">
    <w:name w:val="Text to delete"/>
    <w:basedOn w:val="BodyText"/>
    <w:next w:val="BodyText"/>
    <w:qFormat/>
    <w:rsid w:val="007C3839"/>
    <w:pPr>
      <w:spacing w:after="200" w:line="276" w:lineRule="auto"/>
    </w:pPr>
    <w:rPr>
      <w:rFonts w:asciiTheme="minorHAnsi" w:eastAsiaTheme="minorHAnsi" w:hAnsiTheme="minorHAnsi" w:cs="Tahoma"/>
      <w:color w:val="C00000"/>
      <w:sz w:val="22"/>
      <w:szCs w:val="22"/>
      <w:lang w:eastAsia="en-US"/>
    </w:rPr>
  </w:style>
  <w:style w:type="table" w:customStyle="1" w:styleId="MSDAustralia">
    <w:name w:val="MSD Australia"/>
    <w:basedOn w:val="TableGrid"/>
    <w:uiPriority w:val="99"/>
    <w:rsid w:val="007C3839"/>
    <w:pPr>
      <w:spacing w:before="57"/>
      <w:ind w:left="57" w:right="57"/>
    </w:pPr>
    <w:rPr>
      <w:rFonts w:ascii="Arial" w:eastAsia="Arial" w:hAnsi="Arial" w:cs="Cordia New"/>
      <w:lang w:eastAsia="en-US"/>
    </w:rPr>
    <w:tblPr>
      <w:tblBorders>
        <w:top w:val="single" w:sz="12" w:space="0" w:color="004540"/>
        <w:left w:val="none" w:sz="0" w:space="0" w:color="auto"/>
        <w:bottom w:val="single" w:sz="12" w:space="0" w:color="004540"/>
        <w:right w:val="none" w:sz="0" w:space="0" w:color="auto"/>
        <w:insideH w:val="single" w:sz="4" w:space="0" w:color="004540"/>
        <w:insideV w:val="none" w:sz="0" w:space="0" w:color="auto"/>
      </w:tblBorders>
      <w:tblCellMar>
        <w:left w:w="57" w:type="dxa"/>
        <w:right w:w="57" w:type="dxa"/>
      </w:tblCellMar>
    </w:tblPr>
    <w:trPr>
      <w:tblHeader/>
    </w:trPr>
    <w:tblStylePr w:type="firstRow">
      <w:pPr>
        <w:keepNext/>
        <w:wordWrap/>
        <w:spacing w:line="240" w:lineRule="auto"/>
      </w:pPr>
      <w:rPr>
        <w:rFonts w:asciiTheme="minorHAnsi" w:hAnsiTheme="minorHAnsi"/>
        <w:b/>
        <w:i w:val="0"/>
        <w:sz w:val="18"/>
        <w:szCs w:val="22"/>
      </w:rPr>
      <w:tblPr/>
      <w:trPr>
        <w:cantSplit/>
        <w:tblHeader/>
      </w:trPr>
      <w:tcPr>
        <w:tcBorders>
          <w:top w:val="single" w:sz="12" w:space="0" w:color="004540"/>
          <w:left w:val="nil"/>
          <w:bottom w:val="single" w:sz="12" w:space="0" w:color="004540"/>
          <w:right w:val="nil"/>
          <w:insideH w:val="nil"/>
          <w:insideV w:val="nil"/>
          <w:tl2br w:val="nil"/>
          <w:tr2bl w:val="nil"/>
        </w:tcBorders>
      </w:tcPr>
    </w:tblStylePr>
    <w:tblStylePr w:type="lastRow">
      <w:rPr>
        <w:b/>
      </w:rPr>
      <w:tblPr/>
      <w:tcPr>
        <w:tcBorders>
          <w:top w:val="single" w:sz="12" w:space="0" w:color="004540"/>
          <w:left w:val="nil"/>
          <w:bottom w:val="single" w:sz="12" w:space="0" w:color="004540"/>
          <w:right w:val="nil"/>
          <w:insideH w:val="nil"/>
          <w:insideV w:val="nil"/>
          <w:tl2br w:val="nil"/>
          <w:tr2bl w:val="nil"/>
        </w:tcBorders>
      </w:tcPr>
    </w:tblStylePr>
    <w:tblStylePr w:type="firstCol">
      <w:rPr>
        <w:b/>
      </w:rPr>
    </w:tblStylePr>
    <w:tblStylePr w:type="lastCol">
      <w:rPr>
        <w:b/>
      </w:rPr>
    </w:tblStylePr>
  </w:style>
  <w:style w:type="paragraph" w:customStyle="1" w:styleId="EndNoteBibliographyTitle">
    <w:name w:val="EndNote Bibliography Title"/>
    <w:basedOn w:val="Normal"/>
    <w:link w:val="EndNoteBibliographyTitleChar"/>
    <w:rsid w:val="007C3839"/>
    <w:pPr>
      <w:spacing w:line="276" w:lineRule="auto"/>
      <w:jc w:val="center"/>
    </w:pPr>
    <w:rPr>
      <w:rFonts w:ascii="Tahoma" w:eastAsiaTheme="minorHAnsi" w:hAnsi="Tahoma" w:cs="Tahoma"/>
      <w:noProof/>
      <w:sz w:val="32"/>
      <w:szCs w:val="22"/>
      <w:lang w:val="en-US" w:eastAsia="en-US"/>
    </w:rPr>
  </w:style>
  <w:style w:type="character" w:customStyle="1" w:styleId="EndNoteBibliographyTitleChar">
    <w:name w:val="EndNote Bibliography Title Char"/>
    <w:basedOn w:val="RJWNormalChar"/>
    <w:link w:val="EndNoteBibliographyTitle"/>
    <w:rsid w:val="007C3839"/>
    <w:rPr>
      <w:rFonts w:ascii="Tahoma" w:eastAsiaTheme="minorHAnsi" w:hAnsi="Tahoma" w:cs="Tahoma"/>
      <w:noProof/>
      <w:sz w:val="32"/>
      <w:szCs w:val="22"/>
      <w:lang w:val="en-US" w:eastAsia="en-US"/>
    </w:rPr>
  </w:style>
  <w:style w:type="paragraph" w:customStyle="1" w:styleId="EndNoteBibliography">
    <w:name w:val="EndNote Bibliography"/>
    <w:basedOn w:val="Normal"/>
    <w:link w:val="EndNoteBibliographyChar"/>
    <w:rsid w:val="007C3839"/>
    <w:pPr>
      <w:spacing w:after="200"/>
      <w:jc w:val="left"/>
    </w:pPr>
    <w:rPr>
      <w:rFonts w:ascii="Tahoma" w:eastAsiaTheme="minorHAnsi" w:hAnsi="Tahoma" w:cs="Tahoma"/>
      <w:noProof/>
      <w:sz w:val="32"/>
      <w:szCs w:val="22"/>
      <w:lang w:val="en-US" w:eastAsia="en-US"/>
    </w:rPr>
  </w:style>
  <w:style w:type="character" w:customStyle="1" w:styleId="EndNoteBibliographyChar">
    <w:name w:val="EndNote Bibliography Char"/>
    <w:basedOn w:val="RJWNormalChar"/>
    <w:link w:val="EndNoteBibliography"/>
    <w:rsid w:val="007C3839"/>
    <w:rPr>
      <w:rFonts w:ascii="Tahoma" w:eastAsiaTheme="minorHAnsi" w:hAnsi="Tahoma" w:cs="Tahoma"/>
      <w:noProof/>
      <w:sz w:val="32"/>
      <w:szCs w:val="22"/>
      <w:lang w:val="en-US" w:eastAsia="en-US"/>
    </w:rPr>
  </w:style>
  <w:style w:type="character" w:customStyle="1" w:styleId="UnresolvedMention3">
    <w:name w:val="Unresolved Mention3"/>
    <w:basedOn w:val="DefaultParagraphFont"/>
    <w:uiPriority w:val="99"/>
    <w:unhideWhenUsed/>
    <w:rsid w:val="007C3839"/>
    <w:rPr>
      <w:color w:val="605E5C"/>
      <w:shd w:val="clear" w:color="auto" w:fill="E1DFDD"/>
    </w:rPr>
  </w:style>
  <w:style w:type="table" w:customStyle="1" w:styleId="GridTable1Light1">
    <w:name w:val="Grid Table 1 Light1"/>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igureCaptionabove">
    <w:name w:val="Figure Caption (above)"/>
    <w:basedOn w:val="Caption"/>
    <w:next w:val="Normal"/>
    <w:link w:val="FigureCaptionaboveChar"/>
    <w:uiPriority w:val="4"/>
    <w:qFormat/>
    <w:rsid w:val="007C3839"/>
    <w:pPr>
      <w:spacing w:before="480" w:after="60" w:line="276" w:lineRule="auto"/>
    </w:pPr>
    <w:rPr>
      <w:rFonts w:asciiTheme="minorHAnsi" w:eastAsia="Calibri" w:hAnsiTheme="minorHAnsi" w:cstheme="minorBidi"/>
      <w:sz w:val="22"/>
      <w:lang w:val="en-US" w:eastAsia="en-US"/>
    </w:rPr>
  </w:style>
  <w:style w:type="character" w:customStyle="1" w:styleId="FigureCaptionaboveChar">
    <w:name w:val="Figure Caption (above) Char"/>
    <w:link w:val="FigureCaptionabove"/>
    <w:uiPriority w:val="4"/>
    <w:rsid w:val="007C3839"/>
    <w:rPr>
      <w:rFonts w:asciiTheme="minorHAnsi" w:eastAsia="Calibri" w:hAnsiTheme="minorHAnsi" w:cstheme="minorBidi"/>
      <w:b/>
      <w:bCs/>
      <w:sz w:val="22"/>
      <w:lang w:val="en-US" w:eastAsia="en-US"/>
    </w:rPr>
  </w:style>
  <w:style w:type="paragraph" w:customStyle="1" w:styleId="Bullet0Letter">
    <w:name w:val="Bullet+0 (Letter)"/>
    <w:basedOn w:val="Bullet0"/>
    <w:qFormat/>
    <w:rsid w:val="007C3839"/>
    <w:pPr>
      <w:numPr>
        <w:numId w:val="12"/>
      </w:numPr>
    </w:pPr>
    <w:rPr>
      <w:rFonts w:asciiTheme="minorHAnsi" w:eastAsiaTheme="minorHAnsi" w:hAnsiTheme="minorHAnsi"/>
      <w:sz w:val="22"/>
      <w:szCs w:val="22"/>
      <w:lang w:eastAsia="en-US"/>
    </w:rPr>
  </w:style>
  <w:style w:type="table" w:styleId="GridTable1Light">
    <w:name w:val="Grid Table 1 Light"/>
    <w:basedOn w:val="TableNormal"/>
    <w:uiPriority w:val="46"/>
    <w:rsid w:val="007C3839"/>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FootnotesAbbreviations">
    <w:name w:val="Table Footnotes/Abbreviations"/>
    <w:basedOn w:val="BodyText"/>
    <w:link w:val="TableFootnotesAbbreviationsChar"/>
    <w:qFormat/>
    <w:rsid w:val="007C3839"/>
    <w:pPr>
      <w:spacing w:before="60"/>
    </w:pPr>
    <w:rPr>
      <w:rFonts w:ascii="Calibri Light" w:hAnsi="Calibri Light"/>
      <w:sz w:val="18"/>
      <w:szCs w:val="20"/>
      <w:lang w:val="en-US" w:eastAsia="en-US"/>
    </w:rPr>
  </w:style>
  <w:style w:type="character" w:customStyle="1" w:styleId="TableFootnotesAbbreviationsChar">
    <w:name w:val="Table Footnotes/Abbreviations Char"/>
    <w:basedOn w:val="BodyTextChar"/>
    <w:link w:val="TableFootnotesAbbreviations"/>
    <w:rsid w:val="007C3839"/>
    <w:rPr>
      <w:rFonts w:ascii="Calibri Light" w:hAnsi="Calibri Light" w:cs="Arial"/>
      <w:snapToGrid/>
      <w:sz w:val="18"/>
      <w:lang w:val="en-US" w:eastAsia="en-US"/>
    </w:rPr>
  </w:style>
  <w:style w:type="paragraph" w:customStyle="1" w:styleId="RJWDGLevel4">
    <w:name w:val="RJW DG Level 4"/>
    <w:basedOn w:val="Normal"/>
    <w:uiPriority w:val="99"/>
    <w:qFormat/>
    <w:rsid w:val="007C3839"/>
    <w:pPr>
      <w:spacing w:before="120" w:after="120" w:line="276" w:lineRule="auto"/>
      <w:jc w:val="left"/>
    </w:pPr>
    <w:rPr>
      <w:rFonts w:asciiTheme="minorHAnsi" w:eastAsiaTheme="minorEastAsia" w:hAnsiTheme="minorHAnsi" w:cstheme="minorBidi"/>
      <w:sz w:val="22"/>
      <w:szCs w:val="22"/>
      <w:lang w:val="en-US" w:eastAsia="en-US"/>
    </w:rPr>
  </w:style>
  <w:style w:type="paragraph" w:customStyle="1" w:styleId="documenttextbulleted2">
    <w:name w:val="document text bulleted 2"/>
    <w:basedOn w:val="Normal"/>
    <w:rsid w:val="007C3839"/>
    <w:pPr>
      <w:numPr>
        <w:numId w:val="13"/>
      </w:numPr>
      <w:tabs>
        <w:tab w:val="clear" w:pos="1080"/>
      </w:tabs>
      <w:spacing w:after="120"/>
      <w:ind w:left="720"/>
      <w:jc w:val="left"/>
    </w:pPr>
    <w:rPr>
      <w:rFonts w:ascii="Times New Roman" w:hAnsi="Times New Roman" w:cs="Times New Roman"/>
      <w:szCs w:val="20"/>
      <w:lang w:val="en-US" w:eastAsia="en-US"/>
    </w:rPr>
  </w:style>
  <w:style w:type="paragraph" w:customStyle="1" w:styleId="TableListParagraph">
    <w:name w:val="Table List Paragraph"/>
    <w:basedOn w:val="TableText0"/>
    <w:link w:val="TableListParagraphChar"/>
    <w:uiPriority w:val="3"/>
    <w:qFormat/>
    <w:rsid w:val="007C3839"/>
    <w:pPr>
      <w:keepNext w:val="0"/>
      <w:numPr>
        <w:numId w:val="14"/>
      </w:numPr>
    </w:pPr>
    <w:rPr>
      <w:rFonts w:ascii="Calibri Light" w:eastAsiaTheme="minorHAnsi" w:hAnsi="Calibri Light" w:cstheme="minorBidi"/>
      <w:bCs w:val="0"/>
      <w:sz w:val="18"/>
      <w:szCs w:val="22"/>
      <w:lang w:val="en-CA" w:eastAsia="en-US"/>
    </w:rPr>
  </w:style>
  <w:style w:type="character" w:customStyle="1" w:styleId="TableListParagraphChar">
    <w:name w:val="Table List Paragraph Char"/>
    <w:basedOn w:val="TableTextChar0"/>
    <w:link w:val="TableListParagraph"/>
    <w:uiPriority w:val="3"/>
    <w:rsid w:val="007C3839"/>
    <w:rPr>
      <w:rFonts w:ascii="Calibri Light" w:eastAsiaTheme="minorHAnsi" w:hAnsi="Calibri Light" w:cstheme="minorBidi"/>
      <w:bCs w:val="0"/>
      <w:sz w:val="18"/>
      <w:szCs w:val="22"/>
      <w:lang w:val="en-CA" w:eastAsia="en-US"/>
    </w:rPr>
  </w:style>
  <w:style w:type="table" w:customStyle="1" w:styleId="GridTable1Light12">
    <w:name w:val="Grid Table 1 Light12"/>
    <w:basedOn w:val="TableNormal"/>
    <w:uiPriority w:val="46"/>
    <w:rsid w:val="007C3839"/>
    <w:rPr>
      <w:rFonts w:asciiTheme="minorHAnsi" w:eastAsiaTheme="minorEastAsia"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lug-vol">
    <w:name w:val="slug-vol"/>
    <w:basedOn w:val="DefaultParagraphFont"/>
    <w:rsid w:val="007C3839"/>
    <w:rPr>
      <w:b/>
      <w:bCs/>
    </w:rPr>
  </w:style>
  <w:style w:type="paragraph" w:customStyle="1" w:styleId="Notes">
    <w:name w:val="Notes"/>
    <w:next w:val="BodyText"/>
    <w:link w:val="NotesChar"/>
    <w:uiPriority w:val="6"/>
    <w:qFormat/>
    <w:rsid w:val="007C3839"/>
    <w:pPr>
      <w:spacing w:after="120"/>
    </w:pPr>
    <w:rPr>
      <w:rFonts w:ascii="Calibri" w:hAnsi="Calibri"/>
      <w:color w:val="C00000"/>
      <w:sz w:val="22"/>
      <w:szCs w:val="24"/>
      <w:lang w:eastAsia="en-US"/>
    </w:rPr>
  </w:style>
  <w:style w:type="character" w:customStyle="1" w:styleId="NotesChar">
    <w:name w:val="Notes Char"/>
    <w:basedOn w:val="DefaultParagraphFont"/>
    <w:link w:val="Notes"/>
    <w:uiPriority w:val="6"/>
    <w:rsid w:val="007C3839"/>
    <w:rPr>
      <w:rFonts w:ascii="Calibri" w:hAnsi="Calibri"/>
      <w:color w:val="C00000"/>
      <w:sz w:val="22"/>
      <w:szCs w:val="24"/>
      <w:lang w:eastAsia="en-US"/>
    </w:rPr>
  </w:style>
  <w:style w:type="table" w:customStyle="1" w:styleId="Eviera-2018">
    <w:name w:val="Eviera - 2018"/>
    <w:basedOn w:val="TableNormal"/>
    <w:uiPriority w:val="99"/>
    <w:qFormat/>
    <w:rsid w:val="007C3839"/>
    <w:pPr>
      <w:spacing w:before="40" w:after="40"/>
    </w:pPr>
    <w:rPr>
      <w:rFonts w:ascii="Calibri Light" w:eastAsiaTheme="minorHAnsi"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wordWrap/>
        <w:spacing w:beforeLines="0" w:before="40" w:beforeAutospacing="0" w:afterLines="0" w:after="40" w:afterAutospacing="0" w:line="240" w:lineRule="auto"/>
        <w:jc w:val="center"/>
      </w:pPr>
      <w:rPr>
        <w:rFonts w:asciiTheme="minorHAnsi" w:hAnsiTheme="minorHAnsi"/>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wordWrap/>
        <w:spacing w:beforeLines="0" w:before="20" w:beforeAutospacing="0" w:afterLines="0" w:after="20" w:afterAutospacing="0" w:line="240" w:lineRule="auto"/>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3aH1">
    <w:name w:val="3a H1"/>
    <w:basedOn w:val="Heading1"/>
    <w:qFormat/>
    <w:rsid w:val="007C3839"/>
    <w:pPr>
      <w:keepNext/>
      <w:pageBreakBefore/>
      <w:numPr>
        <w:numId w:val="15"/>
      </w:numPr>
      <w:pBdr>
        <w:bottom w:val="single" w:sz="4" w:space="1" w:color="auto"/>
      </w:pBdr>
      <w:spacing w:after="200" w:line="276" w:lineRule="auto"/>
      <w:jc w:val="left"/>
    </w:pPr>
    <w:rPr>
      <w:rFonts w:ascii="Tahoma" w:eastAsiaTheme="minorHAnsi" w:hAnsi="Tahoma" w:cs="Tahoma"/>
      <w:b w:val="0"/>
      <w:caps w:val="0"/>
      <w:sz w:val="40"/>
      <w:szCs w:val="22"/>
      <w:lang w:eastAsia="en-US"/>
    </w:rPr>
  </w:style>
  <w:style w:type="paragraph" w:customStyle="1" w:styleId="3aH2">
    <w:name w:val="3a H2"/>
    <w:basedOn w:val="Heading2"/>
    <w:qFormat/>
    <w:rsid w:val="007C3839"/>
    <w:pPr>
      <w:keepNext/>
      <w:keepLines/>
      <w:numPr>
        <w:ilvl w:val="1"/>
        <w:numId w:val="15"/>
      </w:numPr>
      <w:spacing w:after="200" w:line="276" w:lineRule="auto"/>
      <w:jc w:val="left"/>
    </w:pPr>
    <w:rPr>
      <w:rFonts w:ascii="Tahoma" w:eastAsiaTheme="minorHAnsi" w:hAnsi="Tahoma" w:cs="Tahoma"/>
      <w:b w:val="0"/>
      <w:i w:val="0"/>
      <w:sz w:val="32"/>
      <w:szCs w:val="22"/>
      <w:lang w:eastAsia="en-US"/>
    </w:rPr>
  </w:style>
  <w:style w:type="paragraph" w:customStyle="1" w:styleId="3aH3">
    <w:name w:val="3a H3"/>
    <w:basedOn w:val="Heading3"/>
    <w:qFormat/>
    <w:rsid w:val="007C3839"/>
    <w:pPr>
      <w:keepNext/>
      <w:keepLines/>
      <w:numPr>
        <w:ilvl w:val="2"/>
        <w:numId w:val="15"/>
      </w:numPr>
      <w:spacing w:after="200" w:line="276" w:lineRule="auto"/>
      <w:jc w:val="left"/>
    </w:pPr>
    <w:rPr>
      <w:rFonts w:ascii="Tahoma" w:eastAsiaTheme="minorHAnsi" w:hAnsi="Tahoma" w:cs="Tahoma"/>
      <w:sz w:val="28"/>
      <w:szCs w:val="22"/>
      <w:u w:val="none"/>
      <w:lang w:eastAsia="en-US"/>
    </w:rPr>
  </w:style>
  <w:style w:type="paragraph" w:customStyle="1" w:styleId="3aH4">
    <w:name w:val="3a H4"/>
    <w:basedOn w:val="Heading4"/>
    <w:qFormat/>
    <w:rsid w:val="007C3839"/>
    <w:pPr>
      <w:keepLines/>
      <w:numPr>
        <w:ilvl w:val="3"/>
        <w:numId w:val="15"/>
      </w:numPr>
      <w:spacing w:before="0" w:after="200" w:line="276" w:lineRule="auto"/>
      <w:jc w:val="left"/>
    </w:pPr>
    <w:rPr>
      <w:rFonts w:ascii="Tahoma" w:eastAsiaTheme="minorHAnsi" w:hAnsi="Tahoma" w:cs="Tahoma"/>
      <w:b w:val="0"/>
      <w:bCs w:val="0"/>
      <w:i w:val="0"/>
      <w:sz w:val="24"/>
      <w:szCs w:val="22"/>
      <w:lang w:eastAsia="en-US"/>
    </w:rPr>
  </w:style>
  <w:style w:type="paragraph" w:customStyle="1" w:styleId="3bH1">
    <w:name w:val="3b H1"/>
    <w:basedOn w:val="Heading1"/>
    <w:rsid w:val="007C3839"/>
    <w:pPr>
      <w:keepNext/>
      <w:pageBreakBefore/>
      <w:pBdr>
        <w:bottom w:val="single" w:sz="4" w:space="1" w:color="auto"/>
      </w:pBdr>
      <w:spacing w:after="200" w:line="276" w:lineRule="auto"/>
      <w:ind w:left="0" w:firstLine="0"/>
      <w:jc w:val="left"/>
    </w:pPr>
    <w:rPr>
      <w:rFonts w:ascii="Tahoma" w:eastAsiaTheme="minorHAnsi" w:hAnsi="Tahoma" w:cs="Tahoma"/>
      <w:b w:val="0"/>
      <w:caps w:val="0"/>
      <w:sz w:val="40"/>
      <w:szCs w:val="22"/>
      <w:lang w:eastAsia="en-US"/>
    </w:rPr>
  </w:style>
  <w:style w:type="paragraph" w:customStyle="1" w:styleId="3bH2">
    <w:name w:val="3b H2"/>
    <w:basedOn w:val="Heading2"/>
    <w:rsid w:val="007C3839"/>
    <w:pPr>
      <w:keepNext/>
      <w:keepLines/>
      <w:spacing w:after="200" w:line="276" w:lineRule="auto"/>
      <w:jc w:val="left"/>
    </w:pPr>
    <w:rPr>
      <w:rFonts w:ascii="Tahoma" w:eastAsiaTheme="minorHAnsi" w:hAnsi="Tahoma" w:cs="Tahoma"/>
      <w:b w:val="0"/>
      <w:i w:val="0"/>
      <w:sz w:val="32"/>
      <w:szCs w:val="22"/>
      <w:lang w:eastAsia="en-US"/>
    </w:rPr>
  </w:style>
  <w:style w:type="paragraph" w:customStyle="1" w:styleId="3bH3">
    <w:name w:val="3b H3"/>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3bH4">
    <w:name w:val="3b H4"/>
    <w:basedOn w:val="Normal"/>
    <w:rsid w:val="007C3839"/>
    <w:pPr>
      <w:spacing w:after="200" w:line="276" w:lineRule="auto"/>
      <w:jc w:val="left"/>
    </w:pPr>
    <w:rPr>
      <w:rFonts w:asciiTheme="minorHAnsi" w:eastAsiaTheme="minorHAnsi" w:hAnsiTheme="minorHAnsi" w:cstheme="minorBidi"/>
      <w:sz w:val="22"/>
      <w:szCs w:val="22"/>
      <w:lang w:eastAsia="en-US"/>
    </w:rPr>
  </w:style>
  <w:style w:type="paragraph" w:customStyle="1" w:styleId="H2-nontoc">
    <w:name w:val="H2-nontoc"/>
    <w:basedOn w:val="Heading2"/>
    <w:next w:val="BodyText"/>
    <w:uiPriority w:val="1"/>
    <w:qFormat/>
    <w:rsid w:val="007C3839"/>
    <w:pPr>
      <w:keepNext/>
      <w:spacing w:before="120" w:after="240"/>
      <w:jc w:val="left"/>
      <w:outlineLvl w:val="9"/>
    </w:pPr>
    <w:rPr>
      <w:rFonts w:ascii="Tahoma" w:hAnsi="Tahoma"/>
      <w:b w:val="0"/>
      <w:i w:val="0"/>
      <w:iCs/>
      <w:smallCaps/>
      <w:kern w:val="32"/>
      <w:szCs w:val="28"/>
      <w:lang w:val="en-GB" w:eastAsia="en-GB"/>
    </w:rPr>
  </w:style>
  <w:style w:type="table" w:customStyle="1" w:styleId="TableGrid1">
    <w:name w:val="Table Grid1"/>
    <w:basedOn w:val="TableNormal"/>
    <w:rsid w:val="007C3839"/>
    <w:pPr>
      <w:spacing w:before="40" w:after="40"/>
    </w:pPr>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lack" w:hAnsi="Arial Black" w:cs="Arial" w:hint="default"/>
        <w:b w:val="0"/>
        <w:sz w:val="20"/>
        <w:szCs w:val="20"/>
      </w:rPr>
    </w:tblStylePr>
  </w:style>
  <w:style w:type="character" w:customStyle="1" w:styleId="Mention1">
    <w:name w:val="Mention1"/>
    <w:basedOn w:val="DefaultParagraphFont"/>
    <w:uiPriority w:val="99"/>
    <w:unhideWhenUsed/>
    <w:rsid w:val="007C3839"/>
    <w:rPr>
      <w:color w:val="2B579A"/>
      <w:shd w:val="clear" w:color="auto" w:fill="E1DFDD"/>
    </w:rPr>
  </w:style>
  <w:style w:type="character" w:customStyle="1" w:styleId="UnresolvedMention31">
    <w:name w:val="Unresolved Mention31"/>
    <w:basedOn w:val="DefaultParagraphFont"/>
    <w:uiPriority w:val="99"/>
    <w:unhideWhenUsed/>
    <w:rsid w:val="001F49A3"/>
    <w:rPr>
      <w:color w:val="605E5C"/>
      <w:shd w:val="clear" w:color="auto" w:fill="E1DFDD"/>
    </w:rPr>
  </w:style>
  <w:style w:type="character" w:customStyle="1" w:styleId="Mention11">
    <w:name w:val="Mention11"/>
    <w:basedOn w:val="DefaultParagraphFont"/>
    <w:uiPriority w:val="99"/>
    <w:unhideWhenUsed/>
    <w:rsid w:val="001F49A3"/>
    <w:rPr>
      <w:color w:val="2B579A"/>
      <w:shd w:val="clear" w:color="auto" w:fill="E1DFDD"/>
    </w:rPr>
  </w:style>
  <w:style w:type="character" w:styleId="LineNumber">
    <w:name w:val="line number"/>
    <w:basedOn w:val="DefaultParagraphFont"/>
    <w:semiHidden/>
    <w:unhideWhenUsed/>
    <w:rsid w:val="00600F8E"/>
  </w:style>
  <w:style w:type="character" w:customStyle="1" w:styleId="UnresolvedMention4">
    <w:name w:val="Unresolved Mention4"/>
    <w:basedOn w:val="DefaultParagraphFont"/>
    <w:uiPriority w:val="99"/>
    <w:semiHidden/>
    <w:unhideWhenUsed/>
    <w:rsid w:val="00580A22"/>
    <w:rPr>
      <w:color w:val="605E5C"/>
      <w:shd w:val="clear" w:color="auto" w:fill="E1DFDD"/>
    </w:rPr>
  </w:style>
  <w:style w:type="paragraph" w:styleId="ListNumber">
    <w:name w:val="List Number"/>
    <w:basedOn w:val="Normal"/>
    <w:rsid w:val="0066760E"/>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4999">
      <w:bodyDiv w:val="1"/>
      <w:marLeft w:val="0"/>
      <w:marRight w:val="0"/>
      <w:marTop w:val="0"/>
      <w:marBottom w:val="0"/>
      <w:divBdr>
        <w:top w:val="none" w:sz="0" w:space="0" w:color="auto"/>
        <w:left w:val="none" w:sz="0" w:space="0" w:color="auto"/>
        <w:bottom w:val="none" w:sz="0" w:space="0" w:color="auto"/>
        <w:right w:val="none" w:sz="0" w:space="0" w:color="auto"/>
      </w:divBdr>
    </w:div>
    <w:div w:id="59327520">
      <w:bodyDiv w:val="1"/>
      <w:marLeft w:val="0"/>
      <w:marRight w:val="0"/>
      <w:marTop w:val="0"/>
      <w:marBottom w:val="0"/>
      <w:divBdr>
        <w:top w:val="none" w:sz="0" w:space="0" w:color="auto"/>
        <w:left w:val="none" w:sz="0" w:space="0" w:color="auto"/>
        <w:bottom w:val="none" w:sz="0" w:space="0" w:color="auto"/>
        <w:right w:val="none" w:sz="0" w:space="0" w:color="auto"/>
      </w:divBdr>
    </w:div>
    <w:div w:id="90468861">
      <w:bodyDiv w:val="1"/>
      <w:marLeft w:val="0"/>
      <w:marRight w:val="0"/>
      <w:marTop w:val="0"/>
      <w:marBottom w:val="0"/>
      <w:divBdr>
        <w:top w:val="none" w:sz="0" w:space="0" w:color="auto"/>
        <w:left w:val="none" w:sz="0" w:space="0" w:color="auto"/>
        <w:bottom w:val="none" w:sz="0" w:space="0" w:color="auto"/>
        <w:right w:val="none" w:sz="0" w:space="0" w:color="auto"/>
      </w:divBdr>
    </w:div>
    <w:div w:id="911243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7845648">
      <w:bodyDiv w:val="1"/>
      <w:marLeft w:val="0"/>
      <w:marRight w:val="0"/>
      <w:marTop w:val="0"/>
      <w:marBottom w:val="0"/>
      <w:divBdr>
        <w:top w:val="none" w:sz="0" w:space="0" w:color="auto"/>
        <w:left w:val="none" w:sz="0" w:space="0" w:color="auto"/>
        <w:bottom w:val="none" w:sz="0" w:space="0" w:color="auto"/>
        <w:right w:val="none" w:sz="0" w:space="0" w:color="auto"/>
      </w:divBdr>
      <w:divsChild>
        <w:div w:id="923950113">
          <w:marLeft w:val="360"/>
          <w:marRight w:val="0"/>
          <w:marTop w:val="200"/>
          <w:marBottom w:val="0"/>
          <w:divBdr>
            <w:top w:val="none" w:sz="0" w:space="0" w:color="auto"/>
            <w:left w:val="none" w:sz="0" w:space="0" w:color="auto"/>
            <w:bottom w:val="none" w:sz="0" w:space="0" w:color="auto"/>
            <w:right w:val="none" w:sz="0" w:space="0" w:color="auto"/>
          </w:divBdr>
        </w:div>
      </w:divsChild>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800291">
      <w:bodyDiv w:val="1"/>
      <w:marLeft w:val="0"/>
      <w:marRight w:val="0"/>
      <w:marTop w:val="0"/>
      <w:marBottom w:val="0"/>
      <w:divBdr>
        <w:top w:val="none" w:sz="0" w:space="0" w:color="auto"/>
        <w:left w:val="none" w:sz="0" w:space="0" w:color="auto"/>
        <w:bottom w:val="none" w:sz="0" w:space="0" w:color="auto"/>
        <w:right w:val="none" w:sz="0" w:space="0" w:color="auto"/>
      </w:divBdr>
    </w:div>
    <w:div w:id="132140875">
      <w:bodyDiv w:val="1"/>
      <w:marLeft w:val="0"/>
      <w:marRight w:val="0"/>
      <w:marTop w:val="0"/>
      <w:marBottom w:val="0"/>
      <w:divBdr>
        <w:top w:val="none" w:sz="0" w:space="0" w:color="auto"/>
        <w:left w:val="none" w:sz="0" w:space="0" w:color="auto"/>
        <w:bottom w:val="none" w:sz="0" w:space="0" w:color="auto"/>
        <w:right w:val="none" w:sz="0" w:space="0" w:color="auto"/>
      </w:divBdr>
      <w:divsChild>
        <w:div w:id="1661228699">
          <w:marLeft w:val="360"/>
          <w:marRight w:val="0"/>
          <w:marTop w:val="200"/>
          <w:marBottom w:val="0"/>
          <w:divBdr>
            <w:top w:val="none" w:sz="0" w:space="0" w:color="auto"/>
            <w:left w:val="none" w:sz="0" w:space="0" w:color="auto"/>
            <w:bottom w:val="none" w:sz="0" w:space="0" w:color="auto"/>
            <w:right w:val="none" w:sz="0" w:space="0" w:color="auto"/>
          </w:divBdr>
        </w:div>
      </w:divsChild>
    </w:div>
    <w:div w:id="164786053">
      <w:bodyDiv w:val="1"/>
      <w:marLeft w:val="0"/>
      <w:marRight w:val="0"/>
      <w:marTop w:val="0"/>
      <w:marBottom w:val="0"/>
      <w:divBdr>
        <w:top w:val="none" w:sz="0" w:space="0" w:color="auto"/>
        <w:left w:val="none" w:sz="0" w:space="0" w:color="auto"/>
        <w:bottom w:val="none" w:sz="0" w:space="0" w:color="auto"/>
        <w:right w:val="none" w:sz="0" w:space="0" w:color="auto"/>
      </w:divBdr>
    </w:div>
    <w:div w:id="192227830">
      <w:bodyDiv w:val="1"/>
      <w:marLeft w:val="0"/>
      <w:marRight w:val="0"/>
      <w:marTop w:val="0"/>
      <w:marBottom w:val="0"/>
      <w:divBdr>
        <w:top w:val="none" w:sz="0" w:space="0" w:color="auto"/>
        <w:left w:val="none" w:sz="0" w:space="0" w:color="auto"/>
        <w:bottom w:val="none" w:sz="0" w:space="0" w:color="auto"/>
        <w:right w:val="none" w:sz="0" w:space="0" w:color="auto"/>
      </w:divBdr>
      <w:divsChild>
        <w:div w:id="1686521533">
          <w:marLeft w:val="0"/>
          <w:marRight w:val="0"/>
          <w:marTop w:val="0"/>
          <w:marBottom w:val="0"/>
          <w:divBdr>
            <w:top w:val="none" w:sz="0" w:space="0" w:color="auto"/>
            <w:left w:val="none" w:sz="0" w:space="0" w:color="auto"/>
            <w:bottom w:val="none" w:sz="0" w:space="0" w:color="auto"/>
            <w:right w:val="none" w:sz="0" w:space="0" w:color="auto"/>
          </w:divBdr>
          <w:divsChild>
            <w:div w:id="2076081690">
              <w:marLeft w:val="0"/>
              <w:marRight w:val="0"/>
              <w:marTop w:val="0"/>
              <w:marBottom w:val="120"/>
              <w:divBdr>
                <w:top w:val="none" w:sz="0" w:space="0" w:color="auto"/>
                <w:left w:val="none" w:sz="0" w:space="0" w:color="auto"/>
                <w:bottom w:val="none" w:sz="0" w:space="0" w:color="auto"/>
                <w:right w:val="none" w:sz="0" w:space="0" w:color="auto"/>
              </w:divBdr>
              <w:divsChild>
                <w:div w:id="14998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68892">
      <w:bodyDiv w:val="1"/>
      <w:marLeft w:val="0"/>
      <w:marRight w:val="0"/>
      <w:marTop w:val="0"/>
      <w:marBottom w:val="0"/>
      <w:divBdr>
        <w:top w:val="none" w:sz="0" w:space="0" w:color="auto"/>
        <w:left w:val="none" w:sz="0" w:space="0" w:color="auto"/>
        <w:bottom w:val="none" w:sz="0" w:space="0" w:color="auto"/>
        <w:right w:val="none" w:sz="0" w:space="0" w:color="auto"/>
      </w:divBdr>
    </w:div>
    <w:div w:id="223831613">
      <w:bodyDiv w:val="1"/>
      <w:marLeft w:val="0"/>
      <w:marRight w:val="0"/>
      <w:marTop w:val="0"/>
      <w:marBottom w:val="0"/>
      <w:divBdr>
        <w:top w:val="none" w:sz="0" w:space="0" w:color="auto"/>
        <w:left w:val="none" w:sz="0" w:space="0" w:color="auto"/>
        <w:bottom w:val="none" w:sz="0" w:space="0" w:color="auto"/>
        <w:right w:val="none" w:sz="0" w:space="0" w:color="auto"/>
      </w:divBdr>
    </w:div>
    <w:div w:id="30454908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7465985">
      <w:bodyDiv w:val="1"/>
      <w:marLeft w:val="0"/>
      <w:marRight w:val="0"/>
      <w:marTop w:val="0"/>
      <w:marBottom w:val="0"/>
      <w:divBdr>
        <w:top w:val="none" w:sz="0" w:space="0" w:color="auto"/>
        <w:left w:val="none" w:sz="0" w:space="0" w:color="auto"/>
        <w:bottom w:val="none" w:sz="0" w:space="0" w:color="auto"/>
        <w:right w:val="none" w:sz="0" w:space="0" w:color="auto"/>
      </w:divBdr>
    </w:div>
    <w:div w:id="445932074">
      <w:bodyDiv w:val="1"/>
      <w:marLeft w:val="0"/>
      <w:marRight w:val="0"/>
      <w:marTop w:val="0"/>
      <w:marBottom w:val="0"/>
      <w:divBdr>
        <w:top w:val="none" w:sz="0" w:space="0" w:color="auto"/>
        <w:left w:val="none" w:sz="0" w:space="0" w:color="auto"/>
        <w:bottom w:val="none" w:sz="0" w:space="0" w:color="auto"/>
        <w:right w:val="none" w:sz="0" w:space="0" w:color="auto"/>
      </w:divBdr>
    </w:div>
    <w:div w:id="473722689">
      <w:bodyDiv w:val="1"/>
      <w:marLeft w:val="0"/>
      <w:marRight w:val="0"/>
      <w:marTop w:val="0"/>
      <w:marBottom w:val="0"/>
      <w:divBdr>
        <w:top w:val="none" w:sz="0" w:space="0" w:color="auto"/>
        <w:left w:val="none" w:sz="0" w:space="0" w:color="auto"/>
        <w:bottom w:val="none" w:sz="0" w:space="0" w:color="auto"/>
        <w:right w:val="none" w:sz="0" w:space="0" w:color="auto"/>
      </w:divBdr>
    </w:div>
    <w:div w:id="520552819">
      <w:bodyDiv w:val="1"/>
      <w:marLeft w:val="0"/>
      <w:marRight w:val="0"/>
      <w:marTop w:val="0"/>
      <w:marBottom w:val="0"/>
      <w:divBdr>
        <w:top w:val="none" w:sz="0" w:space="0" w:color="auto"/>
        <w:left w:val="none" w:sz="0" w:space="0" w:color="auto"/>
        <w:bottom w:val="none" w:sz="0" w:space="0" w:color="auto"/>
        <w:right w:val="none" w:sz="0" w:space="0" w:color="auto"/>
      </w:divBdr>
    </w:div>
    <w:div w:id="528301348">
      <w:bodyDiv w:val="1"/>
      <w:marLeft w:val="0"/>
      <w:marRight w:val="0"/>
      <w:marTop w:val="0"/>
      <w:marBottom w:val="0"/>
      <w:divBdr>
        <w:top w:val="none" w:sz="0" w:space="0" w:color="auto"/>
        <w:left w:val="none" w:sz="0" w:space="0" w:color="auto"/>
        <w:bottom w:val="none" w:sz="0" w:space="0" w:color="auto"/>
        <w:right w:val="none" w:sz="0" w:space="0" w:color="auto"/>
      </w:divBdr>
    </w:div>
    <w:div w:id="537475785">
      <w:bodyDiv w:val="1"/>
      <w:marLeft w:val="0"/>
      <w:marRight w:val="0"/>
      <w:marTop w:val="0"/>
      <w:marBottom w:val="0"/>
      <w:divBdr>
        <w:top w:val="none" w:sz="0" w:space="0" w:color="auto"/>
        <w:left w:val="none" w:sz="0" w:space="0" w:color="auto"/>
        <w:bottom w:val="none" w:sz="0" w:space="0" w:color="auto"/>
        <w:right w:val="none" w:sz="0" w:space="0" w:color="auto"/>
      </w:divBdr>
    </w:div>
    <w:div w:id="558832768">
      <w:bodyDiv w:val="1"/>
      <w:marLeft w:val="0"/>
      <w:marRight w:val="0"/>
      <w:marTop w:val="0"/>
      <w:marBottom w:val="0"/>
      <w:divBdr>
        <w:top w:val="none" w:sz="0" w:space="0" w:color="auto"/>
        <w:left w:val="none" w:sz="0" w:space="0" w:color="auto"/>
        <w:bottom w:val="none" w:sz="0" w:space="0" w:color="auto"/>
        <w:right w:val="none" w:sz="0" w:space="0" w:color="auto"/>
      </w:divBdr>
    </w:div>
    <w:div w:id="593125091">
      <w:bodyDiv w:val="1"/>
      <w:marLeft w:val="0"/>
      <w:marRight w:val="0"/>
      <w:marTop w:val="0"/>
      <w:marBottom w:val="0"/>
      <w:divBdr>
        <w:top w:val="none" w:sz="0" w:space="0" w:color="auto"/>
        <w:left w:val="none" w:sz="0" w:space="0" w:color="auto"/>
        <w:bottom w:val="none" w:sz="0" w:space="0" w:color="auto"/>
        <w:right w:val="none" w:sz="0" w:space="0" w:color="auto"/>
      </w:divBdr>
    </w:div>
    <w:div w:id="610553150">
      <w:bodyDiv w:val="1"/>
      <w:marLeft w:val="0"/>
      <w:marRight w:val="0"/>
      <w:marTop w:val="0"/>
      <w:marBottom w:val="0"/>
      <w:divBdr>
        <w:top w:val="none" w:sz="0" w:space="0" w:color="auto"/>
        <w:left w:val="none" w:sz="0" w:space="0" w:color="auto"/>
        <w:bottom w:val="none" w:sz="0" w:space="0" w:color="auto"/>
        <w:right w:val="none" w:sz="0" w:space="0" w:color="auto"/>
      </w:divBdr>
    </w:div>
    <w:div w:id="627470333">
      <w:bodyDiv w:val="1"/>
      <w:marLeft w:val="0"/>
      <w:marRight w:val="0"/>
      <w:marTop w:val="0"/>
      <w:marBottom w:val="0"/>
      <w:divBdr>
        <w:top w:val="none" w:sz="0" w:space="0" w:color="auto"/>
        <w:left w:val="none" w:sz="0" w:space="0" w:color="auto"/>
        <w:bottom w:val="none" w:sz="0" w:space="0" w:color="auto"/>
        <w:right w:val="none" w:sz="0" w:space="0" w:color="auto"/>
      </w:divBdr>
      <w:divsChild>
        <w:div w:id="1278876098">
          <w:marLeft w:val="360"/>
          <w:marRight w:val="0"/>
          <w:marTop w:val="200"/>
          <w:marBottom w:val="0"/>
          <w:divBdr>
            <w:top w:val="none" w:sz="0" w:space="0" w:color="auto"/>
            <w:left w:val="none" w:sz="0" w:space="0" w:color="auto"/>
            <w:bottom w:val="none" w:sz="0" w:space="0" w:color="auto"/>
            <w:right w:val="none" w:sz="0" w:space="0" w:color="auto"/>
          </w:divBdr>
        </w:div>
      </w:divsChild>
    </w:div>
    <w:div w:id="648484133">
      <w:bodyDiv w:val="1"/>
      <w:marLeft w:val="0"/>
      <w:marRight w:val="0"/>
      <w:marTop w:val="0"/>
      <w:marBottom w:val="0"/>
      <w:divBdr>
        <w:top w:val="none" w:sz="0" w:space="0" w:color="auto"/>
        <w:left w:val="none" w:sz="0" w:space="0" w:color="auto"/>
        <w:bottom w:val="none" w:sz="0" w:space="0" w:color="auto"/>
        <w:right w:val="none" w:sz="0" w:space="0" w:color="auto"/>
      </w:divBdr>
      <w:divsChild>
        <w:div w:id="848327743">
          <w:marLeft w:val="0"/>
          <w:marRight w:val="0"/>
          <w:marTop w:val="0"/>
          <w:marBottom w:val="0"/>
          <w:divBdr>
            <w:top w:val="none" w:sz="0" w:space="0" w:color="auto"/>
            <w:left w:val="none" w:sz="0" w:space="0" w:color="auto"/>
            <w:bottom w:val="none" w:sz="0" w:space="0" w:color="auto"/>
            <w:right w:val="none" w:sz="0" w:space="0" w:color="auto"/>
          </w:divBdr>
          <w:divsChild>
            <w:div w:id="1223444673">
              <w:marLeft w:val="0"/>
              <w:marRight w:val="0"/>
              <w:marTop w:val="0"/>
              <w:marBottom w:val="120"/>
              <w:divBdr>
                <w:top w:val="none" w:sz="0" w:space="0" w:color="auto"/>
                <w:left w:val="none" w:sz="0" w:space="0" w:color="auto"/>
                <w:bottom w:val="none" w:sz="0" w:space="0" w:color="auto"/>
                <w:right w:val="none" w:sz="0" w:space="0" w:color="auto"/>
              </w:divBdr>
              <w:divsChild>
                <w:div w:id="21012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49247">
      <w:bodyDiv w:val="1"/>
      <w:marLeft w:val="0"/>
      <w:marRight w:val="0"/>
      <w:marTop w:val="0"/>
      <w:marBottom w:val="0"/>
      <w:divBdr>
        <w:top w:val="none" w:sz="0" w:space="0" w:color="auto"/>
        <w:left w:val="none" w:sz="0" w:space="0" w:color="auto"/>
        <w:bottom w:val="none" w:sz="0" w:space="0" w:color="auto"/>
        <w:right w:val="none" w:sz="0" w:space="0" w:color="auto"/>
      </w:divBdr>
    </w:div>
    <w:div w:id="685014128">
      <w:bodyDiv w:val="1"/>
      <w:marLeft w:val="0"/>
      <w:marRight w:val="0"/>
      <w:marTop w:val="0"/>
      <w:marBottom w:val="0"/>
      <w:divBdr>
        <w:top w:val="none" w:sz="0" w:space="0" w:color="auto"/>
        <w:left w:val="none" w:sz="0" w:space="0" w:color="auto"/>
        <w:bottom w:val="none" w:sz="0" w:space="0" w:color="auto"/>
        <w:right w:val="none" w:sz="0" w:space="0" w:color="auto"/>
      </w:divBdr>
    </w:div>
    <w:div w:id="734352504">
      <w:bodyDiv w:val="1"/>
      <w:marLeft w:val="0"/>
      <w:marRight w:val="0"/>
      <w:marTop w:val="0"/>
      <w:marBottom w:val="0"/>
      <w:divBdr>
        <w:top w:val="none" w:sz="0" w:space="0" w:color="auto"/>
        <w:left w:val="none" w:sz="0" w:space="0" w:color="auto"/>
        <w:bottom w:val="none" w:sz="0" w:space="0" w:color="auto"/>
        <w:right w:val="none" w:sz="0" w:space="0" w:color="auto"/>
      </w:divBdr>
    </w:div>
    <w:div w:id="774591517">
      <w:bodyDiv w:val="1"/>
      <w:marLeft w:val="0"/>
      <w:marRight w:val="0"/>
      <w:marTop w:val="0"/>
      <w:marBottom w:val="0"/>
      <w:divBdr>
        <w:top w:val="none" w:sz="0" w:space="0" w:color="auto"/>
        <w:left w:val="none" w:sz="0" w:space="0" w:color="auto"/>
        <w:bottom w:val="none" w:sz="0" w:space="0" w:color="auto"/>
        <w:right w:val="none" w:sz="0" w:space="0" w:color="auto"/>
      </w:divBdr>
    </w:div>
    <w:div w:id="851341908">
      <w:bodyDiv w:val="1"/>
      <w:marLeft w:val="0"/>
      <w:marRight w:val="0"/>
      <w:marTop w:val="0"/>
      <w:marBottom w:val="0"/>
      <w:divBdr>
        <w:top w:val="none" w:sz="0" w:space="0" w:color="auto"/>
        <w:left w:val="none" w:sz="0" w:space="0" w:color="auto"/>
        <w:bottom w:val="none" w:sz="0" w:space="0" w:color="auto"/>
        <w:right w:val="none" w:sz="0" w:space="0" w:color="auto"/>
      </w:divBdr>
    </w:div>
    <w:div w:id="855115042">
      <w:bodyDiv w:val="1"/>
      <w:marLeft w:val="0"/>
      <w:marRight w:val="0"/>
      <w:marTop w:val="0"/>
      <w:marBottom w:val="0"/>
      <w:divBdr>
        <w:top w:val="none" w:sz="0" w:space="0" w:color="auto"/>
        <w:left w:val="none" w:sz="0" w:space="0" w:color="auto"/>
        <w:bottom w:val="none" w:sz="0" w:space="0" w:color="auto"/>
        <w:right w:val="none" w:sz="0" w:space="0" w:color="auto"/>
      </w:divBdr>
    </w:div>
    <w:div w:id="871267759">
      <w:bodyDiv w:val="1"/>
      <w:marLeft w:val="0"/>
      <w:marRight w:val="0"/>
      <w:marTop w:val="0"/>
      <w:marBottom w:val="0"/>
      <w:divBdr>
        <w:top w:val="none" w:sz="0" w:space="0" w:color="auto"/>
        <w:left w:val="none" w:sz="0" w:space="0" w:color="auto"/>
        <w:bottom w:val="none" w:sz="0" w:space="0" w:color="auto"/>
        <w:right w:val="none" w:sz="0" w:space="0" w:color="auto"/>
      </w:divBdr>
    </w:div>
    <w:div w:id="893350483">
      <w:bodyDiv w:val="1"/>
      <w:marLeft w:val="0"/>
      <w:marRight w:val="0"/>
      <w:marTop w:val="0"/>
      <w:marBottom w:val="0"/>
      <w:divBdr>
        <w:top w:val="none" w:sz="0" w:space="0" w:color="auto"/>
        <w:left w:val="none" w:sz="0" w:space="0" w:color="auto"/>
        <w:bottom w:val="none" w:sz="0" w:space="0" w:color="auto"/>
        <w:right w:val="none" w:sz="0" w:space="0" w:color="auto"/>
      </w:divBdr>
    </w:div>
    <w:div w:id="897008324">
      <w:bodyDiv w:val="1"/>
      <w:marLeft w:val="0"/>
      <w:marRight w:val="0"/>
      <w:marTop w:val="0"/>
      <w:marBottom w:val="0"/>
      <w:divBdr>
        <w:top w:val="none" w:sz="0" w:space="0" w:color="auto"/>
        <w:left w:val="none" w:sz="0" w:space="0" w:color="auto"/>
        <w:bottom w:val="none" w:sz="0" w:space="0" w:color="auto"/>
        <w:right w:val="none" w:sz="0" w:space="0" w:color="auto"/>
      </w:divBdr>
    </w:div>
    <w:div w:id="904753998">
      <w:bodyDiv w:val="1"/>
      <w:marLeft w:val="0"/>
      <w:marRight w:val="0"/>
      <w:marTop w:val="0"/>
      <w:marBottom w:val="0"/>
      <w:divBdr>
        <w:top w:val="none" w:sz="0" w:space="0" w:color="auto"/>
        <w:left w:val="none" w:sz="0" w:space="0" w:color="auto"/>
        <w:bottom w:val="none" w:sz="0" w:space="0" w:color="auto"/>
        <w:right w:val="none" w:sz="0" w:space="0" w:color="auto"/>
      </w:divBdr>
    </w:div>
    <w:div w:id="909467446">
      <w:bodyDiv w:val="1"/>
      <w:marLeft w:val="0"/>
      <w:marRight w:val="0"/>
      <w:marTop w:val="0"/>
      <w:marBottom w:val="0"/>
      <w:divBdr>
        <w:top w:val="none" w:sz="0" w:space="0" w:color="auto"/>
        <w:left w:val="none" w:sz="0" w:space="0" w:color="auto"/>
        <w:bottom w:val="none" w:sz="0" w:space="0" w:color="auto"/>
        <w:right w:val="none" w:sz="0" w:space="0" w:color="auto"/>
      </w:divBdr>
    </w:div>
    <w:div w:id="918291348">
      <w:bodyDiv w:val="1"/>
      <w:marLeft w:val="0"/>
      <w:marRight w:val="0"/>
      <w:marTop w:val="0"/>
      <w:marBottom w:val="0"/>
      <w:divBdr>
        <w:top w:val="none" w:sz="0" w:space="0" w:color="auto"/>
        <w:left w:val="none" w:sz="0" w:space="0" w:color="auto"/>
        <w:bottom w:val="none" w:sz="0" w:space="0" w:color="auto"/>
        <w:right w:val="none" w:sz="0" w:space="0" w:color="auto"/>
      </w:divBdr>
    </w:div>
    <w:div w:id="955061170">
      <w:bodyDiv w:val="1"/>
      <w:marLeft w:val="0"/>
      <w:marRight w:val="0"/>
      <w:marTop w:val="0"/>
      <w:marBottom w:val="0"/>
      <w:divBdr>
        <w:top w:val="none" w:sz="0" w:space="0" w:color="auto"/>
        <w:left w:val="none" w:sz="0" w:space="0" w:color="auto"/>
        <w:bottom w:val="none" w:sz="0" w:space="0" w:color="auto"/>
        <w:right w:val="none" w:sz="0" w:space="0" w:color="auto"/>
      </w:divBdr>
      <w:divsChild>
        <w:div w:id="1265648922">
          <w:marLeft w:val="0"/>
          <w:marRight w:val="0"/>
          <w:marTop w:val="0"/>
          <w:marBottom w:val="0"/>
          <w:divBdr>
            <w:top w:val="none" w:sz="0" w:space="0" w:color="auto"/>
            <w:left w:val="none" w:sz="0" w:space="0" w:color="auto"/>
            <w:bottom w:val="none" w:sz="0" w:space="0" w:color="auto"/>
            <w:right w:val="none" w:sz="0" w:space="0" w:color="auto"/>
          </w:divBdr>
          <w:divsChild>
            <w:div w:id="472648797">
              <w:marLeft w:val="0"/>
              <w:marRight w:val="0"/>
              <w:marTop w:val="0"/>
              <w:marBottom w:val="120"/>
              <w:divBdr>
                <w:top w:val="none" w:sz="0" w:space="0" w:color="auto"/>
                <w:left w:val="none" w:sz="0" w:space="0" w:color="auto"/>
                <w:bottom w:val="none" w:sz="0" w:space="0" w:color="auto"/>
                <w:right w:val="none" w:sz="0" w:space="0" w:color="auto"/>
              </w:divBdr>
              <w:divsChild>
                <w:div w:id="3154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75788">
      <w:bodyDiv w:val="1"/>
      <w:marLeft w:val="0"/>
      <w:marRight w:val="0"/>
      <w:marTop w:val="0"/>
      <w:marBottom w:val="0"/>
      <w:divBdr>
        <w:top w:val="none" w:sz="0" w:space="0" w:color="auto"/>
        <w:left w:val="none" w:sz="0" w:space="0" w:color="auto"/>
        <w:bottom w:val="none" w:sz="0" w:space="0" w:color="auto"/>
        <w:right w:val="none" w:sz="0" w:space="0" w:color="auto"/>
      </w:divBdr>
    </w:div>
    <w:div w:id="1027755855">
      <w:bodyDiv w:val="1"/>
      <w:marLeft w:val="0"/>
      <w:marRight w:val="0"/>
      <w:marTop w:val="0"/>
      <w:marBottom w:val="0"/>
      <w:divBdr>
        <w:top w:val="none" w:sz="0" w:space="0" w:color="auto"/>
        <w:left w:val="none" w:sz="0" w:space="0" w:color="auto"/>
        <w:bottom w:val="none" w:sz="0" w:space="0" w:color="auto"/>
        <w:right w:val="none" w:sz="0" w:space="0" w:color="auto"/>
      </w:divBdr>
    </w:div>
    <w:div w:id="1040738856">
      <w:bodyDiv w:val="1"/>
      <w:marLeft w:val="0"/>
      <w:marRight w:val="0"/>
      <w:marTop w:val="0"/>
      <w:marBottom w:val="0"/>
      <w:divBdr>
        <w:top w:val="none" w:sz="0" w:space="0" w:color="auto"/>
        <w:left w:val="none" w:sz="0" w:space="0" w:color="auto"/>
        <w:bottom w:val="none" w:sz="0" w:space="0" w:color="auto"/>
        <w:right w:val="none" w:sz="0" w:space="0" w:color="auto"/>
      </w:divBdr>
    </w:div>
    <w:div w:id="1078939051">
      <w:bodyDiv w:val="1"/>
      <w:marLeft w:val="0"/>
      <w:marRight w:val="0"/>
      <w:marTop w:val="0"/>
      <w:marBottom w:val="0"/>
      <w:divBdr>
        <w:top w:val="none" w:sz="0" w:space="0" w:color="auto"/>
        <w:left w:val="none" w:sz="0" w:space="0" w:color="auto"/>
        <w:bottom w:val="none" w:sz="0" w:space="0" w:color="auto"/>
        <w:right w:val="none" w:sz="0" w:space="0" w:color="auto"/>
      </w:divBdr>
    </w:div>
    <w:div w:id="1101876867">
      <w:bodyDiv w:val="1"/>
      <w:marLeft w:val="0"/>
      <w:marRight w:val="0"/>
      <w:marTop w:val="0"/>
      <w:marBottom w:val="0"/>
      <w:divBdr>
        <w:top w:val="none" w:sz="0" w:space="0" w:color="auto"/>
        <w:left w:val="none" w:sz="0" w:space="0" w:color="auto"/>
        <w:bottom w:val="none" w:sz="0" w:space="0" w:color="auto"/>
        <w:right w:val="none" w:sz="0" w:space="0" w:color="auto"/>
      </w:divBdr>
    </w:div>
    <w:div w:id="1106848926">
      <w:bodyDiv w:val="1"/>
      <w:marLeft w:val="0"/>
      <w:marRight w:val="0"/>
      <w:marTop w:val="0"/>
      <w:marBottom w:val="0"/>
      <w:divBdr>
        <w:top w:val="none" w:sz="0" w:space="0" w:color="auto"/>
        <w:left w:val="none" w:sz="0" w:space="0" w:color="auto"/>
        <w:bottom w:val="none" w:sz="0" w:space="0" w:color="auto"/>
        <w:right w:val="none" w:sz="0" w:space="0" w:color="auto"/>
      </w:divBdr>
    </w:div>
    <w:div w:id="116905426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793">
      <w:bodyDiv w:val="1"/>
      <w:marLeft w:val="0"/>
      <w:marRight w:val="0"/>
      <w:marTop w:val="0"/>
      <w:marBottom w:val="0"/>
      <w:divBdr>
        <w:top w:val="none" w:sz="0" w:space="0" w:color="auto"/>
        <w:left w:val="none" w:sz="0" w:space="0" w:color="auto"/>
        <w:bottom w:val="none" w:sz="0" w:space="0" w:color="auto"/>
        <w:right w:val="none" w:sz="0" w:space="0" w:color="auto"/>
      </w:divBdr>
      <w:divsChild>
        <w:div w:id="1352411486">
          <w:marLeft w:val="0"/>
          <w:marRight w:val="0"/>
          <w:marTop w:val="0"/>
          <w:marBottom w:val="0"/>
          <w:divBdr>
            <w:top w:val="none" w:sz="0" w:space="0" w:color="auto"/>
            <w:left w:val="none" w:sz="0" w:space="0" w:color="auto"/>
            <w:bottom w:val="none" w:sz="0" w:space="0" w:color="auto"/>
            <w:right w:val="none" w:sz="0" w:space="0" w:color="auto"/>
          </w:divBdr>
          <w:divsChild>
            <w:div w:id="1579906192">
              <w:marLeft w:val="0"/>
              <w:marRight w:val="0"/>
              <w:marTop w:val="0"/>
              <w:marBottom w:val="120"/>
              <w:divBdr>
                <w:top w:val="none" w:sz="0" w:space="0" w:color="auto"/>
                <w:left w:val="none" w:sz="0" w:space="0" w:color="auto"/>
                <w:bottom w:val="none" w:sz="0" w:space="0" w:color="auto"/>
                <w:right w:val="none" w:sz="0" w:space="0" w:color="auto"/>
              </w:divBdr>
              <w:divsChild>
                <w:div w:id="1437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2126">
      <w:bodyDiv w:val="1"/>
      <w:marLeft w:val="0"/>
      <w:marRight w:val="0"/>
      <w:marTop w:val="0"/>
      <w:marBottom w:val="0"/>
      <w:divBdr>
        <w:top w:val="none" w:sz="0" w:space="0" w:color="auto"/>
        <w:left w:val="none" w:sz="0" w:space="0" w:color="auto"/>
        <w:bottom w:val="none" w:sz="0" w:space="0" w:color="auto"/>
        <w:right w:val="none" w:sz="0" w:space="0" w:color="auto"/>
      </w:divBdr>
    </w:div>
    <w:div w:id="1272202267">
      <w:bodyDiv w:val="1"/>
      <w:marLeft w:val="0"/>
      <w:marRight w:val="0"/>
      <w:marTop w:val="0"/>
      <w:marBottom w:val="0"/>
      <w:divBdr>
        <w:top w:val="none" w:sz="0" w:space="0" w:color="auto"/>
        <w:left w:val="none" w:sz="0" w:space="0" w:color="auto"/>
        <w:bottom w:val="none" w:sz="0" w:space="0" w:color="auto"/>
        <w:right w:val="none" w:sz="0" w:space="0" w:color="auto"/>
      </w:divBdr>
    </w:div>
    <w:div w:id="1282540389">
      <w:bodyDiv w:val="1"/>
      <w:marLeft w:val="0"/>
      <w:marRight w:val="0"/>
      <w:marTop w:val="0"/>
      <w:marBottom w:val="0"/>
      <w:divBdr>
        <w:top w:val="none" w:sz="0" w:space="0" w:color="auto"/>
        <w:left w:val="none" w:sz="0" w:space="0" w:color="auto"/>
        <w:bottom w:val="none" w:sz="0" w:space="0" w:color="auto"/>
        <w:right w:val="none" w:sz="0" w:space="0" w:color="auto"/>
      </w:divBdr>
    </w:div>
    <w:div w:id="1420980403">
      <w:bodyDiv w:val="1"/>
      <w:marLeft w:val="0"/>
      <w:marRight w:val="0"/>
      <w:marTop w:val="0"/>
      <w:marBottom w:val="0"/>
      <w:divBdr>
        <w:top w:val="none" w:sz="0" w:space="0" w:color="auto"/>
        <w:left w:val="none" w:sz="0" w:space="0" w:color="auto"/>
        <w:bottom w:val="none" w:sz="0" w:space="0" w:color="auto"/>
        <w:right w:val="none" w:sz="0" w:space="0" w:color="auto"/>
      </w:divBdr>
    </w:div>
    <w:div w:id="1502692814">
      <w:bodyDiv w:val="1"/>
      <w:marLeft w:val="0"/>
      <w:marRight w:val="0"/>
      <w:marTop w:val="0"/>
      <w:marBottom w:val="0"/>
      <w:divBdr>
        <w:top w:val="none" w:sz="0" w:space="0" w:color="auto"/>
        <w:left w:val="none" w:sz="0" w:space="0" w:color="auto"/>
        <w:bottom w:val="none" w:sz="0" w:space="0" w:color="auto"/>
        <w:right w:val="none" w:sz="0" w:space="0" w:color="auto"/>
      </w:divBdr>
    </w:div>
    <w:div w:id="1506436741">
      <w:bodyDiv w:val="1"/>
      <w:marLeft w:val="0"/>
      <w:marRight w:val="0"/>
      <w:marTop w:val="0"/>
      <w:marBottom w:val="0"/>
      <w:divBdr>
        <w:top w:val="none" w:sz="0" w:space="0" w:color="auto"/>
        <w:left w:val="none" w:sz="0" w:space="0" w:color="auto"/>
        <w:bottom w:val="none" w:sz="0" w:space="0" w:color="auto"/>
        <w:right w:val="none" w:sz="0" w:space="0" w:color="auto"/>
      </w:divBdr>
    </w:div>
    <w:div w:id="1592935602">
      <w:bodyDiv w:val="1"/>
      <w:marLeft w:val="0"/>
      <w:marRight w:val="0"/>
      <w:marTop w:val="0"/>
      <w:marBottom w:val="0"/>
      <w:divBdr>
        <w:top w:val="none" w:sz="0" w:space="0" w:color="auto"/>
        <w:left w:val="none" w:sz="0" w:space="0" w:color="auto"/>
        <w:bottom w:val="none" w:sz="0" w:space="0" w:color="auto"/>
        <w:right w:val="none" w:sz="0" w:space="0" w:color="auto"/>
      </w:divBdr>
    </w:div>
    <w:div w:id="1660308328">
      <w:bodyDiv w:val="1"/>
      <w:marLeft w:val="0"/>
      <w:marRight w:val="0"/>
      <w:marTop w:val="0"/>
      <w:marBottom w:val="0"/>
      <w:divBdr>
        <w:top w:val="none" w:sz="0" w:space="0" w:color="auto"/>
        <w:left w:val="none" w:sz="0" w:space="0" w:color="auto"/>
        <w:bottom w:val="none" w:sz="0" w:space="0" w:color="auto"/>
        <w:right w:val="none" w:sz="0" w:space="0" w:color="auto"/>
      </w:divBdr>
    </w:div>
    <w:div w:id="1662613038">
      <w:bodyDiv w:val="1"/>
      <w:marLeft w:val="0"/>
      <w:marRight w:val="0"/>
      <w:marTop w:val="0"/>
      <w:marBottom w:val="0"/>
      <w:divBdr>
        <w:top w:val="none" w:sz="0" w:space="0" w:color="auto"/>
        <w:left w:val="none" w:sz="0" w:space="0" w:color="auto"/>
        <w:bottom w:val="none" w:sz="0" w:space="0" w:color="auto"/>
        <w:right w:val="none" w:sz="0" w:space="0" w:color="auto"/>
      </w:divBdr>
    </w:div>
    <w:div w:id="1681463451">
      <w:bodyDiv w:val="1"/>
      <w:marLeft w:val="0"/>
      <w:marRight w:val="0"/>
      <w:marTop w:val="0"/>
      <w:marBottom w:val="0"/>
      <w:divBdr>
        <w:top w:val="none" w:sz="0" w:space="0" w:color="auto"/>
        <w:left w:val="none" w:sz="0" w:space="0" w:color="auto"/>
        <w:bottom w:val="none" w:sz="0" w:space="0" w:color="auto"/>
        <w:right w:val="none" w:sz="0" w:space="0" w:color="auto"/>
      </w:divBdr>
    </w:div>
    <w:div w:id="1690137812">
      <w:bodyDiv w:val="1"/>
      <w:marLeft w:val="0"/>
      <w:marRight w:val="0"/>
      <w:marTop w:val="0"/>
      <w:marBottom w:val="0"/>
      <w:divBdr>
        <w:top w:val="none" w:sz="0" w:space="0" w:color="auto"/>
        <w:left w:val="none" w:sz="0" w:space="0" w:color="auto"/>
        <w:bottom w:val="none" w:sz="0" w:space="0" w:color="auto"/>
        <w:right w:val="none" w:sz="0" w:space="0" w:color="auto"/>
      </w:divBdr>
    </w:div>
    <w:div w:id="1870991117">
      <w:bodyDiv w:val="1"/>
      <w:marLeft w:val="0"/>
      <w:marRight w:val="0"/>
      <w:marTop w:val="0"/>
      <w:marBottom w:val="0"/>
      <w:divBdr>
        <w:top w:val="none" w:sz="0" w:space="0" w:color="auto"/>
        <w:left w:val="none" w:sz="0" w:space="0" w:color="auto"/>
        <w:bottom w:val="none" w:sz="0" w:space="0" w:color="auto"/>
        <w:right w:val="none" w:sz="0" w:space="0" w:color="auto"/>
      </w:divBdr>
    </w:div>
    <w:div w:id="1912303144">
      <w:bodyDiv w:val="1"/>
      <w:marLeft w:val="0"/>
      <w:marRight w:val="0"/>
      <w:marTop w:val="0"/>
      <w:marBottom w:val="0"/>
      <w:divBdr>
        <w:top w:val="none" w:sz="0" w:space="0" w:color="auto"/>
        <w:left w:val="none" w:sz="0" w:space="0" w:color="auto"/>
        <w:bottom w:val="none" w:sz="0" w:space="0" w:color="auto"/>
        <w:right w:val="none" w:sz="0" w:space="0" w:color="auto"/>
      </w:divBdr>
    </w:div>
    <w:div w:id="1914972529">
      <w:bodyDiv w:val="1"/>
      <w:marLeft w:val="0"/>
      <w:marRight w:val="0"/>
      <w:marTop w:val="0"/>
      <w:marBottom w:val="0"/>
      <w:divBdr>
        <w:top w:val="none" w:sz="0" w:space="0" w:color="auto"/>
        <w:left w:val="none" w:sz="0" w:space="0" w:color="auto"/>
        <w:bottom w:val="none" w:sz="0" w:space="0" w:color="auto"/>
        <w:right w:val="none" w:sz="0" w:space="0" w:color="auto"/>
      </w:divBdr>
    </w:div>
    <w:div w:id="194892567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3786024">
      <w:bodyDiv w:val="1"/>
      <w:marLeft w:val="0"/>
      <w:marRight w:val="0"/>
      <w:marTop w:val="0"/>
      <w:marBottom w:val="0"/>
      <w:divBdr>
        <w:top w:val="none" w:sz="0" w:space="0" w:color="auto"/>
        <w:left w:val="none" w:sz="0" w:space="0" w:color="auto"/>
        <w:bottom w:val="none" w:sz="0" w:space="0" w:color="auto"/>
        <w:right w:val="none" w:sz="0" w:space="0" w:color="auto"/>
      </w:divBdr>
    </w:div>
    <w:div w:id="1965653337">
      <w:bodyDiv w:val="1"/>
      <w:marLeft w:val="0"/>
      <w:marRight w:val="0"/>
      <w:marTop w:val="0"/>
      <w:marBottom w:val="0"/>
      <w:divBdr>
        <w:top w:val="none" w:sz="0" w:space="0" w:color="auto"/>
        <w:left w:val="none" w:sz="0" w:space="0" w:color="auto"/>
        <w:bottom w:val="none" w:sz="0" w:space="0" w:color="auto"/>
        <w:right w:val="none" w:sz="0" w:space="0" w:color="auto"/>
      </w:divBdr>
    </w:div>
    <w:div w:id="2106922207">
      <w:bodyDiv w:val="1"/>
      <w:marLeft w:val="0"/>
      <w:marRight w:val="0"/>
      <w:marTop w:val="0"/>
      <w:marBottom w:val="0"/>
      <w:divBdr>
        <w:top w:val="none" w:sz="0" w:space="0" w:color="auto"/>
        <w:left w:val="none" w:sz="0" w:space="0" w:color="auto"/>
        <w:bottom w:val="none" w:sz="0" w:space="0" w:color="auto"/>
        <w:right w:val="none" w:sz="0" w:space="0" w:color="auto"/>
      </w:divBdr>
    </w:div>
    <w:div w:id="213760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clinicaltrials.gov/ct2/show/NCT04058366" TargetMode="External"/><Relationship Id="rId1" Type="http://schemas.openxmlformats.org/officeDocument/2006/relationships/hyperlink" Target="https://clinicaltrials.gov/ct2/show/NCT0436276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28Dec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calcul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chereutseduau-my.sharepoint.com/personal/kittiphong_thiboonboon_chere_uts_edu_au/Documents/Elexacaftor%20TRIPLET/Evaluation%20Documents/Working%20Calculations/PBS001583_Vertex_Trikafta%2012+_CEA_v3.1_NOV%20FINAL_KT.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37915\Downloads\PBS001583_Vertex_Trikafta%2012+_CEA_v3.1_NOV%20FINAL_KT.xlsb"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Sheet1!$G$61</c:f>
              <c:strCache>
                <c:ptCount val="1"/>
                <c:pt idx="0">
                  <c:v>TEZ/IVA</c:v>
                </c:pt>
              </c:strCache>
            </c:strRef>
          </c:tx>
          <c:spPr>
            <a:ln w="28575" cap="rnd">
              <a:solidFill>
                <a:schemeClr val="accent3"/>
              </a:solidFill>
              <a:round/>
            </a:ln>
            <a:effectLst/>
          </c:spPr>
          <c:marker>
            <c:symbol val="none"/>
          </c:marker>
          <c:val>
            <c:numRef>
              <c:f>Sheet1!$G$62:$G$82</c:f>
              <c:numCache>
                <c:formatCode>General</c:formatCode>
                <c:ptCount val="21"/>
                <c:pt idx="0">
                  <c:v>60</c:v>
                </c:pt>
                <c:pt idx="1">
                  <c:v>63.9</c:v>
                </c:pt>
                <c:pt idx="2" formatCode="0.00">
                  <c:v>62.984568600000003</c:v>
                </c:pt>
                <c:pt idx="3" formatCode="0.00">
                  <c:v>62.082251670236403</c:v>
                </c:pt>
                <c:pt idx="4" formatCode="0.00">
                  <c:v>61.192861332808597</c:v>
                </c:pt>
                <c:pt idx="5" formatCode="0.00">
                  <c:v>60.316212401354782</c:v>
                </c:pt>
                <c:pt idx="6" formatCode="0.00">
                  <c:v>59.452122342492977</c:v>
                </c:pt>
                <c:pt idx="7" formatCode="0.00">
                  <c:v>58.600411237814427</c:v>
                </c:pt>
                <c:pt idx="8" formatCode="0.00">
                  <c:v>57.760901746421503</c:v>
                </c:pt>
                <c:pt idx="9" formatCode="0.00">
                  <c:v>56.933419068002273</c:v>
                </c:pt>
                <c:pt idx="10" formatCode="0.00">
                  <c:v>56.117790906434074</c:v>
                </c:pt>
                <c:pt idx="11" formatCode="0.00">
                  <c:v>55.313847433908499</c:v>
                </c:pt>
                <c:pt idx="12" formatCode="0.00">
                  <c:v>54.521421255570331</c:v>
                </c:pt>
                <c:pt idx="13" formatCode="0.00">
                  <c:v>53.740347374663031</c:v>
                </c:pt>
                <c:pt idx="14" formatCode="0.00">
                  <c:v>52.970463158173608</c:v>
                </c:pt>
                <c:pt idx="15" formatCode="0.00">
                  <c:v>52.211608302969616</c:v>
                </c:pt>
                <c:pt idx="16" formatCode="0.00">
                  <c:v>51.463624802421279</c:v>
                </c:pt>
                <c:pt idx="17" formatCode="0.00">
                  <c:v>50.726356913501796</c:v>
                </c:pt>
                <c:pt idx="18" formatCode="0.00">
                  <c:v>49.999651124358969</c:v>
                </c:pt>
                <c:pt idx="19" formatCode="0.00">
                  <c:v>49.283356122351407</c:v>
                </c:pt>
                <c:pt idx="20" formatCode="0.00">
                  <c:v>48.5773227625426</c:v>
                </c:pt>
              </c:numCache>
            </c:numRef>
          </c:val>
          <c:smooth val="0"/>
          <c:extLst>
            <c:ext xmlns:c16="http://schemas.microsoft.com/office/drawing/2014/chart" uri="{C3380CC4-5D6E-409C-BE32-E72D297353CC}">
              <c16:uniqueId val="{00000000-95D9-425F-93CE-C45483DD8694}"/>
            </c:ext>
          </c:extLst>
        </c:ser>
        <c:ser>
          <c:idx val="3"/>
          <c:order val="1"/>
          <c:tx>
            <c:strRef>
              <c:f>Sheet1!$H$61</c:f>
              <c:strCache>
                <c:ptCount val="1"/>
                <c:pt idx="0">
                  <c:v>ELX/TEZ/IVA</c:v>
                </c:pt>
              </c:strCache>
            </c:strRef>
          </c:tx>
          <c:spPr>
            <a:ln w="28575" cap="rnd">
              <a:solidFill>
                <a:schemeClr val="accent4"/>
              </a:solidFill>
              <a:round/>
            </a:ln>
            <a:effectLst/>
          </c:spPr>
          <c:marker>
            <c:symbol val="none"/>
          </c:marker>
          <c:val>
            <c:numRef>
              <c:f>Sheet1!$H$62:$H$82</c:f>
              <c:numCache>
                <c:formatCode>General</c:formatCode>
                <c:ptCount val="21"/>
                <c:pt idx="0">
                  <c:v>60</c:v>
                </c:pt>
                <c:pt idx="1">
                  <c:v>74.099999999999994</c:v>
                </c:pt>
                <c:pt idx="2" formatCode="0.00">
                  <c:v>73.38619469999999</c:v>
                </c:pt>
                <c:pt idx="3" formatCode="0.00">
                  <c:v>72.679265486454895</c:v>
                </c:pt>
                <c:pt idx="4" formatCode="0.00">
                  <c:v>71.979146122023877</c:v>
                </c:pt>
                <c:pt idx="5" formatCode="0.00">
                  <c:v>71.285771007430426</c:v>
                </c:pt>
                <c:pt idx="6" formatCode="0.00">
                  <c:v>70.599075175315846</c:v>
                </c:pt>
                <c:pt idx="7" formatCode="0.00">
                  <c:v>69.918994284152035</c:v>
                </c:pt>
                <c:pt idx="8" formatCode="0.00">
                  <c:v>69.2454646122128</c:v>
                </c:pt>
                <c:pt idx="9" formatCode="0.00">
                  <c:v>68.578423051603352</c:v>
                </c:pt>
                <c:pt idx="10" formatCode="0.00">
                  <c:v>67.917807102347254</c:v>
                </c:pt>
                <c:pt idx="11" formatCode="0.00">
                  <c:v>67.263554866530342</c:v>
                </c:pt>
                <c:pt idx="12" formatCode="0.00">
                  <c:v>66.615605042501059</c:v>
                </c:pt>
                <c:pt idx="13" formatCode="0.00">
                  <c:v>65.973896919126645</c:v>
                </c:pt>
                <c:pt idx="14" formatCode="0.00">
                  <c:v>65.338370370104698</c:v>
                </c:pt>
                <c:pt idx="15" formatCode="0.00">
                  <c:v>64.708965848329484</c:v>
                </c:pt>
                <c:pt idx="16" formatCode="0.00">
                  <c:v>64.085624380312524</c:v>
                </c:pt>
                <c:pt idx="17" formatCode="0.00">
                  <c:v>63.468287560656975</c:v>
                </c:pt>
                <c:pt idx="18" formatCode="0.00">
                  <c:v>62.856897546585166</c:v>
                </c:pt>
                <c:pt idx="19" formatCode="0.00">
                  <c:v>62.251397052518911</c:v>
                </c:pt>
                <c:pt idx="20" formatCode="0.00">
                  <c:v>61.651729344711995</c:v>
                </c:pt>
              </c:numCache>
            </c:numRef>
          </c:val>
          <c:smooth val="0"/>
          <c:extLst>
            <c:ext xmlns:c16="http://schemas.microsoft.com/office/drawing/2014/chart" uri="{C3380CC4-5D6E-409C-BE32-E72D297353CC}">
              <c16:uniqueId val="{00000001-95D9-425F-93CE-C45483DD8694}"/>
            </c:ext>
          </c:extLst>
        </c:ser>
        <c:ser>
          <c:idx val="4"/>
          <c:order val="2"/>
          <c:tx>
            <c:strRef>
              <c:f>Sheet1!$I$61</c:f>
              <c:strCache>
                <c:ptCount val="1"/>
                <c:pt idx="0">
                  <c:v>Difference</c:v>
                </c:pt>
              </c:strCache>
            </c:strRef>
          </c:tx>
          <c:spPr>
            <a:ln w="28575" cap="rnd">
              <a:solidFill>
                <a:schemeClr val="accent5"/>
              </a:solidFill>
              <a:round/>
            </a:ln>
            <a:effectLst/>
          </c:spPr>
          <c:marker>
            <c:symbol val="none"/>
          </c:marker>
          <c:val>
            <c:numRef>
              <c:f>Sheet1!$I$62:$I$82</c:f>
              <c:numCache>
                <c:formatCode>0.00</c:formatCode>
                <c:ptCount val="21"/>
                <c:pt idx="0">
                  <c:v>0</c:v>
                </c:pt>
                <c:pt idx="1">
                  <c:v>10.199999999999996</c:v>
                </c:pt>
                <c:pt idx="2">
                  <c:v>10.401626099999987</c:v>
                </c:pt>
                <c:pt idx="3">
                  <c:v>10.597013816218492</c:v>
                </c:pt>
                <c:pt idx="4">
                  <c:v>10.78628478921528</c:v>
                </c:pt>
                <c:pt idx="5">
                  <c:v>10.969558606075644</c:v>
                </c:pt>
                <c:pt idx="6">
                  <c:v>11.146952832822869</c:v>
                </c:pt>
                <c:pt idx="7">
                  <c:v>11.318583046337608</c:v>
                </c:pt>
                <c:pt idx="8">
                  <c:v>11.484562865791297</c:v>
                </c:pt>
                <c:pt idx="9">
                  <c:v>11.645003983601079</c:v>
                </c:pt>
                <c:pt idx="10">
                  <c:v>11.80001619591318</c:v>
                </c:pt>
                <c:pt idx="11">
                  <c:v>11.949707432621842</c:v>
                </c:pt>
                <c:pt idx="12">
                  <c:v>12.094183786930728</c:v>
                </c:pt>
                <c:pt idx="13">
                  <c:v>12.233549544463614</c:v>
                </c:pt>
                <c:pt idx="14">
                  <c:v>12.36790721193109</c:v>
                </c:pt>
                <c:pt idx="15">
                  <c:v>12.497357545359868</c:v>
                </c:pt>
                <c:pt idx="16">
                  <c:v>12.621999577891245</c:v>
                </c:pt>
                <c:pt idx="17">
                  <c:v>12.741930647155179</c:v>
                </c:pt>
                <c:pt idx="18">
                  <c:v>12.857246422226197</c:v>
                </c:pt>
                <c:pt idx="19">
                  <c:v>12.968040930167504</c:v>
                </c:pt>
                <c:pt idx="20">
                  <c:v>13.074406582169395</c:v>
                </c:pt>
              </c:numCache>
            </c:numRef>
          </c:val>
          <c:smooth val="0"/>
          <c:extLst>
            <c:ext xmlns:c16="http://schemas.microsoft.com/office/drawing/2014/chart" uri="{C3380CC4-5D6E-409C-BE32-E72D297353CC}">
              <c16:uniqueId val="{00000002-95D9-425F-93CE-C45483DD8694}"/>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Sheet1!$G$88</c:f>
              <c:strCache>
                <c:ptCount val="1"/>
                <c:pt idx="0">
                  <c:v>TEZ/IVA</c:v>
                </c:pt>
              </c:strCache>
            </c:strRef>
          </c:tx>
          <c:spPr>
            <a:ln w="28575" cap="rnd">
              <a:solidFill>
                <a:schemeClr val="accent3"/>
              </a:solidFill>
              <a:round/>
            </a:ln>
            <a:effectLst/>
          </c:spPr>
          <c:marker>
            <c:symbol val="none"/>
          </c:marker>
          <c:val>
            <c:numRef>
              <c:f>Sheet1!$G$89:$G$109</c:f>
              <c:numCache>
                <c:formatCode>General</c:formatCode>
                <c:ptCount val="21"/>
                <c:pt idx="0">
                  <c:v>60</c:v>
                </c:pt>
                <c:pt idx="1">
                  <c:v>66.7</c:v>
                </c:pt>
                <c:pt idx="2" formatCode="0.00">
                  <c:v>65.984308999999996</c:v>
                </c:pt>
                <c:pt idx="3" formatCode="0.00">
                  <c:v>65.276297364429993</c:v>
                </c:pt>
                <c:pt idx="4" formatCode="0.00">
                  <c:v>64.575882693709659</c:v>
                </c:pt>
                <c:pt idx="5" formatCode="0.00">
                  <c:v>63.882983472406153</c:v>
                </c:pt>
                <c:pt idx="6" formatCode="0.00">
                  <c:v>63.197519059747236</c:v>
                </c:pt>
                <c:pt idx="7" formatCode="0.00">
                  <c:v>62.808980712567909</c:v>
                </c:pt>
                <c:pt idx="8" formatCode="0.00">
                  <c:v>62.422831099147039</c:v>
                </c:pt>
                <c:pt idx="9" formatCode="0.00">
                  <c:v>62.03905553354948</c:v>
                </c:pt>
                <c:pt idx="10" formatCode="0.00">
                  <c:v>61.657639420129215</c:v>
                </c:pt>
                <c:pt idx="11" formatCode="0.00">
                  <c:v>61.27856825297426</c:v>
                </c:pt>
                <c:pt idx="12" formatCode="0.00">
                  <c:v>60.901827615354975</c:v>
                </c:pt>
                <c:pt idx="13" formatCode="0.00">
                  <c:v>60.527403179175771</c:v>
                </c:pt>
                <c:pt idx="14" formatCode="0.00">
                  <c:v>60.155280704430197</c:v>
                </c:pt>
                <c:pt idx="15" formatCode="0.00">
                  <c:v>59.785446038659359</c:v>
                </c:pt>
                <c:pt idx="16" formatCode="0.00">
                  <c:v>59.417885116413679</c:v>
                </c:pt>
                <c:pt idx="17" formatCode="0.00">
                  <c:v>59.052583958717968</c:v>
                </c:pt>
                <c:pt idx="18" formatCode="0.00">
                  <c:v>58.689528672539765</c:v>
                </c:pt>
                <c:pt idx="19" formatCode="0.00">
                  <c:v>58.328705450260991</c:v>
                </c:pt>
                <c:pt idx="20" formatCode="0.00">
                  <c:v>57.970100569152784</c:v>
                </c:pt>
              </c:numCache>
            </c:numRef>
          </c:val>
          <c:smooth val="0"/>
          <c:extLst>
            <c:ext xmlns:c16="http://schemas.microsoft.com/office/drawing/2014/chart" uri="{C3380CC4-5D6E-409C-BE32-E72D297353CC}">
              <c16:uniqueId val="{00000000-2753-49F4-8FCC-97DE8489C0B4}"/>
            </c:ext>
          </c:extLst>
        </c:ser>
        <c:ser>
          <c:idx val="3"/>
          <c:order val="1"/>
          <c:tx>
            <c:strRef>
              <c:f>Sheet1!$H$88</c:f>
              <c:strCache>
                <c:ptCount val="1"/>
                <c:pt idx="0">
                  <c:v>ELX/TEZ/IVA</c:v>
                </c:pt>
              </c:strCache>
            </c:strRef>
          </c:tx>
          <c:spPr>
            <a:ln w="28575" cap="rnd">
              <a:solidFill>
                <a:schemeClr val="accent4"/>
              </a:solidFill>
              <a:round/>
            </a:ln>
            <a:effectLst/>
          </c:spPr>
          <c:marker>
            <c:symbol val="none"/>
          </c:marker>
          <c:val>
            <c:numRef>
              <c:f>Sheet1!$H$89:$H$109</c:f>
              <c:numCache>
                <c:formatCode>General</c:formatCode>
                <c:ptCount val="21"/>
                <c:pt idx="0">
                  <c:v>60</c:v>
                </c:pt>
                <c:pt idx="1">
                  <c:v>68.7</c:v>
                </c:pt>
                <c:pt idx="2" formatCode="0.00">
                  <c:v>68.2043295</c:v>
                </c:pt>
                <c:pt idx="3" formatCode="0.00">
                  <c:v>67.712235262657501</c:v>
                </c:pt>
                <c:pt idx="4" formatCode="0.00">
                  <c:v>67.223691485237424</c:v>
                </c:pt>
                <c:pt idx="5" formatCode="0.00">
                  <c:v>66.738672551171433</c:v>
                </c:pt>
                <c:pt idx="6" formatCode="0.00">
                  <c:v>66.25715302871474</c:v>
                </c:pt>
                <c:pt idx="7" formatCode="0.00">
                  <c:v>65.983245958094031</c:v>
                </c:pt>
                <c:pt idx="8" formatCode="0.00">
                  <c:v>65.710471219303273</c:v>
                </c:pt>
                <c:pt idx="9" formatCode="0.00">
                  <c:v>65.438824131282672</c:v>
                </c:pt>
                <c:pt idx="10" formatCode="0.00">
                  <c:v>65.168300032323955</c:v>
                </c:pt>
                <c:pt idx="11" formatCode="0.00">
                  <c:v>64.89889427999033</c:v>
                </c:pt>
                <c:pt idx="12" formatCode="0.00">
                  <c:v>64.630602251036848</c:v>
                </c:pt>
                <c:pt idx="13" formatCode="0.00">
                  <c:v>64.363419341331067</c:v>
                </c:pt>
                <c:pt idx="14" formatCode="0.00">
                  <c:v>64.097340965774009</c:v>
                </c:pt>
                <c:pt idx="15" formatCode="0.00">
                  <c:v>63.832362558221504</c:v>
                </c:pt>
                <c:pt idx="16" formatCode="0.00">
                  <c:v>63.568479571405817</c:v>
                </c:pt>
                <c:pt idx="17" formatCode="0.00">
                  <c:v>63.305687476857628</c:v>
                </c:pt>
                <c:pt idx="18" formatCode="0.00">
                  <c:v>63.043981764828303</c:v>
                </c:pt>
                <c:pt idx="19" formatCode="0.00">
                  <c:v>62.783357944212504</c:v>
                </c:pt>
                <c:pt idx="20" formatCode="0.00">
                  <c:v>62.52381154247113</c:v>
                </c:pt>
              </c:numCache>
            </c:numRef>
          </c:val>
          <c:smooth val="0"/>
          <c:extLst>
            <c:ext xmlns:c16="http://schemas.microsoft.com/office/drawing/2014/chart" uri="{C3380CC4-5D6E-409C-BE32-E72D297353CC}">
              <c16:uniqueId val="{00000001-2753-49F4-8FCC-97DE8489C0B4}"/>
            </c:ext>
          </c:extLst>
        </c:ser>
        <c:ser>
          <c:idx val="4"/>
          <c:order val="2"/>
          <c:tx>
            <c:strRef>
              <c:f>Sheet1!$I$88</c:f>
              <c:strCache>
                <c:ptCount val="1"/>
                <c:pt idx="0">
                  <c:v>Difference</c:v>
                </c:pt>
              </c:strCache>
            </c:strRef>
          </c:tx>
          <c:spPr>
            <a:ln w="28575" cap="rnd">
              <a:solidFill>
                <a:schemeClr val="accent5"/>
              </a:solidFill>
              <a:round/>
            </a:ln>
            <a:effectLst/>
          </c:spPr>
          <c:marker>
            <c:symbol val="none"/>
          </c:marker>
          <c:val>
            <c:numRef>
              <c:f>Sheet1!$I$89:$I$109</c:f>
              <c:numCache>
                <c:formatCode>0.00</c:formatCode>
                <c:ptCount val="21"/>
                <c:pt idx="0">
                  <c:v>0</c:v>
                </c:pt>
                <c:pt idx="1">
                  <c:v>2</c:v>
                </c:pt>
                <c:pt idx="2">
                  <c:v>2.2200205000000039</c:v>
                </c:pt>
                <c:pt idx="3">
                  <c:v>2.4359378982275075</c:v>
                </c:pt>
                <c:pt idx="4">
                  <c:v>2.6478087915277655</c:v>
                </c:pt>
                <c:pt idx="5">
                  <c:v>2.8556890787652804</c:v>
                </c:pt>
                <c:pt idx="6">
                  <c:v>3.0596339689675034</c:v>
                </c:pt>
                <c:pt idx="7">
                  <c:v>3.1742652455261222</c:v>
                </c:pt>
                <c:pt idx="8">
                  <c:v>3.2876401201562331</c:v>
                </c:pt>
                <c:pt idx="9">
                  <c:v>3.3997685977331926</c:v>
                </c:pt>
                <c:pt idx="10">
                  <c:v>3.5106606121947408</c:v>
                </c:pt>
                <c:pt idx="11">
                  <c:v>3.6203260270160698</c:v>
                </c:pt>
                <c:pt idx="12">
                  <c:v>3.728774635681873</c:v>
                </c:pt>
                <c:pt idx="13">
                  <c:v>3.8360161621552962</c:v>
                </c:pt>
                <c:pt idx="14">
                  <c:v>3.942060261343812</c:v>
                </c:pt>
                <c:pt idx="15">
                  <c:v>4.0469165195621457</c:v>
                </c:pt>
                <c:pt idx="16">
                  <c:v>4.1505944549921381</c:v>
                </c:pt>
                <c:pt idx="17">
                  <c:v>4.2531035181396604</c:v>
                </c:pt>
                <c:pt idx="18">
                  <c:v>4.3544530922885372</c:v>
                </c:pt>
                <c:pt idx="19">
                  <c:v>4.4546524939515137</c:v>
                </c:pt>
                <c:pt idx="20">
                  <c:v>4.5537109733183456</c:v>
                </c:pt>
              </c:numCache>
            </c:numRef>
          </c:val>
          <c:smooth val="0"/>
          <c:extLst>
            <c:ext xmlns:c16="http://schemas.microsoft.com/office/drawing/2014/chart" uri="{C3380CC4-5D6E-409C-BE32-E72D297353CC}">
              <c16:uniqueId val="{00000002-2753-49F4-8FCC-97DE8489C0B4}"/>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Sheet1!$F$34</c:f>
              <c:strCache>
                <c:ptCount val="1"/>
                <c:pt idx="0">
                  <c:v>BSC</c:v>
                </c:pt>
              </c:strCache>
            </c:strRef>
          </c:tx>
          <c:spPr>
            <a:ln w="28575" cap="rnd">
              <a:solidFill>
                <a:schemeClr val="accent1"/>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Sheet1!$F$35:$F$55</c:f>
              <c:numCache>
                <c:formatCode>0.00</c:formatCode>
                <c:ptCount val="21"/>
                <c:pt idx="0" formatCode="General">
                  <c:v>60</c:v>
                </c:pt>
                <c:pt idx="1">
                  <c:v>58.518000000000001</c:v>
                </c:pt>
                <c:pt idx="2">
                  <c:v>57.0726054</c:v>
                </c:pt>
                <c:pt idx="3">
                  <c:v>55.662912046620001</c:v>
                </c:pt>
                <c:pt idx="4">
                  <c:v>54.288038119068489</c:v>
                </c:pt>
                <c:pt idx="5">
                  <c:v>52.947123577527499</c:v>
                </c:pt>
                <c:pt idx="6">
                  <c:v>51.639329625162574</c:v>
                </c:pt>
                <c:pt idx="7">
                  <c:v>50.363838183421059</c:v>
                </c:pt>
                <c:pt idx="8">
                  <c:v>49.119851380290562</c:v>
                </c:pt>
                <c:pt idx="9">
                  <c:v>47.906591051197388</c:v>
                </c:pt>
                <c:pt idx="10">
                  <c:v>46.723298252232816</c:v>
                </c:pt>
                <c:pt idx="11">
                  <c:v>45.569232785402669</c:v>
                </c:pt>
                <c:pt idx="12">
                  <c:v>44.443672735603222</c:v>
                </c:pt>
                <c:pt idx="13">
                  <c:v>43.345914019033827</c:v>
                </c:pt>
                <c:pt idx="14">
                  <c:v>42.275269942763693</c:v>
                </c:pt>
                <c:pt idx="15">
                  <c:v>41.231070775177429</c:v>
                </c:pt>
                <c:pt idx="16">
                  <c:v>40.212663327030548</c:v>
                </c:pt>
                <c:pt idx="17">
                  <c:v>39.219410542852899</c:v>
                </c:pt>
                <c:pt idx="18">
                  <c:v>38.250691102444435</c:v>
                </c:pt>
                <c:pt idx="19">
                  <c:v>37.305899032214057</c:v>
                </c:pt>
                <c:pt idx="20">
                  <c:v>36.384443326118372</c:v>
                </c:pt>
              </c:numCache>
            </c:numRef>
          </c:val>
          <c:smooth val="0"/>
          <c:extLst>
            <c:ext xmlns:c16="http://schemas.microsoft.com/office/drawing/2014/chart" uri="{C3380CC4-5D6E-409C-BE32-E72D297353CC}">
              <c16:uniqueId val="{00000000-950F-4D03-8290-5FFC1A968586}"/>
            </c:ext>
          </c:extLst>
        </c:ser>
        <c:ser>
          <c:idx val="1"/>
          <c:order val="1"/>
          <c:tx>
            <c:strRef>
              <c:f>Sheet1!$G$34</c:f>
              <c:strCache>
                <c:ptCount val="1"/>
                <c:pt idx="0">
                  <c:v>ELX/TEZ/IVA</c:v>
                </c:pt>
              </c:strCache>
            </c:strRef>
          </c:tx>
          <c:spPr>
            <a:ln w="28575" cap="rnd">
              <a:solidFill>
                <a:schemeClr val="accent2"/>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Sheet1!$G$35:$G$55</c:f>
              <c:numCache>
                <c:formatCode>General</c:formatCode>
                <c:ptCount val="21"/>
                <c:pt idx="0">
                  <c:v>60</c:v>
                </c:pt>
                <c:pt idx="1">
                  <c:v>74.3</c:v>
                </c:pt>
                <c:pt idx="2" formatCode="0.00">
                  <c:v>73.584268100000003</c:v>
                </c:pt>
                <c:pt idx="3" formatCode="0.00">
                  <c:v>72.8754308453927</c:v>
                </c:pt>
                <c:pt idx="4" formatCode="0.00">
                  <c:v>72.173421820059033</c:v>
                </c:pt>
                <c:pt idx="5" formatCode="0.00">
                  <c:v>71.4781752476664</c:v>
                </c:pt>
                <c:pt idx="6" formatCode="0.00">
                  <c:v>70.789625985505623</c:v>
                </c:pt>
                <c:pt idx="7" formatCode="0.00">
                  <c:v>70.107709518387253</c:v>
                </c:pt>
                <c:pt idx="8" formatCode="0.00">
                  <c:v>69.432361952596622</c:v>
                </c:pt>
                <c:pt idx="9" formatCode="0.00">
                  <c:v>68.763520009907253</c:v>
                </c:pt>
                <c:pt idx="10" formatCode="0.00">
                  <c:v>68.101121021651821</c:v>
                </c:pt>
                <c:pt idx="11" formatCode="0.00">
                  <c:v>67.445102922850253</c:v>
                </c:pt>
                <c:pt idx="12" formatCode="0.00">
                  <c:v>66.79540424639444</c:v>
                </c:pt>
                <c:pt idx="13" formatCode="0.00">
                  <c:v>66.151964117288927</c:v>
                </c:pt>
                <c:pt idx="14" formatCode="0.00">
                  <c:v>65.514722246947088</c:v>
                </c:pt>
                <c:pt idx="15" formatCode="0.00">
                  <c:v>64.883618927542244</c:v>
                </c:pt>
                <c:pt idx="16" formatCode="0.00">
                  <c:v>64.258595026413232</c:v>
                </c:pt>
                <c:pt idx="17" formatCode="0.00">
                  <c:v>63.639591980523797</c:v>
                </c:pt>
                <c:pt idx="18" formatCode="0.00">
                  <c:v>63.026551790975411</c:v>
                </c:pt>
                <c:pt idx="19" formatCode="0.00">
                  <c:v>62.419417017572947</c:v>
                </c:pt>
                <c:pt idx="20" formatCode="0.00">
                  <c:v>61.818130773442668</c:v>
                </c:pt>
              </c:numCache>
            </c:numRef>
          </c:val>
          <c:smooth val="0"/>
          <c:extLst>
            <c:ext xmlns:c16="http://schemas.microsoft.com/office/drawing/2014/chart" uri="{C3380CC4-5D6E-409C-BE32-E72D297353CC}">
              <c16:uniqueId val="{00000001-950F-4D03-8290-5FFC1A968586}"/>
            </c:ext>
          </c:extLst>
        </c:ser>
        <c:ser>
          <c:idx val="2"/>
          <c:order val="2"/>
          <c:tx>
            <c:strRef>
              <c:f>Sheet1!$H$34</c:f>
              <c:strCache>
                <c:ptCount val="1"/>
                <c:pt idx="0">
                  <c:v>Difference</c:v>
                </c:pt>
              </c:strCache>
            </c:strRef>
          </c:tx>
          <c:spPr>
            <a:ln w="28575" cap="rnd">
              <a:solidFill>
                <a:schemeClr val="accent3"/>
              </a:solidFill>
              <a:round/>
            </a:ln>
            <a:effectLst/>
          </c:spPr>
          <c:marker>
            <c:symbol val="none"/>
          </c:marker>
          <c:cat>
            <c:numRef>
              <c:f>Sheet1!$E$35:$E$55</c:f>
              <c:numCache>
                <c:formatCode>General</c:formatCode>
                <c:ptCount val="2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numCache>
            </c:numRef>
          </c:cat>
          <c:val>
            <c:numRef>
              <c:f>Sheet1!$H$35:$H$55</c:f>
              <c:numCache>
                <c:formatCode>0.00</c:formatCode>
                <c:ptCount val="21"/>
                <c:pt idx="0">
                  <c:v>0</c:v>
                </c:pt>
                <c:pt idx="1">
                  <c:v>15.781999999999996</c:v>
                </c:pt>
                <c:pt idx="2">
                  <c:v>16.511662700000002</c:v>
                </c:pt>
                <c:pt idx="3">
                  <c:v>17.212518798772699</c:v>
                </c:pt>
                <c:pt idx="4">
                  <c:v>17.885383700990545</c:v>
                </c:pt>
                <c:pt idx="5">
                  <c:v>18.531051670138901</c:v>
                </c:pt>
                <c:pt idx="6">
                  <c:v>19.150296360343049</c:v>
                </c:pt>
                <c:pt idx="7">
                  <c:v>19.743871334966194</c:v>
                </c:pt>
                <c:pt idx="8">
                  <c:v>20.31251057230606</c:v>
                </c:pt>
                <c:pt idx="9">
                  <c:v>20.856928958709865</c:v>
                </c:pt>
                <c:pt idx="10">
                  <c:v>21.377822769419005</c:v>
                </c:pt>
                <c:pt idx="11">
                  <c:v>21.875870137447585</c:v>
                </c:pt>
                <c:pt idx="12">
                  <c:v>22.351731510791218</c:v>
                </c:pt>
                <c:pt idx="13">
                  <c:v>22.806050098255099</c:v>
                </c:pt>
                <c:pt idx="14">
                  <c:v>23.239452304183395</c:v>
                </c:pt>
                <c:pt idx="15">
                  <c:v>23.652548152364815</c:v>
                </c:pt>
                <c:pt idx="16">
                  <c:v>24.045931699382685</c:v>
                </c:pt>
                <c:pt idx="17">
                  <c:v>24.420181437670898</c:v>
                </c:pt>
                <c:pt idx="18">
                  <c:v>24.775860688530976</c:v>
                </c:pt>
                <c:pt idx="19">
                  <c:v>25.113517985358889</c:v>
                </c:pt>
                <c:pt idx="20">
                  <c:v>25.433687447324296</c:v>
                </c:pt>
              </c:numCache>
            </c:numRef>
          </c:val>
          <c:smooth val="0"/>
          <c:extLst>
            <c:ext xmlns:c16="http://schemas.microsoft.com/office/drawing/2014/chart" uri="{C3380CC4-5D6E-409C-BE32-E72D297353CC}">
              <c16:uniqueId val="{00000002-950F-4D03-8290-5FFC1A968586}"/>
            </c:ext>
          </c:extLst>
        </c:ser>
        <c:dLbls>
          <c:showLegendKey val="0"/>
          <c:showVal val="0"/>
          <c:showCatName val="0"/>
          <c:showSerName val="0"/>
          <c:showPercent val="0"/>
          <c:showBubbleSize val="0"/>
        </c:dLbls>
        <c:smooth val="0"/>
        <c:axId val="1944134383"/>
        <c:axId val="1905727455"/>
      </c:lineChart>
      <c:catAx>
        <c:axId val="19441343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Year after</a:t>
                </a:r>
                <a:r>
                  <a:rPr lang="en-AU" baseline="0"/>
                  <a:t> treatment</a:t>
                </a:r>
                <a:endParaRPr lang="en-AU"/>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05727455"/>
        <c:crosses val="autoZero"/>
        <c:auto val="1"/>
        <c:lblAlgn val="ctr"/>
        <c:lblOffset val="100"/>
        <c:noMultiLvlLbl val="0"/>
      </c:catAx>
      <c:valAx>
        <c:axId val="19057274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ppFEV1 (%)</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4413438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5766482160027"/>
          <c:y val="3.34438223550668E-2"/>
          <c:w val="0.83762830641194741"/>
          <c:h val="0.80353131509991416"/>
        </c:manualLayout>
      </c:layout>
      <c:scatterChart>
        <c:scatterStyle val="lineMarker"/>
        <c:varyColors val="0"/>
        <c:ser>
          <c:idx val="1"/>
          <c:order val="0"/>
          <c:tx>
            <c:strRef>
              <c:f>Plotting!$AV$4</c:f>
              <c:strCache>
                <c:ptCount val="1"/>
                <c:pt idx="0">
                  <c:v>ELX/TEZ/IVA</c:v>
                </c:pt>
              </c:strCache>
            </c:strRef>
          </c:tx>
          <c:spPr>
            <a:ln w="25400" cap="rnd">
              <a:solidFill>
                <a:srgbClr val="FF3399"/>
              </a:solidFill>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Plotting!$AV$5:$AV$128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0.96983802082308257</c:v>
                </c:pt>
                <c:pt idx="17">
                  <c:v>0.96377653319293832</c:v>
                </c:pt>
                <c:pt idx="18">
                  <c:v>0.95647519582026452</c:v>
                </c:pt>
                <c:pt idx="19">
                  <c:v>0.95019636521312933</c:v>
                </c:pt>
                <c:pt idx="20">
                  <c:v>0.94845926034071049</c:v>
                </c:pt>
                <c:pt idx="21">
                  <c:v>0.94234016833851231</c:v>
                </c:pt>
                <c:pt idx="22">
                  <c:v>0.93541119651249383</c:v>
                </c:pt>
                <c:pt idx="23">
                  <c:v>0.926761423229023</c:v>
                </c:pt>
                <c:pt idx="24">
                  <c:v>0.92563397624212629</c:v>
                </c:pt>
                <c:pt idx="25">
                  <c:v>0.92055922856536021</c:v>
                </c:pt>
                <c:pt idx="26">
                  <c:v>0.91865920951775371</c:v>
                </c:pt>
                <c:pt idx="27">
                  <c:v>0.91254064199480012</c:v>
                </c:pt>
                <c:pt idx="28">
                  <c:v>0.90518803162957795</c:v>
                </c:pt>
                <c:pt idx="29">
                  <c:v>0.90138472057231078</c:v>
                </c:pt>
                <c:pt idx="30">
                  <c:v>0.89419664465068149</c:v>
                </c:pt>
                <c:pt idx="31">
                  <c:v>0.88455942138269883</c:v>
                </c:pt>
                <c:pt idx="32">
                  <c:v>0.8745981666373982</c:v>
                </c:pt>
                <c:pt idx="33">
                  <c:v>0.86622572468873393</c:v>
                </c:pt>
                <c:pt idx="34">
                  <c:v>0.85351381677925564</c:v>
                </c:pt>
                <c:pt idx="35">
                  <c:v>0.83943523835815448</c:v>
                </c:pt>
                <c:pt idx="36">
                  <c:v>0.82815250665979223</c:v>
                </c:pt>
                <c:pt idx="37">
                  <c:v>0.81824110697902341</c:v>
                </c:pt>
                <c:pt idx="38">
                  <c:v>0.80261965069041796</c:v>
                </c:pt>
                <c:pt idx="39">
                  <c:v>0.79158888323982979</c:v>
                </c:pt>
                <c:pt idx="40">
                  <c:v>0.77914740766828039</c:v>
                </c:pt>
                <c:pt idx="41">
                  <c:v>0.76525244068872711</c:v>
                </c:pt>
                <c:pt idx="42">
                  <c:v>0.74956274117725186</c:v>
                </c:pt>
                <c:pt idx="43">
                  <c:v>0.73407177785958866</c:v>
                </c:pt>
                <c:pt idx="44">
                  <c:v>0.72081429424607102</c:v>
                </c:pt>
                <c:pt idx="45">
                  <c:v>0.70687855122398036</c:v>
                </c:pt>
                <c:pt idx="46">
                  <c:v>0.69456029228844185</c:v>
                </c:pt>
                <c:pt idx="47">
                  <c:v>0.68331235233235366</c:v>
                </c:pt>
                <c:pt idx="48">
                  <c:v>0.66893171219501291</c:v>
                </c:pt>
                <c:pt idx="49">
                  <c:v>0.65369724255910167</c:v>
                </c:pt>
                <c:pt idx="50">
                  <c:v>0.63527025897744982</c:v>
                </c:pt>
                <c:pt idx="51">
                  <c:v>0.61872197437311682</c:v>
                </c:pt>
                <c:pt idx="52">
                  <c:v>0.60101826417461979</c:v>
                </c:pt>
                <c:pt idx="53">
                  <c:v>0.58563074837496842</c:v>
                </c:pt>
                <c:pt idx="54">
                  <c:v>0.56761134073266173</c:v>
                </c:pt>
                <c:pt idx="55">
                  <c:v>0.54836269116522918</c:v>
                </c:pt>
                <c:pt idx="56">
                  <c:v>0.53277155047409752</c:v>
                </c:pt>
                <c:pt idx="57">
                  <c:v>0.50699944878310699</c:v>
                </c:pt>
                <c:pt idx="58">
                  <c:v>0.48657740443632685</c:v>
                </c:pt>
                <c:pt idx="59">
                  <c:v>0.46748723254694541</c:v>
                </c:pt>
                <c:pt idx="60">
                  <c:v>0.44706518820016528</c:v>
                </c:pt>
                <c:pt idx="61">
                  <c:v>0.42619918636758558</c:v>
                </c:pt>
                <c:pt idx="62">
                  <c:v>0.40533318453500589</c:v>
                </c:pt>
                <c:pt idx="63">
                  <c:v>0.38982863649268323</c:v>
                </c:pt>
                <c:pt idx="64">
                  <c:v>0.37172787307682814</c:v>
                </c:pt>
                <c:pt idx="65">
                  <c:v>0.35274414559190703</c:v>
                </c:pt>
                <c:pt idx="66">
                  <c:v>0.33160591963883396</c:v>
                </c:pt>
                <c:pt idx="67">
                  <c:v>0.3095869342710495</c:v>
                </c:pt>
                <c:pt idx="68">
                  <c:v>0.28712756919590932</c:v>
                </c:pt>
                <c:pt idx="69">
                  <c:v>0.27347579826788293</c:v>
                </c:pt>
                <c:pt idx="70">
                  <c:v>0.25762212880307811</c:v>
                </c:pt>
                <c:pt idx="71">
                  <c:v>0.24441073758240742</c:v>
                </c:pt>
                <c:pt idx="72">
                  <c:v>0.23208010577644811</c:v>
                </c:pt>
                <c:pt idx="73">
                  <c:v>0.21842833484842175</c:v>
                </c:pt>
                <c:pt idx="74">
                  <c:v>0.20477656392039539</c:v>
                </c:pt>
                <c:pt idx="75">
                  <c:v>0.18804213504087919</c:v>
                </c:pt>
                <c:pt idx="76">
                  <c:v>0.1717480858687187</c:v>
                </c:pt>
                <c:pt idx="77">
                  <c:v>0.15633479611126957</c:v>
                </c:pt>
                <c:pt idx="78">
                  <c:v>0.14400416430531029</c:v>
                </c:pt>
                <c:pt idx="79">
                  <c:v>0.13167353249935101</c:v>
                </c:pt>
                <c:pt idx="80">
                  <c:v>0.12330631805959293</c:v>
                </c:pt>
                <c:pt idx="81">
                  <c:v>0.1083334080094995</c:v>
                </c:pt>
                <c:pt idx="82">
                  <c:v>9.7764295032962967E-2</c:v>
                </c:pt>
                <c:pt idx="83">
                  <c:v>8.675480234907075E-2</c:v>
                </c:pt>
                <c:pt idx="84">
                  <c:v>7.7947208201956969E-2</c:v>
                </c:pt>
                <c:pt idx="85">
                  <c:v>7.1341512591621636E-2</c:v>
                </c:pt>
                <c:pt idx="86">
                  <c:v>6.4735816981286304E-2</c:v>
                </c:pt>
                <c:pt idx="87">
                  <c:v>5.5487843126816837E-2</c:v>
                </c:pt>
                <c:pt idx="88">
                  <c:v>4.8882147516481497E-2</c:v>
                </c:pt>
                <c:pt idx="89">
                  <c:v>4.2276451906146165E-2</c:v>
                </c:pt>
                <c:pt idx="90">
                  <c:v>3.831303453994496E-2</c:v>
                </c:pt>
                <c:pt idx="91">
                  <c:v>3.4349617173743754E-2</c:v>
                </c:pt>
                <c:pt idx="92">
                  <c:v>2.8624680978119797E-2</c:v>
                </c:pt>
                <c:pt idx="93">
                  <c:v>2.2899744782495839E-2</c:v>
                </c:pt>
                <c:pt idx="94">
                  <c:v>1.9376707123650326E-2</c:v>
                </c:pt>
                <c:pt idx="95">
                  <c:v>1.4972910050093434E-2</c:v>
                </c:pt>
                <c:pt idx="96">
                  <c:v>1.1009492683892232E-2</c:v>
                </c:pt>
                <c:pt idx="97">
                  <c:v>7.9268347324024067E-3</c:v>
                </c:pt>
                <c:pt idx="98">
                  <c:v>6.6056956103353395E-3</c:v>
                </c:pt>
                <c:pt idx="99">
                  <c:v>4.8441767809125824E-3</c:v>
                </c:pt>
                <c:pt idx="100">
                  <c:v>3.9634173662012034E-3</c:v>
                </c:pt>
                <c:pt idx="101">
                  <c:v>3.0826579514898248E-3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5849-4640-8C45-308618589F5C}"/>
            </c:ext>
          </c:extLst>
        </c:ser>
        <c:ser>
          <c:idx val="7"/>
          <c:order val="1"/>
          <c:tx>
            <c:strRef>
              <c:f>Plotting!$AX$4</c:f>
              <c:strCache>
                <c:ptCount val="1"/>
                <c:pt idx="0">
                  <c:v>TEZ/IVA</c:v>
                </c:pt>
              </c:strCache>
            </c:strRef>
          </c:tx>
          <c:spPr>
            <a:ln w="25400" cap="rnd">
              <a:solidFill>
                <a:schemeClr val="accent6"/>
              </a:solidFill>
              <a:round/>
            </a:ln>
            <a:effectLst/>
          </c:spPr>
          <c:marker>
            <c:symbol val="none"/>
          </c:marker>
          <c:xVal>
            <c:numRef>
              <c:f>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Plotting!$AX$5:$AX$128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0.97376449054301406</c:v>
                </c:pt>
                <c:pt idx="16">
                  <c:v>0.96591155110315108</c:v>
                </c:pt>
                <c:pt idx="17">
                  <c:v>0.95682774341252574</c:v>
                </c:pt>
                <c:pt idx="18">
                  <c:v>0.9495422529804507</c:v>
                </c:pt>
                <c:pt idx="19">
                  <c:v>0.93493391062690534</c:v>
                </c:pt>
                <c:pt idx="20">
                  <c:v>0.92456495782882508</c:v>
                </c:pt>
                <c:pt idx="21">
                  <c:v>0.91090143628455678</c:v>
                </c:pt>
                <c:pt idx="22">
                  <c:v>0.89855488067226619</c:v>
                </c:pt>
                <c:pt idx="23">
                  <c:v>0.8851436137965607</c:v>
                </c:pt>
                <c:pt idx="24">
                  <c:v>0.87848839865523309</c:v>
                </c:pt>
                <c:pt idx="25">
                  <c:v>0.86157525847727279</c:v>
                </c:pt>
                <c:pt idx="26">
                  <c:v>0.84857735587093464</c:v>
                </c:pt>
                <c:pt idx="27">
                  <c:v>0.83412263137213116</c:v>
                </c:pt>
                <c:pt idx="28">
                  <c:v>0.81512932667295546</c:v>
                </c:pt>
                <c:pt idx="29">
                  <c:v>0.80559993706257016</c:v>
                </c:pt>
                <c:pt idx="30">
                  <c:v>0.78628760980422086</c:v>
                </c:pt>
                <c:pt idx="31">
                  <c:v>0.76654817190118607</c:v>
                </c:pt>
                <c:pt idx="32">
                  <c:v>0.75200146566873782</c:v>
                </c:pt>
                <c:pt idx="33">
                  <c:v>0.7348827331169292</c:v>
                </c:pt>
                <c:pt idx="34">
                  <c:v>0.71434253250185975</c:v>
                </c:pt>
                <c:pt idx="35">
                  <c:v>0.69286268765407832</c:v>
                </c:pt>
                <c:pt idx="36">
                  <c:v>0.66230296454842319</c:v>
                </c:pt>
                <c:pt idx="37">
                  <c:v>0.64027742125717635</c:v>
                </c:pt>
                <c:pt idx="38">
                  <c:v>0.61083364272703333</c:v>
                </c:pt>
                <c:pt idx="39">
                  <c:v>0.58372850485642014</c:v>
                </c:pt>
                <c:pt idx="40">
                  <c:v>0.56087453403006771</c:v>
                </c:pt>
                <c:pt idx="41">
                  <c:v>0.53540167882601086</c:v>
                </c:pt>
                <c:pt idx="42">
                  <c:v>0.50447761634209465</c:v>
                </c:pt>
                <c:pt idx="43">
                  <c:v>0.4768039341506668</c:v>
                </c:pt>
                <c:pt idx="44">
                  <c:v>0.45201190043438333</c:v>
                </c:pt>
                <c:pt idx="45">
                  <c:v>0.42539771446388785</c:v>
                </c:pt>
                <c:pt idx="46">
                  <c:v>0.40143756651483486</c:v>
                </c:pt>
                <c:pt idx="47">
                  <c:v>0.37497824184238437</c:v>
                </c:pt>
                <c:pt idx="48">
                  <c:v>0.34772928066728703</c:v>
                </c:pt>
                <c:pt idx="49">
                  <c:v>0.31868460757210759</c:v>
                </c:pt>
                <c:pt idx="50">
                  <c:v>0.29537602341172647</c:v>
                </c:pt>
                <c:pt idx="51">
                  <c:v>0.27376314364989285</c:v>
                </c:pt>
                <c:pt idx="52">
                  <c:v>0.25111227013820414</c:v>
                </c:pt>
                <c:pt idx="53">
                  <c:v>0.22821331505604953</c:v>
                </c:pt>
                <c:pt idx="54">
                  <c:v>0.20708245255085977</c:v>
                </c:pt>
                <c:pt idx="55">
                  <c:v>0.18815352635791099</c:v>
                </c:pt>
                <c:pt idx="56">
                  <c:v>0.1739391446449873</c:v>
                </c:pt>
                <c:pt idx="57">
                  <c:v>0.15721422689066161</c:v>
                </c:pt>
                <c:pt idx="58">
                  <c:v>0.14312427259385702</c:v>
                </c:pt>
                <c:pt idx="59">
                  <c:v>0.13162983619383223</c:v>
                </c:pt>
                <c:pt idx="60">
                  <c:v>0.11753988189702766</c:v>
                </c:pt>
                <c:pt idx="61">
                  <c:v>0.10344992760022308</c:v>
                </c:pt>
                <c:pt idx="62">
                  <c:v>9.0843126387292666E-2</c:v>
                </c:pt>
                <c:pt idx="63">
                  <c:v>8.0545120157154232E-2</c:v>
                </c:pt>
                <c:pt idx="64">
                  <c:v>7.1111907886496531E-2</c:v>
                </c:pt>
                <c:pt idx="65">
                  <c:v>6.3129959042093856E-2</c:v>
                </c:pt>
                <c:pt idx="66">
                  <c:v>5.3445249416318091E-2</c:v>
                </c:pt>
                <c:pt idx="67">
                  <c:v>4.6271390434261969E-2</c:v>
                </c:pt>
                <c:pt idx="68">
                  <c:v>4.0532303248617077E-2</c:v>
                </c:pt>
                <c:pt idx="69">
                  <c:v>3.4793216062972178E-2</c:v>
                </c:pt>
                <c:pt idx="70">
                  <c:v>3.120628657194412E-2</c:v>
                </c:pt>
                <c:pt idx="71">
                  <c:v>2.7978050030018867E-2</c:v>
                </c:pt>
                <c:pt idx="72">
                  <c:v>2.5467199386299225E-2</c:v>
                </c:pt>
                <c:pt idx="73">
                  <c:v>2.3673734640785194E-2</c:v>
                </c:pt>
                <c:pt idx="74">
                  <c:v>2.331504169168239E-2</c:v>
                </c:pt>
                <c:pt idx="75">
                  <c:v>2.152157694616836E-2</c:v>
                </c:pt>
                <c:pt idx="76">
                  <c:v>2.1162883997065552E-2</c:v>
                </c:pt>
                <c:pt idx="77">
                  <c:v>1.9728112200654329E-2</c:v>
                </c:pt>
                <c:pt idx="78">
                  <c:v>1.865203335334591E-2</c:v>
                </c:pt>
                <c:pt idx="79">
                  <c:v>1.7217261556934687E-2</c:v>
                </c:pt>
                <c:pt idx="80">
                  <c:v>1.5782489760523464E-2</c:v>
                </c:pt>
                <c:pt idx="81">
                  <c:v>1.3989025015009433E-2</c:v>
                </c:pt>
                <c:pt idx="82">
                  <c:v>1.2912946167701016E-2</c:v>
                </c:pt>
                <c:pt idx="83">
                  <c:v>1.255425321859821E-2</c:v>
                </c:pt>
                <c:pt idx="84">
                  <c:v>1.1478174371289791E-2</c:v>
                </c:pt>
                <c:pt idx="85">
                  <c:v>1.0402095523981374E-2</c:v>
                </c:pt>
                <c:pt idx="86">
                  <c:v>1.0402095523981374E-2</c:v>
                </c:pt>
                <c:pt idx="87">
                  <c:v>8.9673237275701492E-3</c:v>
                </c:pt>
                <c:pt idx="88">
                  <c:v>7.8912448802617319E-3</c:v>
                </c:pt>
                <c:pt idx="89">
                  <c:v>6.8151660329533138E-3</c:v>
                </c:pt>
                <c:pt idx="90">
                  <c:v>6.0977801347477023E-3</c:v>
                </c:pt>
                <c:pt idx="91">
                  <c:v>4.6630083383364775E-3</c:v>
                </c:pt>
                <c:pt idx="92">
                  <c:v>3.9456224401308651E-3</c:v>
                </c:pt>
                <c:pt idx="93">
                  <c:v>2.8695435928224474E-3</c:v>
                </c:pt>
                <c:pt idx="94">
                  <c:v>2.1521576946168354E-3</c:v>
                </c:pt>
                <c:pt idx="95">
                  <c:v>1.7934647455140297E-3</c:v>
                </c:pt>
                <c:pt idx="96">
                  <c:v>1.0760788473084177E-3</c:v>
                </c:pt>
                <c:pt idx="97">
                  <c:v>7.1738589820561185E-4</c:v>
                </c:pt>
                <c:pt idx="98">
                  <c:v>3.5869294910280592E-4</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5849-4640-8C45-308618589F5C}"/>
            </c:ext>
          </c:extLst>
        </c:ser>
        <c:ser>
          <c:idx val="0"/>
          <c:order val="2"/>
          <c:tx>
            <c:strRef>
              <c:f>Plotting!$AU$4</c:f>
              <c:strCache>
                <c:ptCount val="1"/>
                <c:pt idx="0">
                  <c:v>BSC</c:v>
                </c:pt>
              </c:strCache>
            </c:strRef>
          </c:tx>
          <c:spPr>
            <a:ln w="25400" cap="rnd">
              <a:solidFill>
                <a:schemeClr val="accent1"/>
              </a:solidFill>
              <a:prstDash val="sysDot"/>
              <a:round/>
            </a:ln>
            <a:effectLst/>
          </c:spPr>
          <c:marker>
            <c:symbol val="none"/>
          </c:marker>
          <c:xVal>
            <c:numRef>
              <c:f>Plotting!$L$5:$L$105</c:f>
              <c:numCache>
                <c:formatCode>0.0</c:formatCode>
                <c:ptCount val="10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numCache>
            </c:numRef>
          </c:xVal>
          <c:yVal>
            <c:numRef>
              <c:f>Plotting!$AU$5:$AU$128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0.98701298701298701</c:v>
                </c:pt>
                <c:pt idx="15">
                  <c:v>0.96714024230802753</c:v>
                </c:pt>
                <c:pt idx="16">
                  <c:v>0.95930914722861038</c:v>
                </c:pt>
                <c:pt idx="17">
                  <c:v>0.94724236550246432</c:v>
                </c:pt>
                <c:pt idx="18">
                  <c:v>0.93032732326134882</c:v>
                </c:pt>
                <c:pt idx="19">
                  <c:v>0.91167933682626612</c:v>
                </c:pt>
                <c:pt idx="20">
                  <c:v>0.89286419103810677</c:v>
                </c:pt>
                <c:pt idx="21">
                  <c:v>0.87039277683412752</c:v>
                </c:pt>
                <c:pt idx="22">
                  <c:v>0.84745219201834432</c:v>
                </c:pt>
                <c:pt idx="23">
                  <c:v>0.82835467783201544</c:v>
                </c:pt>
                <c:pt idx="24">
                  <c:v>0.80888942430593669</c:v>
                </c:pt>
                <c:pt idx="25">
                  <c:v>0.78478664050659419</c:v>
                </c:pt>
                <c:pt idx="26">
                  <c:v>0.76059801117591153</c:v>
                </c:pt>
                <c:pt idx="27">
                  <c:v>0.73614148348536779</c:v>
                </c:pt>
                <c:pt idx="28">
                  <c:v>0.70370902058591001</c:v>
                </c:pt>
                <c:pt idx="29">
                  <c:v>0.68568297670883249</c:v>
                </c:pt>
                <c:pt idx="30">
                  <c:v>0.65068592496754984</c:v>
                </c:pt>
                <c:pt idx="31">
                  <c:v>0.61996420990770329</c:v>
                </c:pt>
                <c:pt idx="32">
                  <c:v>0.59060984390828553</c:v>
                </c:pt>
                <c:pt idx="33">
                  <c:v>0.55563581303692577</c:v>
                </c:pt>
                <c:pt idx="34">
                  <c:v>0.5198385477712415</c:v>
                </c:pt>
                <c:pt idx="35">
                  <c:v>0.49054487602482005</c:v>
                </c:pt>
                <c:pt idx="36">
                  <c:v>0.45064409663524141</c:v>
                </c:pt>
                <c:pt idx="37">
                  <c:v>0.41490023756477545</c:v>
                </c:pt>
                <c:pt idx="38">
                  <c:v>0.37515716217699169</c:v>
                </c:pt>
                <c:pt idx="39">
                  <c:v>0.34086185861120205</c:v>
                </c:pt>
                <c:pt idx="40">
                  <c:v>0.31310304856861315</c:v>
                </c:pt>
                <c:pt idx="41">
                  <c:v>0.28010247018477474</c:v>
                </c:pt>
                <c:pt idx="42">
                  <c:v>0.24863464759813572</c:v>
                </c:pt>
                <c:pt idx="43">
                  <c:v>0.22184699967785099</c:v>
                </c:pt>
                <c:pt idx="44">
                  <c:v>0.19474842479863466</c:v>
                </c:pt>
                <c:pt idx="45">
                  <c:v>0.17257916453259045</c:v>
                </c:pt>
                <c:pt idx="46">
                  <c:v>0.15587795506169461</c:v>
                </c:pt>
                <c:pt idx="47">
                  <c:v>0.14067034968982198</c:v>
                </c:pt>
                <c:pt idx="48">
                  <c:v>0.12504031083539729</c:v>
                </c:pt>
                <c:pt idx="49">
                  <c:v>0.1084687033752844</c:v>
                </c:pt>
                <c:pt idx="50">
                  <c:v>9.1436427638669493E-2</c:v>
                </c:pt>
                <c:pt idx="51">
                  <c:v>8.1375461490725276E-2</c:v>
                </c:pt>
                <c:pt idx="52">
                  <c:v>7.1342870348033119E-2</c:v>
                </c:pt>
                <c:pt idx="53">
                  <c:v>6.0915835451012888E-2</c:v>
                </c:pt>
                <c:pt idx="54">
                  <c:v>5.5305166396314338E-2</c:v>
                </c:pt>
                <c:pt idx="55">
                  <c:v>4.8102633098189677E-2</c:v>
                </c:pt>
                <c:pt idx="56">
                  <c:v>4.4114850043417475E-2</c:v>
                </c:pt>
                <c:pt idx="57">
                  <c:v>3.8232870037628479E-2</c:v>
                </c:pt>
                <c:pt idx="58">
                  <c:v>3.4823569524718934E-2</c:v>
                </c:pt>
                <c:pt idx="59">
                  <c:v>2.9953140220562439E-2</c:v>
                </c:pt>
                <c:pt idx="60">
                  <c:v>2.6787361172860718E-2</c:v>
                </c:pt>
                <c:pt idx="61">
                  <c:v>2.3134539194743349E-2</c:v>
                </c:pt>
                <c:pt idx="62">
                  <c:v>2.0699324542665102E-2</c:v>
                </c:pt>
                <c:pt idx="63">
                  <c:v>1.8558015107216989E-2</c:v>
                </c:pt>
                <c:pt idx="64">
                  <c:v>1.7183347321497212E-2</c:v>
                </c:pt>
                <c:pt idx="65">
                  <c:v>1.4434011750057658E-2</c:v>
                </c:pt>
                <c:pt idx="66">
                  <c:v>1.3545764873131033E-2</c:v>
                </c:pt>
                <c:pt idx="67">
                  <c:v>1.3101641434667719E-2</c:v>
                </c:pt>
                <c:pt idx="68">
                  <c:v>1.2213394557741094E-2</c:v>
                </c:pt>
                <c:pt idx="69">
                  <c:v>1.0881024242351156E-2</c:v>
                </c:pt>
                <c:pt idx="70">
                  <c:v>9.5486539269612185E-3</c:v>
                </c:pt>
                <c:pt idx="71">
                  <c:v>9.5486539269612185E-3</c:v>
                </c:pt>
                <c:pt idx="72">
                  <c:v>9.1045304884979066E-3</c:v>
                </c:pt>
                <c:pt idx="73">
                  <c:v>8.8824687692662507E-3</c:v>
                </c:pt>
                <c:pt idx="74">
                  <c:v>8.6604070500345947E-3</c:v>
                </c:pt>
                <c:pt idx="75">
                  <c:v>8.216283611571281E-3</c:v>
                </c:pt>
                <c:pt idx="76">
                  <c:v>7.7721601731079682E-3</c:v>
                </c:pt>
                <c:pt idx="77">
                  <c:v>6.8839132961813427E-3</c:v>
                </c:pt>
                <c:pt idx="78">
                  <c:v>6.8839132961813427E-3</c:v>
                </c:pt>
                <c:pt idx="79">
                  <c:v>6.4397898577180307E-3</c:v>
                </c:pt>
                <c:pt idx="80">
                  <c:v>5.9956664192547179E-3</c:v>
                </c:pt>
                <c:pt idx="81">
                  <c:v>5.3294812615597492E-3</c:v>
                </c:pt>
                <c:pt idx="82">
                  <c:v>5.3294812615597492E-3</c:v>
                </c:pt>
                <c:pt idx="83">
                  <c:v>5.1074195423280932E-3</c:v>
                </c:pt>
                <c:pt idx="84">
                  <c:v>4.8853578230964373E-3</c:v>
                </c:pt>
                <c:pt idx="85">
                  <c:v>4.4412343846331245E-3</c:v>
                </c:pt>
                <c:pt idx="86">
                  <c:v>4.2191726654014676E-3</c:v>
                </c:pt>
                <c:pt idx="87">
                  <c:v>3.5529875077064989E-3</c:v>
                </c:pt>
                <c:pt idx="88">
                  <c:v>3.3309257884748429E-3</c:v>
                </c:pt>
                <c:pt idx="89">
                  <c:v>2.4426789115482182E-3</c:v>
                </c:pt>
                <c:pt idx="90">
                  <c:v>1.7764937538532497E-3</c:v>
                </c:pt>
                <c:pt idx="91">
                  <c:v>1.7764937538532497E-3</c:v>
                </c:pt>
                <c:pt idx="92">
                  <c:v>1.7764937538532497E-3</c:v>
                </c:pt>
                <c:pt idx="93">
                  <c:v>1.7764937538532497E-3</c:v>
                </c:pt>
                <c:pt idx="94">
                  <c:v>1.3323703153899373E-3</c:v>
                </c:pt>
                <c:pt idx="95">
                  <c:v>1.1103085961582811E-3</c:v>
                </c:pt>
                <c:pt idx="96">
                  <c:v>8.8824687692662494E-4</c:v>
                </c:pt>
                <c:pt idx="97">
                  <c:v>8.8824687692662494E-4</c:v>
                </c:pt>
                <c:pt idx="98">
                  <c:v>4.4412343846331247E-4</c:v>
                </c:pt>
                <c:pt idx="99">
                  <c:v>2.2206171923165623E-4</c:v>
                </c:pt>
                <c:pt idx="100">
                  <c:v>2.2206171923165623E-4</c:v>
                </c:pt>
                <c:pt idx="101">
                  <c:v>2.2206171923165623E-4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5849-4640-8C45-308618589F5C}"/>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896544181977252"/>
          <c:y val="2.4354923376513418E-2"/>
          <c:w val="0.85791973168281543"/>
          <c:h val="0.80353131509991416"/>
        </c:manualLayout>
      </c:layout>
      <c:scatterChart>
        <c:scatterStyle val="lineMarker"/>
        <c:varyColors val="0"/>
        <c:ser>
          <c:idx val="1"/>
          <c:order val="0"/>
          <c:tx>
            <c:strRef>
              <c:f>'[PBS001583_Vertex_Trikafta 12+_CEA_v3.1_NOV FINAL_KT.xlsb]Plotting'!$BB$4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FINAL_KT.xlsb]Plotting'!$BB$5:$BB$128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0.97517857142857145</c:v>
                </c:pt>
                <c:pt idx="20">
                  <c:v>0.96255490060101712</c:v>
                </c:pt>
                <c:pt idx="21">
                  <c:v>0.95670350302897456</c:v>
                </c:pt>
                <c:pt idx="22">
                  <c:v>0.9463327333484437</c:v>
                </c:pt>
                <c:pt idx="23">
                  <c:v>0.93905325078422497</c:v>
                </c:pt>
                <c:pt idx="24">
                  <c:v>0.93905325078422497</c:v>
                </c:pt>
                <c:pt idx="25">
                  <c:v>0.92527259511233906</c:v>
                </c:pt>
                <c:pt idx="26">
                  <c:v>0.91363394611721527</c:v>
                </c:pt>
                <c:pt idx="27">
                  <c:v>0.89927427702303508</c:v>
                </c:pt>
                <c:pt idx="28">
                  <c:v>0.89297463235036934</c:v>
                </c:pt>
                <c:pt idx="29">
                  <c:v>0.88182986314786871</c:v>
                </c:pt>
                <c:pt idx="30">
                  <c:v>0.86876571702715955</c:v>
                </c:pt>
                <c:pt idx="31">
                  <c:v>0.85681570716433753</c:v>
                </c:pt>
                <c:pt idx="32">
                  <c:v>0.84251711384837302</c:v>
                </c:pt>
                <c:pt idx="33">
                  <c:v>0.82790095573947931</c:v>
                </c:pt>
                <c:pt idx="34">
                  <c:v>0.8170979776693319</c:v>
                </c:pt>
                <c:pt idx="35">
                  <c:v>0.80667097331392279</c:v>
                </c:pt>
                <c:pt idx="36">
                  <c:v>0.79406673935589278</c:v>
                </c:pt>
                <c:pt idx="37">
                  <c:v>0.7840046476217104</c:v>
                </c:pt>
                <c:pt idx="38">
                  <c:v>0.77491713326571587</c:v>
                </c:pt>
                <c:pt idx="39">
                  <c:v>0.76010483393769923</c:v>
                </c:pt>
                <c:pt idx="40">
                  <c:v>0.74685172401263167</c:v>
                </c:pt>
                <c:pt idx="41">
                  <c:v>0.73647878340134521</c:v>
                </c:pt>
                <c:pt idx="42">
                  <c:v>0.71615729461101318</c:v>
                </c:pt>
                <c:pt idx="43">
                  <c:v>0.69985010763694833</c:v>
                </c:pt>
                <c:pt idx="44">
                  <c:v>0.68690190953080688</c:v>
                </c:pt>
                <c:pt idx="45">
                  <c:v>0.67499393847142242</c:v>
                </c:pt>
                <c:pt idx="46">
                  <c:v>0.66166371706534399</c:v>
                </c:pt>
                <c:pt idx="47">
                  <c:v>0.64232367927689726</c:v>
                </c:pt>
                <c:pt idx="48">
                  <c:v>0.62894193595862857</c:v>
                </c:pt>
                <c:pt idx="49">
                  <c:v>0.61009521698726554</c:v>
                </c:pt>
                <c:pt idx="50">
                  <c:v>0.5958477890676297</c:v>
                </c:pt>
                <c:pt idx="51">
                  <c:v>0.58030815642690914</c:v>
                </c:pt>
                <c:pt idx="52">
                  <c:v>0.56396802330145313</c:v>
                </c:pt>
                <c:pt idx="53">
                  <c:v>0.54935508666530208</c:v>
                </c:pt>
                <c:pt idx="54">
                  <c:v>0.53474215002915104</c:v>
                </c:pt>
                <c:pt idx="55">
                  <c:v>0.51699137326469791</c:v>
                </c:pt>
                <c:pt idx="56">
                  <c:v>0.49763169630840282</c:v>
                </c:pt>
                <c:pt idx="57">
                  <c:v>0.47842635639941644</c:v>
                </c:pt>
                <c:pt idx="58">
                  <c:v>0.46090307418035775</c:v>
                </c:pt>
                <c:pt idx="59">
                  <c:v>0.4436543081318326</c:v>
                </c:pt>
                <c:pt idx="60">
                  <c:v>0.427637907116243</c:v>
                </c:pt>
                <c:pt idx="61">
                  <c:v>0.41093633581197553</c:v>
                </c:pt>
                <c:pt idx="62">
                  <c:v>0.39585964992611755</c:v>
                </c:pt>
                <c:pt idx="63">
                  <c:v>0.38039638235087858</c:v>
                </c:pt>
                <c:pt idx="64">
                  <c:v>0.36261362463935376</c:v>
                </c:pt>
                <c:pt idx="65">
                  <c:v>0.35274142124603103</c:v>
                </c:pt>
                <c:pt idx="66">
                  <c:v>0.34210981759168352</c:v>
                </c:pt>
                <c:pt idx="67">
                  <c:v>0.33274207888435375</c:v>
                </c:pt>
                <c:pt idx="68">
                  <c:v>0.31458577391182219</c:v>
                </c:pt>
                <c:pt idx="69">
                  <c:v>0.29902322679250942</c:v>
                </c:pt>
                <c:pt idx="70">
                  <c:v>0.2876073154248151</c:v>
                </c:pt>
                <c:pt idx="71">
                  <c:v>0.27518209468219285</c:v>
                </c:pt>
                <c:pt idx="72">
                  <c:v>0.25886695072870314</c:v>
                </c:pt>
                <c:pt idx="73">
                  <c:v>0.24690251182947734</c:v>
                </c:pt>
                <c:pt idx="74">
                  <c:v>0.23370107694842146</c:v>
                </c:pt>
                <c:pt idx="75">
                  <c:v>0.21978605099271392</c:v>
                </c:pt>
                <c:pt idx="76">
                  <c:v>0.20836859379828723</c:v>
                </c:pt>
                <c:pt idx="77">
                  <c:v>0.19802152321583802</c:v>
                </c:pt>
                <c:pt idx="78">
                  <c:v>0.18803124817071465</c:v>
                </c:pt>
                <c:pt idx="79">
                  <c:v>0.17804097312559131</c:v>
                </c:pt>
                <c:pt idx="80">
                  <c:v>0.16555312931918711</c:v>
                </c:pt>
                <c:pt idx="81">
                  <c:v>0.15520605873673793</c:v>
                </c:pt>
                <c:pt idx="82">
                  <c:v>0.14628617030359206</c:v>
                </c:pt>
                <c:pt idx="83">
                  <c:v>0.1384366684824237</c:v>
                </c:pt>
                <c:pt idx="84">
                  <c:v>0.13058716666125533</c:v>
                </c:pt>
                <c:pt idx="85">
                  <c:v>0.1198833005414803</c:v>
                </c:pt>
                <c:pt idx="86">
                  <c:v>0.11096341210833445</c:v>
                </c:pt>
                <c:pt idx="87">
                  <c:v>0.10097313706321109</c:v>
                </c:pt>
                <c:pt idx="88">
                  <c:v>9.1696453092739411E-2</c:v>
                </c:pt>
                <c:pt idx="89">
                  <c:v>8.2776564659593557E-2</c:v>
                </c:pt>
                <c:pt idx="90">
                  <c:v>7.5640653913076866E-2</c:v>
                </c:pt>
                <c:pt idx="91">
                  <c:v>6.7434356554582672E-2</c:v>
                </c:pt>
                <c:pt idx="92">
                  <c:v>6.0655241345391825E-2</c:v>
                </c:pt>
                <c:pt idx="93">
                  <c:v>5.0664966300268469E-2</c:v>
                </c:pt>
                <c:pt idx="94">
                  <c:v>4.1745077867122615E-2</c:v>
                </c:pt>
                <c:pt idx="95">
                  <c:v>3.5322758195257598E-2</c:v>
                </c:pt>
                <c:pt idx="96">
                  <c:v>2.7473256374089244E-2</c:v>
                </c:pt>
                <c:pt idx="97">
                  <c:v>2.0694141164898393E-2</c:v>
                </c:pt>
                <c:pt idx="98">
                  <c:v>1.5342208105010878E-2</c:v>
                </c:pt>
                <c:pt idx="99">
                  <c:v>1.0347070582449196E-2</c:v>
                </c:pt>
                <c:pt idx="100">
                  <c:v>8.2062973584941905E-3</c:v>
                </c:pt>
                <c:pt idx="101">
                  <c:v>6.4223196718650186E-3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254C-4DEE-A459-2B7BB502E4A4}"/>
            </c:ext>
          </c:extLst>
        </c:ser>
        <c:ser>
          <c:idx val="6"/>
          <c:order val="1"/>
          <c:tx>
            <c:strRef>
              <c:f>'[PBS001583_Vertex_Trikafta 12+_CEA_v3.1_NOV FINAL_KT.xlsb]Plotting'!$BC$4</c:f>
              <c:strCache>
                <c:ptCount val="1"/>
                <c:pt idx="0">
                  <c:v>TEZ/IVA</c:v>
                </c:pt>
              </c:strCache>
            </c:strRef>
          </c:tx>
          <c:spPr>
            <a:ln w="25400" cap="rnd">
              <a:solidFill>
                <a:schemeClr val="accent6"/>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FINAL_KT.xlsb]Plotting'!$BC$5:$BC$128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0.98285714285714287</c:v>
                </c:pt>
                <c:pt idx="18">
                  <c:v>0.98285714285714287</c:v>
                </c:pt>
                <c:pt idx="19">
                  <c:v>0.97133928571428574</c:v>
                </c:pt>
                <c:pt idx="20">
                  <c:v>0.9587244897959184</c:v>
                </c:pt>
                <c:pt idx="21">
                  <c:v>0.95287860876057739</c:v>
                </c:pt>
                <c:pt idx="22">
                  <c:v>0.94252123257839715</c:v>
                </c:pt>
                <c:pt idx="23">
                  <c:v>0.93282949753903066</c:v>
                </c:pt>
                <c:pt idx="24">
                  <c:v>0.92848064207264824</c:v>
                </c:pt>
                <c:pt idx="25">
                  <c:v>0.90885103018950553</c:v>
                </c:pt>
                <c:pt idx="26">
                  <c:v>0.89531495101647041</c:v>
                </c:pt>
                <c:pt idx="27">
                  <c:v>0.87923144890240201</c:v>
                </c:pt>
                <c:pt idx="28">
                  <c:v>0.86984463628066822</c:v>
                </c:pt>
                <c:pt idx="29">
                  <c:v>0.85879899010567562</c:v>
                </c:pt>
                <c:pt idx="30">
                  <c:v>0.84198515445601629</c:v>
                </c:pt>
                <c:pt idx="31">
                  <c:v>0.82781429631650405</c:v>
                </c:pt>
                <c:pt idx="32">
                  <c:v>0.81154009651998038</c:v>
                </c:pt>
                <c:pt idx="33">
                  <c:v>0.79405444171536732</c:v>
                </c:pt>
                <c:pt idx="34">
                  <c:v>0.78053040012897423</c:v>
                </c:pt>
                <c:pt idx="35">
                  <c:v>0.76562767172555712</c:v>
                </c:pt>
                <c:pt idx="36">
                  <c:v>0.75061536443682064</c:v>
                </c:pt>
                <c:pt idx="37">
                  <c:v>0.73666950520684693</c:v>
                </c:pt>
                <c:pt idx="38">
                  <c:v>0.72374547879970919</c:v>
                </c:pt>
                <c:pt idx="39">
                  <c:v>0.70778050500265677</c:v>
                </c:pt>
                <c:pt idx="40">
                  <c:v>0.69029505751064701</c:v>
                </c:pt>
                <c:pt idx="41">
                  <c:v>0.67660444572285761</c:v>
                </c:pt>
                <c:pt idx="42">
                  <c:v>0.65079021988202568</c:v>
                </c:pt>
                <c:pt idx="43">
                  <c:v>0.63172666798649157</c:v>
                </c:pt>
                <c:pt idx="44">
                  <c:v>0.61674500787614006</c:v>
                </c:pt>
                <c:pt idx="45">
                  <c:v>0.6016730379866938</c:v>
                </c:pt>
                <c:pt idx="46">
                  <c:v>0.58597721960443228</c:v>
                </c:pt>
                <c:pt idx="47">
                  <c:v>0.56466895707336195</c:v>
                </c:pt>
                <c:pt idx="48">
                  <c:v>0.5513888781205547</c:v>
                </c:pt>
                <c:pt idx="49">
                  <c:v>0.5293947020916272</c:v>
                </c:pt>
                <c:pt idx="50">
                  <c:v>0.51304645516055059</c:v>
                </c:pt>
                <c:pt idx="51">
                  <c:v>0.49340175563080552</c:v>
                </c:pt>
                <c:pt idx="52">
                  <c:v>0.47240593624226063</c:v>
                </c:pt>
                <c:pt idx="53">
                  <c:v>0.45277569860256411</c:v>
                </c:pt>
                <c:pt idx="54">
                  <c:v>0.43485243814892821</c:v>
                </c:pt>
                <c:pt idx="55">
                  <c:v>0.41213934783725581</c:v>
                </c:pt>
                <c:pt idx="56">
                  <c:v>0.39087819100438148</c:v>
                </c:pt>
                <c:pt idx="57">
                  <c:v>0.37115678883463471</c:v>
                </c:pt>
                <c:pt idx="58">
                  <c:v>0.35174013589761155</c:v>
                </c:pt>
                <c:pt idx="59">
                  <c:v>0.33048916935379752</c:v>
                </c:pt>
                <c:pt idx="60">
                  <c:v>0.31001638895134986</c:v>
                </c:pt>
                <c:pt idx="61">
                  <c:v>0.29206992375666335</c:v>
                </c:pt>
                <c:pt idx="62">
                  <c:v>0.27388113808558973</c:v>
                </c:pt>
                <c:pt idx="63">
                  <c:v>0.25744127411365775</c:v>
                </c:pt>
                <c:pt idx="64">
                  <c:v>0.23680399806378571</c:v>
                </c:pt>
                <c:pt idx="65">
                  <c:v>0.22759116240424362</c:v>
                </c:pt>
                <c:pt idx="66">
                  <c:v>0.21462494925377695</c:v>
                </c:pt>
                <c:pt idx="67">
                  <c:v>0.20257112995091273</c:v>
                </c:pt>
                <c:pt idx="68">
                  <c:v>0.1897251558564646</c:v>
                </c:pt>
                <c:pt idx="69">
                  <c:v>0.17687918176201647</c:v>
                </c:pt>
                <c:pt idx="70">
                  <c:v>0.16415171296364259</c:v>
                </c:pt>
                <c:pt idx="71">
                  <c:v>0.15286426708205617</c:v>
                </c:pt>
                <c:pt idx="72">
                  <c:v>0.14331025038942766</c:v>
                </c:pt>
                <c:pt idx="73">
                  <c:v>0.13120849591209821</c:v>
                </c:pt>
                <c:pt idx="74">
                  <c:v>0.12035200097847307</c:v>
                </c:pt>
                <c:pt idx="75">
                  <c:v>0.10980569161438006</c:v>
                </c:pt>
                <c:pt idx="76">
                  <c:v>9.9259382250287062E-2</c:v>
                </c:pt>
                <c:pt idx="77">
                  <c:v>9.1504743011983386E-2</c:v>
                </c:pt>
                <c:pt idx="78">
                  <c:v>8.5611217190872599E-2</c:v>
                </c:pt>
                <c:pt idx="79">
                  <c:v>7.6305650104908182E-2</c:v>
                </c:pt>
                <c:pt idx="80">
                  <c:v>6.8551010866604506E-2</c:v>
                </c:pt>
                <c:pt idx="81">
                  <c:v>6.2347299475961564E-2</c:v>
                </c:pt>
                <c:pt idx="82">
                  <c:v>5.8004701502511503E-2</c:v>
                </c:pt>
                <c:pt idx="83">
                  <c:v>5.1800990111868561E-2</c:v>
                </c:pt>
                <c:pt idx="84">
                  <c:v>4.8699134416547087E-2</c:v>
                </c:pt>
                <c:pt idx="85">
                  <c:v>4.2185237456372003E-2</c:v>
                </c:pt>
                <c:pt idx="86">
                  <c:v>3.6601897204793357E-2</c:v>
                </c:pt>
                <c:pt idx="87">
                  <c:v>3.1328742522746852E-2</c:v>
                </c:pt>
                <c:pt idx="88">
                  <c:v>2.7606515688361088E-2</c:v>
                </c:pt>
                <c:pt idx="89">
                  <c:v>2.6055587840700351E-2</c:v>
                </c:pt>
                <c:pt idx="90">
                  <c:v>2.3263917714911028E-2</c:v>
                </c:pt>
                <c:pt idx="91">
                  <c:v>1.9231505310993116E-2</c:v>
                </c:pt>
                <c:pt idx="92">
                  <c:v>1.6750020754735941E-2</c:v>
                </c:pt>
                <c:pt idx="93">
                  <c:v>1.3337979489882324E-2</c:v>
                </c:pt>
                <c:pt idx="94">
                  <c:v>1.0546309364092999E-2</c:v>
                </c:pt>
                <c:pt idx="95">
                  <c:v>8.6851959469001171E-3</c:v>
                </c:pt>
                <c:pt idx="96">
                  <c:v>5.5833402515786459E-3</c:v>
                </c:pt>
                <c:pt idx="97">
                  <c:v>3.7222268343857644E-3</c:v>
                </c:pt>
                <c:pt idx="98">
                  <c:v>3.1018556953214703E-3</c:v>
                </c:pt>
                <c:pt idx="99">
                  <c:v>1.5509278476607351E-3</c:v>
                </c:pt>
                <c:pt idx="100">
                  <c:v>1.2407422781285883E-3</c:v>
                </c:pt>
                <c:pt idx="101">
                  <c:v>6.2037113906429414E-4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254C-4DEE-A459-2B7BB502E4A4}"/>
            </c:ext>
          </c:extLst>
        </c:ser>
        <c:ser>
          <c:idx val="0"/>
          <c:order val="2"/>
          <c:tx>
            <c:strRef>
              <c:f>'[PBS001583_Vertex_Trikafta 12+_CEA_v3.1_NOV FINAL_KT.xlsb]Plotting'!$BA$4</c:f>
              <c:strCache>
                <c:ptCount val="1"/>
                <c:pt idx="0">
                  <c:v>BSC</c:v>
                </c:pt>
              </c:strCache>
            </c:strRef>
          </c:tx>
          <c:spPr>
            <a:ln w="25400" cap="rnd">
              <a:solidFill>
                <a:schemeClr val="accent1"/>
              </a:solidFill>
              <a:prstDash val="sysDot"/>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FINAL_KT.xlsb]Plotting'!$BA$5:$BA$128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0.99236641221374045</c:v>
                </c:pt>
                <c:pt idx="17">
                  <c:v>0.97525664648591726</c:v>
                </c:pt>
                <c:pt idx="18">
                  <c:v>0.97525664648591726</c:v>
                </c:pt>
                <c:pt idx="19">
                  <c:v>0.95995850301162844</c:v>
                </c:pt>
                <c:pt idx="20">
                  <c:v>0.94113578726630231</c:v>
                </c:pt>
                <c:pt idx="21">
                  <c:v>0.92370734676137078</c:v>
                </c:pt>
                <c:pt idx="22">
                  <c:v>0.91087807805635179</c:v>
                </c:pt>
                <c:pt idx="23">
                  <c:v>0.89409874503952436</c:v>
                </c:pt>
                <c:pt idx="24">
                  <c:v>0.88123401489507069</c:v>
                </c:pt>
                <c:pt idx="25">
                  <c:v>0.8561660888696091</c:v>
                </c:pt>
                <c:pt idx="26">
                  <c:v>0.83528398914108204</c:v>
                </c:pt>
                <c:pt idx="27">
                  <c:v>0.81081960452188717</c:v>
                </c:pt>
                <c:pt idx="28">
                  <c:v>0.79411732802424528</c:v>
                </c:pt>
                <c:pt idx="29">
                  <c:v>0.77815517067702433</c:v>
                </c:pt>
                <c:pt idx="30">
                  <c:v>0.74712824999612226</c:v>
                </c:pt>
                <c:pt idx="31">
                  <c:v>0.7257495801920163</c:v>
                </c:pt>
                <c:pt idx="32">
                  <c:v>0.69598050264524336</c:v>
                </c:pt>
                <c:pt idx="33">
                  <c:v>0.66984493439570014</c:v>
                </c:pt>
                <c:pt idx="34">
                  <c:v>0.6445677670600134</c:v>
                </c:pt>
                <c:pt idx="35">
                  <c:v>0.622908903919556</c:v>
                </c:pt>
                <c:pt idx="36">
                  <c:v>0.603341084948261</c:v>
                </c:pt>
                <c:pt idx="37">
                  <c:v>0.57785835589454571</c:v>
                </c:pt>
                <c:pt idx="38">
                  <c:v>0.55651072236468346</c:v>
                </c:pt>
                <c:pt idx="39">
                  <c:v>0.53320854926074346</c:v>
                </c:pt>
                <c:pt idx="40">
                  <c:v>0.5085356600918659</c:v>
                </c:pt>
                <c:pt idx="41">
                  <c:v>0.4854204028149629</c:v>
                </c:pt>
                <c:pt idx="42">
                  <c:v>0.45198431110815124</c:v>
                </c:pt>
                <c:pt idx="43">
                  <c:v>0.42735145258134449</c:v>
                </c:pt>
                <c:pt idx="44">
                  <c:v>0.40268624954653665</c:v>
                </c:pt>
                <c:pt idx="45">
                  <c:v>0.37963169327478835</c:v>
                </c:pt>
                <c:pt idx="46">
                  <c:v>0.35913743733964554</c:v>
                </c:pt>
                <c:pt idx="47">
                  <c:v>0.33358432084070566</c:v>
                </c:pt>
                <c:pt idx="48">
                  <c:v>0.31289692109864642</c:v>
                </c:pt>
                <c:pt idx="49">
                  <c:v>0.28797954226442002</c:v>
                </c:pt>
                <c:pt idx="50">
                  <c:v>0.26482165430022542</c:v>
                </c:pt>
                <c:pt idx="51">
                  <c:v>0.24405132847275676</c:v>
                </c:pt>
                <c:pt idx="52">
                  <c:v>0.22330858607932191</c:v>
                </c:pt>
                <c:pt idx="53">
                  <c:v>0.2027242750720101</c:v>
                </c:pt>
                <c:pt idx="54">
                  <c:v>0.18338749806514143</c:v>
                </c:pt>
                <c:pt idx="55">
                  <c:v>0.16422320968212828</c:v>
                </c:pt>
                <c:pt idx="56">
                  <c:v>0.1462658216745587</c:v>
                </c:pt>
                <c:pt idx="57">
                  <c:v>0.13109751424164151</c:v>
                </c:pt>
                <c:pt idx="58">
                  <c:v>0.1162056178380286</c:v>
                </c:pt>
                <c:pt idx="59">
                  <c:v>0.10279727731825607</c:v>
                </c:pt>
                <c:pt idx="60">
                  <c:v>9.2728295713051023E-2</c:v>
                </c:pt>
                <c:pt idx="61">
                  <c:v>7.9110853685260316E-2</c:v>
                </c:pt>
                <c:pt idx="62">
                  <c:v>6.8235776763566847E-2</c:v>
                </c:pt>
                <c:pt idx="63">
                  <c:v>6.1838672691982455E-2</c:v>
                </c:pt>
                <c:pt idx="64">
                  <c:v>5.2243016584605867E-2</c:v>
                </c:pt>
                <c:pt idx="65">
                  <c:v>4.6460392611500638E-2</c:v>
                </c:pt>
                <c:pt idx="66">
                  <c:v>3.8284958718489796E-2</c:v>
                </c:pt>
                <c:pt idx="67">
                  <c:v>3.3593174561812128E-2</c:v>
                </c:pt>
                <c:pt idx="68">
                  <c:v>2.8794149624410396E-2</c:v>
                </c:pt>
                <c:pt idx="69">
                  <c:v>2.3817383022660451E-2</c:v>
                </c:pt>
                <c:pt idx="70">
                  <c:v>2.1418509912464433E-2</c:v>
                </c:pt>
                <c:pt idx="71">
                  <c:v>1.8312008474778752E-2</c:v>
                </c:pt>
                <c:pt idx="72">
                  <c:v>1.4587532174823751E-2</c:v>
                </c:pt>
                <c:pt idx="73">
                  <c:v>1.1794174949857501E-2</c:v>
                </c:pt>
                <c:pt idx="74">
                  <c:v>1.0845218344696553E-2</c:v>
                </c:pt>
                <c:pt idx="75">
                  <c:v>8.6761746757572419E-3</c:v>
                </c:pt>
                <c:pt idx="76">
                  <c:v>6.9138266947440519E-3</c:v>
                </c:pt>
                <c:pt idx="77">
                  <c:v>5.8293048602743964E-3</c:v>
                </c:pt>
                <c:pt idx="78">
                  <c:v>4.6092177964960346E-3</c:v>
                </c:pt>
                <c:pt idx="79">
                  <c:v>3.2535655034089655E-3</c:v>
                </c:pt>
                <c:pt idx="80">
                  <c:v>2.4401741275567241E-3</c:v>
                </c:pt>
                <c:pt idx="81">
                  <c:v>2.0334784396306036E-3</c:v>
                </c:pt>
                <c:pt idx="82">
                  <c:v>1.8979132103218968E-3</c:v>
                </c:pt>
                <c:pt idx="83">
                  <c:v>1.6267827517044832E-3</c:v>
                </c:pt>
                <c:pt idx="84">
                  <c:v>1.2200870637783623E-3</c:v>
                </c:pt>
                <c:pt idx="85">
                  <c:v>1.0845218344696552E-3</c:v>
                </c:pt>
                <c:pt idx="86">
                  <c:v>1.0845218344696552E-3</c:v>
                </c:pt>
                <c:pt idx="87">
                  <c:v>9.489566051609483E-4</c:v>
                </c:pt>
                <c:pt idx="88">
                  <c:v>6.7782614654353455E-4</c:v>
                </c:pt>
                <c:pt idx="89">
                  <c:v>6.7782614654353455E-4</c:v>
                </c:pt>
                <c:pt idx="90">
                  <c:v>6.7782614654353455E-4</c:v>
                </c:pt>
                <c:pt idx="91">
                  <c:v>5.4226091723482762E-4</c:v>
                </c:pt>
                <c:pt idx="92">
                  <c:v>5.4226091723482762E-4</c:v>
                </c:pt>
                <c:pt idx="93">
                  <c:v>5.4226091723482762E-4</c:v>
                </c:pt>
                <c:pt idx="94">
                  <c:v>5.4226091723482762E-4</c:v>
                </c:pt>
                <c:pt idx="95">
                  <c:v>5.4226091723482762E-4</c:v>
                </c:pt>
                <c:pt idx="96">
                  <c:v>5.4226091723482762E-4</c:v>
                </c:pt>
                <c:pt idx="97">
                  <c:v>5.4226091723482762E-4</c:v>
                </c:pt>
                <c:pt idx="98">
                  <c:v>4.0669568792612069E-4</c:v>
                </c:pt>
                <c:pt idx="99">
                  <c:v>2.7113045861741381E-4</c:v>
                </c:pt>
                <c:pt idx="100">
                  <c:v>1.355652293087069E-4</c:v>
                </c:pt>
                <c:pt idx="101">
                  <c:v>1.355652293087069E-4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2-254C-4DEE-A459-2B7BB502E4A4}"/>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latin typeface="Arial Narrow" panose="020B0606020202030204" pitchFamily="34" charset="0"/>
                  </a:rPr>
                  <a:t>Age</a:t>
                </a:r>
                <a:r>
                  <a:rPr lang="en-US" baseline="0">
                    <a:latin typeface="Arial Narrow" panose="020B0606020202030204" pitchFamily="34" charset="0"/>
                  </a:rPr>
                  <a:t> (Years)</a:t>
                </a:r>
                <a:endParaRPr lang="en-US">
                  <a:latin typeface="Arial Narrow" panose="020B0606020202030204" pitchFamily="34" charset="0"/>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r>
                  <a:rPr lang="en-US" sz="900" baseline="0">
                    <a:latin typeface="Arial Narrow" panose="020B0606020202030204" pitchFamily="34" charset="0"/>
                  </a:rPr>
                  <a:t>Percent Alive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29712014386675"/>
          <c:y val="2.1634986709463865E-2"/>
          <c:w val="0.85791973168281543"/>
          <c:h val="0.80353131509991416"/>
        </c:manualLayout>
      </c:layout>
      <c:scatterChart>
        <c:scatterStyle val="lineMarker"/>
        <c:varyColors val="0"/>
        <c:ser>
          <c:idx val="1"/>
          <c:order val="0"/>
          <c:tx>
            <c:strRef>
              <c:f>'[PBS001583_Vertex_Trikafta 12+_CEA_v3.1_NOV FINAL_KT.xlsb]Plotting'!$AZ$4</c:f>
              <c:strCache>
                <c:ptCount val="1"/>
                <c:pt idx="0">
                  <c:v>ELX/TEZ/IVA</c:v>
                </c:pt>
              </c:strCache>
            </c:strRef>
          </c:tx>
          <c:spPr>
            <a:ln w="25400" cap="rnd">
              <a:solidFill>
                <a:srgbClr val="FF3399"/>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FINAL_KT.xlsb]Plotting'!$AZ$5:$AZ$128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0.996</c:v>
                </c:pt>
                <c:pt idx="17">
                  <c:v>0.98514441416893728</c:v>
                </c:pt>
                <c:pt idx="18">
                  <c:v>0.98514441416893728</c:v>
                </c:pt>
                <c:pt idx="19">
                  <c:v>0.98320896345347775</c:v>
                </c:pt>
                <c:pt idx="20">
                  <c:v>0.97480546803934554</c:v>
                </c:pt>
                <c:pt idx="21">
                  <c:v>0.96347052073656247</c:v>
                </c:pt>
                <c:pt idx="22">
                  <c:v>0.95718154866909144</c:v>
                </c:pt>
                <c:pt idx="23">
                  <c:v>0.95035266722793266</c:v>
                </c:pt>
                <c:pt idx="24">
                  <c:v>0.93935321506094271</c:v>
                </c:pt>
                <c:pt idx="25">
                  <c:v>0.93108608005490578</c:v>
                </c:pt>
                <c:pt idx="26">
                  <c:v>0.92038394120369993</c:v>
                </c:pt>
                <c:pt idx="27">
                  <c:v>0.91494860296824498</c:v>
                </c:pt>
                <c:pt idx="28">
                  <c:v>0.90728856815269687</c:v>
                </c:pt>
                <c:pt idx="29">
                  <c:v>0.89926656489758894</c:v>
                </c:pt>
                <c:pt idx="30">
                  <c:v>0.89152760995010538</c:v>
                </c:pt>
                <c:pt idx="31">
                  <c:v>0.88418993414804692</c:v>
                </c:pt>
                <c:pt idx="32">
                  <c:v>0.86779073907884041</c:v>
                </c:pt>
                <c:pt idx="33">
                  <c:v>0.86178295703906382</c:v>
                </c:pt>
                <c:pt idx="34">
                  <c:v>0.85277925450283476</c:v>
                </c:pt>
                <c:pt idx="35">
                  <c:v>0.84059669372422285</c:v>
                </c:pt>
                <c:pt idx="36">
                  <c:v>0.83297090376022087</c:v>
                </c:pt>
                <c:pt idx="37">
                  <c:v>0.8215368488012611</c:v>
                </c:pt>
                <c:pt idx="38">
                  <c:v>0.81140831230919075</c:v>
                </c:pt>
                <c:pt idx="39">
                  <c:v>0.79653524752144589</c:v>
                </c:pt>
                <c:pt idx="40">
                  <c:v>0.78216888033168031</c:v>
                </c:pt>
                <c:pt idx="41">
                  <c:v>0.76712717109453255</c:v>
                </c:pt>
                <c:pt idx="42">
                  <c:v>0.75547332371330778</c:v>
                </c:pt>
                <c:pt idx="43">
                  <c:v>0.73858568860071572</c:v>
                </c:pt>
                <c:pt idx="44">
                  <c:v>0.72628412816432808</c:v>
                </c:pt>
                <c:pt idx="45">
                  <c:v>0.71377028632716932</c:v>
                </c:pt>
                <c:pt idx="46">
                  <c:v>0.69836863483528167</c:v>
                </c:pt>
                <c:pt idx="47">
                  <c:v>0.68208294650578949</c:v>
                </c:pt>
                <c:pt idx="48">
                  <c:v>0.66447159338596096</c:v>
                </c:pt>
                <c:pt idx="49">
                  <c:v>0.65640300975198862</c:v>
                </c:pt>
                <c:pt idx="50">
                  <c:v>0.64648612974854136</c:v>
                </c:pt>
                <c:pt idx="51">
                  <c:v>0.63326362307727835</c:v>
                </c:pt>
                <c:pt idx="52">
                  <c:v>0.61041390471881984</c:v>
                </c:pt>
                <c:pt idx="53">
                  <c:v>0.59175098891459044</c:v>
                </c:pt>
                <c:pt idx="54">
                  <c:v>0.57182976204982994</c:v>
                </c:pt>
                <c:pt idx="55">
                  <c:v>0.55462506612117313</c:v>
                </c:pt>
                <c:pt idx="56">
                  <c:v>0.54250947001658445</c:v>
                </c:pt>
                <c:pt idx="57">
                  <c:v>0.52366298718722415</c:v>
                </c:pt>
                <c:pt idx="58">
                  <c:v>0.50391905279456106</c:v>
                </c:pt>
                <c:pt idx="59">
                  <c:v>0.48238021527529223</c:v>
                </c:pt>
                <c:pt idx="60">
                  <c:v>0.46308500666428054</c:v>
                </c:pt>
                <c:pt idx="61">
                  <c:v>0.44124557901601319</c:v>
                </c:pt>
                <c:pt idx="62">
                  <c:v>0.41851474615761253</c:v>
                </c:pt>
                <c:pt idx="63">
                  <c:v>0.39979523674481193</c:v>
                </c:pt>
                <c:pt idx="64">
                  <c:v>0.37661870128134456</c:v>
                </c:pt>
                <c:pt idx="65">
                  <c:v>0.36063017150996668</c:v>
                </c:pt>
                <c:pt idx="66">
                  <c:v>0.33753562850686536</c:v>
                </c:pt>
                <c:pt idx="67">
                  <c:v>0.31799409211962582</c:v>
                </c:pt>
                <c:pt idx="68">
                  <c:v>0.29756430407842083</c:v>
                </c:pt>
                <c:pt idx="69">
                  <c:v>0.27580213855626767</c:v>
                </c:pt>
                <c:pt idx="70">
                  <c:v>0.25626060216902807</c:v>
                </c:pt>
                <c:pt idx="71">
                  <c:v>0.24116032405161569</c:v>
                </c:pt>
                <c:pt idx="72">
                  <c:v>0.22339529097230698</c:v>
                </c:pt>
                <c:pt idx="73">
                  <c:v>0.20829501285489457</c:v>
                </c:pt>
                <c:pt idx="74">
                  <c:v>0.19763599300730936</c:v>
                </c:pt>
                <c:pt idx="75">
                  <c:v>0.17898270827403523</c:v>
                </c:pt>
                <c:pt idx="76">
                  <c:v>0.16654718511851913</c:v>
                </c:pt>
                <c:pt idx="77">
                  <c:v>0.15233515865507216</c:v>
                </c:pt>
                <c:pt idx="78">
                  <c:v>0.13945550967257336</c:v>
                </c:pt>
                <c:pt idx="79">
                  <c:v>0.1279082381710227</c:v>
                </c:pt>
                <c:pt idx="80">
                  <c:v>0.11680509249645475</c:v>
                </c:pt>
                <c:pt idx="81">
                  <c:v>0.10259306603300779</c:v>
                </c:pt>
                <c:pt idx="82">
                  <c:v>9.326642366637071E-2</c:v>
                </c:pt>
                <c:pt idx="83">
                  <c:v>8.3939781299733646E-2</c:v>
                </c:pt>
                <c:pt idx="84">
                  <c:v>7.5501390587062012E-2</c:v>
                </c:pt>
                <c:pt idx="85">
                  <c:v>6.7062999874390378E-2</c:v>
                </c:pt>
                <c:pt idx="86">
                  <c:v>6.0845238296632326E-2</c:v>
                </c:pt>
                <c:pt idx="87">
                  <c:v>5.1518595929995255E-2</c:v>
                </c:pt>
                <c:pt idx="88">
                  <c:v>4.5744960179219925E-2</c:v>
                </c:pt>
                <c:pt idx="89">
                  <c:v>4.0415450255427317E-2</c:v>
                </c:pt>
                <c:pt idx="90">
                  <c:v>3.6862443639565576E-2</c:v>
                </c:pt>
                <c:pt idx="91">
                  <c:v>3.2865311196721113E-2</c:v>
                </c:pt>
                <c:pt idx="92">
                  <c:v>2.8424052926893938E-2</c:v>
                </c:pt>
                <c:pt idx="93">
                  <c:v>2.0873913868187734E-2</c:v>
                </c:pt>
                <c:pt idx="94">
                  <c:v>1.7765033079308712E-2</c:v>
                </c:pt>
                <c:pt idx="95">
                  <c:v>1.3323774809481534E-2</c:v>
                </c:pt>
                <c:pt idx="96">
                  <c:v>9.7707681936197929E-3</c:v>
                </c:pt>
                <c:pt idx="97">
                  <c:v>5.3295099237926141E-3</c:v>
                </c:pt>
                <c:pt idx="98">
                  <c:v>3.5530066158617432E-3</c:v>
                </c:pt>
                <c:pt idx="99">
                  <c:v>1.7765033079308716E-3</c:v>
                </c:pt>
                <c:pt idx="100">
                  <c:v>1.7765033079308716E-3</c:v>
                </c:pt>
                <c:pt idx="101">
                  <c:v>1.3323774809481537E-3</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0-494F-4AD7-97A7-3BD40BC0B29D}"/>
            </c:ext>
          </c:extLst>
        </c:ser>
        <c:ser>
          <c:idx val="0"/>
          <c:order val="1"/>
          <c:tx>
            <c:strRef>
              <c:f>'[PBS001583_Vertex_Trikafta 12+_CEA_v3.1_NOV FINAL_KT.xlsb]Plotting'!$AY$4</c:f>
              <c:strCache>
                <c:ptCount val="1"/>
                <c:pt idx="0">
                  <c:v>BSC</c:v>
                </c:pt>
              </c:strCache>
            </c:strRef>
          </c:tx>
          <c:spPr>
            <a:ln w="25400" cap="rnd">
              <a:solidFill>
                <a:schemeClr val="accent1"/>
              </a:solidFill>
              <a:round/>
            </a:ln>
            <a:effectLst/>
          </c:spPr>
          <c:marker>
            <c:symbol val="none"/>
          </c:marker>
          <c:xVal>
            <c:numRef>
              <c:f>'[PBS001583_Vertex_Trikafta 12+_CEA_v3.1_NOV FINAL_KT.xlsb]Plotting'!$L$5:$L$128</c:f>
              <c:numCache>
                <c:formatCode>0.0</c:formatCode>
                <c:ptCount val="124"/>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numCache>
            </c:numRef>
          </c:xVal>
          <c:yVal>
            <c:numRef>
              <c:f>'[PBS001583_Vertex_Trikafta 12+_CEA_v3.1_NOV FINAL_KT.xlsb]Plotting'!$AY$5:$AY$128</c:f>
              <c:numCache>
                <c:formatCode>General</c:formatCode>
                <c:ptCount val="124"/>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0.99431818181818177</c:v>
                </c:pt>
                <c:pt idx="16">
                  <c:v>0.97834519897772909</c:v>
                </c:pt>
                <c:pt idx="17">
                  <c:v>0.96217420395330389</c:v>
                </c:pt>
                <c:pt idx="18">
                  <c:v>0.9552520873781003</c:v>
                </c:pt>
                <c:pt idx="19">
                  <c:v>0.94761007067907554</c:v>
                </c:pt>
                <c:pt idx="20">
                  <c:v>0.91618844529879206</c:v>
                </c:pt>
                <c:pt idx="21">
                  <c:v>0.89127697699761643</c:v>
                </c:pt>
                <c:pt idx="22">
                  <c:v>0.86075379285386244</c:v>
                </c:pt>
                <c:pt idx="23">
                  <c:v>0.84430626814964849</c:v>
                </c:pt>
                <c:pt idx="24">
                  <c:v>0.8147185641343917</c:v>
                </c:pt>
                <c:pt idx="25">
                  <c:v>0.79301903821313668</c:v>
                </c:pt>
                <c:pt idx="26">
                  <c:v>0.76812192887388708</c:v>
                </c:pt>
                <c:pt idx="27">
                  <c:v>0.73834976108807759</c:v>
                </c:pt>
                <c:pt idx="28">
                  <c:v>0.7193568411887058</c:v>
                </c:pt>
                <c:pt idx="29">
                  <c:v>0.68907590639534133</c:v>
                </c:pt>
                <c:pt idx="30">
                  <c:v>0.65157998951756613</c:v>
                </c:pt>
                <c:pt idx="31">
                  <c:v>0.61582255106843142</c:v>
                </c:pt>
                <c:pt idx="32">
                  <c:v>0.57774912543809653</c:v>
                </c:pt>
                <c:pt idx="33">
                  <c:v>0.54317793030539097</c:v>
                </c:pt>
                <c:pt idx="34">
                  <c:v>0.51256851824924698</c:v>
                </c:pt>
                <c:pt idx="35">
                  <c:v>0.48011443116411878</c:v>
                </c:pt>
                <c:pt idx="36">
                  <c:v>0.44940660460235282</c:v>
                </c:pt>
                <c:pt idx="37">
                  <c:v>0.41004252244740219</c:v>
                </c:pt>
                <c:pt idx="38">
                  <c:v>0.37442635680052316</c:v>
                </c:pt>
                <c:pt idx="39">
                  <c:v>0.33878765538942757</c:v>
                </c:pt>
                <c:pt idx="40">
                  <c:v>0.30453750265212859</c:v>
                </c:pt>
                <c:pt idx="41">
                  <c:v>0.27863611711728259</c:v>
                </c:pt>
                <c:pt idx="42">
                  <c:v>0.25357756698727191</c:v>
                </c:pt>
                <c:pt idx="43">
                  <c:v>0.23029714063957038</c:v>
                </c:pt>
                <c:pt idx="44">
                  <c:v>0.20856438155334001</c:v>
                </c:pt>
                <c:pt idx="45">
                  <c:v>0.1823277794152606</c:v>
                </c:pt>
                <c:pt idx="46">
                  <c:v>0.1597443750432429</c:v>
                </c:pt>
                <c:pt idx="47">
                  <c:v>0.13944898313201123</c:v>
                </c:pt>
                <c:pt idx="48">
                  <c:v>0.12149693013110864</c:v>
                </c:pt>
                <c:pt idx="49">
                  <c:v>0.10658738518029373</c:v>
                </c:pt>
                <c:pt idx="50">
                  <c:v>9.5400370992274566E-2</c:v>
                </c:pt>
                <c:pt idx="51">
                  <c:v>8.3281105621920468E-2</c:v>
                </c:pt>
                <c:pt idx="52">
                  <c:v>7.3053601422737258E-2</c:v>
                </c:pt>
                <c:pt idx="53">
                  <c:v>6.4245720400137735E-2</c:v>
                </c:pt>
                <c:pt idx="54">
                  <c:v>5.5427680345216869E-2</c:v>
                </c:pt>
                <c:pt idx="55">
                  <c:v>4.8373248301280182E-2</c:v>
                </c:pt>
                <c:pt idx="56">
                  <c:v>4.3130827303111886E-2</c:v>
                </c:pt>
                <c:pt idx="57">
                  <c:v>3.8126698168496696E-2</c:v>
                </c:pt>
                <c:pt idx="58">
                  <c:v>3.3599152760987711E-2</c:v>
                </c:pt>
                <c:pt idx="59">
                  <c:v>2.9071607353478728E-2</c:v>
                </c:pt>
                <c:pt idx="60">
                  <c:v>2.4544061945969742E-2</c:v>
                </c:pt>
                <c:pt idx="61">
                  <c:v>2.1420272243755412E-2</c:v>
                </c:pt>
                <c:pt idx="62">
                  <c:v>1.918899388503089E-2</c:v>
                </c:pt>
                <c:pt idx="63">
                  <c:v>1.5842076346944109E-2</c:v>
                </c:pt>
                <c:pt idx="64">
                  <c:v>1.3610797988219585E-2</c:v>
                </c:pt>
                <c:pt idx="65">
                  <c:v>1.276012311395586E-2</c:v>
                </c:pt>
                <c:pt idx="66">
                  <c:v>9.9954297725987577E-3</c:v>
                </c:pt>
                <c:pt idx="67">
                  <c:v>8.2940800240713097E-3</c:v>
                </c:pt>
                <c:pt idx="68">
                  <c:v>7.8687425869394482E-3</c:v>
                </c:pt>
                <c:pt idx="69">
                  <c:v>7.4434051498075858E-3</c:v>
                </c:pt>
                <c:pt idx="70">
                  <c:v>6.8053989941097926E-3</c:v>
                </c:pt>
                <c:pt idx="71">
                  <c:v>6.1673928384119994E-3</c:v>
                </c:pt>
                <c:pt idx="72">
                  <c:v>5.5293866827142062E-3</c:v>
                </c:pt>
                <c:pt idx="73">
                  <c:v>5.5293866827142062E-3</c:v>
                </c:pt>
                <c:pt idx="74">
                  <c:v>5.5293866827142062E-3</c:v>
                </c:pt>
                <c:pt idx="75">
                  <c:v>5.1040492455823447E-3</c:v>
                </c:pt>
                <c:pt idx="76">
                  <c:v>4.6787118084504822E-3</c:v>
                </c:pt>
                <c:pt idx="77">
                  <c:v>4.6787118084504822E-3</c:v>
                </c:pt>
                <c:pt idx="78">
                  <c:v>4.6787118084504822E-3</c:v>
                </c:pt>
                <c:pt idx="79">
                  <c:v>3.8280369341867578E-3</c:v>
                </c:pt>
                <c:pt idx="80">
                  <c:v>3.8280369341867578E-3</c:v>
                </c:pt>
                <c:pt idx="81">
                  <c:v>3.8280369341867578E-3</c:v>
                </c:pt>
                <c:pt idx="82">
                  <c:v>3.6153682156208266E-3</c:v>
                </c:pt>
                <c:pt idx="83">
                  <c:v>3.4026994970548954E-3</c:v>
                </c:pt>
                <c:pt idx="84">
                  <c:v>3.4026994970548954E-3</c:v>
                </c:pt>
                <c:pt idx="85">
                  <c:v>2.7646933413571027E-3</c:v>
                </c:pt>
                <c:pt idx="86">
                  <c:v>2.5520246227911719E-3</c:v>
                </c:pt>
                <c:pt idx="87">
                  <c:v>2.3393559042252407E-3</c:v>
                </c:pt>
                <c:pt idx="88">
                  <c:v>1.9140184670933787E-3</c:v>
                </c:pt>
                <c:pt idx="89">
                  <c:v>1.9140184670933787E-3</c:v>
                </c:pt>
                <c:pt idx="90">
                  <c:v>1.9140184670933787E-3</c:v>
                </c:pt>
                <c:pt idx="91">
                  <c:v>1.9140184670933787E-3</c:v>
                </c:pt>
                <c:pt idx="92">
                  <c:v>1.4886810299615167E-3</c:v>
                </c:pt>
                <c:pt idx="93">
                  <c:v>1.4886810299615167E-3</c:v>
                </c:pt>
                <c:pt idx="94">
                  <c:v>1.2760123113955859E-3</c:v>
                </c:pt>
                <c:pt idx="95">
                  <c:v>1.2760123113955859E-3</c:v>
                </c:pt>
                <c:pt idx="96">
                  <c:v>8.5067487426372407E-4</c:v>
                </c:pt>
                <c:pt idx="97">
                  <c:v>8.5067487426372407E-4</c:v>
                </c:pt>
                <c:pt idx="98">
                  <c:v>6.3800615569779308E-4</c:v>
                </c:pt>
                <c:pt idx="99">
                  <c:v>6.3800615569779308E-4</c:v>
                </c:pt>
                <c:pt idx="100">
                  <c:v>4.2533743713186209E-4</c:v>
                </c:pt>
                <c:pt idx="101">
                  <c:v>2.1266871856593105E-4</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numCache>
            </c:numRef>
          </c:yVal>
          <c:smooth val="0"/>
          <c:extLst>
            <c:ext xmlns:c16="http://schemas.microsoft.com/office/drawing/2014/chart" uri="{C3380CC4-5D6E-409C-BE32-E72D297353CC}">
              <c16:uniqueId val="{00000001-494F-4AD7-97A7-3BD40BC0B29D}"/>
            </c:ext>
          </c:extLst>
        </c:ser>
        <c:dLbls>
          <c:showLegendKey val="0"/>
          <c:showVal val="0"/>
          <c:showCatName val="0"/>
          <c:showSerName val="0"/>
          <c:showPercent val="0"/>
          <c:showBubbleSize val="0"/>
        </c:dLbls>
        <c:axId val="1588345552"/>
        <c:axId val="1807988112"/>
        <c:extLst/>
      </c:scatterChart>
      <c:valAx>
        <c:axId val="1588345552"/>
        <c:scaling>
          <c:orientation val="minMax"/>
          <c:max val="1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Age (Years)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807988112"/>
        <c:crosses val="autoZero"/>
        <c:crossBetween val="midCat"/>
      </c:valAx>
      <c:valAx>
        <c:axId val="1807988112"/>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Percent Alive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588345552"/>
        <c:crosses val="autoZero"/>
        <c:crossBetween val="midCat"/>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Arial Narrow" panose="020B060602020203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9F2A-C225-4BA3-950D-417FC25B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20901</Words>
  <Characters>114438</Characters>
  <Application>Microsoft Office Word</Application>
  <DocSecurity>0</DocSecurity>
  <Lines>953</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2021-07-08T03:29:00Z</dcterms:created>
  <dcterms:modified xsi:type="dcterms:W3CDTF">2021-07-15T03:23:00Z</dcterms:modified>
</cp:coreProperties>
</file>