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5C333D" w:rsidRDefault="00CD117A" w:rsidP="0086353C">
      <w:pPr>
        <w:pStyle w:val="1-MainHeading"/>
      </w:pPr>
      <w:bookmarkStart w:id="0" w:name="_Toc62030455"/>
      <w:r w:rsidRPr="005C333D">
        <w:t>5.04</w:t>
      </w:r>
      <w:r w:rsidR="0086353C" w:rsidRPr="005C333D">
        <w:tab/>
      </w:r>
      <w:r w:rsidR="00552DEE" w:rsidRPr="005C333D">
        <w:t>CICLOSPORIN</w:t>
      </w:r>
      <w:r w:rsidR="00DC0E31" w:rsidRPr="005C333D">
        <w:t xml:space="preserve">, </w:t>
      </w:r>
      <w:r w:rsidR="00163F66" w:rsidRPr="005C333D">
        <w:br/>
      </w:r>
      <w:r w:rsidR="00C40260" w:rsidRPr="005C333D">
        <w:rPr>
          <w:rFonts w:cstheme="minorHAnsi"/>
        </w:rPr>
        <w:t>E</w:t>
      </w:r>
      <w:r w:rsidR="004137BB" w:rsidRPr="005C333D">
        <w:rPr>
          <w:rFonts w:cstheme="minorHAnsi"/>
        </w:rPr>
        <w:t>ye drops 0.1%</w:t>
      </w:r>
      <w:r w:rsidR="00C40260" w:rsidRPr="005C333D">
        <w:rPr>
          <w:rFonts w:cstheme="minorHAnsi"/>
        </w:rPr>
        <w:t>, single dose units 0.4 mL</w:t>
      </w:r>
      <w:r w:rsidR="00371552" w:rsidRPr="005C333D">
        <w:rPr>
          <w:rFonts w:cstheme="minorHAnsi"/>
        </w:rPr>
        <w:t xml:space="preserve">, </w:t>
      </w:r>
      <w:r w:rsidR="00163F66" w:rsidRPr="005C333D">
        <w:br/>
      </w:r>
      <w:r w:rsidR="00D7409D" w:rsidRPr="005C333D">
        <w:t>Ikervis</w:t>
      </w:r>
      <w:r w:rsidR="00D7409D" w:rsidRPr="005C333D">
        <w:rPr>
          <w:vertAlign w:val="superscript"/>
        </w:rPr>
        <w:t xml:space="preserve"> </w:t>
      </w:r>
      <w:r w:rsidR="00B60939" w:rsidRPr="005C333D">
        <w:rPr>
          <w:vertAlign w:val="superscript"/>
        </w:rPr>
        <w:t>®</w:t>
      </w:r>
      <w:r w:rsidR="00371552" w:rsidRPr="005C333D">
        <w:t xml:space="preserve">, </w:t>
      </w:r>
      <w:r w:rsidR="004A6040" w:rsidRPr="005C333D">
        <w:br/>
      </w:r>
      <w:r w:rsidR="00C262FE" w:rsidRPr="005C333D">
        <w:t>Seqirus</w:t>
      </w:r>
      <w:r w:rsidR="004137BB" w:rsidRPr="005C333D">
        <w:t xml:space="preserve"> (Australia) Pty Ltd</w:t>
      </w:r>
      <w:bookmarkEnd w:id="0"/>
    </w:p>
    <w:p w:rsidR="00B73532" w:rsidRPr="005C333D" w:rsidRDefault="00B50DB8" w:rsidP="00B73532">
      <w:pPr>
        <w:pStyle w:val="2-SectionHeading"/>
      </w:pPr>
      <w:bookmarkStart w:id="1" w:name="_Toc62030457"/>
      <w:r w:rsidRPr="005C333D">
        <w:t xml:space="preserve">Purpose of </w:t>
      </w:r>
      <w:r w:rsidR="00CD7193" w:rsidRPr="005C333D">
        <w:t>s</w:t>
      </w:r>
      <w:r w:rsidR="00BB3A45" w:rsidRPr="005C333D">
        <w:t>ubmission</w:t>
      </w:r>
      <w:bookmarkEnd w:id="1"/>
    </w:p>
    <w:p w:rsidR="002C2775" w:rsidRPr="005C333D" w:rsidRDefault="007170DA" w:rsidP="00B73532">
      <w:pPr>
        <w:pStyle w:val="3-BodyText"/>
      </w:pPr>
      <w:r w:rsidRPr="005C333D">
        <w:rPr>
          <w:rFonts w:ascii="Calibri" w:hAnsi="Calibri"/>
          <w:lang w:eastAsia="en-US"/>
        </w:rPr>
        <w:t>The</w:t>
      </w:r>
      <w:r w:rsidRPr="005C333D">
        <w:t xml:space="preserve"> submission requested </w:t>
      </w:r>
      <w:r w:rsidR="00BB02EF" w:rsidRPr="005C333D">
        <w:t xml:space="preserve">an </w:t>
      </w:r>
      <w:r w:rsidR="008F06F5" w:rsidRPr="005C333D">
        <w:t xml:space="preserve">Authority Required </w:t>
      </w:r>
      <w:r w:rsidR="00CD117A" w:rsidRPr="005C333D">
        <w:t xml:space="preserve">(STREAMLINED) </w:t>
      </w:r>
      <w:r w:rsidR="008B1757" w:rsidRPr="005C333D">
        <w:t>listing for</w:t>
      </w:r>
      <w:r w:rsidR="00CE209E" w:rsidRPr="005C333D">
        <w:t xml:space="preserve"> ciclosporin</w:t>
      </w:r>
      <w:r w:rsidR="008B1757" w:rsidRPr="005C333D">
        <w:t xml:space="preserve"> for </w:t>
      </w:r>
      <w:r w:rsidR="0050174E" w:rsidRPr="005C333D">
        <w:t xml:space="preserve">the </w:t>
      </w:r>
      <w:r w:rsidR="008F06F5" w:rsidRPr="005C333D">
        <w:t>t</w:t>
      </w:r>
      <w:r w:rsidR="00CE209E" w:rsidRPr="005C333D">
        <w:t xml:space="preserve">reatment of patients with severe keratitis with </w:t>
      </w:r>
      <w:r w:rsidR="003E1506" w:rsidRPr="005C333D">
        <w:t>dry eye disease (</w:t>
      </w:r>
      <w:r w:rsidR="008F06F5" w:rsidRPr="005C333D">
        <w:t>DED</w:t>
      </w:r>
      <w:r w:rsidR="003E1506" w:rsidRPr="005C333D">
        <w:t>)</w:t>
      </w:r>
      <w:r w:rsidR="008B1757" w:rsidRPr="005C333D">
        <w:t xml:space="preserve">. </w:t>
      </w:r>
    </w:p>
    <w:p w:rsidR="00C2778B" w:rsidRPr="005C333D" w:rsidRDefault="005750C5" w:rsidP="00B73532">
      <w:pPr>
        <w:pStyle w:val="3-BodyText"/>
      </w:pPr>
      <w:r w:rsidRPr="005C333D">
        <w:t>Listing was requested on the basis of a cost-</w:t>
      </w:r>
      <w:r w:rsidR="00553FA3" w:rsidRPr="005C333D">
        <w:t xml:space="preserve">utility </w:t>
      </w:r>
      <w:r w:rsidRPr="005C333D">
        <w:t xml:space="preserve">analysis versus </w:t>
      </w:r>
      <w:r w:rsidR="003E1506" w:rsidRPr="005C333D">
        <w:t>b</w:t>
      </w:r>
      <w:r w:rsidR="001C6F4D" w:rsidRPr="005C333D">
        <w:t xml:space="preserve">est </w:t>
      </w:r>
      <w:r w:rsidR="003E1506" w:rsidRPr="005C333D">
        <w:t>s</w:t>
      </w:r>
      <w:r w:rsidR="001C6F4D" w:rsidRPr="005C333D">
        <w:t xml:space="preserve">upportive </w:t>
      </w:r>
      <w:r w:rsidR="003E1506" w:rsidRPr="005C333D">
        <w:t>c</w:t>
      </w:r>
      <w:r w:rsidR="001C6F4D" w:rsidRPr="005C333D">
        <w:t>are (BSC)</w:t>
      </w:r>
      <w:r w:rsidR="00B67C2E" w:rsidRPr="005C333D">
        <w:t>, which</w:t>
      </w:r>
      <w:r w:rsidR="001C6F4D" w:rsidRPr="005C333D">
        <w:t xml:space="preserve"> </w:t>
      </w:r>
      <w:r w:rsidR="00394438" w:rsidRPr="005C333D">
        <w:t>includ</w:t>
      </w:r>
      <w:r w:rsidR="00B67C2E" w:rsidRPr="005C333D">
        <w:t>ed</w:t>
      </w:r>
      <w:r w:rsidR="001C6F4D" w:rsidRPr="005C333D">
        <w:t xml:space="preserve"> artificial tears</w:t>
      </w:r>
      <w:r w:rsidR="00572BC3" w:rsidRPr="005C333D">
        <w:t>.</w:t>
      </w:r>
    </w:p>
    <w:p w:rsidR="008B1757" w:rsidRPr="005C333D" w:rsidRDefault="008B1757" w:rsidP="00F36D13">
      <w:pPr>
        <w:pStyle w:val="TableFigureHeading"/>
        <w:rPr>
          <w:rStyle w:val="CommentReference"/>
          <w:b/>
          <w:szCs w:val="24"/>
        </w:rPr>
      </w:pPr>
      <w:r w:rsidRPr="005C333D">
        <w:rPr>
          <w:rStyle w:val="CommentReference"/>
          <w:b/>
          <w:szCs w:val="24"/>
        </w:rPr>
        <w:t xml:space="preserve">Table </w:t>
      </w:r>
      <w:r w:rsidR="001E3DCA" w:rsidRPr="005C333D">
        <w:rPr>
          <w:rStyle w:val="CommentReference"/>
          <w:b/>
          <w:szCs w:val="24"/>
        </w:rPr>
        <w:t>1:</w:t>
      </w:r>
      <w:r w:rsidR="00BC591F" w:rsidRPr="005C333D">
        <w:rPr>
          <w:rStyle w:val="CommentReference"/>
          <w:b/>
          <w:szCs w:val="24"/>
        </w:rPr>
        <w:t xml:space="preserve"> </w:t>
      </w:r>
      <w:r w:rsidRPr="005C333D">
        <w:rPr>
          <w:rStyle w:val="CommentReference"/>
          <w:b/>
          <w:szCs w:val="24"/>
        </w:rPr>
        <w:t>Key components of the clinical issue addressed by the submission</w:t>
      </w:r>
      <w:r w:rsidR="007170DA" w:rsidRPr="005C333D">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8B1757" w:rsidRPr="005C333D" w:rsidTr="00F9288A">
        <w:trPr>
          <w:cantSplit/>
          <w:tblHeader/>
        </w:trPr>
        <w:tc>
          <w:tcPr>
            <w:tcW w:w="784" w:type="pct"/>
            <w:shd w:val="clear" w:color="auto" w:fill="auto"/>
          </w:tcPr>
          <w:p w:rsidR="008B1757" w:rsidRPr="005C333D" w:rsidRDefault="008B1757" w:rsidP="00F36D13">
            <w:pPr>
              <w:pStyle w:val="In-tableHeading"/>
              <w:rPr>
                <w:szCs w:val="20"/>
                <w:lang w:val="en-AU"/>
              </w:rPr>
            </w:pPr>
            <w:r w:rsidRPr="005C333D">
              <w:rPr>
                <w:lang w:val="en-AU"/>
              </w:rPr>
              <w:t>Component</w:t>
            </w:r>
          </w:p>
        </w:tc>
        <w:tc>
          <w:tcPr>
            <w:tcW w:w="4216" w:type="pct"/>
            <w:shd w:val="clear" w:color="auto" w:fill="auto"/>
          </w:tcPr>
          <w:p w:rsidR="008B1757" w:rsidRPr="005C333D" w:rsidRDefault="008B1757" w:rsidP="00F36D13">
            <w:pPr>
              <w:pStyle w:val="In-tableHeading"/>
              <w:rPr>
                <w:lang w:val="en-AU"/>
              </w:rPr>
            </w:pPr>
            <w:r w:rsidRPr="005C333D">
              <w:rPr>
                <w:lang w:val="en-AU"/>
              </w:rPr>
              <w:t>Description</w:t>
            </w:r>
          </w:p>
        </w:tc>
      </w:tr>
      <w:tr w:rsidR="00284799" w:rsidRPr="005C333D" w:rsidTr="00F9288A">
        <w:trPr>
          <w:cantSplit/>
        </w:trPr>
        <w:tc>
          <w:tcPr>
            <w:tcW w:w="784" w:type="pct"/>
            <w:shd w:val="clear" w:color="auto" w:fill="auto"/>
            <w:vAlign w:val="center"/>
          </w:tcPr>
          <w:p w:rsidR="00284799" w:rsidRPr="005C333D" w:rsidRDefault="00284799" w:rsidP="00F36D13">
            <w:pPr>
              <w:pStyle w:val="TableText0"/>
              <w:keepNext/>
            </w:pPr>
            <w:r w:rsidRPr="005C333D">
              <w:t>Population</w:t>
            </w:r>
          </w:p>
        </w:tc>
        <w:tc>
          <w:tcPr>
            <w:tcW w:w="4216" w:type="pct"/>
            <w:shd w:val="clear" w:color="auto" w:fill="auto"/>
            <w:vAlign w:val="center"/>
          </w:tcPr>
          <w:p w:rsidR="00284799" w:rsidRPr="005C333D" w:rsidRDefault="00284799" w:rsidP="00F36D13">
            <w:pPr>
              <w:pStyle w:val="TableText0"/>
              <w:keepNext/>
              <w:rPr>
                <w:szCs w:val="20"/>
              </w:rPr>
            </w:pPr>
            <w:r w:rsidRPr="005C333D">
              <w:t>Patients with severe keratitis with dry eye disease (DED).</w:t>
            </w:r>
          </w:p>
        </w:tc>
      </w:tr>
      <w:tr w:rsidR="00284799" w:rsidRPr="005C333D" w:rsidTr="00F9288A">
        <w:trPr>
          <w:cantSplit/>
        </w:trPr>
        <w:tc>
          <w:tcPr>
            <w:tcW w:w="784" w:type="pct"/>
            <w:shd w:val="clear" w:color="auto" w:fill="auto"/>
            <w:vAlign w:val="center"/>
          </w:tcPr>
          <w:p w:rsidR="00284799" w:rsidRPr="005C333D" w:rsidRDefault="00284799" w:rsidP="00F36D13">
            <w:pPr>
              <w:pStyle w:val="TableText0"/>
              <w:keepNext/>
            </w:pPr>
            <w:r w:rsidRPr="005C333D">
              <w:t>Intervention</w:t>
            </w:r>
          </w:p>
        </w:tc>
        <w:tc>
          <w:tcPr>
            <w:tcW w:w="4216" w:type="pct"/>
            <w:shd w:val="clear" w:color="auto" w:fill="auto"/>
            <w:vAlign w:val="center"/>
          </w:tcPr>
          <w:p w:rsidR="00284799" w:rsidRPr="005C333D" w:rsidRDefault="00284799" w:rsidP="00F36D13">
            <w:pPr>
              <w:pStyle w:val="TableText0"/>
              <w:keepNext/>
            </w:pPr>
            <w:r w:rsidRPr="005C333D">
              <w:t>Ciclosporin 1 mg/mL, 0.1% eye drops, emulsion with preservative free artificial tears, as needed.</w:t>
            </w:r>
          </w:p>
        </w:tc>
      </w:tr>
      <w:tr w:rsidR="00284799" w:rsidRPr="005C333D" w:rsidTr="00F9288A">
        <w:trPr>
          <w:cantSplit/>
        </w:trPr>
        <w:tc>
          <w:tcPr>
            <w:tcW w:w="784" w:type="pct"/>
            <w:shd w:val="clear" w:color="auto" w:fill="auto"/>
            <w:vAlign w:val="center"/>
          </w:tcPr>
          <w:p w:rsidR="00284799" w:rsidRPr="005C333D" w:rsidRDefault="00284799" w:rsidP="00F36D13">
            <w:pPr>
              <w:pStyle w:val="TableText0"/>
              <w:keepNext/>
            </w:pPr>
            <w:r w:rsidRPr="005C333D">
              <w:t>Comparator</w:t>
            </w:r>
          </w:p>
        </w:tc>
        <w:tc>
          <w:tcPr>
            <w:tcW w:w="4216" w:type="pct"/>
            <w:shd w:val="clear" w:color="auto" w:fill="auto"/>
            <w:vAlign w:val="center"/>
          </w:tcPr>
          <w:p w:rsidR="00284799" w:rsidRPr="005C333D" w:rsidRDefault="00284799" w:rsidP="00F36D13">
            <w:pPr>
              <w:pStyle w:val="TableText0"/>
              <w:keepNext/>
            </w:pPr>
            <w:r w:rsidRPr="005C333D">
              <w:t>Best supportive care</w:t>
            </w:r>
            <w:r w:rsidR="008F06F5" w:rsidRPr="005C333D">
              <w:t xml:space="preserve"> (BSC)</w:t>
            </w:r>
            <w:r w:rsidRPr="005C333D">
              <w:t>, consisting of preservative free artificial tears as needed</w:t>
            </w:r>
            <w:r w:rsidR="00A615C3" w:rsidRPr="005C333D">
              <w:t>.</w:t>
            </w:r>
          </w:p>
        </w:tc>
      </w:tr>
      <w:tr w:rsidR="00284799" w:rsidRPr="005C333D" w:rsidTr="00F9288A">
        <w:trPr>
          <w:cantSplit/>
        </w:trPr>
        <w:tc>
          <w:tcPr>
            <w:tcW w:w="784" w:type="pct"/>
            <w:shd w:val="clear" w:color="auto" w:fill="auto"/>
            <w:vAlign w:val="center"/>
          </w:tcPr>
          <w:p w:rsidR="00284799" w:rsidRPr="005C333D" w:rsidRDefault="00284799" w:rsidP="00F36D13">
            <w:pPr>
              <w:pStyle w:val="TableText0"/>
              <w:keepNext/>
            </w:pPr>
            <w:r w:rsidRPr="005C333D">
              <w:t>Outcomes</w:t>
            </w:r>
          </w:p>
        </w:tc>
        <w:tc>
          <w:tcPr>
            <w:tcW w:w="4216" w:type="pct"/>
            <w:shd w:val="clear" w:color="auto" w:fill="auto"/>
            <w:vAlign w:val="center"/>
          </w:tcPr>
          <w:p w:rsidR="00284799" w:rsidRPr="005C333D" w:rsidRDefault="00284799" w:rsidP="00F36D13">
            <w:pPr>
              <w:pStyle w:val="TableText0"/>
              <w:keepNext/>
            </w:pPr>
            <w:r w:rsidRPr="005C333D">
              <w:t>Assessment of signs and symptoms of DED and keratitis:</w:t>
            </w:r>
          </w:p>
          <w:p w:rsidR="00284799" w:rsidRPr="005C333D" w:rsidRDefault="00284799" w:rsidP="00F36D13">
            <w:pPr>
              <w:pStyle w:val="TableText0"/>
              <w:keepNext/>
            </w:pPr>
            <w:r w:rsidRPr="005C333D">
              <w:t>•</w:t>
            </w:r>
            <w:r w:rsidRPr="005C333D">
              <w:tab/>
              <w:t xml:space="preserve">Corneal fluorescent staining (CFS) </w:t>
            </w:r>
          </w:p>
          <w:p w:rsidR="00284799" w:rsidRPr="005C333D" w:rsidRDefault="00284799" w:rsidP="00F36D13">
            <w:pPr>
              <w:pStyle w:val="TableText0"/>
              <w:keepNext/>
            </w:pPr>
            <w:r w:rsidRPr="005C333D">
              <w:t>•</w:t>
            </w:r>
            <w:r w:rsidRPr="005C333D">
              <w:tab/>
              <w:t>Ocular Surface Disease Index (OSDI)</w:t>
            </w:r>
          </w:p>
          <w:p w:rsidR="00284799" w:rsidRPr="005C333D" w:rsidRDefault="00284799" w:rsidP="00F36D13">
            <w:pPr>
              <w:pStyle w:val="TableText0"/>
              <w:keepNext/>
            </w:pPr>
            <w:r w:rsidRPr="005C333D">
              <w:t>•</w:t>
            </w:r>
            <w:r w:rsidRPr="005C333D">
              <w:tab/>
              <w:t>Tear break up time (TBUT)</w:t>
            </w:r>
          </w:p>
          <w:p w:rsidR="00284799" w:rsidRPr="005C333D" w:rsidRDefault="00284799" w:rsidP="00F36D13">
            <w:pPr>
              <w:pStyle w:val="TableText0"/>
              <w:keepNext/>
            </w:pPr>
            <w:r w:rsidRPr="005C333D">
              <w:t>•</w:t>
            </w:r>
            <w:r w:rsidRPr="005C333D">
              <w:tab/>
              <w:t>Shirmer tear test</w:t>
            </w:r>
          </w:p>
          <w:p w:rsidR="00284799" w:rsidRPr="005C333D" w:rsidRDefault="00284799" w:rsidP="00F36D13">
            <w:pPr>
              <w:pStyle w:val="TableText0"/>
              <w:keepNext/>
              <w:rPr>
                <w:rFonts w:eastAsia="Times New Roman" w:cs="Arial"/>
                <w:bCs w:val="0"/>
                <w:snapToGrid w:val="0"/>
                <w:color w:val="0066FF"/>
                <w:szCs w:val="20"/>
              </w:rPr>
            </w:pPr>
            <w:r w:rsidRPr="005C333D">
              <w:t>Adverse events</w:t>
            </w:r>
          </w:p>
        </w:tc>
      </w:tr>
      <w:tr w:rsidR="00284799" w:rsidRPr="005C333D" w:rsidTr="00F9288A">
        <w:trPr>
          <w:cantSplit/>
        </w:trPr>
        <w:tc>
          <w:tcPr>
            <w:tcW w:w="784" w:type="pct"/>
            <w:shd w:val="clear" w:color="auto" w:fill="auto"/>
            <w:vAlign w:val="center"/>
          </w:tcPr>
          <w:p w:rsidR="00284799" w:rsidRPr="005C333D" w:rsidRDefault="00284799" w:rsidP="00F36D13">
            <w:pPr>
              <w:pStyle w:val="TableText0"/>
              <w:keepNext/>
            </w:pPr>
            <w:r w:rsidRPr="005C333D">
              <w:t>Clinical claim</w:t>
            </w:r>
          </w:p>
        </w:tc>
        <w:tc>
          <w:tcPr>
            <w:tcW w:w="4216" w:type="pct"/>
            <w:shd w:val="clear" w:color="auto" w:fill="auto"/>
            <w:vAlign w:val="center"/>
          </w:tcPr>
          <w:p w:rsidR="00284799" w:rsidRPr="005C333D" w:rsidRDefault="00284799" w:rsidP="00F36D13">
            <w:pPr>
              <w:pStyle w:val="TableText0"/>
              <w:keepNext/>
              <w:rPr>
                <w:rFonts w:eastAsia="Times New Roman" w:cs="Arial"/>
                <w:bCs w:val="0"/>
                <w:snapToGrid w:val="0"/>
                <w:color w:val="0066FF"/>
                <w:szCs w:val="20"/>
              </w:rPr>
            </w:pPr>
            <w:r w:rsidRPr="005C333D">
              <w:t>In patients with severe keratitis with DED who have failed to achieve symptom control with artificial tears, ciclosporin eye drops is superior to placebo with respect to efficacy and non-inferior with respect to safety.</w:t>
            </w:r>
          </w:p>
        </w:tc>
      </w:tr>
    </w:tbl>
    <w:p w:rsidR="00A34C25" w:rsidRPr="005C333D" w:rsidRDefault="00A34C25" w:rsidP="00A34C25">
      <w:pPr>
        <w:pStyle w:val="TableFigureFooter"/>
      </w:pPr>
      <w:r w:rsidRPr="005C333D">
        <w:t>Source: Table 1.1.1, p26 of the submission.</w:t>
      </w:r>
    </w:p>
    <w:p w:rsidR="005C25FF" w:rsidRPr="005C333D" w:rsidRDefault="005C25FF" w:rsidP="004A6040">
      <w:pPr>
        <w:pStyle w:val="2-SectionHeading"/>
      </w:pPr>
      <w:bookmarkStart w:id="2" w:name="_Toc62030458"/>
      <w:r w:rsidRPr="005C333D">
        <w:t>Background</w:t>
      </w:r>
      <w:bookmarkEnd w:id="2"/>
    </w:p>
    <w:p w:rsidR="005C25FF" w:rsidRPr="005C333D" w:rsidRDefault="005C25FF" w:rsidP="004A6040">
      <w:pPr>
        <w:pStyle w:val="4-SubsectionHeading"/>
      </w:pPr>
      <w:bookmarkStart w:id="3" w:name="_Toc22897638"/>
      <w:bookmarkStart w:id="4" w:name="_Toc62030459"/>
      <w:r w:rsidRPr="005C333D">
        <w:t>Registration status</w:t>
      </w:r>
      <w:bookmarkEnd w:id="3"/>
      <w:bookmarkEnd w:id="4"/>
    </w:p>
    <w:p w:rsidR="003248D3" w:rsidRPr="005C333D" w:rsidRDefault="00D115FC" w:rsidP="00B73532">
      <w:pPr>
        <w:pStyle w:val="3-BodyText"/>
      </w:pPr>
      <w:r w:rsidRPr="005C333D">
        <w:t xml:space="preserve">Ciclosporin </w:t>
      </w:r>
      <w:r w:rsidR="003248D3" w:rsidRPr="005C333D">
        <w:t>was</w:t>
      </w:r>
      <w:r w:rsidRPr="005C333D">
        <w:t xml:space="preserve"> registered by the TGA</w:t>
      </w:r>
      <w:r w:rsidR="003248D3" w:rsidRPr="005C333D">
        <w:t xml:space="preserve"> on 11 December 2020 for: </w:t>
      </w:r>
    </w:p>
    <w:p w:rsidR="003248D3" w:rsidRPr="005C333D" w:rsidRDefault="003248D3" w:rsidP="003248D3">
      <w:pPr>
        <w:pStyle w:val="3-BodyText"/>
        <w:numPr>
          <w:ilvl w:val="0"/>
          <w:numId w:val="0"/>
        </w:numPr>
        <w:ind w:left="720"/>
      </w:pPr>
      <w:r w:rsidRPr="005C333D">
        <w:t>“Treatment of severe keratitis in adult patients with dry eye disease which has not improved despite treatment with tear substitutes.”</w:t>
      </w:r>
      <w:r w:rsidR="00D115FC" w:rsidRPr="005C333D">
        <w:t xml:space="preserve"> </w:t>
      </w:r>
    </w:p>
    <w:p w:rsidR="00DA5D07" w:rsidRPr="005C333D" w:rsidRDefault="00DA5D07" w:rsidP="00DA5D07">
      <w:pPr>
        <w:pStyle w:val="3-BodyText"/>
        <w:numPr>
          <w:ilvl w:val="0"/>
          <w:numId w:val="0"/>
        </w:numPr>
        <w:ind w:left="720"/>
        <w:rPr>
          <w:i/>
        </w:rPr>
      </w:pPr>
      <w:r w:rsidRPr="005C333D">
        <w:rPr>
          <w:i/>
        </w:rPr>
        <w:t>For more detail on PBAC’s view, see section 7 PBAC outcome.</w:t>
      </w:r>
    </w:p>
    <w:p w:rsidR="00B60939" w:rsidRPr="005C333D" w:rsidRDefault="00B50DB8" w:rsidP="004E18E9">
      <w:pPr>
        <w:pStyle w:val="2-SectionHeading"/>
      </w:pPr>
      <w:bookmarkStart w:id="5" w:name="_Toc62030460"/>
      <w:r w:rsidRPr="005C333D">
        <w:lastRenderedPageBreak/>
        <w:t>Requested listing</w:t>
      </w:r>
      <w:bookmarkEnd w:id="5"/>
    </w:p>
    <w:tbl>
      <w:tblPr>
        <w:tblW w:w="4977" w:type="pct"/>
        <w:tblInd w:w="28" w:type="dxa"/>
        <w:tblCellMar>
          <w:left w:w="28" w:type="dxa"/>
          <w:right w:w="28" w:type="dxa"/>
        </w:tblCellMar>
        <w:tblLook w:val="0000" w:firstRow="0" w:lastRow="0" w:firstColumn="0" w:lastColumn="0" w:noHBand="0" w:noVBand="0"/>
      </w:tblPr>
      <w:tblGrid>
        <w:gridCol w:w="1669"/>
        <w:gridCol w:w="1675"/>
        <w:gridCol w:w="1067"/>
        <w:gridCol w:w="825"/>
        <w:gridCol w:w="2277"/>
        <w:gridCol w:w="1472"/>
      </w:tblGrid>
      <w:tr w:rsidR="003517F9" w:rsidRPr="005C333D" w:rsidTr="003248D3">
        <w:trPr>
          <w:cantSplit/>
          <w:trHeight w:val="463"/>
        </w:trPr>
        <w:tc>
          <w:tcPr>
            <w:tcW w:w="1861" w:type="pct"/>
            <w:gridSpan w:val="2"/>
            <w:tcBorders>
              <w:top w:val="single" w:sz="4" w:space="0" w:color="auto"/>
              <w:bottom w:val="single" w:sz="4" w:space="0" w:color="auto"/>
            </w:tcBorders>
            <w:vAlign w:val="center"/>
          </w:tcPr>
          <w:p w:rsidR="00617E12" w:rsidRPr="005C333D" w:rsidRDefault="00617E12" w:rsidP="00CD26DE">
            <w:pPr>
              <w:keepNext/>
              <w:jc w:val="left"/>
              <w:rPr>
                <w:rFonts w:ascii="Arial Narrow" w:hAnsi="Arial Narrow"/>
                <w:b/>
                <w:sz w:val="20"/>
              </w:rPr>
            </w:pPr>
            <w:r w:rsidRPr="005C333D">
              <w:rPr>
                <w:rFonts w:ascii="Arial Narrow" w:hAnsi="Arial Narrow"/>
                <w:b/>
                <w:sz w:val="20"/>
              </w:rPr>
              <w:t>Name, Restriction,</w:t>
            </w:r>
          </w:p>
          <w:p w:rsidR="00617E12" w:rsidRPr="005C333D" w:rsidRDefault="00617E12" w:rsidP="00CD26DE">
            <w:pPr>
              <w:keepNext/>
              <w:jc w:val="left"/>
              <w:rPr>
                <w:rFonts w:ascii="Arial Narrow" w:hAnsi="Arial Narrow"/>
                <w:b/>
                <w:sz w:val="20"/>
              </w:rPr>
            </w:pPr>
            <w:r w:rsidRPr="005C333D">
              <w:rPr>
                <w:rFonts w:ascii="Arial Narrow" w:hAnsi="Arial Narrow"/>
                <w:b/>
                <w:sz w:val="20"/>
              </w:rPr>
              <w:t>Manner of administration and form</w:t>
            </w:r>
          </w:p>
        </w:tc>
        <w:tc>
          <w:tcPr>
            <w:tcW w:w="594" w:type="pct"/>
            <w:tcBorders>
              <w:top w:val="single" w:sz="4" w:space="0" w:color="auto"/>
              <w:bottom w:val="single" w:sz="4" w:space="0" w:color="auto"/>
            </w:tcBorders>
            <w:vAlign w:val="center"/>
          </w:tcPr>
          <w:p w:rsidR="00617E12" w:rsidRPr="005C333D" w:rsidRDefault="00617E12" w:rsidP="00CD26DE">
            <w:pPr>
              <w:keepNext/>
              <w:jc w:val="center"/>
              <w:rPr>
                <w:rFonts w:ascii="Arial Narrow" w:hAnsi="Arial Narrow"/>
                <w:b/>
                <w:sz w:val="20"/>
              </w:rPr>
            </w:pPr>
            <w:r w:rsidRPr="005C333D">
              <w:rPr>
                <w:rFonts w:ascii="Arial Narrow" w:hAnsi="Arial Narrow"/>
                <w:b/>
                <w:sz w:val="20"/>
              </w:rPr>
              <w:t>Max.</w:t>
            </w:r>
          </w:p>
          <w:p w:rsidR="00617E12" w:rsidRPr="005C333D" w:rsidRDefault="00617E12" w:rsidP="00CD26DE">
            <w:pPr>
              <w:keepNext/>
              <w:jc w:val="center"/>
              <w:rPr>
                <w:rFonts w:ascii="Arial Narrow" w:hAnsi="Arial Narrow"/>
                <w:b/>
                <w:sz w:val="20"/>
              </w:rPr>
            </w:pPr>
            <w:r w:rsidRPr="005C333D">
              <w:rPr>
                <w:rFonts w:ascii="Arial Narrow" w:hAnsi="Arial Narrow"/>
                <w:b/>
                <w:sz w:val="20"/>
              </w:rPr>
              <w:t>Qty</w:t>
            </w:r>
            <w:r w:rsidR="006F4BCC" w:rsidRPr="005C333D">
              <w:rPr>
                <w:rFonts w:ascii="Arial Narrow" w:hAnsi="Arial Narrow"/>
                <w:b/>
                <w:sz w:val="20"/>
              </w:rPr>
              <w:t xml:space="preserve"> (units)</w:t>
            </w:r>
          </w:p>
        </w:tc>
        <w:tc>
          <w:tcPr>
            <w:tcW w:w="459" w:type="pct"/>
            <w:tcBorders>
              <w:top w:val="single" w:sz="4" w:space="0" w:color="auto"/>
              <w:bottom w:val="single" w:sz="4" w:space="0" w:color="auto"/>
            </w:tcBorders>
            <w:vAlign w:val="center"/>
          </w:tcPr>
          <w:p w:rsidR="00617E12" w:rsidRPr="005C333D" w:rsidRDefault="00617E12" w:rsidP="00CD26DE">
            <w:pPr>
              <w:keepNext/>
              <w:jc w:val="center"/>
              <w:rPr>
                <w:rFonts w:ascii="Arial Narrow" w:hAnsi="Arial Narrow"/>
                <w:b/>
                <w:sz w:val="20"/>
              </w:rPr>
            </w:pPr>
            <w:r w:rsidRPr="005C333D">
              <w:rPr>
                <w:rFonts w:ascii="Arial Narrow" w:hAnsi="Arial Narrow" w:cs="Times New Roman"/>
                <w:b/>
                <w:sz w:val="20"/>
              </w:rPr>
              <w:t>№</w:t>
            </w:r>
            <w:r w:rsidRPr="005C333D">
              <w:rPr>
                <w:rFonts w:ascii="Arial Narrow" w:hAnsi="Arial Narrow"/>
                <w:b/>
                <w:sz w:val="20"/>
              </w:rPr>
              <w:t>.of</w:t>
            </w:r>
          </w:p>
          <w:p w:rsidR="00617E12" w:rsidRPr="005C333D" w:rsidRDefault="00617E12" w:rsidP="00CD26DE">
            <w:pPr>
              <w:keepNext/>
              <w:jc w:val="center"/>
              <w:rPr>
                <w:rFonts w:ascii="Arial Narrow" w:hAnsi="Arial Narrow"/>
                <w:b/>
                <w:sz w:val="20"/>
              </w:rPr>
            </w:pPr>
            <w:r w:rsidRPr="005C333D">
              <w:rPr>
                <w:rFonts w:ascii="Arial Narrow" w:hAnsi="Arial Narrow"/>
                <w:b/>
                <w:sz w:val="20"/>
              </w:rPr>
              <w:t>Rpts</w:t>
            </w:r>
          </w:p>
        </w:tc>
        <w:tc>
          <w:tcPr>
            <w:tcW w:w="1267" w:type="pct"/>
            <w:tcBorders>
              <w:top w:val="single" w:sz="4" w:space="0" w:color="auto"/>
              <w:bottom w:val="single" w:sz="4" w:space="0" w:color="auto"/>
            </w:tcBorders>
            <w:vAlign w:val="center"/>
          </w:tcPr>
          <w:p w:rsidR="00617E12" w:rsidRPr="005C333D" w:rsidRDefault="00617E12" w:rsidP="00CD26DE">
            <w:pPr>
              <w:keepNext/>
              <w:jc w:val="center"/>
              <w:rPr>
                <w:rFonts w:ascii="Arial Narrow" w:hAnsi="Arial Narrow"/>
                <w:b/>
                <w:sz w:val="20"/>
              </w:rPr>
            </w:pPr>
            <w:r w:rsidRPr="005C333D">
              <w:rPr>
                <w:rFonts w:ascii="Arial Narrow" w:hAnsi="Arial Narrow"/>
                <w:b/>
                <w:sz w:val="20"/>
              </w:rPr>
              <w:t>Dispensed Price for Max. Qty</w:t>
            </w:r>
            <w:r w:rsidR="00591957" w:rsidRPr="005C333D">
              <w:rPr>
                <w:rFonts w:ascii="Arial Narrow" w:hAnsi="Arial Narrow"/>
                <w:b/>
                <w:sz w:val="20"/>
              </w:rPr>
              <w:t xml:space="preserve"> </w:t>
            </w:r>
            <w:r w:rsidR="006F4BCC" w:rsidRPr="005C333D">
              <w:rPr>
                <w:rFonts w:ascii="Arial Narrow" w:hAnsi="Arial Narrow"/>
                <w:b/>
                <w:sz w:val="20"/>
              </w:rPr>
              <w:t>(unit)</w:t>
            </w:r>
          </w:p>
        </w:tc>
        <w:tc>
          <w:tcPr>
            <w:tcW w:w="819" w:type="pct"/>
            <w:tcBorders>
              <w:top w:val="single" w:sz="4" w:space="0" w:color="auto"/>
              <w:bottom w:val="single" w:sz="4" w:space="0" w:color="auto"/>
            </w:tcBorders>
            <w:vAlign w:val="center"/>
          </w:tcPr>
          <w:p w:rsidR="00617E12" w:rsidRPr="005C333D" w:rsidRDefault="00617E12" w:rsidP="00CD26DE">
            <w:pPr>
              <w:keepNext/>
              <w:jc w:val="center"/>
              <w:rPr>
                <w:rFonts w:ascii="Arial Narrow" w:hAnsi="Arial Narrow"/>
                <w:b/>
                <w:sz w:val="20"/>
              </w:rPr>
            </w:pPr>
            <w:r w:rsidRPr="005C333D">
              <w:rPr>
                <w:rFonts w:ascii="Arial Narrow" w:hAnsi="Arial Narrow"/>
                <w:b/>
                <w:sz w:val="20"/>
              </w:rPr>
              <w:t>Proprietary Name and Manufacturer</w:t>
            </w:r>
          </w:p>
        </w:tc>
      </w:tr>
      <w:tr w:rsidR="006F4BCC" w:rsidRPr="005C333D" w:rsidTr="003248D3">
        <w:trPr>
          <w:cantSplit/>
          <w:trHeight w:val="567"/>
        </w:trPr>
        <w:tc>
          <w:tcPr>
            <w:tcW w:w="1861" w:type="pct"/>
            <w:gridSpan w:val="2"/>
            <w:tcBorders>
              <w:top w:val="single" w:sz="4" w:space="0" w:color="auto"/>
              <w:bottom w:val="single" w:sz="4" w:space="0" w:color="auto"/>
            </w:tcBorders>
            <w:vAlign w:val="center"/>
          </w:tcPr>
          <w:p w:rsidR="006F4BCC" w:rsidRPr="005C333D" w:rsidRDefault="006F4BCC" w:rsidP="00CD26DE">
            <w:pPr>
              <w:keepNext/>
              <w:jc w:val="left"/>
              <w:rPr>
                <w:rFonts w:ascii="Arial Narrow" w:hAnsi="Arial Narrow"/>
                <w:sz w:val="20"/>
                <w:szCs w:val="20"/>
              </w:rPr>
            </w:pPr>
            <w:r w:rsidRPr="005C333D">
              <w:rPr>
                <w:rFonts w:ascii="Arial Narrow" w:hAnsi="Arial Narrow"/>
                <w:sz w:val="20"/>
                <w:szCs w:val="20"/>
              </w:rPr>
              <w:t xml:space="preserve">Ciclosporin 1 mg/mL (0.1%) eye drops; 30 × 0.3 mL unit doses </w:t>
            </w:r>
          </w:p>
          <w:p w:rsidR="003248D3" w:rsidRPr="005C333D" w:rsidRDefault="003248D3" w:rsidP="00CD26DE">
            <w:pPr>
              <w:keepNext/>
              <w:jc w:val="left"/>
              <w:rPr>
                <w:rFonts w:ascii="Arial Narrow" w:hAnsi="Arial Narrow"/>
                <w:sz w:val="20"/>
                <w:szCs w:val="20"/>
              </w:rPr>
            </w:pPr>
          </w:p>
        </w:tc>
        <w:tc>
          <w:tcPr>
            <w:tcW w:w="594" w:type="pct"/>
            <w:tcBorders>
              <w:top w:val="single" w:sz="4" w:space="0" w:color="auto"/>
              <w:bottom w:val="single" w:sz="4" w:space="0" w:color="auto"/>
            </w:tcBorders>
          </w:tcPr>
          <w:p w:rsidR="006F4BCC" w:rsidRPr="005C333D" w:rsidRDefault="006F4BCC" w:rsidP="003248D3">
            <w:pPr>
              <w:keepNext/>
              <w:jc w:val="center"/>
              <w:rPr>
                <w:rFonts w:ascii="Arial Narrow" w:hAnsi="Arial Narrow"/>
                <w:sz w:val="20"/>
                <w:szCs w:val="20"/>
              </w:rPr>
            </w:pPr>
            <w:r w:rsidRPr="005C333D">
              <w:rPr>
                <w:rFonts w:ascii="Arial Narrow" w:hAnsi="Arial Narrow"/>
                <w:sz w:val="20"/>
                <w:szCs w:val="20"/>
              </w:rPr>
              <w:t>30</w:t>
            </w:r>
          </w:p>
        </w:tc>
        <w:tc>
          <w:tcPr>
            <w:tcW w:w="459" w:type="pct"/>
            <w:tcBorders>
              <w:top w:val="single" w:sz="4" w:space="0" w:color="auto"/>
              <w:bottom w:val="single" w:sz="4" w:space="0" w:color="auto"/>
            </w:tcBorders>
          </w:tcPr>
          <w:p w:rsidR="006F4BCC" w:rsidRPr="005C333D" w:rsidRDefault="006F4BCC" w:rsidP="003248D3">
            <w:pPr>
              <w:keepNext/>
              <w:jc w:val="center"/>
              <w:rPr>
                <w:rFonts w:ascii="Arial Narrow" w:hAnsi="Arial Narrow"/>
                <w:sz w:val="20"/>
                <w:szCs w:val="20"/>
              </w:rPr>
            </w:pPr>
            <w:r w:rsidRPr="005C333D">
              <w:rPr>
                <w:rFonts w:ascii="Arial Narrow" w:hAnsi="Arial Narrow"/>
                <w:sz w:val="20"/>
                <w:szCs w:val="20"/>
              </w:rPr>
              <w:t>5</w:t>
            </w:r>
          </w:p>
        </w:tc>
        <w:tc>
          <w:tcPr>
            <w:tcW w:w="1267" w:type="pct"/>
            <w:tcBorders>
              <w:top w:val="single" w:sz="4" w:space="0" w:color="auto"/>
              <w:bottom w:val="single" w:sz="4" w:space="0" w:color="auto"/>
            </w:tcBorders>
          </w:tcPr>
          <w:p w:rsidR="006F4BCC" w:rsidRPr="005C333D" w:rsidRDefault="006F4BCC" w:rsidP="003248D3">
            <w:pPr>
              <w:keepNext/>
              <w:jc w:val="center"/>
              <w:rPr>
                <w:rFonts w:ascii="Arial Narrow" w:hAnsi="Arial Narrow"/>
                <w:sz w:val="20"/>
                <w:szCs w:val="20"/>
              </w:rPr>
            </w:pPr>
            <w:r w:rsidRPr="005C333D">
              <w:rPr>
                <w:rFonts w:ascii="Arial Narrow" w:hAnsi="Arial Narrow"/>
                <w:sz w:val="20"/>
                <w:szCs w:val="20"/>
              </w:rPr>
              <w:t>$</w:t>
            </w:r>
            <w:r w:rsidR="00CC4A22">
              <w:rPr>
                <w:rFonts w:ascii="Arial Narrow" w:hAnsi="Arial Narrow"/>
                <w:noProof/>
                <w:color w:val="000000"/>
                <w:sz w:val="20"/>
                <w:szCs w:val="20"/>
                <w:highlight w:val="black"/>
              </w:rPr>
              <w:t>'''''''''''''''''</w:t>
            </w:r>
          </w:p>
        </w:tc>
        <w:tc>
          <w:tcPr>
            <w:tcW w:w="819" w:type="pct"/>
            <w:tcBorders>
              <w:top w:val="single" w:sz="4" w:space="0" w:color="auto"/>
              <w:bottom w:val="single" w:sz="4" w:space="0" w:color="auto"/>
            </w:tcBorders>
          </w:tcPr>
          <w:p w:rsidR="006F4BCC" w:rsidRPr="005C333D" w:rsidRDefault="006F4BCC" w:rsidP="003248D3">
            <w:pPr>
              <w:pStyle w:val="Tabletext"/>
              <w:keepNext/>
              <w:jc w:val="center"/>
              <w:rPr>
                <w:szCs w:val="20"/>
              </w:rPr>
            </w:pPr>
            <w:r w:rsidRPr="005C333D">
              <w:rPr>
                <w:szCs w:val="20"/>
              </w:rPr>
              <w:t>Ikervis®</w:t>
            </w:r>
          </w:p>
          <w:p w:rsidR="006F4BCC" w:rsidRPr="005C333D" w:rsidRDefault="006F4BCC" w:rsidP="003248D3">
            <w:pPr>
              <w:keepNext/>
              <w:jc w:val="center"/>
              <w:rPr>
                <w:rFonts w:ascii="Arial Narrow" w:hAnsi="Arial Narrow"/>
                <w:sz w:val="20"/>
                <w:szCs w:val="20"/>
              </w:rPr>
            </w:pPr>
            <w:r w:rsidRPr="005C333D">
              <w:rPr>
                <w:rFonts w:ascii="Arial Narrow" w:hAnsi="Arial Narrow"/>
                <w:sz w:val="20"/>
                <w:szCs w:val="20"/>
              </w:rPr>
              <w:t>Seqirus</w:t>
            </w:r>
          </w:p>
        </w:tc>
      </w:tr>
      <w:tr w:rsidR="00542C2D"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hideMark/>
          </w:tcPr>
          <w:p w:rsidR="00542C2D" w:rsidRPr="005C333D" w:rsidRDefault="00591957" w:rsidP="00CD26DE">
            <w:pPr>
              <w:pStyle w:val="Tabletext"/>
              <w:keepNext/>
              <w:rPr>
                <w:b/>
              </w:rPr>
            </w:pPr>
            <w:r w:rsidRPr="005C333D">
              <w:rPr>
                <w:b/>
              </w:rPr>
              <w:t>Category/Program:</w:t>
            </w:r>
          </w:p>
        </w:tc>
        <w:tc>
          <w:tcPr>
            <w:tcW w:w="4071" w:type="pct"/>
            <w:gridSpan w:val="5"/>
            <w:tcBorders>
              <w:top w:val="single" w:sz="4" w:space="0" w:color="auto"/>
              <w:left w:val="single" w:sz="4" w:space="0" w:color="auto"/>
              <w:bottom w:val="single" w:sz="4" w:space="0" w:color="auto"/>
              <w:right w:val="single" w:sz="4" w:space="0" w:color="auto"/>
            </w:tcBorders>
          </w:tcPr>
          <w:p w:rsidR="00542C2D" w:rsidRPr="005C333D" w:rsidRDefault="00C534A1" w:rsidP="00CD26DE">
            <w:pPr>
              <w:pStyle w:val="Tabletext"/>
              <w:keepNext/>
            </w:pPr>
            <w:r w:rsidRPr="005C333D">
              <w:t>GENERAL – General Schedule (Code GE)</w:t>
            </w:r>
          </w:p>
        </w:tc>
      </w:tr>
      <w:tr w:rsidR="00542C2D"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hideMark/>
          </w:tcPr>
          <w:p w:rsidR="00542C2D" w:rsidRPr="005C333D" w:rsidRDefault="00591957" w:rsidP="00CD26DE">
            <w:pPr>
              <w:pStyle w:val="Tabletext"/>
              <w:keepNext/>
              <w:rPr>
                <w:b/>
              </w:rPr>
            </w:pPr>
            <w:r w:rsidRPr="005C333D">
              <w:rPr>
                <w:b/>
              </w:rPr>
              <w:t>PBS indication:</w:t>
            </w:r>
          </w:p>
        </w:tc>
        <w:tc>
          <w:tcPr>
            <w:tcW w:w="4071" w:type="pct"/>
            <w:gridSpan w:val="5"/>
            <w:tcBorders>
              <w:top w:val="single" w:sz="4" w:space="0" w:color="auto"/>
              <w:left w:val="single" w:sz="4" w:space="0" w:color="auto"/>
              <w:bottom w:val="single" w:sz="4" w:space="0" w:color="auto"/>
              <w:right w:val="single" w:sz="4" w:space="0" w:color="auto"/>
            </w:tcBorders>
          </w:tcPr>
          <w:p w:rsidR="00542C2D" w:rsidRPr="005C333D" w:rsidRDefault="00E932F2" w:rsidP="00CD26DE">
            <w:pPr>
              <w:pStyle w:val="Tabletext"/>
              <w:keepNext/>
            </w:pPr>
            <w:r w:rsidRPr="005C333D">
              <w:t>Treatment of patients with severe keratitis with dry eye disease</w:t>
            </w:r>
          </w:p>
        </w:tc>
      </w:tr>
      <w:tr w:rsidR="00542C2D"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hideMark/>
          </w:tcPr>
          <w:p w:rsidR="00542C2D" w:rsidRPr="005C333D" w:rsidRDefault="00591957" w:rsidP="00CD26DE">
            <w:pPr>
              <w:pStyle w:val="Tabletext"/>
              <w:keepNext/>
              <w:rPr>
                <w:b/>
              </w:rPr>
            </w:pPr>
            <w:r w:rsidRPr="005C333D">
              <w:rPr>
                <w:b/>
              </w:rPr>
              <w:t>Treatment phase:</w:t>
            </w:r>
          </w:p>
        </w:tc>
        <w:tc>
          <w:tcPr>
            <w:tcW w:w="4071" w:type="pct"/>
            <w:gridSpan w:val="5"/>
            <w:tcBorders>
              <w:top w:val="single" w:sz="4" w:space="0" w:color="auto"/>
              <w:left w:val="single" w:sz="4" w:space="0" w:color="auto"/>
              <w:bottom w:val="single" w:sz="4" w:space="0" w:color="auto"/>
              <w:right w:val="single" w:sz="4" w:space="0" w:color="auto"/>
            </w:tcBorders>
          </w:tcPr>
          <w:p w:rsidR="00542C2D" w:rsidRPr="005C333D" w:rsidRDefault="000239A2" w:rsidP="00CD26DE">
            <w:pPr>
              <w:pStyle w:val="Tabletext"/>
              <w:keepNext/>
            </w:pPr>
            <w:r w:rsidRPr="005C333D">
              <w:t>Initiation</w:t>
            </w:r>
          </w:p>
        </w:tc>
      </w:tr>
      <w:tr w:rsidR="00542C2D"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hideMark/>
          </w:tcPr>
          <w:p w:rsidR="00542C2D" w:rsidRPr="005C333D" w:rsidRDefault="00542C2D" w:rsidP="00CD26DE">
            <w:pPr>
              <w:pStyle w:val="Tabletext"/>
              <w:keepNext/>
              <w:rPr>
                <w:b/>
              </w:rPr>
            </w:pPr>
            <w:r w:rsidRPr="005C333D">
              <w:rPr>
                <w:b/>
              </w:rPr>
              <w:t>Restriction</w:t>
            </w:r>
            <w:r w:rsidR="00591957" w:rsidRPr="005C333D">
              <w:rPr>
                <w:b/>
              </w:rPr>
              <w:t>:</w:t>
            </w:r>
          </w:p>
        </w:tc>
        <w:tc>
          <w:tcPr>
            <w:tcW w:w="4071" w:type="pct"/>
            <w:gridSpan w:val="5"/>
            <w:tcBorders>
              <w:top w:val="single" w:sz="4" w:space="0" w:color="auto"/>
              <w:left w:val="single" w:sz="4" w:space="0" w:color="auto"/>
              <w:bottom w:val="single" w:sz="4" w:space="0" w:color="auto"/>
              <w:right w:val="single" w:sz="4" w:space="0" w:color="auto"/>
            </w:tcBorders>
          </w:tcPr>
          <w:p w:rsidR="00542C2D" w:rsidRPr="005C333D" w:rsidRDefault="00C609B1" w:rsidP="003248D3">
            <w:pPr>
              <w:pStyle w:val="TableText0"/>
              <w:keepNext/>
            </w:pPr>
            <w:r w:rsidRPr="005C333D">
              <w:fldChar w:fldCharType="begin">
                <w:ffData>
                  <w:name w:val="Check5"/>
                  <w:enabled/>
                  <w:calcOnExit w:val="0"/>
                  <w:checkBox>
                    <w:sizeAuto/>
                    <w:default w:val="1"/>
                  </w:checkBox>
                </w:ffData>
              </w:fldChar>
            </w:r>
            <w:bookmarkStart w:id="6" w:name="Check5"/>
            <w:r w:rsidRPr="005C333D">
              <w:instrText xml:space="preserve"> FORMCHECKBOX </w:instrText>
            </w:r>
            <w:r w:rsidR="00AA7D9B">
              <w:fldChar w:fldCharType="separate"/>
            </w:r>
            <w:r w:rsidRPr="005C333D">
              <w:fldChar w:fldCharType="end"/>
            </w:r>
            <w:bookmarkEnd w:id="6"/>
            <w:r w:rsidRPr="005C333D">
              <w:t>Streamlined</w:t>
            </w:r>
          </w:p>
        </w:tc>
      </w:tr>
      <w:tr w:rsidR="000829E8"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hideMark/>
          </w:tcPr>
          <w:p w:rsidR="000829E8" w:rsidRPr="005C333D" w:rsidRDefault="000829E8" w:rsidP="00CD26DE">
            <w:pPr>
              <w:pStyle w:val="Tabletext"/>
              <w:keepNext/>
              <w:rPr>
                <w:b/>
              </w:rPr>
            </w:pPr>
            <w:r w:rsidRPr="005C333D">
              <w:rPr>
                <w:b/>
              </w:rPr>
              <w:t>Treatment criteria:</w:t>
            </w:r>
          </w:p>
        </w:tc>
        <w:tc>
          <w:tcPr>
            <w:tcW w:w="4071" w:type="pct"/>
            <w:gridSpan w:val="5"/>
            <w:tcBorders>
              <w:top w:val="single" w:sz="4" w:space="0" w:color="auto"/>
              <w:left w:val="single" w:sz="4" w:space="0" w:color="auto"/>
              <w:bottom w:val="single" w:sz="4" w:space="0" w:color="auto"/>
              <w:right w:val="single" w:sz="4" w:space="0" w:color="auto"/>
            </w:tcBorders>
          </w:tcPr>
          <w:p w:rsidR="000829E8" w:rsidRPr="005C333D" w:rsidRDefault="000829E8" w:rsidP="00CD26DE">
            <w:pPr>
              <w:pStyle w:val="Tabletext"/>
              <w:keepNext/>
            </w:pPr>
            <w:r w:rsidRPr="005C333D">
              <w:rPr>
                <w:rFonts w:cs="Arial"/>
              </w:rPr>
              <w:t>Must be treated by an ophthalmologist or an optometrist</w:t>
            </w:r>
          </w:p>
        </w:tc>
      </w:tr>
      <w:tr w:rsidR="000829E8"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hideMark/>
          </w:tcPr>
          <w:p w:rsidR="000829E8" w:rsidRPr="005C333D" w:rsidRDefault="000829E8" w:rsidP="00CD26DE">
            <w:pPr>
              <w:pStyle w:val="Tabletext"/>
              <w:keepNext/>
              <w:rPr>
                <w:b/>
              </w:rPr>
            </w:pPr>
            <w:r w:rsidRPr="005C333D">
              <w:rPr>
                <w:b/>
              </w:rPr>
              <w:t>Clinical criteria:</w:t>
            </w:r>
          </w:p>
        </w:tc>
        <w:tc>
          <w:tcPr>
            <w:tcW w:w="4071" w:type="pct"/>
            <w:gridSpan w:val="5"/>
            <w:tcBorders>
              <w:top w:val="single" w:sz="4" w:space="0" w:color="auto"/>
              <w:left w:val="single" w:sz="4" w:space="0" w:color="auto"/>
              <w:bottom w:val="single" w:sz="4" w:space="0" w:color="auto"/>
              <w:right w:val="single" w:sz="4" w:space="0" w:color="auto"/>
            </w:tcBorders>
          </w:tcPr>
          <w:p w:rsidR="0039767D" w:rsidRPr="005C333D" w:rsidRDefault="0039767D" w:rsidP="00CD26DE">
            <w:pPr>
              <w:pStyle w:val="TableText0"/>
              <w:keepNext/>
              <w:rPr>
                <w:rFonts w:cs="Arial"/>
              </w:rPr>
            </w:pPr>
            <w:r w:rsidRPr="005C333D">
              <w:rPr>
                <w:rFonts w:cs="Arial"/>
              </w:rPr>
              <w:t>Patient must have severe dry eye disease with keratitis defined as corneal fluorescein staining (CFS) grade of 4 using the modified Oxford scale or equivalent, and ocular surface disease index (OSDI) greater than or equal to 23 AND</w:t>
            </w:r>
          </w:p>
          <w:p w:rsidR="000829E8" w:rsidRPr="005C333D" w:rsidRDefault="0039767D" w:rsidP="00CD26DE">
            <w:pPr>
              <w:pStyle w:val="TableText0"/>
              <w:keepNext/>
              <w:rPr>
                <w:rFonts w:cs="Arial"/>
              </w:rPr>
            </w:pPr>
            <w:r w:rsidRPr="005C333D">
              <w:rPr>
                <w:rFonts w:cs="Arial"/>
              </w:rPr>
              <w:t>Patient must have failed to achieve adequate symptom control using optimised treatment with preservative free tear substitutes.</w:t>
            </w:r>
          </w:p>
        </w:tc>
      </w:tr>
      <w:tr w:rsidR="000829E8" w:rsidRPr="005C333D" w:rsidTr="00324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29" w:type="pct"/>
            <w:tcBorders>
              <w:top w:val="single" w:sz="4" w:space="0" w:color="auto"/>
              <w:left w:val="single" w:sz="4" w:space="0" w:color="auto"/>
              <w:bottom w:val="single" w:sz="4" w:space="0" w:color="auto"/>
              <w:right w:val="single" w:sz="4" w:space="0" w:color="auto"/>
            </w:tcBorders>
          </w:tcPr>
          <w:p w:rsidR="000829E8" w:rsidRPr="005C333D" w:rsidRDefault="000829E8" w:rsidP="00CD26DE">
            <w:pPr>
              <w:pStyle w:val="Tabletext"/>
              <w:keepNext/>
              <w:rPr>
                <w:b/>
              </w:rPr>
            </w:pPr>
            <w:r w:rsidRPr="005C333D">
              <w:rPr>
                <w:b/>
              </w:rPr>
              <w:t>Population criteria:</w:t>
            </w:r>
          </w:p>
        </w:tc>
        <w:tc>
          <w:tcPr>
            <w:tcW w:w="4071" w:type="pct"/>
            <w:gridSpan w:val="5"/>
            <w:tcBorders>
              <w:top w:val="single" w:sz="4" w:space="0" w:color="auto"/>
              <w:left w:val="single" w:sz="4" w:space="0" w:color="auto"/>
              <w:bottom w:val="single" w:sz="4" w:space="0" w:color="auto"/>
              <w:right w:val="single" w:sz="4" w:space="0" w:color="auto"/>
            </w:tcBorders>
          </w:tcPr>
          <w:p w:rsidR="000829E8" w:rsidRPr="005C333D" w:rsidRDefault="007644D9" w:rsidP="00CD26DE">
            <w:pPr>
              <w:pStyle w:val="Tabletext"/>
              <w:keepNext/>
              <w:rPr>
                <w:color w:val="000000"/>
              </w:rPr>
            </w:pPr>
            <w:r w:rsidRPr="005C333D">
              <w:t>Patient must be 18 years or older</w:t>
            </w:r>
          </w:p>
        </w:tc>
      </w:tr>
    </w:tbl>
    <w:p w:rsidR="00B60939" w:rsidRPr="005C333D" w:rsidRDefault="00B60939" w:rsidP="004B1CB4"/>
    <w:tbl>
      <w:tblPr>
        <w:tblW w:w="5000" w:type="pct"/>
        <w:tblLook w:val="0000" w:firstRow="0" w:lastRow="0" w:firstColumn="0" w:lastColumn="0" w:noHBand="0" w:noVBand="0"/>
      </w:tblPr>
      <w:tblGrid>
        <w:gridCol w:w="1695"/>
        <w:gridCol w:w="7322"/>
      </w:tblGrid>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3248D3">
            <w:pPr>
              <w:pStyle w:val="TableText0"/>
              <w:rPr>
                <w:b/>
                <w:bCs w:val="0"/>
              </w:rPr>
            </w:pPr>
            <w:r w:rsidRPr="005C333D">
              <w:rPr>
                <w:b/>
                <w:bCs w:val="0"/>
              </w:rPr>
              <w:t>Category/Program:</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iCs/>
              </w:rPr>
            </w:pPr>
            <w:r w:rsidRPr="005C333D">
              <w:rPr>
                <w:iCs/>
              </w:rPr>
              <w:t>GENERAL – General Schedule (Code GE)</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b/>
                <w:bCs w:val="0"/>
              </w:rPr>
            </w:pPr>
            <w:r w:rsidRPr="005C333D">
              <w:rPr>
                <w:b/>
                <w:bCs w:val="0"/>
              </w:rPr>
              <w:t>PBS Indication:</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pPr>
            <w:r w:rsidRPr="005C333D">
              <w:t>Treatment of patients with severe keratitis with dry eye disease</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b/>
                <w:bCs w:val="0"/>
              </w:rPr>
            </w:pPr>
            <w:r w:rsidRPr="005C333D">
              <w:rPr>
                <w:b/>
                <w:bCs w:val="0"/>
              </w:rPr>
              <w:t>Treatment phase:</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pPr>
            <w:r w:rsidRPr="005C333D">
              <w:t>Continuation</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b/>
                <w:bCs w:val="0"/>
                <w:i/>
              </w:rPr>
            </w:pPr>
            <w:r w:rsidRPr="005C333D">
              <w:rPr>
                <w:b/>
                <w:bCs w:val="0"/>
              </w:rPr>
              <w:t>Restriction:</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pPr>
            <w:r w:rsidRPr="005C333D">
              <w:fldChar w:fldCharType="begin">
                <w:ffData>
                  <w:name w:val=""/>
                  <w:enabled/>
                  <w:calcOnExit w:val="0"/>
                  <w:checkBox>
                    <w:sizeAuto/>
                    <w:default w:val="1"/>
                  </w:checkBox>
                </w:ffData>
              </w:fldChar>
            </w:r>
            <w:r w:rsidRPr="005C333D">
              <w:instrText xml:space="preserve"> FORMCHECKBOX </w:instrText>
            </w:r>
            <w:r w:rsidR="00AA7D9B">
              <w:fldChar w:fldCharType="separate"/>
            </w:r>
            <w:r w:rsidRPr="005C333D">
              <w:fldChar w:fldCharType="end"/>
            </w:r>
            <w:r w:rsidRPr="005C333D">
              <w:t>Streamlined</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863130">
            <w:pPr>
              <w:pStyle w:val="TableText0"/>
              <w:rPr>
                <w:b/>
                <w:bCs w:val="0"/>
                <w:i/>
              </w:rPr>
            </w:pPr>
            <w:r w:rsidRPr="005C333D">
              <w:rPr>
                <w:b/>
                <w:bCs w:val="0"/>
              </w:rPr>
              <w:t>Treatment criteria:</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rFonts w:cs="Arial"/>
              </w:rPr>
            </w:pPr>
            <w:r w:rsidRPr="005C333D">
              <w:t>Must be treated by an ophthalmologist or an optometrist</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863130">
            <w:pPr>
              <w:pStyle w:val="TableText0"/>
              <w:rPr>
                <w:b/>
                <w:bCs w:val="0"/>
                <w:i/>
              </w:rPr>
            </w:pPr>
            <w:r w:rsidRPr="005C333D">
              <w:rPr>
                <w:b/>
                <w:bCs w:val="0"/>
              </w:rPr>
              <w:t>Clinical criteria:</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rFonts w:cs="Arial"/>
              </w:rPr>
            </w:pPr>
            <w:r w:rsidRPr="005C333D">
              <w:t>The patient must have demonstrated an adequate response to treatment with this drug 6 months after initiation.</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863130">
            <w:pPr>
              <w:pStyle w:val="TableText0"/>
              <w:rPr>
                <w:b/>
                <w:bCs w:val="0"/>
                <w:i/>
              </w:rPr>
            </w:pPr>
            <w:r w:rsidRPr="005C333D">
              <w:rPr>
                <w:b/>
                <w:bCs w:val="0"/>
              </w:rPr>
              <w:t>Population criteria:</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pPr>
            <w:r w:rsidRPr="005C333D">
              <w:t>Patient must be 18 years or older.</w:t>
            </w:r>
          </w:p>
        </w:tc>
      </w:tr>
      <w:tr w:rsidR="001B529A"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rPr>
                <w:b/>
                <w:bCs w:val="0"/>
              </w:rPr>
            </w:pPr>
            <w:r w:rsidRPr="005C333D">
              <w:rPr>
                <w:b/>
                <w:bCs w:val="0"/>
              </w:rPr>
              <w:t>Definitions:</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1B529A" w:rsidRPr="005C333D" w:rsidRDefault="001B529A" w:rsidP="006F4BCC">
            <w:pPr>
              <w:pStyle w:val="TableText0"/>
            </w:pPr>
            <w:r w:rsidRPr="005C333D">
              <w:t>An adequate response to treatment is defined as:</w:t>
            </w:r>
          </w:p>
          <w:p w:rsidR="001B529A" w:rsidRPr="005C333D" w:rsidRDefault="001B529A" w:rsidP="006F4BCC">
            <w:pPr>
              <w:pStyle w:val="TableText0"/>
            </w:pPr>
            <w:r w:rsidRPr="005C333D">
              <w:t>an improvement in corneal fluorescein staining (CFS) of at least 3 using the modified Oxford scale or equivalent, and ocular surface disease index (OSDI) of at least 30% when compared with the baseline values.</w:t>
            </w:r>
          </w:p>
        </w:tc>
      </w:tr>
    </w:tbl>
    <w:p w:rsidR="001B529A" w:rsidRPr="005C333D" w:rsidRDefault="001B529A" w:rsidP="004B1CB4"/>
    <w:tbl>
      <w:tblPr>
        <w:tblW w:w="5000" w:type="pct"/>
        <w:tblLook w:val="0000" w:firstRow="0" w:lastRow="0" w:firstColumn="0" w:lastColumn="0" w:noHBand="0" w:noVBand="0"/>
      </w:tblPr>
      <w:tblGrid>
        <w:gridCol w:w="1695"/>
        <w:gridCol w:w="7322"/>
      </w:tblGrid>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3248D3">
            <w:pPr>
              <w:pStyle w:val="TableText0"/>
              <w:rPr>
                <w:b/>
                <w:bCs w:val="0"/>
              </w:rPr>
            </w:pPr>
            <w:r w:rsidRPr="005C333D">
              <w:rPr>
                <w:b/>
                <w:bCs w:val="0"/>
              </w:rPr>
              <w:t>Category/Program:</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rPr>
                <w:iCs/>
              </w:rPr>
            </w:pPr>
            <w:r w:rsidRPr="005C333D">
              <w:rPr>
                <w:iCs/>
              </w:rPr>
              <w:t>GENERAL – General Schedule (Code GE)</w:t>
            </w:r>
          </w:p>
        </w:tc>
      </w:tr>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rPr>
                <w:b/>
                <w:bCs w:val="0"/>
              </w:rPr>
            </w:pPr>
            <w:r w:rsidRPr="005C333D">
              <w:rPr>
                <w:b/>
                <w:bCs w:val="0"/>
              </w:rPr>
              <w:t>PBS Indication:</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pPr>
            <w:r w:rsidRPr="005C333D">
              <w:t xml:space="preserve">Treatment of patients with severe keratitis with dry eye disease </w:t>
            </w:r>
          </w:p>
        </w:tc>
      </w:tr>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863130">
            <w:pPr>
              <w:pStyle w:val="TableText0"/>
              <w:rPr>
                <w:b/>
                <w:bCs w:val="0"/>
              </w:rPr>
            </w:pPr>
            <w:r w:rsidRPr="005C333D">
              <w:rPr>
                <w:b/>
                <w:bCs w:val="0"/>
              </w:rPr>
              <w:t>Treatment phase:</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pPr>
            <w:r w:rsidRPr="005C333D">
              <w:t>Continuation after assessment of response</w:t>
            </w:r>
          </w:p>
        </w:tc>
      </w:tr>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rPr>
                <w:b/>
                <w:bCs w:val="0"/>
                <w:i/>
              </w:rPr>
            </w:pPr>
            <w:r w:rsidRPr="005C333D">
              <w:rPr>
                <w:b/>
                <w:bCs w:val="0"/>
              </w:rPr>
              <w:t>Restriction:</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pPr>
            <w:r w:rsidRPr="005C333D">
              <w:fldChar w:fldCharType="begin">
                <w:ffData>
                  <w:name w:val=""/>
                  <w:enabled/>
                  <w:calcOnExit w:val="0"/>
                  <w:checkBox>
                    <w:sizeAuto/>
                    <w:default w:val="1"/>
                  </w:checkBox>
                </w:ffData>
              </w:fldChar>
            </w:r>
            <w:r w:rsidRPr="005C333D">
              <w:instrText xml:space="preserve"> FORMCHECKBOX </w:instrText>
            </w:r>
            <w:r w:rsidR="00AA7D9B">
              <w:fldChar w:fldCharType="separate"/>
            </w:r>
            <w:r w:rsidRPr="005C333D">
              <w:fldChar w:fldCharType="end"/>
            </w:r>
            <w:r w:rsidRPr="005C333D">
              <w:t>Streamlined</w:t>
            </w:r>
          </w:p>
        </w:tc>
      </w:tr>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863130">
            <w:pPr>
              <w:pStyle w:val="TableText0"/>
              <w:rPr>
                <w:b/>
                <w:bCs w:val="0"/>
                <w:i/>
              </w:rPr>
            </w:pPr>
            <w:r w:rsidRPr="005C333D">
              <w:rPr>
                <w:b/>
                <w:bCs w:val="0"/>
              </w:rPr>
              <w:t>Treatment criteria:</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rPr>
                <w:rFonts w:cs="Arial"/>
              </w:rPr>
            </w:pPr>
            <w:r w:rsidRPr="005C333D">
              <w:t xml:space="preserve">Must be treated by an ophthalmologist, an optometrist or a general practitioner </w:t>
            </w:r>
          </w:p>
        </w:tc>
      </w:tr>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863130">
            <w:pPr>
              <w:pStyle w:val="TableText0"/>
              <w:rPr>
                <w:b/>
                <w:bCs w:val="0"/>
                <w:i/>
              </w:rPr>
            </w:pPr>
            <w:r w:rsidRPr="005C333D">
              <w:rPr>
                <w:b/>
                <w:bCs w:val="0"/>
              </w:rPr>
              <w:t>Clinical criteria:</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rPr>
                <w:rFonts w:cs="Arial"/>
              </w:rPr>
            </w:pPr>
            <w:r w:rsidRPr="005C333D">
              <w:t xml:space="preserve">Maintenance treatment of </w:t>
            </w:r>
            <w:r w:rsidR="002B3C80" w:rsidRPr="005C333D">
              <w:t>drug</w:t>
            </w:r>
            <w:r w:rsidR="001B5331" w:rsidRPr="005C333D">
              <w:t xml:space="preserve"> </w:t>
            </w:r>
            <w:r w:rsidRPr="005C333D">
              <w:t xml:space="preserve">in patients meeting </w:t>
            </w:r>
            <w:r w:rsidRPr="005C333D">
              <w:rPr>
                <w:iCs/>
              </w:rPr>
              <w:t>adequate</w:t>
            </w:r>
            <w:r w:rsidRPr="005C333D">
              <w:t xml:space="preserve"> response criteria assessment at 6 months</w:t>
            </w:r>
          </w:p>
        </w:tc>
      </w:tr>
      <w:tr w:rsidR="00A52D38" w:rsidRPr="005C333D" w:rsidTr="003248D3">
        <w:trPr>
          <w:cantSplit/>
        </w:trPr>
        <w:tc>
          <w:tcPr>
            <w:tcW w:w="94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863130">
            <w:pPr>
              <w:pStyle w:val="TableText0"/>
              <w:rPr>
                <w:b/>
                <w:bCs w:val="0"/>
                <w:i/>
              </w:rPr>
            </w:pPr>
            <w:r w:rsidRPr="005C333D">
              <w:rPr>
                <w:b/>
                <w:bCs w:val="0"/>
              </w:rPr>
              <w:t>Population criteria:</w:t>
            </w:r>
          </w:p>
        </w:tc>
        <w:tc>
          <w:tcPr>
            <w:tcW w:w="4060" w:type="pct"/>
            <w:tcBorders>
              <w:top w:val="single" w:sz="4" w:space="0" w:color="auto"/>
              <w:left w:val="single" w:sz="4" w:space="0" w:color="auto"/>
              <w:bottom w:val="single" w:sz="4" w:space="0" w:color="auto"/>
              <w:right w:val="single" w:sz="4" w:space="0" w:color="auto"/>
            </w:tcBorders>
            <w:tcMar>
              <w:left w:w="28" w:type="dxa"/>
              <w:right w:w="28" w:type="dxa"/>
            </w:tcMar>
          </w:tcPr>
          <w:p w:rsidR="00A52D38" w:rsidRPr="005C333D" w:rsidRDefault="00A52D38" w:rsidP="006F4BCC">
            <w:pPr>
              <w:pStyle w:val="TableText0"/>
            </w:pPr>
            <w:r w:rsidRPr="005C333D">
              <w:t>Patient must be 18 years or older</w:t>
            </w:r>
          </w:p>
        </w:tc>
      </w:tr>
    </w:tbl>
    <w:p w:rsidR="001B529A" w:rsidRPr="005C333D" w:rsidRDefault="001B529A" w:rsidP="004B1CB4"/>
    <w:p w:rsidR="009D65B7" w:rsidRPr="005C333D" w:rsidRDefault="009D65B7" w:rsidP="00B73532">
      <w:pPr>
        <w:pStyle w:val="3-BodyText"/>
      </w:pPr>
      <w:bookmarkStart w:id="7" w:name="_Hlk58490304"/>
      <w:r w:rsidRPr="005C333D">
        <w:t xml:space="preserve">The pre-PBAC response applied a 28% price reduction to the </w:t>
      </w:r>
      <w:r w:rsidR="00172B54" w:rsidRPr="005C333D">
        <w:t xml:space="preserve">approved ex-manufacturer </w:t>
      </w:r>
      <w:r w:rsidRPr="005C333D">
        <w:t xml:space="preserve">price </w:t>
      </w:r>
      <w:r w:rsidR="00172B54" w:rsidRPr="005C333D">
        <w:t xml:space="preserve">(AEMP) </w:t>
      </w:r>
      <w:r w:rsidRPr="005C333D">
        <w:t xml:space="preserve">offered in the submission, resulting in an </w:t>
      </w:r>
      <w:r w:rsidR="00172B54" w:rsidRPr="005C333D">
        <w:t>AEMP</w:t>
      </w:r>
      <w:r w:rsidRPr="005C333D">
        <w:t xml:space="preserve"> of $</w:t>
      </w:r>
      <w:r w:rsidR="00CC4A22">
        <w:rPr>
          <w:noProof/>
          <w:color w:val="000000"/>
          <w:highlight w:val="black"/>
        </w:rPr>
        <w:t>'''''''''''</w:t>
      </w:r>
      <w:r w:rsidRPr="005C333D">
        <w:t xml:space="preserve"> (DPMQ = $</w:t>
      </w:r>
      <w:r w:rsidR="00CC4A22">
        <w:rPr>
          <w:noProof/>
          <w:color w:val="000000"/>
          <w:highlight w:val="black"/>
        </w:rPr>
        <w:t>''''''''''</w:t>
      </w:r>
      <w:r w:rsidRPr="005C333D">
        <w:t>).</w:t>
      </w:r>
    </w:p>
    <w:p w:rsidR="0076245D" w:rsidRPr="005C333D" w:rsidRDefault="007E081C" w:rsidP="00B73532">
      <w:pPr>
        <w:pStyle w:val="3-BodyText"/>
      </w:pPr>
      <w:r w:rsidRPr="005C333D">
        <w:t xml:space="preserve">The initiation and first continuation </w:t>
      </w:r>
      <w:r w:rsidR="00D1309C" w:rsidRPr="005C333D">
        <w:t xml:space="preserve">restrictions </w:t>
      </w:r>
      <w:r w:rsidR="008F06F5" w:rsidRPr="005C333D">
        <w:t xml:space="preserve">were </w:t>
      </w:r>
      <w:r w:rsidRPr="005C333D">
        <w:t xml:space="preserve">based on </w:t>
      </w:r>
      <w:r w:rsidR="005C15A2" w:rsidRPr="005C333D">
        <w:t xml:space="preserve">ocular signs of keratitis, as measured by </w:t>
      </w:r>
      <w:r w:rsidRPr="005C333D">
        <w:t>CFS</w:t>
      </w:r>
      <w:r w:rsidR="005C15A2" w:rsidRPr="005C333D">
        <w:t xml:space="preserve">, </w:t>
      </w:r>
      <w:r w:rsidR="0076245D" w:rsidRPr="005C333D">
        <w:t xml:space="preserve">and </w:t>
      </w:r>
      <w:r w:rsidR="005C15A2" w:rsidRPr="005C333D">
        <w:t xml:space="preserve">ocular symptoms, as measured by </w:t>
      </w:r>
      <w:r w:rsidR="008F06F5" w:rsidRPr="005C333D">
        <w:t xml:space="preserve">the </w:t>
      </w:r>
      <w:r w:rsidR="003E1506" w:rsidRPr="005C333D">
        <w:t>ocular surface disease index (</w:t>
      </w:r>
      <w:r w:rsidRPr="005C333D">
        <w:t>OSDI</w:t>
      </w:r>
      <w:r w:rsidR="003E1506" w:rsidRPr="005C333D">
        <w:t>)</w:t>
      </w:r>
      <w:r w:rsidR="005C15A2" w:rsidRPr="005C333D">
        <w:t xml:space="preserve">; </w:t>
      </w:r>
      <w:r w:rsidR="008F06F5" w:rsidRPr="005C333D">
        <w:t xml:space="preserve">the </w:t>
      </w:r>
      <w:r w:rsidRPr="005C333D">
        <w:t xml:space="preserve">OSDI is subjective. </w:t>
      </w:r>
      <w:r w:rsidR="0076245D" w:rsidRPr="005C333D">
        <w:t>Noting that the TGA approved ciclosporin eye drops o</w:t>
      </w:r>
      <w:r w:rsidR="00EB345C" w:rsidRPr="005C333D">
        <w:t>n</w:t>
      </w:r>
      <w:r w:rsidR="0076245D" w:rsidRPr="005C333D">
        <w:t xml:space="preserve"> the basis of improvement in ocular signs and not ocular symptoms, the ESC considered that the ODSI</w:t>
      </w:r>
      <w:r w:rsidR="00F141B3" w:rsidRPr="005C333D">
        <w:t xml:space="preserve"> and other symptom scores</w:t>
      </w:r>
      <w:r w:rsidR="0076245D" w:rsidRPr="005C333D">
        <w:t xml:space="preserve"> w</w:t>
      </w:r>
      <w:r w:rsidR="00F141B3" w:rsidRPr="005C333D">
        <w:t>ere</w:t>
      </w:r>
      <w:r w:rsidR="0076245D" w:rsidRPr="005C333D">
        <w:t xml:space="preserve"> potentially relevant in the restriction. </w:t>
      </w:r>
    </w:p>
    <w:p w:rsidR="00F141B3" w:rsidRPr="005C333D" w:rsidRDefault="00F141B3" w:rsidP="00B73532">
      <w:pPr>
        <w:pStyle w:val="3-BodyText"/>
      </w:pPr>
      <w:r w:rsidRPr="005C333D">
        <w:t>Evidence also suggested that after an induction with ciclosporin there were lasting benefits in terms of keratitis</w:t>
      </w:r>
      <w:r w:rsidRPr="005C333D">
        <w:rPr>
          <w:rStyle w:val="FootnoteReference"/>
        </w:rPr>
        <w:footnoteReference w:id="2"/>
      </w:r>
      <w:r w:rsidRPr="005C333D">
        <w:t xml:space="preserve">. The ESC, based on the limited evidence that a defined course of ciclosporin may provide a lasting benefit, considered that </w:t>
      </w:r>
      <w:r w:rsidR="00FF5E66" w:rsidRPr="005C333D">
        <w:t xml:space="preserve">it may be reasonable for the </w:t>
      </w:r>
      <w:r w:rsidRPr="005C333D">
        <w:t xml:space="preserve">restriction </w:t>
      </w:r>
      <w:r w:rsidR="00FF5E66" w:rsidRPr="005C333D">
        <w:t xml:space="preserve">to </w:t>
      </w:r>
      <w:r w:rsidRPr="005C333D">
        <w:t>limit treatment (i.e. to 24 months), after which, a patient may requalify for treatment if they again met the initial criteria. The ESC considered that this may serve to manage the potential concerns surrounding long term immunosuppression use and the lack of evidence that ciclosporin provides symptomatic benefits.</w:t>
      </w:r>
      <w:r w:rsidR="00F10C1F" w:rsidRPr="005C333D">
        <w:t xml:space="preserve"> The pre-PBAC response considered it reasonable that treatment be re-evaluated at 24 months, but considered that patients should not have to requalify for treatment based on the initiation criteria as this would require patients to return to a severe disease state.</w:t>
      </w:r>
    </w:p>
    <w:p w:rsidR="008F06F5" w:rsidRPr="005C333D" w:rsidRDefault="00FF5E66" w:rsidP="00B73532">
      <w:pPr>
        <w:pStyle w:val="3-BodyText"/>
      </w:pPr>
      <w:r w:rsidRPr="005C333D">
        <w:t xml:space="preserve">It was noted that </w:t>
      </w:r>
      <w:r w:rsidR="008F06F5" w:rsidRPr="005C333D">
        <w:t xml:space="preserve">the use of CFS and OSDI by </w:t>
      </w:r>
      <w:r w:rsidR="001F1C49" w:rsidRPr="005C333D">
        <w:t>GPs</w:t>
      </w:r>
      <w:r w:rsidR="008F06F5" w:rsidRPr="005C333D">
        <w:t xml:space="preserve"> </w:t>
      </w:r>
      <w:r w:rsidRPr="005C333D">
        <w:t xml:space="preserve">was </w:t>
      </w:r>
      <w:r w:rsidR="00D1309C" w:rsidRPr="005C333D">
        <w:t>minimal</w:t>
      </w:r>
      <w:r w:rsidR="00BA79AA" w:rsidRPr="005C333D">
        <w:t xml:space="preserve"> in routine practice</w:t>
      </w:r>
      <w:r w:rsidR="00AA64CF" w:rsidRPr="005C333D">
        <w:t>,</w:t>
      </w:r>
      <w:r w:rsidR="00BC0EDE" w:rsidRPr="005C333D">
        <w:t xml:space="preserve"> and </w:t>
      </w:r>
      <w:r w:rsidRPr="005C333D">
        <w:t xml:space="preserve">that </w:t>
      </w:r>
      <w:r w:rsidR="00AA64CF" w:rsidRPr="005C333D">
        <w:t xml:space="preserve">GPs </w:t>
      </w:r>
      <w:r w:rsidR="008F06F5" w:rsidRPr="005C333D">
        <w:t xml:space="preserve">would </w:t>
      </w:r>
      <w:r w:rsidRPr="005C333D">
        <w:t xml:space="preserve">likely </w:t>
      </w:r>
      <w:r w:rsidR="008F06F5" w:rsidRPr="005C333D">
        <w:t>require training in how to conduct the test</w:t>
      </w:r>
      <w:r w:rsidRPr="005C333D">
        <w:t>s</w:t>
      </w:r>
      <w:r w:rsidR="008F06F5" w:rsidRPr="005C333D">
        <w:t xml:space="preserve"> and assess the grade</w:t>
      </w:r>
      <w:r w:rsidRPr="005C333D">
        <w:t>s</w:t>
      </w:r>
      <w:r w:rsidR="00BA79AA" w:rsidRPr="005C333D">
        <w:t xml:space="preserve">. This </w:t>
      </w:r>
      <w:r w:rsidR="008F06F5" w:rsidRPr="005C333D">
        <w:t xml:space="preserve">may not be practical given the small number of patients that present </w:t>
      </w:r>
      <w:r w:rsidR="00BA79AA" w:rsidRPr="005C333D">
        <w:t>to GPs</w:t>
      </w:r>
      <w:r w:rsidR="008F06F5" w:rsidRPr="005C333D">
        <w:t>.</w:t>
      </w:r>
      <w:r w:rsidR="003507DA" w:rsidRPr="005C333D">
        <w:t xml:space="preserve"> The </w:t>
      </w:r>
      <w:r w:rsidR="00A93EAC" w:rsidRPr="005C333D">
        <w:t>Advisory Committee on Medicines (</w:t>
      </w:r>
      <w:r w:rsidR="003507DA" w:rsidRPr="005C333D">
        <w:t>ACM</w:t>
      </w:r>
      <w:r w:rsidR="00A93EAC" w:rsidRPr="005C333D">
        <w:t>)</w:t>
      </w:r>
      <w:r w:rsidR="003507DA" w:rsidRPr="005C333D">
        <w:t xml:space="preserve"> “agreed that prescribing of [ciclosporin] should be restricted to ophthalmologists. Ophthalmologists are experienced in differentiating patients with severe disease from those with milder disease (for whom lubricants would be more appropriate)”</w:t>
      </w:r>
      <w:r w:rsidR="004C0554" w:rsidRPr="005C333D">
        <w:t xml:space="preserve"> </w:t>
      </w:r>
      <w:r w:rsidR="003507DA" w:rsidRPr="005C333D">
        <w:t>(</w:t>
      </w:r>
      <w:r w:rsidR="007C0159" w:rsidRPr="005C333D">
        <w:t>ACM</w:t>
      </w:r>
      <w:r w:rsidR="003507DA" w:rsidRPr="005C333D">
        <w:t xml:space="preserve"> Minutes on Item No 2.06 ciclosporin, Oct 2020).</w:t>
      </w:r>
      <w:r w:rsidR="00BF2C5E" w:rsidRPr="005C333D">
        <w:t xml:space="preserve"> </w:t>
      </w:r>
      <w:r w:rsidRPr="005C333D">
        <w:rPr>
          <w:iCs/>
        </w:rPr>
        <w:t xml:space="preserve">The </w:t>
      </w:r>
      <w:r w:rsidR="0081533B">
        <w:rPr>
          <w:iCs/>
        </w:rPr>
        <w:t>Pre-Sub-Committee Response (</w:t>
      </w:r>
      <w:r w:rsidRPr="005C333D">
        <w:rPr>
          <w:iCs/>
        </w:rPr>
        <w:t>PSCR</w:t>
      </w:r>
      <w:r w:rsidR="0081533B">
        <w:rPr>
          <w:iCs/>
        </w:rPr>
        <w:t>)</w:t>
      </w:r>
      <w:r w:rsidRPr="005C333D">
        <w:rPr>
          <w:iCs/>
        </w:rPr>
        <w:t xml:space="preserve"> stated that the Sponsor was willing to exclude GPs from the subsequent continuation restriction. The ESC considered this appropriate as including GPs could increase the risk of leakage beyond the proposed clinical criteria.</w:t>
      </w:r>
      <w:r w:rsidR="00FF5168" w:rsidRPr="005C333D">
        <w:rPr>
          <w:iCs/>
        </w:rPr>
        <w:t xml:space="preserve"> The pre-PBAC response advised that the Product Information for ciclosporin was amended after the ACM meeting to read that ‘Treatment should be initiated by an ophthalmologist or appropriately qualified healthcare professional with expertise in the diagnosis, assessment and treatment of keratitis associated with dry eye disease’. The pre-PBAC response stated that this would include optometrists.</w:t>
      </w:r>
      <w:r w:rsidR="00B1364D" w:rsidRPr="005C333D">
        <w:rPr>
          <w:iCs/>
        </w:rPr>
        <w:t xml:space="preserve"> Noting that the majority of GPs would not have access to a split lamp to </w:t>
      </w:r>
      <w:r w:rsidR="00404618">
        <w:rPr>
          <w:iCs/>
        </w:rPr>
        <w:t>facilitate</w:t>
      </w:r>
      <w:r w:rsidR="00B1364D" w:rsidRPr="005C333D">
        <w:rPr>
          <w:iCs/>
        </w:rPr>
        <w:t xml:space="preserve"> </w:t>
      </w:r>
      <w:r w:rsidR="0064409F" w:rsidRPr="005C333D">
        <w:rPr>
          <w:iCs/>
        </w:rPr>
        <w:t xml:space="preserve">the required </w:t>
      </w:r>
      <w:r w:rsidR="00B1364D" w:rsidRPr="005C333D">
        <w:rPr>
          <w:iCs/>
        </w:rPr>
        <w:t>ongoing assessment of the condition, the PBAC considered that initial and continuing prescribing of ciclosporin should be limited to ophthalmologists and optometrists. The PBAC considered that th</w:t>
      </w:r>
      <w:r w:rsidR="00EB1F41" w:rsidRPr="005C333D">
        <w:rPr>
          <w:iCs/>
        </w:rPr>
        <w:t xml:space="preserve">e inclusion of optometrists </w:t>
      </w:r>
      <w:r w:rsidR="00B1364D" w:rsidRPr="005C333D">
        <w:rPr>
          <w:iCs/>
        </w:rPr>
        <w:t>would improve equity of access to ciclosporin, particularly for rural and remote patients.</w:t>
      </w:r>
    </w:p>
    <w:bookmarkEnd w:id="7"/>
    <w:p w:rsidR="00DA5D07" w:rsidRPr="005C333D" w:rsidRDefault="00DA5D07" w:rsidP="00DA5D07">
      <w:pPr>
        <w:pStyle w:val="3-BodyText"/>
        <w:numPr>
          <w:ilvl w:val="0"/>
          <w:numId w:val="0"/>
        </w:numPr>
        <w:ind w:left="720"/>
        <w:rPr>
          <w:i/>
        </w:rPr>
      </w:pPr>
      <w:r w:rsidRPr="005C333D">
        <w:rPr>
          <w:i/>
        </w:rPr>
        <w:t>For more detail on PBAC’s view, see section 7 PBAC outcome.</w:t>
      </w:r>
    </w:p>
    <w:p w:rsidR="00B50DB8" w:rsidRPr="005C333D" w:rsidRDefault="00203181" w:rsidP="004E18E9">
      <w:pPr>
        <w:pStyle w:val="2-SectionHeading"/>
      </w:pPr>
      <w:bookmarkStart w:id="8" w:name="_Toc62030461"/>
      <w:r w:rsidRPr="005C333D">
        <w:t xml:space="preserve">Population and </w:t>
      </w:r>
      <w:r w:rsidR="008E0D3C" w:rsidRPr="005C333D">
        <w:t>d</w:t>
      </w:r>
      <w:r w:rsidRPr="005C333D">
        <w:t>isease</w:t>
      </w:r>
      <w:bookmarkEnd w:id="8"/>
    </w:p>
    <w:p w:rsidR="00894489" w:rsidRPr="005C333D" w:rsidRDefault="004A37A6" w:rsidP="00B73532">
      <w:pPr>
        <w:pStyle w:val="3-BodyText"/>
      </w:pPr>
      <w:r w:rsidRPr="005C333D">
        <w:t>Keratitis is inflammation of the cornea and represents damage or lesions on the corneal surface; it predisposes the cornea to secondary infections and can r</w:t>
      </w:r>
      <w:r w:rsidR="003F0E57">
        <w:t>esult in sight-threatening seque</w:t>
      </w:r>
      <w:r w:rsidRPr="005C333D">
        <w:t xml:space="preserve">lae (American Academy of Ophthalmology 2018). </w:t>
      </w:r>
      <w:r w:rsidR="005C7AEA" w:rsidRPr="005C333D">
        <w:t>DED, or keratoconjunctivitis sicca, is a common ocular condition that is characterised by dryness of the conjunctiva and cornea. Patients with DED experience reduced tear production or tear film instability</w:t>
      </w:r>
      <w:r w:rsidR="00B67C2E" w:rsidRPr="005C333D">
        <w:t>,</w:t>
      </w:r>
      <w:r w:rsidR="005C7AEA" w:rsidRPr="005C333D">
        <w:t xml:space="preserve"> which leads to discomfort and visual disability (American Academy of Ophthalmology 2018).</w:t>
      </w:r>
      <w:r w:rsidR="00F97A78" w:rsidRPr="005C333D">
        <w:t xml:space="preserve"> </w:t>
      </w:r>
    </w:p>
    <w:p w:rsidR="00170BF5" w:rsidRPr="005C333D" w:rsidRDefault="00170BF5" w:rsidP="00B73532">
      <w:pPr>
        <w:pStyle w:val="3-BodyText"/>
      </w:pPr>
      <w:r w:rsidRPr="005C333D">
        <w:t xml:space="preserve">Ciclosporin is a calcineurin inhibitor immunosuppressant. </w:t>
      </w:r>
    </w:p>
    <w:p w:rsidR="002F124B" w:rsidRPr="005C333D" w:rsidRDefault="00B65C83" w:rsidP="00B73532">
      <w:pPr>
        <w:pStyle w:val="3-BodyText"/>
        <w:rPr>
          <w:color w:val="0066FF"/>
        </w:rPr>
      </w:pPr>
      <w:r w:rsidRPr="005C333D">
        <w:t xml:space="preserve">The submission presented </w:t>
      </w:r>
      <w:r w:rsidR="00971636" w:rsidRPr="005C333D">
        <w:t xml:space="preserve">a </w:t>
      </w:r>
      <w:r w:rsidRPr="005C333D">
        <w:t xml:space="preserve">current and </w:t>
      </w:r>
      <w:r w:rsidR="00971636" w:rsidRPr="005C333D">
        <w:t xml:space="preserve">a </w:t>
      </w:r>
      <w:r w:rsidRPr="005C333D">
        <w:t xml:space="preserve">proposed clinical management algorithm. </w:t>
      </w:r>
      <w:r w:rsidR="004E14D6" w:rsidRPr="005C333D">
        <w:t>The clinical management algorithm was based on local expert advice as there were no locally relevant treatment guidelines for severe keratitis with DED identified.</w:t>
      </w:r>
      <w:r w:rsidR="00977342" w:rsidRPr="005C333D">
        <w:rPr>
          <w:i/>
          <w:iCs/>
        </w:rPr>
        <w:t xml:space="preserve"> </w:t>
      </w:r>
      <w:r w:rsidR="00977342" w:rsidRPr="005C333D">
        <w:rPr>
          <w:iCs/>
        </w:rPr>
        <w:t xml:space="preserve">The algorithm did not include the results of diagnostic tests (CFS on </w:t>
      </w:r>
      <w:r w:rsidR="005D62CE" w:rsidRPr="005C333D">
        <w:rPr>
          <w:iCs/>
        </w:rPr>
        <w:t xml:space="preserve">the </w:t>
      </w:r>
      <w:r w:rsidR="00977342" w:rsidRPr="005C333D">
        <w:rPr>
          <w:iCs/>
        </w:rPr>
        <w:t>Oxford Modified Scale and OSDI)</w:t>
      </w:r>
      <w:r w:rsidR="00037890" w:rsidRPr="005C333D">
        <w:rPr>
          <w:iCs/>
        </w:rPr>
        <w:t xml:space="preserve"> or continuation treatment after achieving an adequate response.</w:t>
      </w:r>
      <w:r w:rsidR="00A22558" w:rsidRPr="005C333D">
        <w:rPr>
          <w:iCs/>
        </w:rPr>
        <w:t xml:space="preserve"> The comparator of BSC</w:t>
      </w:r>
      <w:r w:rsidR="0092046D" w:rsidRPr="005C333D">
        <w:rPr>
          <w:iCs/>
        </w:rPr>
        <w:t>, which,</w:t>
      </w:r>
      <w:r w:rsidR="00A22558" w:rsidRPr="005C333D">
        <w:rPr>
          <w:iCs/>
        </w:rPr>
        <w:t xml:space="preserve"> in the clinical management algorithm </w:t>
      </w:r>
      <w:r w:rsidR="0092046D" w:rsidRPr="005C333D">
        <w:rPr>
          <w:iCs/>
        </w:rPr>
        <w:t xml:space="preserve">consisted of preservative free artificial tears, </w:t>
      </w:r>
      <w:r w:rsidR="005C15A2" w:rsidRPr="005C333D">
        <w:rPr>
          <w:iCs/>
        </w:rPr>
        <w:t>wa</w:t>
      </w:r>
      <w:r w:rsidR="00A22558" w:rsidRPr="005C333D">
        <w:rPr>
          <w:iCs/>
        </w:rPr>
        <w:t xml:space="preserve">s </w:t>
      </w:r>
      <w:r w:rsidR="007339F7" w:rsidRPr="005C333D">
        <w:rPr>
          <w:iCs/>
        </w:rPr>
        <w:t xml:space="preserve">different to </w:t>
      </w:r>
      <w:r w:rsidR="00A22558" w:rsidRPr="005C333D">
        <w:rPr>
          <w:iCs/>
        </w:rPr>
        <w:t xml:space="preserve">the comparator presented in </w:t>
      </w:r>
      <w:r w:rsidR="003E1506" w:rsidRPr="005C333D">
        <w:rPr>
          <w:iCs/>
        </w:rPr>
        <w:t>the clinical trials</w:t>
      </w:r>
      <w:r w:rsidR="00A22558" w:rsidRPr="005C333D">
        <w:rPr>
          <w:iCs/>
        </w:rPr>
        <w:t xml:space="preserve">, </w:t>
      </w:r>
      <w:r w:rsidR="0092046D" w:rsidRPr="005C333D">
        <w:rPr>
          <w:iCs/>
        </w:rPr>
        <w:t xml:space="preserve">which was </w:t>
      </w:r>
      <w:r w:rsidR="00A22558" w:rsidRPr="005C333D">
        <w:rPr>
          <w:iCs/>
        </w:rPr>
        <w:t>a vehicle of placebo cationic emulsion with no ciclosporin</w:t>
      </w:r>
      <w:r w:rsidR="003D0A34" w:rsidRPr="005C333D">
        <w:rPr>
          <w:iCs/>
        </w:rPr>
        <w:t>,</w:t>
      </w:r>
      <w:r w:rsidR="00FC236C" w:rsidRPr="005C333D">
        <w:rPr>
          <w:iCs/>
        </w:rPr>
        <w:t xml:space="preserve"> with concomitant artificial tears</w:t>
      </w:r>
      <w:r w:rsidR="00A22558" w:rsidRPr="005C333D">
        <w:rPr>
          <w:iCs/>
        </w:rPr>
        <w:t>.</w:t>
      </w:r>
      <w:r w:rsidR="00F61037" w:rsidRPr="005C333D">
        <w:rPr>
          <w:iCs/>
        </w:rPr>
        <w:t xml:space="preserve"> </w:t>
      </w:r>
    </w:p>
    <w:p w:rsidR="00964E52" w:rsidRPr="005C333D" w:rsidRDefault="00964E52" w:rsidP="00B73532">
      <w:pPr>
        <w:pStyle w:val="3-BodyText"/>
        <w:rPr>
          <w:rFonts w:ascii="Calibri" w:hAnsi="Calibri"/>
          <w:szCs w:val="22"/>
        </w:rPr>
      </w:pPr>
      <w:r w:rsidRPr="005C333D">
        <w:t>Figure 1 present</w:t>
      </w:r>
      <w:r w:rsidR="00345073" w:rsidRPr="005C333D">
        <w:t>s</w:t>
      </w:r>
      <w:r w:rsidRPr="005C333D">
        <w:t xml:space="preserve"> the </w:t>
      </w:r>
      <w:r w:rsidR="00153326" w:rsidRPr="005C333D">
        <w:t>current and proposed</w:t>
      </w:r>
      <w:r w:rsidRPr="005C333D">
        <w:t xml:space="preserve"> clinical management algorithm.</w:t>
      </w:r>
    </w:p>
    <w:p w:rsidR="009D22E3" w:rsidRPr="005C333D" w:rsidRDefault="009D22E3" w:rsidP="00D55B78">
      <w:pPr>
        <w:keepNext/>
        <w:rPr>
          <w:rFonts w:ascii="Arial Narrow" w:hAnsi="Arial Narrow"/>
          <w:sz w:val="16"/>
          <w:szCs w:val="16"/>
        </w:rPr>
      </w:pPr>
      <w:r w:rsidRPr="005C333D">
        <w:rPr>
          <w:rFonts w:ascii="Arial Narrow" w:hAnsi="Arial Narrow"/>
          <w:b/>
          <w:bCs/>
          <w:sz w:val="20"/>
          <w:szCs w:val="20"/>
        </w:rPr>
        <w:t>Figure 1: Current and proposed</w:t>
      </w:r>
      <w:r w:rsidRPr="005C333D">
        <w:rPr>
          <w:rFonts w:ascii="Arial Narrow" w:hAnsi="Arial Narrow"/>
          <w:b/>
          <w:sz w:val="20"/>
          <w:szCs w:val="20"/>
        </w:rPr>
        <w:t xml:space="preserve"> treatment algorithm for </w:t>
      </w:r>
      <w:r w:rsidRPr="005C333D">
        <w:rPr>
          <w:rFonts w:ascii="Arial Narrow" w:hAnsi="Arial Narrow"/>
          <w:b/>
          <w:bCs/>
          <w:sz w:val="20"/>
          <w:szCs w:val="20"/>
        </w:rPr>
        <w:t>treatment of severe keratitis with DED</w:t>
      </w:r>
    </w:p>
    <w:p w:rsidR="009D22E3" w:rsidRPr="005C333D" w:rsidRDefault="009223F4" w:rsidP="009D22E3">
      <w:r w:rsidRPr="005C333D">
        <w:rPr>
          <w:noProof/>
        </w:rPr>
        <w:drawing>
          <wp:inline distT="0" distB="0" distL="0" distR="0" wp14:anchorId="6E1B95F3" wp14:editId="3428B6C9">
            <wp:extent cx="5745480" cy="6271260"/>
            <wp:effectExtent l="0" t="0" r="7620" b="0"/>
            <wp:docPr id="17" name="Picture 17" title="Figure 1: Current and proposed treatment algorithm for treatment of severe keratitis with 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480" cy="6271260"/>
                    </a:xfrm>
                    <a:prstGeom prst="rect">
                      <a:avLst/>
                    </a:prstGeom>
                    <a:noFill/>
                  </pic:spPr>
                </pic:pic>
              </a:graphicData>
            </a:graphic>
          </wp:inline>
        </w:drawing>
      </w:r>
    </w:p>
    <w:p w:rsidR="00411EE3" w:rsidRPr="005C333D" w:rsidRDefault="009D22E3" w:rsidP="009D22E3">
      <w:pPr>
        <w:pStyle w:val="TableFootnotetext"/>
        <w:rPr>
          <w:rFonts w:ascii="Arial Narrow" w:hAnsi="Arial Narrow"/>
          <w:sz w:val="18"/>
          <w:szCs w:val="22"/>
        </w:rPr>
      </w:pPr>
      <w:r w:rsidRPr="005C333D">
        <w:rPr>
          <w:rFonts w:ascii="Arial Narrow" w:hAnsi="Arial Narrow"/>
          <w:sz w:val="18"/>
          <w:szCs w:val="22"/>
        </w:rPr>
        <w:t>AEs</w:t>
      </w:r>
      <w:r w:rsidR="00AA6DA3" w:rsidRPr="005C333D">
        <w:rPr>
          <w:rFonts w:ascii="Arial Narrow" w:hAnsi="Arial Narrow"/>
          <w:sz w:val="18"/>
          <w:szCs w:val="22"/>
        </w:rPr>
        <w:t xml:space="preserve"> </w:t>
      </w:r>
      <w:r w:rsidR="00DD4DDD" w:rsidRPr="005C333D">
        <w:rPr>
          <w:rFonts w:ascii="Arial Narrow" w:hAnsi="Arial Narrow"/>
          <w:sz w:val="18"/>
          <w:szCs w:val="22"/>
        </w:rPr>
        <w:t>=</w:t>
      </w:r>
      <w:r w:rsidRPr="005C333D">
        <w:rPr>
          <w:rFonts w:ascii="Arial Narrow" w:hAnsi="Arial Narrow"/>
          <w:sz w:val="18"/>
          <w:szCs w:val="22"/>
        </w:rPr>
        <w:t xml:space="preserve"> adverse events; AT</w:t>
      </w:r>
      <w:r w:rsidR="00DD4DDD" w:rsidRPr="005C333D">
        <w:rPr>
          <w:rFonts w:ascii="Arial Narrow" w:hAnsi="Arial Narrow"/>
          <w:sz w:val="18"/>
          <w:szCs w:val="22"/>
        </w:rPr>
        <w:t>=</w:t>
      </w:r>
      <w:r w:rsidRPr="005C333D">
        <w:rPr>
          <w:rFonts w:ascii="Arial Narrow" w:hAnsi="Arial Narrow"/>
          <w:sz w:val="18"/>
          <w:szCs w:val="22"/>
        </w:rPr>
        <w:t xml:space="preserve"> artificial tears; CS</w:t>
      </w:r>
      <w:r w:rsidR="00AA6DA3" w:rsidRPr="005C333D">
        <w:rPr>
          <w:rFonts w:ascii="Arial Narrow" w:hAnsi="Arial Narrow"/>
          <w:sz w:val="18"/>
          <w:szCs w:val="22"/>
        </w:rPr>
        <w:t xml:space="preserve"> </w:t>
      </w:r>
      <w:r w:rsidR="00DD4DDD" w:rsidRPr="005C333D">
        <w:rPr>
          <w:rFonts w:ascii="Arial Narrow" w:hAnsi="Arial Narrow"/>
          <w:sz w:val="18"/>
          <w:szCs w:val="22"/>
        </w:rPr>
        <w:t>=</w:t>
      </w:r>
      <w:r w:rsidRPr="005C333D">
        <w:rPr>
          <w:rFonts w:ascii="Arial Narrow" w:hAnsi="Arial Narrow"/>
          <w:sz w:val="18"/>
          <w:szCs w:val="22"/>
        </w:rPr>
        <w:t xml:space="preserve"> corticosteroid; CsA</w:t>
      </w:r>
      <w:r w:rsidR="00AA6DA3" w:rsidRPr="005C333D">
        <w:rPr>
          <w:rFonts w:ascii="Arial Narrow" w:hAnsi="Arial Narrow"/>
          <w:sz w:val="18"/>
          <w:szCs w:val="22"/>
        </w:rPr>
        <w:t xml:space="preserve"> </w:t>
      </w:r>
      <w:r w:rsidR="00DD4DDD" w:rsidRPr="005C333D">
        <w:rPr>
          <w:rFonts w:ascii="Arial Narrow" w:hAnsi="Arial Narrow"/>
          <w:sz w:val="18"/>
          <w:szCs w:val="22"/>
        </w:rPr>
        <w:t>=</w:t>
      </w:r>
      <w:r w:rsidRPr="005C333D">
        <w:rPr>
          <w:rFonts w:ascii="Arial Narrow" w:hAnsi="Arial Narrow"/>
          <w:sz w:val="18"/>
          <w:szCs w:val="22"/>
        </w:rPr>
        <w:t xml:space="preserve"> ciclosporin; DED</w:t>
      </w:r>
      <w:r w:rsidR="00AA6DA3" w:rsidRPr="005C333D">
        <w:rPr>
          <w:rFonts w:ascii="Arial Narrow" w:hAnsi="Arial Narrow"/>
          <w:sz w:val="18"/>
          <w:szCs w:val="22"/>
        </w:rPr>
        <w:t xml:space="preserve"> </w:t>
      </w:r>
      <w:r w:rsidR="00DD4DDD" w:rsidRPr="005C333D">
        <w:rPr>
          <w:rFonts w:ascii="Arial Narrow" w:hAnsi="Arial Narrow"/>
          <w:sz w:val="18"/>
          <w:szCs w:val="22"/>
        </w:rPr>
        <w:t>=</w:t>
      </w:r>
      <w:r w:rsidRPr="005C333D">
        <w:rPr>
          <w:rFonts w:ascii="Arial Narrow" w:hAnsi="Arial Narrow"/>
          <w:sz w:val="18"/>
          <w:szCs w:val="22"/>
        </w:rPr>
        <w:t xml:space="preserve"> dry eye disease; SAS</w:t>
      </w:r>
      <w:r w:rsidR="00AA6DA3" w:rsidRPr="005C333D">
        <w:rPr>
          <w:rFonts w:ascii="Arial Narrow" w:hAnsi="Arial Narrow"/>
          <w:sz w:val="18"/>
          <w:szCs w:val="22"/>
        </w:rPr>
        <w:t xml:space="preserve"> </w:t>
      </w:r>
      <w:r w:rsidR="00DD4DDD" w:rsidRPr="005C333D">
        <w:rPr>
          <w:rFonts w:ascii="Arial Narrow" w:hAnsi="Arial Narrow"/>
          <w:sz w:val="18"/>
          <w:szCs w:val="22"/>
        </w:rPr>
        <w:t>=</w:t>
      </w:r>
      <w:r w:rsidRPr="005C333D">
        <w:rPr>
          <w:rFonts w:ascii="Arial Narrow" w:hAnsi="Arial Narrow"/>
          <w:sz w:val="18"/>
          <w:szCs w:val="22"/>
        </w:rPr>
        <w:t xml:space="preserve"> special access scheme.</w:t>
      </w:r>
    </w:p>
    <w:p w:rsidR="00FD13A5" w:rsidRPr="005C333D" w:rsidRDefault="00FD13A5" w:rsidP="009D22E3">
      <w:pPr>
        <w:pStyle w:val="TableFootnotetext"/>
        <w:rPr>
          <w:rFonts w:ascii="Arial Narrow" w:hAnsi="Arial Narrow"/>
          <w:sz w:val="18"/>
          <w:szCs w:val="22"/>
        </w:rPr>
      </w:pPr>
      <w:r w:rsidRPr="005C333D">
        <w:rPr>
          <w:rFonts w:ascii="Arial Narrow" w:hAnsi="Arial Narrow"/>
          <w:sz w:val="18"/>
          <w:szCs w:val="22"/>
        </w:rPr>
        <w:t xml:space="preserve">Source: </w:t>
      </w:r>
      <w:r w:rsidR="0035148B" w:rsidRPr="005C333D">
        <w:rPr>
          <w:rFonts w:ascii="Arial Narrow" w:hAnsi="Arial Narrow"/>
          <w:sz w:val="18"/>
          <w:szCs w:val="22"/>
        </w:rPr>
        <w:t>Figure 1.2.1, p35 of the submission.</w:t>
      </w:r>
    </w:p>
    <w:p w:rsidR="00DA5D07" w:rsidRPr="005C333D" w:rsidRDefault="00DA5D07" w:rsidP="00DA5D07"/>
    <w:p w:rsidR="00DA5D07" w:rsidRPr="005C333D" w:rsidRDefault="00DA5D07" w:rsidP="00DA5D07">
      <w:pPr>
        <w:rPr>
          <w:i/>
        </w:rPr>
      </w:pPr>
      <w:r w:rsidRPr="005C333D">
        <w:tab/>
      </w:r>
      <w:r w:rsidRPr="005C333D">
        <w:rPr>
          <w:i/>
        </w:rPr>
        <w:t>For more detail on PBAC’s view, see section 7 PBAC outcome.</w:t>
      </w:r>
    </w:p>
    <w:p w:rsidR="00B50DB8" w:rsidRPr="005C333D" w:rsidRDefault="00B50DB8" w:rsidP="004E18E9">
      <w:pPr>
        <w:pStyle w:val="2-SectionHeading"/>
      </w:pPr>
      <w:bookmarkStart w:id="9" w:name="_Toc62030462"/>
      <w:r w:rsidRPr="005C333D">
        <w:t>Comparator</w:t>
      </w:r>
      <w:bookmarkEnd w:id="9"/>
    </w:p>
    <w:p w:rsidR="00057DC4" w:rsidRPr="005C333D" w:rsidRDefault="009175BD" w:rsidP="00B73532">
      <w:pPr>
        <w:pStyle w:val="3-BodyText"/>
        <w:rPr>
          <w:snapToGrid/>
        </w:rPr>
      </w:pPr>
      <w:r w:rsidRPr="005C333D">
        <w:t>The submission nominated BSC</w:t>
      </w:r>
      <w:r w:rsidR="00B67C2E" w:rsidRPr="005C333D">
        <w:t>,</w:t>
      </w:r>
      <w:r w:rsidRPr="005C333D">
        <w:t xml:space="preserve"> </w:t>
      </w:r>
      <w:r w:rsidR="00B67C2E" w:rsidRPr="005C333D">
        <w:t>including</w:t>
      </w:r>
      <w:r w:rsidRPr="005C333D">
        <w:t xml:space="preserve"> preservative free artificial tears as needed, as the main comparator. </w:t>
      </w:r>
      <w:r w:rsidR="00A4769D" w:rsidRPr="005C333D">
        <w:t xml:space="preserve">The main argument provided in support of this nomination </w:t>
      </w:r>
      <w:r w:rsidR="00EB4E55" w:rsidRPr="005C333D">
        <w:t>was</w:t>
      </w:r>
      <w:r w:rsidR="00A4769D" w:rsidRPr="005C333D">
        <w:t xml:space="preserve"> </w:t>
      </w:r>
      <w:r w:rsidR="00EB4E55" w:rsidRPr="005C333D">
        <w:t xml:space="preserve">that </w:t>
      </w:r>
      <w:r w:rsidR="00A4769D" w:rsidRPr="005C333D">
        <w:t xml:space="preserve">there </w:t>
      </w:r>
      <w:r w:rsidR="005C15A2" w:rsidRPr="005C333D">
        <w:t>we</w:t>
      </w:r>
      <w:r w:rsidR="00A4769D" w:rsidRPr="005C333D">
        <w:t xml:space="preserve">re no PBS listed treatment options for patients </w:t>
      </w:r>
      <w:r w:rsidR="002C1744" w:rsidRPr="005C333D">
        <w:t xml:space="preserve">who continue to experience severe symptoms of DED despite use of artificial tears, </w:t>
      </w:r>
      <w:r w:rsidR="00A4769D" w:rsidRPr="005C333D">
        <w:t xml:space="preserve">and no ciclosporin eye drops </w:t>
      </w:r>
      <w:r w:rsidR="005C15A2" w:rsidRPr="005C333D">
        <w:t>we</w:t>
      </w:r>
      <w:r w:rsidR="00E76721" w:rsidRPr="005C333D">
        <w:t xml:space="preserve">re </w:t>
      </w:r>
      <w:r w:rsidR="00A4769D" w:rsidRPr="005C333D">
        <w:t>listed on the PBS. The only available treatment options include</w:t>
      </w:r>
      <w:r w:rsidR="005C15A2" w:rsidRPr="005C333D">
        <w:t>d</w:t>
      </w:r>
      <w:r w:rsidR="00A4769D" w:rsidRPr="005C333D">
        <w:t xml:space="preserve"> ongoing symptomatic control using artificial tear</w:t>
      </w:r>
      <w:r w:rsidR="00E76721" w:rsidRPr="005C333D">
        <w:t>s</w:t>
      </w:r>
      <w:r w:rsidR="00A4769D" w:rsidRPr="005C333D">
        <w:t xml:space="preserve">. </w:t>
      </w:r>
    </w:p>
    <w:p w:rsidR="00435657" w:rsidRPr="005C333D" w:rsidRDefault="00A4769D" w:rsidP="00B73532">
      <w:pPr>
        <w:pStyle w:val="3-BodyText"/>
        <w:rPr>
          <w:snapToGrid/>
        </w:rPr>
      </w:pPr>
      <w:r w:rsidRPr="005C333D">
        <w:t xml:space="preserve">The </w:t>
      </w:r>
      <w:r w:rsidR="0092046D" w:rsidRPr="005C333D">
        <w:t xml:space="preserve">ESC noted that the nominated </w:t>
      </w:r>
      <w:r w:rsidRPr="005C333D">
        <w:t xml:space="preserve">comparator of BSC </w:t>
      </w:r>
      <w:r w:rsidR="007339F7" w:rsidRPr="005C333D">
        <w:t>differ</w:t>
      </w:r>
      <w:r w:rsidR="0092046D" w:rsidRPr="005C333D">
        <w:t>ed</w:t>
      </w:r>
      <w:r w:rsidR="007339F7" w:rsidRPr="005C333D">
        <w:t xml:space="preserve"> </w:t>
      </w:r>
      <w:r w:rsidR="00C514C8" w:rsidRPr="005C333D">
        <w:t xml:space="preserve">to </w:t>
      </w:r>
      <w:r w:rsidRPr="005C333D">
        <w:t xml:space="preserve">the comparator presented in </w:t>
      </w:r>
      <w:r w:rsidR="0092046D" w:rsidRPr="005C333D">
        <w:t>the clinical trials</w:t>
      </w:r>
      <w:r w:rsidRPr="005C333D">
        <w:t xml:space="preserve">, </w:t>
      </w:r>
      <w:r w:rsidR="00DF7E89" w:rsidRPr="005C333D">
        <w:t xml:space="preserve">which was </w:t>
      </w:r>
      <w:r w:rsidRPr="005C333D">
        <w:t>a vehicle of placebo cationic emulsion with no ciclosporin in addition to artificial tears.</w:t>
      </w:r>
      <w:r w:rsidR="004A1DDD" w:rsidRPr="005C333D">
        <w:t xml:space="preserve"> </w:t>
      </w:r>
    </w:p>
    <w:p w:rsidR="00B50DB8" w:rsidRPr="005C333D" w:rsidRDefault="00D55B78" w:rsidP="00B73532">
      <w:pPr>
        <w:pStyle w:val="3-BodyText"/>
      </w:pPr>
      <w:r w:rsidRPr="005C333D">
        <w:t>T</w:t>
      </w:r>
      <w:r w:rsidR="00BC6464" w:rsidRPr="005C333D">
        <w:t xml:space="preserve">here </w:t>
      </w:r>
      <w:r w:rsidR="005C15A2" w:rsidRPr="005C333D">
        <w:t>we</w:t>
      </w:r>
      <w:r w:rsidR="00BC6464" w:rsidRPr="005C333D">
        <w:t xml:space="preserve">re other ciclosporin </w:t>
      </w:r>
      <w:r w:rsidR="008D30E4" w:rsidRPr="005C333D">
        <w:t xml:space="preserve">eye drop </w:t>
      </w:r>
      <w:r w:rsidR="00BC6464" w:rsidRPr="005C333D">
        <w:t xml:space="preserve">formulations available in Australia; including extemporaneous preparations, </w:t>
      </w:r>
      <w:r w:rsidR="003E31A1" w:rsidRPr="005C333D">
        <w:t xml:space="preserve">an </w:t>
      </w:r>
      <w:r w:rsidR="00BC6464" w:rsidRPr="005C333D">
        <w:t>unregistered product</w:t>
      </w:r>
      <w:r w:rsidR="008D30E4" w:rsidRPr="005C333D">
        <w:t>,</w:t>
      </w:r>
      <w:r w:rsidR="00BC6464" w:rsidRPr="005C333D">
        <w:t xml:space="preserve"> Restatis (0.05%), and the recently registered Cequa (0.09%)</w:t>
      </w:r>
      <w:r w:rsidRPr="005C333D">
        <w:t>.</w:t>
      </w:r>
      <w:r w:rsidR="003D0A34" w:rsidRPr="005C333D">
        <w:t xml:space="preserve"> </w:t>
      </w:r>
      <w:r w:rsidRPr="005C333D">
        <w:t>These</w:t>
      </w:r>
      <w:r w:rsidR="00BC6464" w:rsidRPr="005C333D">
        <w:t xml:space="preserve"> may be potential future comparators. </w:t>
      </w:r>
    </w:p>
    <w:p w:rsidR="00DA5D07" w:rsidRPr="005C333D" w:rsidRDefault="00DA5D07" w:rsidP="00DA5D07">
      <w:pPr>
        <w:pStyle w:val="3-BodyText"/>
        <w:numPr>
          <w:ilvl w:val="0"/>
          <w:numId w:val="0"/>
        </w:numPr>
        <w:ind w:left="720"/>
        <w:rPr>
          <w:i/>
        </w:rPr>
      </w:pPr>
      <w:r w:rsidRPr="005C333D">
        <w:rPr>
          <w:i/>
        </w:rPr>
        <w:t>For more detail on PBAC’s view, see section 7 PBAC outcome.</w:t>
      </w:r>
    </w:p>
    <w:p w:rsidR="00223D5A" w:rsidRPr="005C333D" w:rsidRDefault="00223D5A" w:rsidP="00FD7B85">
      <w:pPr>
        <w:pStyle w:val="2-SectionHeading"/>
      </w:pPr>
      <w:bookmarkStart w:id="10" w:name="_Toc62030463"/>
      <w:bookmarkStart w:id="11" w:name="_Toc22897640"/>
      <w:r w:rsidRPr="005C333D">
        <w:t>Consideration of the evidence</w:t>
      </w:r>
      <w:bookmarkEnd w:id="10"/>
    </w:p>
    <w:p w:rsidR="00DA5D07" w:rsidRPr="005C333D" w:rsidRDefault="00DA5D07" w:rsidP="00323E45">
      <w:pPr>
        <w:pStyle w:val="4-SubsectionHeading"/>
        <w:rPr>
          <w:snapToGrid w:val="0"/>
        </w:rPr>
      </w:pPr>
      <w:bookmarkStart w:id="12" w:name="_Toc62030464"/>
      <w:r w:rsidRPr="005C333D">
        <w:rPr>
          <w:snapToGrid w:val="0"/>
        </w:rPr>
        <w:t>Sponsor hearing</w:t>
      </w:r>
    </w:p>
    <w:p w:rsidR="00DA5D07" w:rsidRPr="005C333D" w:rsidRDefault="00DA5D07" w:rsidP="00DA5D07">
      <w:pPr>
        <w:pStyle w:val="3-BodyText"/>
      </w:pPr>
      <w:r w:rsidRPr="005C333D">
        <w:t>The sponsor requested a hearing for this item</w:t>
      </w:r>
      <w:r w:rsidR="005C333D">
        <w:t xml:space="preserve">. </w:t>
      </w:r>
      <w:r w:rsidRPr="005C333D">
        <w:t>The clinician discussed the natural history of the disease</w:t>
      </w:r>
      <w:r w:rsidR="00AF4BF9" w:rsidRPr="005C333D">
        <w:t xml:space="preserve"> and</w:t>
      </w:r>
      <w:r w:rsidRPr="005C333D">
        <w:t xml:space="preserve"> how the drug would be used in practice</w:t>
      </w:r>
      <w:r w:rsidR="003E0DD9" w:rsidRPr="005C333D">
        <w:t>.</w:t>
      </w:r>
      <w:r w:rsidRPr="005C333D">
        <w:t xml:space="preserve"> The PBAC considered that the hearing was informative as it provided a clinical perspective on treating this </w:t>
      </w:r>
      <w:r w:rsidR="00AF4BF9" w:rsidRPr="005C333D">
        <w:t>chronic condition</w:t>
      </w:r>
      <w:r w:rsidRPr="005C333D">
        <w:t>.</w:t>
      </w:r>
    </w:p>
    <w:p w:rsidR="00DA5D07" w:rsidRPr="005C333D" w:rsidRDefault="00DA5D07" w:rsidP="00323E45">
      <w:pPr>
        <w:pStyle w:val="4-SubsectionHeading"/>
        <w:rPr>
          <w:snapToGrid w:val="0"/>
        </w:rPr>
      </w:pPr>
      <w:r w:rsidRPr="005C333D">
        <w:rPr>
          <w:snapToGrid w:val="0"/>
        </w:rPr>
        <w:t>Consumer comments</w:t>
      </w:r>
    </w:p>
    <w:p w:rsidR="00DA5D07" w:rsidRPr="005C333D" w:rsidRDefault="00DA5D07" w:rsidP="00DA5D07">
      <w:pPr>
        <w:pStyle w:val="3-BodyText"/>
        <w:rPr>
          <w:bCs/>
        </w:rPr>
      </w:pPr>
      <w:r w:rsidRPr="005C333D">
        <w:rPr>
          <w:bCs/>
        </w:rPr>
        <w:t xml:space="preserve">The PBAC noted and welcomed the input from </w:t>
      </w:r>
      <w:r w:rsidR="00D9245D" w:rsidRPr="005C333D">
        <w:rPr>
          <w:bCs/>
        </w:rPr>
        <w:t xml:space="preserve">one health professional and one </w:t>
      </w:r>
      <w:r w:rsidRPr="005C333D">
        <w:rPr>
          <w:bCs/>
        </w:rPr>
        <w:t xml:space="preserve">organisation via the Consumer Comments facility on the PBS website. The </w:t>
      </w:r>
      <w:r w:rsidR="00D9245D" w:rsidRPr="005C333D">
        <w:rPr>
          <w:bCs/>
        </w:rPr>
        <w:t xml:space="preserve">health professional </w:t>
      </w:r>
      <w:r w:rsidRPr="005C333D">
        <w:rPr>
          <w:bCs/>
        </w:rPr>
        <w:t xml:space="preserve">described </w:t>
      </w:r>
      <w:r w:rsidR="00AF4BF9" w:rsidRPr="005C333D">
        <w:rPr>
          <w:bCs/>
        </w:rPr>
        <w:t xml:space="preserve">the symptoms related to severe dry eye disease and the quality of life </w:t>
      </w:r>
      <w:r w:rsidRPr="005C333D">
        <w:rPr>
          <w:bCs/>
        </w:rPr>
        <w:t xml:space="preserve">benefits of treatment with </w:t>
      </w:r>
      <w:r w:rsidR="00AF4BF9" w:rsidRPr="005C333D">
        <w:rPr>
          <w:bCs/>
        </w:rPr>
        <w:t>ciclosporin</w:t>
      </w:r>
      <w:r w:rsidR="00A77712" w:rsidRPr="005C333D">
        <w:rPr>
          <w:bCs/>
        </w:rPr>
        <w:t xml:space="preserve"> for patients with severe disease</w:t>
      </w:r>
      <w:r w:rsidR="005C333D">
        <w:rPr>
          <w:bCs/>
        </w:rPr>
        <w:t xml:space="preserve">. </w:t>
      </w:r>
    </w:p>
    <w:p w:rsidR="00DA5D07" w:rsidRPr="005C333D" w:rsidRDefault="00DA5D07" w:rsidP="00DA5D07">
      <w:pPr>
        <w:pStyle w:val="3-BodyText"/>
        <w:rPr>
          <w:bCs/>
        </w:rPr>
      </w:pPr>
      <w:r w:rsidRPr="005C333D">
        <w:rPr>
          <w:bCs/>
        </w:rPr>
        <w:t>The PBAC noted the advice received from</w:t>
      </w:r>
      <w:r w:rsidR="00AF4BF9" w:rsidRPr="005C333D">
        <w:rPr>
          <w:bCs/>
        </w:rPr>
        <w:t xml:space="preserve"> Optometry Australia</w:t>
      </w:r>
      <w:r w:rsidRPr="005C333D">
        <w:rPr>
          <w:bCs/>
        </w:rPr>
        <w:t xml:space="preserve"> clarifying the likely use of</w:t>
      </w:r>
      <w:r w:rsidR="00AF4BF9" w:rsidRPr="005C333D">
        <w:rPr>
          <w:bCs/>
        </w:rPr>
        <w:t xml:space="preserve"> ciclosporin</w:t>
      </w:r>
      <w:r w:rsidRPr="005C333D">
        <w:rPr>
          <w:bCs/>
        </w:rPr>
        <w:t xml:space="preserve"> in clinical practice</w:t>
      </w:r>
      <w:r w:rsidR="005C333D">
        <w:rPr>
          <w:bCs/>
        </w:rPr>
        <w:t xml:space="preserve">. </w:t>
      </w:r>
      <w:r w:rsidRPr="005C333D">
        <w:rPr>
          <w:bCs/>
        </w:rPr>
        <w:t xml:space="preserve">The PBAC specifically noted the advice that the use of </w:t>
      </w:r>
      <w:r w:rsidR="00AF4BF9" w:rsidRPr="005C333D">
        <w:rPr>
          <w:bCs/>
        </w:rPr>
        <w:t>ciclosporin</w:t>
      </w:r>
      <w:r w:rsidRPr="005C333D">
        <w:rPr>
          <w:bCs/>
        </w:rPr>
        <w:t xml:space="preserve"> may </w:t>
      </w:r>
      <w:r w:rsidR="00AF4BF9" w:rsidRPr="005C333D">
        <w:rPr>
          <w:bCs/>
        </w:rPr>
        <w:t>improve eye care and reduce eye pain</w:t>
      </w:r>
      <w:r w:rsidR="005C333D">
        <w:rPr>
          <w:bCs/>
        </w:rPr>
        <w:t xml:space="preserve">. </w:t>
      </w:r>
      <w:r w:rsidRPr="005C333D">
        <w:rPr>
          <w:bCs/>
        </w:rPr>
        <w:t>The PBAC noted that this advice was supportive of the evidence provided in the submission.</w:t>
      </w:r>
    </w:p>
    <w:p w:rsidR="00B60939" w:rsidRPr="005C333D" w:rsidRDefault="00B60939" w:rsidP="002E4F02">
      <w:pPr>
        <w:pStyle w:val="4-SubsectionHeading"/>
      </w:pPr>
      <w:r w:rsidRPr="005C333D">
        <w:t>Clinical trials</w:t>
      </w:r>
      <w:bookmarkEnd w:id="11"/>
      <w:bookmarkEnd w:id="12"/>
    </w:p>
    <w:p w:rsidR="00A0668C" w:rsidRPr="005C333D" w:rsidRDefault="00C677D9" w:rsidP="00B73532">
      <w:pPr>
        <w:pStyle w:val="3-BodyText"/>
        <w:rPr>
          <w:snapToGrid/>
        </w:rPr>
      </w:pPr>
      <w:r w:rsidRPr="005C333D">
        <w:rPr>
          <w:snapToGrid/>
        </w:rPr>
        <w:t>The submission was based on two randomised controlled trials</w:t>
      </w:r>
      <w:r w:rsidR="00987079" w:rsidRPr="005C333D">
        <w:rPr>
          <w:snapToGrid/>
        </w:rPr>
        <w:t xml:space="preserve"> (RCTs)</w:t>
      </w:r>
      <w:r w:rsidRPr="005C333D">
        <w:rPr>
          <w:snapToGrid/>
        </w:rPr>
        <w:t>:</w:t>
      </w:r>
      <w:r w:rsidR="00895FB5" w:rsidRPr="005C333D">
        <w:rPr>
          <w:snapToGrid/>
        </w:rPr>
        <w:t xml:space="preserve"> </w:t>
      </w:r>
    </w:p>
    <w:p w:rsidR="00A0668C" w:rsidRPr="005C333D" w:rsidRDefault="00C677D9" w:rsidP="00AF4BF9">
      <w:pPr>
        <w:pStyle w:val="3-BodyText"/>
        <w:numPr>
          <w:ilvl w:val="1"/>
          <w:numId w:val="6"/>
        </w:numPr>
        <w:ind w:left="1077" w:hanging="357"/>
        <w:rPr>
          <w:snapToGrid/>
        </w:rPr>
      </w:pPr>
      <w:r w:rsidRPr="005C333D">
        <w:rPr>
          <w:snapToGrid/>
        </w:rPr>
        <w:t>SANSIKA</w:t>
      </w:r>
      <w:r w:rsidR="00A0668C" w:rsidRPr="005C333D">
        <w:rPr>
          <w:snapToGrid/>
        </w:rPr>
        <w:t>:</w:t>
      </w:r>
      <w:r w:rsidRPr="005C333D">
        <w:rPr>
          <w:snapToGrid/>
        </w:rPr>
        <w:t xml:space="preserve"> ciclosporin </w:t>
      </w:r>
      <w:r w:rsidR="00A0668C" w:rsidRPr="005C333D">
        <w:rPr>
          <w:snapToGrid/>
        </w:rPr>
        <w:t xml:space="preserve">compared </w:t>
      </w:r>
      <w:r w:rsidRPr="005C333D">
        <w:rPr>
          <w:snapToGrid/>
        </w:rPr>
        <w:t>with a vehicle of placebo cationic emulsion with no ciclosporin in severe keratitis (CFS=4) patients with DED (N=245), and an extension open-label study of ciclosporin on severe keratitis patients (N=207)</w:t>
      </w:r>
      <w:r w:rsidR="00A0668C" w:rsidRPr="005C333D">
        <w:rPr>
          <w:snapToGrid/>
        </w:rPr>
        <w:t>.</w:t>
      </w:r>
    </w:p>
    <w:p w:rsidR="00C677D9" w:rsidRPr="005C333D" w:rsidRDefault="00C677D9" w:rsidP="00AF4BF9">
      <w:pPr>
        <w:pStyle w:val="3-BodyText"/>
        <w:numPr>
          <w:ilvl w:val="1"/>
          <w:numId w:val="6"/>
        </w:numPr>
        <w:ind w:left="1077" w:hanging="357"/>
        <w:rPr>
          <w:snapToGrid/>
        </w:rPr>
      </w:pPr>
      <w:r w:rsidRPr="005C333D">
        <w:rPr>
          <w:snapToGrid/>
        </w:rPr>
        <w:t>SICCANOVE</w:t>
      </w:r>
      <w:r w:rsidR="00A0668C" w:rsidRPr="005C333D">
        <w:rPr>
          <w:snapToGrid/>
        </w:rPr>
        <w:t>:</w:t>
      </w:r>
      <w:r w:rsidRPr="005C333D">
        <w:rPr>
          <w:snapToGrid/>
        </w:rPr>
        <w:t xml:space="preserve"> ciclosporin </w:t>
      </w:r>
      <w:r w:rsidR="00A0668C" w:rsidRPr="005C333D">
        <w:rPr>
          <w:snapToGrid/>
        </w:rPr>
        <w:t xml:space="preserve">compared </w:t>
      </w:r>
      <w:r w:rsidRPr="005C333D">
        <w:rPr>
          <w:snapToGrid/>
        </w:rPr>
        <w:t>with a vehicle of placebo cationic emulsion with no ciclosporin in moderate to severe keratitis (CFS= 2-4) patients with DED (N= 489)</w:t>
      </w:r>
      <w:r w:rsidR="00BA2A0B" w:rsidRPr="005C333D">
        <w:rPr>
          <w:snapToGrid/>
        </w:rPr>
        <w:t>.</w:t>
      </w:r>
    </w:p>
    <w:p w:rsidR="00C677D9" w:rsidRPr="005C333D" w:rsidRDefault="00C677D9" w:rsidP="00B73532">
      <w:pPr>
        <w:pStyle w:val="3-BodyText"/>
        <w:rPr>
          <w:snapToGrid/>
        </w:rPr>
      </w:pPr>
      <w:r w:rsidRPr="005C333D">
        <w:rPr>
          <w:snapToGrid/>
        </w:rPr>
        <w:t>The submission also presented a meta-analysis of the SANSIKA trial and a subgroup of the SICCANOVE trial (patients with severe keratitis with DED as defined as CFS=4 and OSDI ≥ 23 (N=319) (Leonardi 2019).</w:t>
      </w:r>
    </w:p>
    <w:p w:rsidR="00862502" w:rsidRPr="005C333D" w:rsidRDefault="00A73134" w:rsidP="00B73532">
      <w:pPr>
        <w:pStyle w:val="3-BodyText"/>
      </w:pPr>
      <w:r w:rsidRPr="005C333D">
        <w:rPr>
          <w:snapToGrid/>
        </w:rPr>
        <w:t xml:space="preserve">Details of the trials presented in the submission are provided in </w:t>
      </w:r>
      <w:r w:rsidR="00816216" w:rsidRPr="005C333D">
        <w:rPr>
          <w:snapToGrid/>
        </w:rPr>
        <w:t>Table 2</w:t>
      </w:r>
      <w:r w:rsidRPr="005C333D">
        <w:rPr>
          <w:snapToGrid/>
        </w:rPr>
        <w:t>.</w:t>
      </w:r>
      <w:r w:rsidR="00BC591F" w:rsidRPr="005C333D">
        <w:rPr>
          <w:snapToGrid/>
        </w:rPr>
        <w:t xml:space="preserve"> </w:t>
      </w:r>
    </w:p>
    <w:p w:rsidR="008E0D3C" w:rsidRPr="005C333D" w:rsidRDefault="008E0D3C" w:rsidP="002E4F02">
      <w:pPr>
        <w:pStyle w:val="TableFigureHeading"/>
        <w:rPr>
          <w:rStyle w:val="CommentReference"/>
          <w:b/>
          <w:szCs w:val="24"/>
        </w:rPr>
      </w:pPr>
      <w:r w:rsidRPr="005C333D">
        <w:rPr>
          <w:rStyle w:val="CommentReference"/>
          <w:b/>
          <w:szCs w:val="24"/>
        </w:rPr>
        <w:t xml:space="preserve">Table </w:t>
      </w:r>
      <w:r w:rsidR="00EE5E39" w:rsidRPr="005C333D">
        <w:rPr>
          <w:rStyle w:val="CommentReference"/>
          <w:b/>
          <w:szCs w:val="24"/>
        </w:rPr>
        <w:t>2:</w:t>
      </w:r>
      <w:r w:rsidR="00BC591F" w:rsidRPr="005C333D">
        <w:rPr>
          <w:rStyle w:val="CommentReference"/>
          <w:b/>
          <w:szCs w:val="24"/>
        </w:rPr>
        <w:t xml:space="preserve"> </w:t>
      </w:r>
      <w:r w:rsidR="00C559F3" w:rsidRPr="005C333D">
        <w:rPr>
          <w:rStyle w:val="CommentReference"/>
          <w:b/>
          <w:szCs w:val="24"/>
        </w:rPr>
        <w:t>T</w:t>
      </w:r>
      <w:r w:rsidRPr="005C333D">
        <w:rPr>
          <w:rStyle w:val="CommentReference"/>
          <w:b/>
          <w:szCs w:val="24"/>
        </w:rPr>
        <w:t>rials and associated reports presented in the submission</w:t>
      </w:r>
    </w:p>
    <w:tbl>
      <w:tblPr>
        <w:tblStyle w:val="TableGrid"/>
        <w:tblW w:w="0" w:type="auto"/>
        <w:tblLook w:val="04A0" w:firstRow="1" w:lastRow="0" w:firstColumn="1" w:lastColumn="0" w:noHBand="0" w:noVBand="1"/>
        <w:tblCaption w:val="Table 2: Trials and associated reports presented in the submission"/>
      </w:tblPr>
      <w:tblGrid>
        <w:gridCol w:w="1529"/>
        <w:gridCol w:w="5479"/>
        <w:gridCol w:w="2009"/>
      </w:tblGrid>
      <w:tr w:rsidR="0009541F" w:rsidRPr="005C333D" w:rsidTr="00DD4DDD">
        <w:trPr>
          <w:trHeight w:val="230"/>
          <w:tblHeader/>
        </w:trPr>
        <w:tc>
          <w:tcPr>
            <w:tcW w:w="0" w:type="auto"/>
            <w:tcBorders>
              <w:bottom w:val="single" w:sz="4" w:space="0" w:color="auto"/>
            </w:tcBorders>
          </w:tcPr>
          <w:p w:rsidR="0009541F" w:rsidRPr="005C333D" w:rsidRDefault="0009541F" w:rsidP="00CD26DE">
            <w:pPr>
              <w:pStyle w:val="TableTitlecentred"/>
              <w:keepNext/>
              <w:jc w:val="both"/>
              <w:rPr>
                <w:rFonts w:ascii="Arial Narrow" w:hAnsi="Arial Narrow"/>
                <w:sz w:val="20"/>
                <w:szCs w:val="22"/>
              </w:rPr>
            </w:pPr>
            <w:bookmarkStart w:id="13" w:name="_Hlk57989334"/>
            <w:r w:rsidRPr="005C333D">
              <w:rPr>
                <w:rFonts w:ascii="Arial Narrow" w:hAnsi="Arial Narrow"/>
                <w:sz w:val="20"/>
                <w:szCs w:val="22"/>
              </w:rPr>
              <w:t>Study identifier</w:t>
            </w:r>
          </w:p>
        </w:tc>
        <w:tc>
          <w:tcPr>
            <w:tcW w:w="0" w:type="auto"/>
          </w:tcPr>
          <w:p w:rsidR="0009541F" w:rsidRPr="005C333D" w:rsidRDefault="0009541F" w:rsidP="00CD26DE">
            <w:pPr>
              <w:pStyle w:val="TableTitlecentred"/>
              <w:keepNext/>
              <w:jc w:val="both"/>
              <w:rPr>
                <w:rFonts w:ascii="Arial Narrow" w:hAnsi="Arial Narrow"/>
                <w:sz w:val="20"/>
                <w:szCs w:val="22"/>
              </w:rPr>
            </w:pPr>
            <w:r w:rsidRPr="005C333D">
              <w:rPr>
                <w:rFonts w:ascii="Arial Narrow" w:hAnsi="Arial Narrow"/>
                <w:sz w:val="20"/>
                <w:szCs w:val="22"/>
              </w:rPr>
              <w:t>Protocol/Publication title</w:t>
            </w:r>
          </w:p>
        </w:tc>
        <w:tc>
          <w:tcPr>
            <w:tcW w:w="0" w:type="auto"/>
          </w:tcPr>
          <w:p w:rsidR="0009541F" w:rsidRPr="005C333D" w:rsidRDefault="0009541F" w:rsidP="00CD26DE">
            <w:pPr>
              <w:pStyle w:val="TableTitlecentred"/>
              <w:keepNext/>
              <w:rPr>
                <w:rFonts w:ascii="Arial Narrow" w:hAnsi="Arial Narrow"/>
                <w:sz w:val="20"/>
                <w:szCs w:val="22"/>
              </w:rPr>
            </w:pPr>
            <w:r w:rsidRPr="005C333D">
              <w:rPr>
                <w:rFonts w:ascii="Arial Narrow" w:hAnsi="Arial Narrow"/>
                <w:sz w:val="20"/>
                <w:szCs w:val="22"/>
              </w:rPr>
              <w:t>Publication citation</w:t>
            </w:r>
          </w:p>
        </w:tc>
      </w:tr>
      <w:tr w:rsidR="0009541F" w:rsidRPr="005C333D" w:rsidTr="00DD4DDD">
        <w:trPr>
          <w:trHeight w:val="1037"/>
        </w:trPr>
        <w:tc>
          <w:tcPr>
            <w:tcW w:w="0" w:type="auto"/>
            <w:tcBorders>
              <w:bottom w:val="nil"/>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SANSIKA</w:t>
            </w: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A multicenter, randomized, double-masked, 2 parallel arm, vehicle-controlled, 6-month phase III trial with a 6 month open label treatment safety follow-up period to evaluate the efficacy and safety of cyclokat® 1 mg/ml (ciclosporin/cyclosporine) eye drops, emulsion administered once daily in adult patients with severe dry eye disease (DED).</w:t>
            </w:r>
          </w:p>
        </w:tc>
        <w:tc>
          <w:tcPr>
            <w:tcW w:w="0" w:type="auto"/>
          </w:tcPr>
          <w:p w:rsidR="0009541F" w:rsidRPr="005C333D" w:rsidRDefault="0009541F" w:rsidP="00CD26DE">
            <w:pPr>
              <w:keepNext/>
              <w:spacing w:after="240"/>
              <w:rPr>
                <w:rFonts w:ascii="Arial Narrow" w:hAnsi="Arial Narrow"/>
                <w:sz w:val="20"/>
                <w:szCs w:val="22"/>
              </w:rPr>
            </w:pPr>
            <w:r w:rsidRPr="005C333D">
              <w:rPr>
                <w:rFonts w:ascii="Arial Narrow" w:hAnsi="Arial Narrow"/>
                <w:sz w:val="20"/>
                <w:szCs w:val="22"/>
              </w:rPr>
              <w:t>Protocol no. NVG10E117, EudraCT no. 2011-000160-97</w:t>
            </w:r>
          </w:p>
        </w:tc>
      </w:tr>
      <w:tr w:rsidR="0009541F" w:rsidRPr="005C333D" w:rsidTr="00DD4DDD">
        <w:trPr>
          <w:trHeight w:val="586"/>
        </w:trPr>
        <w:tc>
          <w:tcPr>
            <w:tcW w:w="0" w:type="auto"/>
            <w:tcBorders>
              <w:top w:val="nil"/>
              <w:bottom w:val="nil"/>
            </w:tcBorders>
          </w:tcPr>
          <w:p w:rsidR="0009541F" w:rsidRPr="005C333D" w:rsidRDefault="0009541F" w:rsidP="00CD26DE">
            <w:pPr>
              <w:pStyle w:val="TableTextleftalign"/>
              <w:keepNext/>
              <w:rPr>
                <w:rFonts w:ascii="Arial Narrow" w:hAnsi="Arial Narrow"/>
                <w:sz w:val="20"/>
                <w:szCs w:val="22"/>
              </w:rPr>
            </w:pP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Leonardi, A., et al. Efficacy and safety of 0.1% cyclosporine A cationic emulsion in the treatment of severe dry eye disease: a multicenter randomized trial. </w:t>
            </w: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European journal of ophthalmology 2016; 26.4: 287-296</w:t>
            </w:r>
          </w:p>
        </w:tc>
      </w:tr>
      <w:tr w:rsidR="0009541F" w:rsidRPr="005C333D" w:rsidTr="00DD4DDD">
        <w:trPr>
          <w:trHeight w:val="597"/>
        </w:trPr>
        <w:tc>
          <w:tcPr>
            <w:tcW w:w="0" w:type="auto"/>
            <w:tcBorders>
              <w:top w:val="nil"/>
              <w:bottom w:val="nil"/>
            </w:tcBorders>
          </w:tcPr>
          <w:p w:rsidR="0009541F" w:rsidRPr="005C333D" w:rsidRDefault="0009541F" w:rsidP="00CD26DE">
            <w:pPr>
              <w:pStyle w:val="TableTextleftalign"/>
              <w:keepNext/>
              <w:rPr>
                <w:rFonts w:ascii="Arial Narrow" w:hAnsi="Arial Narrow"/>
                <w:sz w:val="20"/>
                <w:szCs w:val="22"/>
              </w:rPr>
            </w:pP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Leonardi, A., et al. (2016). Subgroup analysis of two phase III studies of 0.1% cyclosporine A cationic emulsion (CsA CE) in patients with dry eye disease. </w:t>
            </w: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Acta Ophthalmologica 2016; 94</w:t>
            </w:r>
          </w:p>
        </w:tc>
      </w:tr>
      <w:tr w:rsidR="0009541F" w:rsidRPr="005C333D" w:rsidTr="00DD4DDD">
        <w:trPr>
          <w:trHeight w:val="432"/>
        </w:trPr>
        <w:tc>
          <w:tcPr>
            <w:tcW w:w="0" w:type="auto"/>
            <w:tcBorders>
              <w:top w:val="nil"/>
              <w:bottom w:val="nil"/>
            </w:tcBorders>
          </w:tcPr>
          <w:p w:rsidR="0009541F" w:rsidRPr="005C333D" w:rsidRDefault="0009541F" w:rsidP="00CD26DE">
            <w:pPr>
              <w:pStyle w:val="TableTextleftalign"/>
              <w:keepNext/>
              <w:rPr>
                <w:rFonts w:ascii="Arial Narrow" w:hAnsi="Arial Narrow"/>
                <w:sz w:val="20"/>
                <w:szCs w:val="22"/>
              </w:rPr>
            </w:pP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Baudouin, C., et al (2017). One-year efficacy and safety of 0.1% cyclosporine a cationic emulsion in the treatment of severe dry eye disease. </w:t>
            </w: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European Journal of Ophthalmology 2017; 27(6), 678-685.</w:t>
            </w:r>
          </w:p>
        </w:tc>
      </w:tr>
      <w:tr w:rsidR="0009541F" w:rsidRPr="005C333D" w:rsidTr="00DD4DDD">
        <w:trPr>
          <w:trHeight w:val="345"/>
        </w:trPr>
        <w:tc>
          <w:tcPr>
            <w:tcW w:w="0" w:type="auto"/>
            <w:tcBorders>
              <w:top w:val="nil"/>
              <w:bottom w:val="nil"/>
            </w:tcBorders>
          </w:tcPr>
          <w:p w:rsidR="0009541F" w:rsidRPr="005C333D" w:rsidRDefault="0009541F" w:rsidP="00CD26DE">
            <w:pPr>
              <w:pStyle w:val="TableTextleftalign"/>
              <w:keepNext/>
              <w:rPr>
                <w:rFonts w:ascii="Arial Narrow" w:hAnsi="Arial Narrow"/>
                <w:sz w:val="20"/>
                <w:szCs w:val="22"/>
              </w:rPr>
            </w:pP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Leonardi, A., et al. (2015). The Effect of Ikervis® (1 mg/mL Ciclosporin cationic emulsion) on severe keratitis in patients with dry eye disease participating in a phase III study. </w:t>
            </w:r>
          </w:p>
        </w:tc>
        <w:tc>
          <w:tcPr>
            <w:tcW w:w="0" w:type="auto"/>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Acta Ophthalmologica 2015; 93</w:t>
            </w:r>
          </w:p>
        </w:tc>
      </w:tr>
      <w:tr w:rsidR="0009541F" w:rsidRPr="005C333D" w:rsidTr="00DD4DDD">
        <w:trPr>
          <w:trHeight w:val="415"/>
        </w:trPr>
        <w:tc>
          <w:tcPr>
            <w:tcW w:w="0" w:type="auto"/>
            <w:tcBorders>
              <w:top w:val="nil"/>
              <w:bottom w:val="single" w:sz="4" w:space="0" w:color="auto"/>
            </w:tcBorders>
          </w:tcPr>
          <w:p w:rsidR="0009541F" w:rsidRPr="005C333D" w:rsidRDefault="0009541F" w:rsidP="00CD26DE">
            <w:pPr>
              <w:pStyle w:val="TableTextleftalign"/>
              <w:keepNext/>
              <w:rPr>
                <w:rFonts w:ascii="Arial Narrow" w:hAnsi="Arial Narrow"/>
                <w:sz w:val="20"/>
                <w:szCs w:val="22"/>
              </w:rPr>
            </w:pP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Van Setten, G. B., et al (2016). Safety and efficacy of ciclosporin 1 mg/mL cationic emulsion (CsA CE) over 12 months in patients with severe dry eye disease (DED) in the SANSIKA Phase III trial. </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Investigative Ophthalmology and Visual Science 2016; 57(12), 2865</w:t>
            </w:r>
          </w:p>
        </w:tc>
      </w:tr>
      <w:tr w:rsidR="0009541F" w:rsidRPr="005C333D" w:rsidTr="00DD4DDD">
        <w:trPr>
          <w:trHeight w:val="375"/>
        </w:trPr>
        <w:tc>
          <w:tcPr>
            <w:tcW w:w="0" w:type="auto"/>
            <w:vMerge w:val="restart"/>
            <w:tcBorders>
              <w:top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SICCANOVE</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A phase III, multicentre, randomised, controlled, double-masked trial of NOVA22007 (ciclosporin 0.1%) ophthalmic cationic emulsion versus vehicle in patients with moderate to severe dry eye syndrome</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Protocol no. NVG06C103, EudraCT no. 2007-000029-23</w:t>
            </w:r>
          </w:p>
        </w:tc>
      </w:tr>
      <w:tr w:rsidR="0009541F" w:rsidRPr="005C333D" w:rsidTr="00DD4DDD">
        <w:trPr>
          <w:trHeight w:val="587"/>
        </w:trPr>
        <w:tc>
          <w:tcPr>
            <w:tcW w:w="0" w:type="auto"/>
            <w:vMerge/>
          </w:tcPr>
          <w:p w:rsidR="0009541F" w:rsidRPr="005C333D" w:rsidRDefault="0009541F" w:rsidP="00CD26DE">
            <w:pPr>
              <w:pStyle w:val="TableTextleftalign"/>
              <w:keepNext/>
              <w:rPr>
                <w:rFonts w:ascii="Arial Narrow" w:hAnsi="Arial Narrow"/>
                <w:sz w:val="20"/>
                <w:szCs w:val="22"/>
              </w:rPr>
            </w:pP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Baudouin, C., et al. A randomized study of the efficacy and safety of 0.1% cyclosporine A cationic emulsion in treatment of moderate to severe dry eye.</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European journal of ophthalmology 2017; 27.5: 520-530</w:t>
            </w:r>
          </w:p>
        </w:tc>
      </w:tr>
      <w:tr w:rsidR="0009541F" w:rsidRPr="005C333D" w:rsidTr="00DD4DDD">
        <w:trPr>
          <w:trHeight w:val="299"/>
        </w:trPr>
        <w:tc>
          <w:tcPr>
            <w:tcW w:w="0" w:type="auto"/>
            <w:vMerge w:val="restart"/>
            <w:tcBorders>
              <w:top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Meta-analysis of SICCANOVE and SANSIKA </w:t>
            </w:r>
          </w:p>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Leonardi (2019)</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Efficacy meta-analysis for NOVA2007 studies NVG06C103 and Study NVG10E117. Statistical Tables and Figures. 7 August 2013.</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August 2013</w:t>
            </w:r>
          </w:p>
        </w:tc>
      </w:tr>
      <w:tr w:rsidR="0009541F" w:rsidRPr="005C333D" w:rsidTr="00DD4DDD">
        <w:trPr>
          <w:trHeight w:val="483"/>
        </w:trPr>
        <w:tc>
          <w:tcPr>
            <w:tcW w:w="0" w:type="auto"/>
            <w:vMerge/>
          </w:tcPr>
          <w:p w:rsidR="0009541F" w:rsidRPr="005C333D" w:rsidRDefault="0009541F" w:rsidP="00CD26DE">
            <w:pPr>
              <w:pStyle w:val="TableTextleftalign"/>
              <w:keepNext/>
              <w:rPr>
                <w:rFonts w:ascii="Arial Narrow" w:hAnsi="Arial Narrow"/>
                <w:sz w:val="20"/>
                <w:szCs w:val="22"/>
              </w:rPr>
            </w:pP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Leonardi, A., et al. (2019). Efficacy and safety of 0.1% ciclosporin A cationic emulsion in dry eye disease: A pooled analysis of two double-masked, randomised, vehicle-controlled phase III clinical studies. </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British Journal of Ophthalmology 2019; 103(1), 125-131</w:t>
            </w:r>
          </w:p>
        </w:tc>
      </w:tr>
      <w:tr w:rsidR="0009541F" w:rsidRPr="005C333D" w:rsidTr="00DD4DDD">
        <w:trPr>
          <w:trHeight w:val="634"/>
        </w:trPr>
        <w:tc>
          <w:tcPr>
            <w:tcW w:w="0" w:type="auto"/>
            <w:vMerge/>
          </w:tcPr>
          <w:p w:rsidR="0009541F" w:rsidRPr="005C333D" w:rsidRDefault="0009541F" w:rsidP="00CD26DE">
            <w:pPr>
              <w:pStyle w:val="TableTextleftalign"/>
              <w:keepNext/>
              <w:rPr>
                <w:rFonts w:ascii="Arial Narrow" w:hAnsi="Arial Narrow"/>
                <w:sz w:val="20"/>
                <w:szCs w:val="22"/>
              </w:rPr>
            </w:pP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 xml:space="preserve">Messmer, E., et al. (2016). Pooling of two randomized phase III clinical trials of ciclosporin 1 mg/mL cationic emulsion (CsA CE) as a treatment for severe keratitis in patients with dry eye disease (DED). </w:t>
            </w:r>
          </w:p>
        </w:tc>
        <w:tc>
          <w:tcPr>
            <w:tcW w:w="0" w:type="auto"/>
            <w:tcBorders>
              <w:bottom w:val="single" w:sz="4" w:space="0" w:color="auto"/>
            </w:tcBorders>
          </w:tcPr>
          <w:p w:rsidR="0009541F" w:rsidRPr="005C333D" w:rsidRDefault="0009541F" w:rsidP="00CD26DE">
            <w:pPr>
              <w:pStyle w:val="TableTextleftalign"/>
              <w:keepNext/>
              <w:rPr>
                <w:rFonts w:ascii="Arial Narrow" w:hAnsi="Arial Narrow"/>
                <w:sz w:val="20"/>
                <w:szCs w:val="22"/>
              </w:rPr>
            </w:pPr>
            <w:r w:rsidRPr="005C333D">
              <w:rPr>
                <w:rFonts w:ascii="Arial Narrow" w:hAnsi="Arial Narrow"/>
                <w:sz w:val="20"/>
                <w:szCs w:val="22"/>
              </w:rPr>
              <w:t>Investigative Ophthalmology and Visual Science 2016; 57(12), 2871.</w:t>
            </w:r>
          </w:p>
        </w:tc>
      </w:tr>
    </w:tbl>
    <w:bookmarkEnd w:id="13"/>
    <w:p w:rsidR="000935C4" w:rsidRPr="005C333D" w:rsidRDefault="000935C4" w:rsidP="000935C4">
      <w:pPr>
        <w:pStyle w:val="TableFigureFooter"/>
        <w:rPr>
          <w:szCs w:val="18"/>
        </w:rPr>
      </w:pPr>
      <w:r w:rsidRPr="005C333D">
        <w:rPr>
          <w:szCs w:val="18"/>
        </w:rPr>
        <w:t xml:space="preserve">CSR= clinical study report; RCT= randomised controlled trial; CAE= controlled adverse environment; NR= not reported. </w:t>
      </w:r>
    </w:p>
    <w:p w:rsidR="006E1F98" w:rsidRPr="005C333D" w:rsidRDefault="006E1F98" w:rsidP="000935C4">
      <w:pPr>
        <w:pStyle w:val="TableFigureFooter"/>
      </w:pPr>
      <w:r w:rsidRPr="005C333D">
        <w:t>Source: Table 2.2.2, p46 of the submission.</w:t>
      </w:r>
    </w:p>
    <w:p w:rsidR="007F1017" w:rsidRPr="005C333D" w:rsidRDefault="008F120A" w:rsidP="00B73532">
      <w:pPr>
        <w:pStyle w:val="3-BodyText"/>
        <w:rPr>
          <w:color w:val="0066FF"/>
        </w:rPr>
      </w:pPr>
      <w:r w:rsidRPr="005C333D">
        <w:t>The key features of the trial</w:t>
      </w:r>
      <w:r w:rsidR="00E079D8" w:rsidRPr="005C333D">
        <w:t>s</w:t>
      </w:r>
      <w:r w:rsidR="00323C28" w:rsidRPr="005C333D">
        <w:t xml:space="preserve"> </w:t>
      </w:r>
      <w:r w:rsidR="00621ADA" w:rsidRPr="005C333D">
        <w:t>included</w:t>
      </w:r>
      <w:r w:rsidRPr="005C333D">
        <w:t xml:space="preserve"> are summarised in </w:t>
      </w:r>
      <w:r w:rsidR="00816216" w:rsidRPr="005C333D">
        <w:t>Table 3</w:t>
      </w:r>
      <w:r w:rsidRPr="005C333D">
        <w:t>.</w:t>
      </w:r>
      <w:r w:rsidR="00BC591F" w:rsidRPr="005C333D">
        <w:t xml:space="preserve"> </w:t>
      </w:r>
    </w:p>
    <w:p w:rsidR="007F1017" w:rsidRPr="005C333D" w:rsidRDefault="007F1017" w:rsidP="00EC5836">
      <w:pPr>
        <w:pStyle w:val="TableFigureHeading"/>
        <w:rPr>
          <w:rStyle w:val="CommentReference"/>
          <w:b/>
          <w:szCs w:val="24"/>
        </w:rPr>
      </w:pPr>
      <w:r w:rsidRPr="005C333D">
        <w:rPr>
          <w:rStyle w:val="CommentReference"/>
          <w:b/>
          <w:szCs w:val="24"/>
        </w:rPr>
        <w:t xml:space="preserve">Table </w:t>
      </w:r>
      <w:r w:rsidR="007D7AB8" w:rsidRPr="005C333D">
        <w:rPr>
          <w:rStyle w:val="CommentReference"/>
          <w:b/>
          <w:szCs w:val="24"/>
        </w:rPr>
        <w:t>3</w:t>
      </w:r>
      <w:r w:rsidR="00A503CE" w:rsidRPr="005C333D">
        <w:rPr>
          <w:rStyle w:val="CommentReference"/>
          <w:b/>
          <w:szCs w:val="24"/>
        </w:rPr>
        <w:t>:</w:t>
      </w:r>
      <w:r w:rsidRPr="005C333D">
        <w:rPr>
          <w:rStyle w:val="CommentReference"/>
          <w:b/>
          <w:szCs w:val="24"/>
        </w:rPr>
        <w:t xml:space="preserve">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3"/>
        <w:gridCol w:w="492"/>
        <w:gridCol w:w="850"/>
        <w:gridCol w:w="567"/>
        <w:gridCol w:w="1276"/>
        <w:gridCol w:w="3827"/>
        <w:gridCol w:w="942"/>
      </w:tblGrid>
      <w:tr w:rsidR="00B41614" w:rsidRPr="005C333D" w:rsidTr="00C9399F">
        <w:trPr>
          <w:cantSplit/>
          <w:tblHeader/>
        </w:trPr>
        <w:tc>
          <w:tcPr>
            <w:tcW w:w="1063" w:type="dxa"/>
            <w:shd w:val="clear" w:color="auto" w:fill="auto"/>
            <w:vAlign w:val="center"/>
          </w:tcPr>
          <w:p w:rsidR="007F1017" w:rsidRPr="005C333D" w:rsidRDefault="007F1017" w:rsidP="00CD26DE">
            <w:pPr>
              <w:pStyle w:val="In-tableHeading"/>
              <w:rPr>
                <w:lang w:val="en-AU"/>
              </w:rPr>
            </w:pPr>
            <w:r w:rsidRPr="005C333D">
              <w:rPr>
                <w:lang w:val="en-AU"/>
              </w:rPr>
              <w:t>Trial</w:t>
            </w:r>
          </w:p>
        </w:tc>
        <w:tc>
          <w:tcPr>
            <w:tcW w:w="492" w:type="dxa"/>
            <w:shd w:val="clear" w:color="auto" w:fill="auto"/>
            <w:vAlign w:val="center"/>
          </w:tcPr>
          <w:p w:rsidR="007F1017" w:rsidRPr="005C333D" w:rsidRDefault="007F1017" w:rsidP="00CD26DE">
            <w:pPr>
              <w:pStyle w:val="In-tableHeading"/>
              <w:jc w:val="center"/>
              <w:rPr>
                <w:lang w:val="en-AU"/>
              </w:rPr>
            </w:pPr>
            <w:r w:rsidRPr="005C333D">
              <w:rPr>
                <w:lang w:val="en-AU"/>
              </w:rPr>
              <w:t>N</w:t>
            </w:r>
          </w:p>
        </w:tc>
        <w:tc>
          <w:tcPr>
            <w:tcW w:w="850" w:type="dxa"/>
            <w:shd w:val="clear" w:color="auto" w:fill="auto"/>
            <w:vAlign w:val="center"/>
          </w:tcPr>
          <w:p w:rsidR="007F1017" w:rsidRPr="005C333D" w:rsidRDefault="007F1017" w:rsidP="00CD26DE">
            <w:pPr>
              <w:pStyle w:val="In-tableHeading"/>
              <w:jc w:val="center"/>
              <w:rPr>
                <w:lang w:val="en-AU"/>
              </w:rPr>
            </w:pPr>
            <w:r w:rsidRPr="005C333D">
              <w:rPr>
                <w:lang w:val="en-AU"/>
              </w:rPr>
              <w:t>Design/ duration</w:t>
            </w:r>
          </w:p>
        </w:tc>
        <w:tc>
          <w:tcPr>
            <w:tcW w:w="567" w:type="dxa"/>
            <w:shd w:val="clear" w:color="auto" w:fill="auto"/>
            <w:vAlign w:val="center"/>
          </w:tcPr>
          <w:p w:rsidR="007F1017" w:rsidRPr="005C333D" w:rsidRDefault="007F1017" w:rsidP="00CD26DE">
            <w:pPr>
              <w:pStyle w:val="In-tableHeading"/>
              <w:jc w:val="center"/>
              <w:rPr>
                <w:lang w:val="en-AU"/>
              </w:rPr>
            </w:pPr>
            <w:r w:rsidRPr="005C333D">
              <w:rPr>
                <w:lang w:val="en-AU"/>
              </w:rPr>
              <w:t>Risk of bias</w:t>
            </w:r>
          </w:p>
        </w:tc>
        <w:tc>
          <w:tcPr>
            <w:tcW w:w="1276" w:type="dxa"/>
            <w:shd w:val="clear" w:color="auto" w:fill="auto"/>
            <w:vAlign w:val="center"/>
          </w:tcPr>
          <w:p w:rsidR="007F1017" w:rsidRPr="005C333D" w:rsidRDefault="007F1017" w:rsidP="00CD26DE">
            <w:pPr>
              <w:pStyle w:val="In-tableHeading"/>
              <w:jc w:val="center"/>
              <w:rPr>
                <w:lang w:val="en-AU"/>
              </w:rPr>
            </w:pPr>
            <w:r w:rsidRPr="005C333D">
              <w:rPr>
                <w:lang w:val="en-AU"/>
              </w:rPr>
              <w:t>Patient population</w:t>
            </w:r>
          </w:p>
        </w:tc>
        <w:tc>
          <w:tcPr>
            <w:tcW w:w="3827" w:type="dxa"/>
            <w:shd w:val="clear" w:color="auto" w:fill="auto"/>
            <w:vAlign w:val="center"/>
          </w:tcPr>
          <w:p w:rsidR="007F1017" w:rsidRPr="005C333D" w:rsidRDefault="00AD3F6A" w:rsidP="00CD26DE">
            <w:pPr>
              <w:pStyle w:val="In-tableHeading"/>
              <w:jc w:val="center"/>
              <w:rPr>
                <w:lang w:val="en-AU"/>
              </w:rPr>
            </w:pPr>
            <w:r w:rsidRPr="005C333D">
              <w:rPr>
                <w:lang w:val="en-AU"/>
              </w:rPr>
              <w:t xml:space="preserve">Primary </w:t>
            </w:r>
            <w:r w:rsidR="007F1017" w:rsidRPr="005C333D">
              <w:rPr>
                <w:lang w:val="en-AU"/>
              </w:rPr>
              <w:t>Outcomes</w:t>
            </w:r>
          </w:p>
        </w:tc>
        <w:tc>
          <w:tcPr>
            <w:tcW w:w="942" w:type="dxa"/>
            <w:shd w:val="clear" w:color="auto" w:fill="auto"/>
            <w:vAlign w:val="center"/>
          </w:tcPr>
          <w:p w:rsidR="007F1017" w:rsidRPr="005C333D" w:rsidRDefault="007F1017" w:rsidP="00CD26DE">
            <w:pPr>
              <w:pStyle w:val="In-tableHeading"/>
              <w:jc w:val="center"/>
              <w:rPr>
                <w:lang w:val="en-AU"/>
              </w:rPr>
            </w:pPr>
            <w:r w:rsidRPr="005C333D">
              <w:rPr>
                <w:lang w:val="en-AU"/>
              </w:rPr>
              <w:t>Use in modelled evaluation</w:t>
            </w:r>
          </w:p>
        </w:tc>
      </w:tr>
      <w:tr w:rsidR="007F1017" w:rsidRPr="005C333D" w:rsidTr="00C9399F">
        <w:trPr>
          <w:cantSplit/>
        </w:trPr>
        <w:tc>
          <w:tcPr>
            <w:tcW w:w="9017" w:type="dxa"/>
            <w:gridSpan w:val="7"/>
            <w:shd w:val="clear" w:color="auto" w:fill="auto"/>
            <w:vAlign w:val="center"/>
          </w:tcPr>
          <w:p w:rsidR="007F1017" w:rsidRPr="005C333D" w:rsidRDefault="00710E6D" w:rsidP="00CD26DE">
            <w:pPr>
              <w:pStyle w:val="In-tableHeading"/>
              <w:rPr>
                <w:lang w:val="en-AU"/>
              </w:rPr>
            </w:pPr>
            <w:r w:rsidRPr="005C333D">
              <w:rPr>
                <w:lang w:val="en-AU"/>
              </w:rPr>
              <w:t xml:space="preserve">Ciclosporin </w:t>
            </w:r>
            <w:r w:rsidR="007F1017" w:rsidRPr="005C333D">
              <w:rPr>
                <w:lang w:val="en-AU"/>
              </w:rPr>
              <w:t xml:space="preserve">vs. </w:t>
            </w:r>
            <w:r w:rsidR="009B5AC5" w:rsidRPr="005C333D">
              <w:rPr>
                <w:lang w:val="en-AU"/>
              </w:rPr>
              <w:t>Vehicle</w:t>
            </w:r>
            <w:r w:rsidR="002D078D" w:rsidRPr="005C333D">
              <w:rPr>
                <w:lang w:val="en-AU"/>
              </w:rPr>
              <w:t xml:space="preserve"> </w:t>
            </w:r>
          </w:p>
        </w:tc>
      </w:tr>
      <w:tr w:rsidR="009C5D9D" w:rsidRPr="005C333D" w:rsidTr="00C9399F">
        <w:trPr>
          <w:cantSplit/>
        </w:trPr>
        <w:tc>
          <w:tcPr>
            <w:tcW w:w="1063" w:type="dxa"/>
            <w:shd w:val="clear" w:color="auto" w:fill="auto"/>
            <w:vAlign w:val="center"/>
          </w:tcPr>
          <w:p w:rsidR="009C5D9D" w:rsidRPr="005C333D" w:rsidRDefault="009C5D9D" w:rsidP="00CD26DE">
            <w:pPr>
              <w:pStyle w:val="TableText0"/>
              <w:keepNext/>
            </w:pPr>
            <w:r w:rsidRPr="005C333D">
              <w:t>SANSIKA</w:t>
            </w:r>
          </w:p>
        </w:tc>
        <w:tc>
          <w:tcPr>
            <w:tcW w:w="492" w:type="dxa"/>
            <w:shd w:val="clear" w:color="auto" w:fill="auto"/>
            <w:vAlign w:val="center"/>
          </w:tcPr>
          <w:p w:rsidR="009C5D9D" w:rsidRPr="005C333D" w:rsidRDefault="00FB7988" w:rsidP="00CD26DE">
            <w:pPr>
              <w:pStyle w:val="TableText0"/>
              <w:keepNext/>
              <w:jc w:val="center"/>
            </w:pPr>
            <w:r w:rsidRPr="005C333D">
              <w:t>245</w:t>
            </w:r>
          </w:p>
        </w:tc>
        <w:tc>
          <w:tcPr>
            <w:tcW w:w="850" w:type="dxa"/>
            <w:shd w:val="clear" w:color="auto" w:fill="auto"/>
            <w:vAlign w:val="center"/>
          </w:tcPr>
          <w:p w:rsidR="009C5D9D" w:rsidRPr="005C333D" w:rsidRDefault="009C5D9D" w:rsidP="00CD26DE">
            <w:pPr>
              <w:pStyle w:val="TableText0"/>
              <w:keepNext/>
              <w:jc w:val="center"/>
            </w:pPr>
            <w:r w:rsidRPr="005C333D">
              <w:t>R, DB</w:t>
            </w:r>
          </w:p>
          <w:p w:rsidR="009463E4" w:rsidRPr="005C333D" w:rsidRDefault="009C5D9D" w:rsidP="00CD26DE">
            <w:pPr>
              <w:pStyle w:val="TableText0"/>
              <w:keepNext/>
              <w:jc w:val="center"/>
            </w:pPr>
            <w:r w:rsidRPr="005C333D">
              <w:t>6 mths</w:t>
            </w:r>
          </w:p>
        </w:tc>
        <w:tc>
          <w:tcPr>
            <w:tcW w:w="567" w:type="dxa"/>
            <w:shd w:val="clear" w:color="auto" w:fill="auto"/>
            <w:vAlign w:val="center"/>
          </w:tcPr>
          <w:p w:rsidR="009C5D9D" w:rsidRPr="005C333D" w:rsidRDefault="009C5D9D" w:rsidP="00CD26DE">
            <w:pPr>
              <w:pStyle w:val="TableText0"/>
              <w:keepNext/>
              <w:jc w:val="center"/>
            </w:pPr>
            <w:r w:rsidRPr="005C333D">
              <w:t>Low</w:t>
            </w:r>
          </w:p>
        </w:tc>
        <w:tc>
          <w:tcPr>
            <w:tcW w:w="1276" w:type="dxa"/>
            <w:shd w:val="clear" w:color="auto" w:fill="auto"/>
            <w:vAlign w:val="center"/>
          </w:tcPr>
          <w:p w:rsidR="009C5D9D" w:rsidRPr="005C333D" w:rsidRDefault="009B2CFF" w:rsidP="00CD26DE">
            <w:pPr>
              <w:pStyle w:val="TableText0"/>
              <w:keepNext/>
              <w:jc w:val="center"/>
            </w:pPr>
            <w:r w:rsidRPr="005C333D">
              <w:t>Severe keratitis with DED</w:t>
            </w:r>
          </w:p>
        </w:tc>
        <w:tc>
          <w:tcPr>
            <w:tcW w:w="3827" w:type="dxa"/>
            <w:shd w:val="clear" w:color="auto" w:fill="auto"/>
            <w:vAlign w:val="center"/>
          </w:tcPr>
          <w:p w:rsidR="009C5D9D" w:rsidRPr="005C333D" w:rsidRDefault="00443E5A" w:rsidP="00CD26DE">
            <w:pPr>
              <w:pStyle w:val="TableText0"/>
              <w:keepNext/>
              <w:jc w:val="center"/>
            </w:pPr>
            <w:r w:rsidRPr="005C333D">
              <w:t xml:space="preserve">CFS, </w:t>
            </w:r>
            <w:r w:rsidR="003F1DFF" w:rsidRPr="005C333D">
              <w:t>VAS</w:t>
            </w:r>
            <w:r w:rsidR="006E7F91" w:rsidRPr="005C333D">
              <w:t xml:space="preserve">, CFS-OSDI </w:t>
            </w:r>
            <w:r w:rsidR="00A30AB1" w:rsidRPr="005C333D">
              <w:t>response</w:t>
            </w:r>
            <w:r w:rsidR="006E7F91" w:rsidRPr="005C333D">
              <w:t xml:space="preserve"> rate</w:t>
            </w:r>
            <w:r w:rsidR="00496B52" w:rsidRPr="005C333D">
              <w:t xml:space="preserve"> </w:t>
            </w:r>
            <w:r w:rsidR="004A0630" w:rsidRPr="005C333D">
              <w:t xml:space="preserve">(Less stringent criteria: </w:t>
            </w:r>
            <w:r w:rsidR="004A0630" w:rsidRPr="005C333D">
              <w:rPr>
                <w:szCs w:val="20"/>
              </w:rPr>
              <w:t>CFS improvement ≥ 2 grades and OSDI improvement of 30%) (More stringent criteria</w:t>
            </w:r>
            <w:r w:rsidR="003348BB" w:rsidRPr="005C333D">
              <w:rPr>
                <w:szCs w:val="20"/>
              </w:rPr>
              <w:t xml:space="preserve"> [post-hoc]</w:t>
            </w:r>
            <w:r w:rsidR="004A0630" w:rsidRPr="005C333D">
              <w:rPr>
                <w:szCs w:val="20"/>
              </w:rPr>
              <w:t>: CFS improvement ≥ 3 grades and OSDI improvement of 30%)</w:t>
            </w:r>
          </w:p>
        </w:tc>
        <w:tc>
          <w:tcPr>
            <w:tcW w:w="942" w:type="dxa"/>
            <w:shd w:val="clear" w:color="auto" w:fill="auto"/>
            <w:vAlign w:val="center"/>
          </w:tcPr>
          <w:p w:rsidR="009C5D9D" w:rsidRPr="005C333D" w:rsidRDefault="009C5D9D" w:rsidP="00CD26DE">
            <w:pPr>
              <w:pStyle w:val="TableText0"/>
              <w:keepNext/>
              <w:jc w:val="center"/>
            </w:pPr>
            <w:r w:rsidRPr="005C333D">
              <w:t>Not used</w:t>
            </w:r>
          </w:p>
        </w:tc>
      </w:tr>
      <w:tr w:rsidR="00DA4DCF" w:rsidRPr="005C333D" w:rsidTr="00C9399F">
        <w:trPr>
          <w:cantSplit/>
        </w:trPr>
        <w:tc>
          <w:tcPr>
            <w:tcW w:w="1063" w:type="dxa"/>
            <w:shd w:val="clear" w:color="auto" w:fill="auto"/>
            <w:vAlign w:val="center"/>
          </w:tcPr>
          <w:p w:rsidR="00DA4DCF" w:rsidRPr="005C333D" w:rsidRDefault="002B4261" w:rsidP="00CD26DE">
            <w:pPr>
              <w:pStyle w:val="TableText0"/>
              <w:keepNext/>
            </w:pPr>
            <w:r w:rsidRPr="005C333D">
              <w:t>SA</w:t>
            </w:r>
            <w:r w:rsidR="0058456B" w:rsidRPr="005C333D">
              <w:t>N</w:t>
            </w:r>
            <w:r w:rsidRPr="005C333D">
              <w:t>SIKA Part 2</w:t>
            </w:r>
          </w:p>
        </w:tc>
        <w:tc>
          <w:tcPr>
            <w:tcW w:w="492" w:type="dxa"/>
            <w:shd w:val="clear" w:color="auto" w:fill="auto"/>
            <w:vAlign w:val="center"/>
          </w:tcPr>
          <w:p w:rsidR="00DA4DCF" w:rsidRPr="005C333D" w:rsidRDefault="0001065B" w:rsidP="00CD26DE">
            <w:pPr>
              <w:pStyle w:val="TableText0"/>
              <w:keepNext/>
              <w:jc w:val="center"/>
            </w:pPr>
            <w:r w:rsidRPr="005C333D">
              <w:t>207</w:t>
            </w:r>
          </w:p>
        </w:tc>
        <w:tc>
          <w:tcPr>
            <w:tcW w:w="850" w:type="dxa"/>
            <w:shd w:val="clear" w:color="auto" w:fill="auto"/>
            <w:vAlign w:val="center"/>
          </w:tcPr>
          <w:p w:rsidR="00DA4DCF" w:rsidRPr="005C333D" w:rsidRDefault="004D01E3" w:rsidP="00CD26DE">
            <w:pPr>
              <w:pStyle w:val="TableText0"/>
              <w:keepNext/>
              <w:jc w:val="center"/>
            </w:pPr>
            <w:r w:rsidRPr="005C333D">
              <w:t>OL</w:t>
            </w:r>
          </w:p>
          <w:p w:rsidR="00FA53C8" w:rsidRPr="005C333D" w:rsidRDefault="003C66C9" w:rsidP="00CD26DE">
            <w:pPr>
              <w:pStyle w:val="TableText0"/>
              <w:keepNext/>
              <w:jc w:val="center"/>
            </w:pPr>
            <w:r w:rsidRPr="005C333D">
              <w:t>6 mths</w:t>
            </w:r>
          </w:p>
        </w:tc>
        <w:tc>
          <w:tcPr>
            <w:tcW w:w="567" w:type="dxa"/>
            <w:shd w:val="clear" w:color="auto" w:fill="auto"/>
            <w:vAlign w:val="center"/>
          </w:tcPr>
          <w:p w:rsidR="00DA4DCF" w:rsidRPr="005C333D" w:rsidRDefault="002F4897" w:rsidP="00CD26DE">
            <w:pPr>
              <w:pStyle w:val="TableText0"/>
              <w:keepNext/>
              <w:jc w:val="center"/>
            </w:pPr>
            <w:r w:rsidRPr="005C333D">
              <w:t>Low</w:t>
            </w:r>
          </w:p>
        </w:tc>
        <w:tc>
          <w:tcPr>
            <w:tcW w:w="1276" w:type="dxa"/>
            <w:shd w:val="clear" w:color="auto" w:fill="auto"/>
            <w:vAlign w:val="center"/>
          </w:tcPr>
          <w:p w:rsidR="00DA4DCF" w:rsidRPr="005C333D" w:rsidRDefault="009B2CFF" w:rsidP="00CD26DE">
            <w:pPr>
              <w:pStyle w:val="TableText0"/>
              <w:keepNext/>
              <w:jc w:val="center"/>
            </w:pPr>
            <w:r w:rsidRPr="005C333D">
              <w:t>Severe keratitis with DED</w:t>
            </w:r>
          </w:p>
        </w:tc>
        <w:tc>
          <w:tcPr>
            <w:tcW w:w="3827" w:type="dxa"/>
            <w:shd w:val="clear" w:color="auto" w:fill="auto"/>
            <w:vAlign w:val="center"/>
          </w:tcPr>
          <w:p w:rsidR="00DA4DCF" w:rsidRPr="005C333D" w:rsidRDefault="00CF411C" w:rsidP="00CD26DE">
            <w:pPr>
              <w:pStyle w:val="TableText0"/>
              <w:keepNext/>
              <w:jc w:val="center"/>
            </w:pPr>
            <w:r w:rsidRPr="005C333D">
              <w:t xml:space="preserve">CFS, </w:t>
            </w:r>
            <w:r w:rsidR="00E15948" w:rsidRPr="005C333D">
              <w:t>VAS</w:t>
            </w:r>
            <w:r w:rsidRPr="005C333D">
              <w:t>, CFS-OSDI response rate</w:t>
            </w:r>
            <w:r w:rsidR="001558C5" w:rsidRPr="005C333D">
              <w:t xml:space="preserve"> </w:t>
            </w:r>
          </w:p>
        </w:tc>
        <w:tc>
          <w:tcPr>
            <w:tcW w:w="942" w:type="dxa"/>
            <w:shd w:val="clear" w:color="auto" w:fill="auto"/>
            <w:vAlign w:val="center"/>
          </w:tcPr>
          <w:p w:rsidR="00DA4DCF" w:rsidRPr="005C333D" w:rsidRDefault="00B20669" w:rsidP="00CD26DE">
            <w:pPr>
              <w:pStyle w:val="TableText0"/>
              <w:keepNext/>
              <w:jc w:val="center"/>
            </w:pPr>
            <w:r w:rsidRPr="005C333D">
              <w:t>Not use</w:t>
            </w:r>
            <w:r w:rsidR="00321BE5" w:rsidRPr="005C333D">
              <w:t>d</w:t>
            </w:r>
          </w:p>
        </w:tc>
      </w:tr>
      <w:tr w:rsidR="009C5D9D" w:rsidRPr="005C333D" w:rsidTr="00C9399F">
        <w:trPr>
          <w:cantSplit/>
        </w:trPr>
        <w:tc>
          <w:tcPr>
            <w:tcW w:w="1063" w:type="dxa"/>
            <w:shd w:val="clear" w:color="auto" w:fill="auto"/>
            <w:vAlign w:val="center"/>
          </w:tcPr>
          <w:p w:rsidR="009C5D9D" w:rsidRPr="005C333D" w:rsidRDefault="009C5D9D" w:rsidP="00CD26DE">
            <w:pPr>
              <w:pStyle w:val="TableText0"/>
              <w:keepNext/>
            </w:pPr>
            <w:r w:rsidRPr="005C333D">
              <w:t>SICCANOVE</w:t>
            </w:r>
          </w:p>
        </w:tc>
        <w:tc>
          <w:tcPr>
            <w:tcW w:w="492" w:type="dxa"/>
            <w:shd w:val="clear" w:color="auto" w:fill="auto"/>
            <w:vAlign w:val="center"/>
          </w:tcPr>
          <w:p w:rsidR="009C5D9D" w:rsidRPr="005C333D" w:rsidRDefault="00F765FF" w:rsidP="00CD26DE">
            <w:pPr>
              <w:pStyle w:val="TableText0"/>
              <w:keepNext/>
              <w:jc w:val="center"/>
            </w:pPr>
            <w:r w:rsidRPr="005C333D">
              <w:t>489</w:t>
            </w:r>
          </w:p>
        </w:tc>
        <w:tc>
          <w:tcPr>
            <w:tcW w:w="850" w:type="dxa"/>
            <w:shd w:val="clear" w:color="auto" w:fill="auto"/>
            <w:vAlign w:val="center"/>
          </w:tcPr>
          <w:p w:rsidR="009C5D9D" w:rsidRPr="005C333D" w:rsidRDefault="009C5D9D" w:rsidP="00CD26DE">
            <w:pPr>
              <w:pStyle w:val="TableText0"/>
              <w:keepNext/>
              <w:jc w:val="center"/>
            </w:pPr>
            <w:r w:rsidRPr="005C333D">
              <w:t xml:space="preserve">R, </w:t>
            </w:r>
            <w:r w:rsidR="005E4F4C" w:rsidRPr="005C333D">
              <w:t>DB</w:t>
            </w:r>
          </w:p>
          <w:p w:rsidR="00427A3E" w:rsidRPr="005C333D" w:rsidRDefault="0066233E" w:rsidP="00CD26DE">
            <w:pPr>
              <w:pStyle w:val="TableText0"/>
              <w:keepNext/>
              <w:jc w:val="center"/>
            </w:pPr>
            <w:r w:rsidRPr="005C333D">
              <w:t>6</w:t>
            </w:r>
            <w:r w:rsidR="009C5D9D" w:rsidRPr="005C333D">
              <w:t xml:space="preserve"> mths</w:t>
            </w:r>
          </w:p>
        </w:tc>
        <w:tc>
          <w:tcPr>
            <w:tcW w:w="567" w:type="dxa"/>
            <w:shd w:val="clear" w:color="auto" w:fill="auto"/>
            <w:vAlign w:val="center"/>
          </w:tcPr>
          <w:p w:rsidR="009C5D9D" w:rsidRPr="005C333D" w:rsidRDefault="000F2AC0" w:rsidP="00CD26DE">
            <w:pPr>
              <w:pStyle w:val="TableText0"/>
              <w:keepNext/>
              <w:jc w:val="center"/>
            </w:pPr>
            <w:r w:rsidRPr="005C333D">
              <w:t>Low</w:t>
            </w:r>
          </w:p>
        </w:tc>
        <w:tc>
          <w:tcPr>
            <w:tcW w:w="1276" w:type="dxa"/>
            <w:shd w:val="clear" w:color="auto" w:fill="auto"/>
            <w:vAlign w:val="center"/>
          </w:tcPr>
          <w:p w:rsidR="009C5D9D" w:rsidRPr="005C333D" w:rsidRDefault="009B2CFF" w:rsidP="00CD26DE">
            <w:pPr>
              <w:pStyle w:val="TableText0"/>
              <w:keepNext/>
              <w:jc w:val="center"/>
            </w:pPr>
            <w:r w:rsidRPr="005C333D">
              <w:t xml:space="preserve">Moderate to </w:t>
            </w:r>
            <w:r w:rsidR="00AA6DA3" w:rsidRPr="005C333D">
              <w:t>s</w:t>
            </w:r>
            <w:r w:rsidRPr="005C333D">
              <w:t>evere keratitis with DED</w:t>
            </w:r>
          </w:p>
        </w:tc>
        <w:tc>
          <w:tcPr>
            <w:tcW w:w="3827" w:type="dxa"/>
            <w:shd w:val="clear" w:color="auto" w:fill="auto"/>
            <w:vAlign w:val="center"/>
          </w:tcPr>
          <w:p w:rsidR="009C5D9D" w:rsidRPr="005C333D" w:rsidRDefault="00B03BD8" w:rsidP="00CD26DE">
            <w:pPr>
              <w:pStyle w:val="TableText0"/>
              <w:keepNext/>
              <w:jc w:val="center"/>
            </w:pPr>
            <w:r w:rsidRPr="005C333D">
              <w:t xml:space="preserve">CFS, </w:t>
            </w:r>
            <w:r w:rsidR="00101A69" w:rsidRPr="005C333D">
              <w:t>VAS</w:t>
            </w:r>
          </w:p>
        </w:tc>
        <w:tc>
          <w:tcPr>
            <w:tcW w:w="942" w:type="dxa"/>
            <w:shd w:val="clear" w:color="auto" w:fill="auto"/>
            <w:vAlign w:val="center"/>
          </w:tcPr>
          <w:p w:rsidR="009C5D9D" w:rsidRPr="005C333D" w:rsidRDefault="00B20669" w:rsidP="00CD26DE">
            <w:pPr>
              <w:pStyle w:val="TableText0"/>
              <w:keepNext/>
              <w:jc w:val="center"/>
            </w:pPr>
            <w:r w:rsidRPr="005C333D">
              <w:t>Not used</w:t>
            </w:r>
          </w:p>
        </w:tc>
      </w:tr>
      <w:tr w:rsidR="00F31D5A" w:rsidRPr="005C333D" w:rsidTr="00C9399F">
        <w:trPr>
          <w:cantSplit/>
        </w:trPr>
        <w:tc>
          <w:tcPr>
            <w:tcW w:w="1063" w:type="dxa"/>
            <w:shd w:val="clear" w:color="auto" w:fill="auto"/>
            <w:vAlign w:val="center"/>
          </w:tcPr>
          <w:p w:rsidR="007F1017" w:rsidRPr="005C333D" w:rsidRDefault="007F1017" w:rsidP="00CD26DE">
            <w:pPr>
              <w:pStyle w:val="TableText0"/>
              <w:keepNext/>
            </w:pPr>
            <w:r w:rsidRPr="005C333D">
              <w:t>Meta-analysis</w:t>
            </w:r>
          </w:p>
        </w:tc>
        <w:tc>
          <w:tcPr>
            <w:tcW w:w="492" w:type="dxa"/>
            <w:shd w:val="clear" w:color="auto" w:fill="auto"/>
            <w:vAlign w:val="center"/>
          </w:tcPr>
          <w:p w:rsidR="007F1017" w:rsidRPr="005C333D" w:rsidRDefault="003B5FDE" w:rsidP="00CD26DE">
            <w:pPr>
              <w:pStyle w:val="TableText0"/>
              <w:keepNext/>
              <w:jc w:val="center"/>
            </w:pPr>
            <w:r w:rsidRPr="005C333D">
              <w:t>319</w:t>
            </w:r>
          </w:p>
        </w:tc>
        <w:tc>
          <w:tcPr>
            <w:tcW w:w="6520" w:type="dxa"/>
            <w:gridSpan w:val="4"/>
            <w:shd w:val="clear" w:color="auto" w:fill="auto"/>
            <w:vAlign w:val="center"/>
          </w:tcPr>
          <w:p w:rsidR="007F1017" w:rsidRPr="005C333D" w:rsidRDefault="007F1017" w:rsidP="00CD26DE">
            <w:pPr>
              <w:pStyle w:val="TableText0"/>
              <w:keepNext/>
              <w:jc w:val="center"/>
            </w:pPr>
            <w:r w:rsidRPr="005C333D">
              <w:t xml:space="preserve">Included </w:t>
            </w:r>
            <w:r w:rsidR="00FB0524" w:rsidRPr="005C333D">
              <w:t xml:space="preserve">SANSIKA </w:t>
            </w:r>
            <w:r w:rsidRPr="005C333D">
              <w:t xml:space="preserve">and </w:t>
            </w:r>
            <w:r w:rsidR="00FB0524" w:rsidRPr="005C333D">
              <w:t>SICCANOVE</w:t>
            </w:r>
            <w:r w:rsidRPr="005C333D">
              <w:t xml:space="preserve">; subgroup analysis; assessed </w:t>
            </w:r>
            <w:r w:rsidR="006A5891" w:rsidRPr="005C333D">
              <w:t>CFS-OSDI response</w:t>
            </w:r>
            <w:r w:rsidR="0041243D" w:rsidRPr="005C333D">
              <w:t xml:space="preserve"> </w:t>
            </w:r>
            <w:r w:rsidR="00495473" w:rsidRPr="005C333D">
              <w:t>(</w:t>
            </w:r>
            <w:r w:rsidR="00AE6C1E" w:rsidRPr="005C333D">
              <w:t xml:space="preserve">Less stringent criteria: </w:t>
            </w:r>
            <w:r w:rsidR="0041243D" w:rsidRPr="005C333D">
              <w:rPr>
                <w:szCs w:val="20"/>
              </w:rPr>
              <w:t>CFS improvement ≥ 2 grades and OSDI</w:t>
            </w:r>
            <w:r w:rsidR="001E2ADF" w:rsidRPr="005C333D">
              <w:rPr>
                <w:szCs w:val="20"/>
              </w:rPr>
              <w:t xml:space="preserve"> improvement of</w:t>
            </w:r>
            <w:r w:rsidR="0041243D" w:rsidRPr="005C333D">
              <w:rPr>
                <w:szCs w:val="20"/>
              </w:rPr>
              <w:t xml:space="preserve"> 30%)</w:t>
            </w:r>
            <w:r w:rsidR="00B211AA" w:rsidRPr="005C333D">
              <w:rPr>
                <w:szCs w:val="20"/>
              </w:rPr>
              <w:t xml:space="preserve"> (</w:t>
            </w:r>
            <w:r w:rsidR="001C1D9B" w:rsidRPr="005C333D">
              <w:rPr>
                <w:szCs w:val="20"/>
              </w:rPr>
              <w:t>More stringent criteria</w:t>
            </w:r>
            <w:r w:rsidR="00CA5B88" w:rsidRPr="005C333D">
              <w:rPr>
                <w:szCs w:val="20"/>
              </w:rPr>
              <w:t xml:space="preserve"> [post-hoc]</w:t>
            </w:r>
            <w:r w:rsidR="001C1D9B" w:rsidRPr="005C333D">
              <w:rPr>
                <w:szCs w:val="20"/>
              </w:rPr>
              <w:t xml:space="preserve">: </w:t>
            </w:r>
            <w:r w:rsidR="00B211AA" w:rsidRPr="005C333D">
              <w:rPr>
                <w:szCs w:val="20"/>
              </w:rPr>
              <w:t>CFS</w:t>
            </w:r>
            <w:r w:rsidR="00933CE9" w:rsidRPr="005C333D">
              <w:rPr>
                <w:szCs w:val="20"/>
              </w:rPr>
              <w:t xml:space="preserve"> </w:t>
            </w:r>
            <w:r w:rsidR="00B211AA" w:rsidRPr="005C333D">
              <w:rPr>
                <w:szCs w:val="20"/>
              </w:rPr>
              <w:t>improvement ≥ 3 grades and OSDI</w:t>
            </w:r>
            <w:r w:rsidR="00573B48" w:rsidRPr="005C333D">
              <w:rPr>
                <w:szCs w:val="20"/>
              </w:rPr>
              <w:t xml:space="preserve"> improvement o</w:t>
            </w:r>
            <w:r w:rsidR="00DC3900" w:rsidRPr="005C333D">
              <w:rPr>
                <w:szCs w:val="20"/>
              </w:rPr>
              <w:t>f</w:t>
            </w:r>
            <w:r w:rsidR="00B211AA" w:rsidRPr="005C333D">
              <w:rPr>
                <w:szCs w:val="20"/>
              </w:rPr>
              <w:t xml:space="preserve"> 30%)</w:t>
            </w:r>
            <w:r w:rsidR="0041243D" w:rsidRPr="005C333D">
              <w:t xml:space="preserve"> </w:t>
            </w:r>
            <w:r w:rsidR="008068BF" w:rsidRPr="005C333D">
              <w:t>in patients with severe keratitis with DED</w:t>
            </w:r>
            <w:r w:rsidR="00066F02" w:rsidRPr="005C333D">
              <w:t>.</w:t>
            </w:r>
          </w:p>
        </w:tc>
        <w:tc>
          <w:tcPr>
            <w:tcW w:w="942" w:type="dxa"/>
            <w:shd w:val="clear" w:color="auto" w:fill="auto"/>
            <w:vAlign w:val="center"/>
          </w:tcPr>
          <w:p w:rsidR="007F1017" w:rsidRPr="005C333D" w:rsidRDefault="0082752F" w:rsidP="00CD26DE">
            <w:pPr>
              <w:pStyle w:val="TableText0"/>
              <w:keepNext/>
              <w:jc w:val="center"/>
            </w:pPr>
            <w:r w:rsidRPr="005C333D">
              <w:t>Used</w:t>
            </w:r>
          </w:p>
        </w:tc>
      </w:tr>
    </w:tbl>
    <w:p w:rsidR="00620C25" w:rsidRPr="005C333D" w:rsidRDefault="00AA6DA3" w:rsidP="00EC5836">
      <w:pPr>
        <w:pStyle w:val="TableFigureFooter"/>
      </w:pPr>
      <w:r w:rsidRPr="005C333D">
        <w:t xml:space="preserve">CFS = corneal fluorescent staining; </w:t>
      </w:r>
      <w:r w:rsidR="00620C25" w:rsidRPr="005C333D">
        <w:t xml:space="preserve">DB = double blind; </w:t>
      </w:r>
      <w:r w:rsidRPr="005C333D">
        <w:t xml:space="preserve">DED = dry eye disease; </w:t>
      </w:r>
      <w:r w:rsidR="00620C25" w:rsidRPr="005C333D">
        <w:t xml:space="preserve">OL = open label; </w:t>
      </w:r>
      <w:r w:rsidRPr="005C333D">
        <w:t xml:space="preserve">OSDI= ocular symptom disease index; </w:t>
      </w:r>
      <w:r w:rsidR="00620C25" w:rsidRPr="005C333D">
        <w:t>R = randomised</w:t>
      </w:r>
      <w:r w:rsidR="007C3837" w:rsidRPr="005C333D">
        <w:t>; VAS= visual analogue scale</w:t>
      </w:r>
      <w:r w:rsidR="00DE2250" w:rsidRPr="005C333D">
        <w:t>.</w:t>
      </w:r>
    </w:p>
    <w:p w:rsidR="006E1F98" w:rsidRPr="007910C5" w:rsidRDefault="006E1F98" w:rsidP="00EC5836">
      <w:pPr>
        <w:pStyle w:val="TableFigureFooter"/>
      </w:pPr>
      <w:r w:rsidRPr="005C333D">
        <w:t>Source: Table 2.3.1, Table 2.4.4, and Table 2.4.8, p49, 58, 66 of the submission.</w:t>
      </w:r>
    </w:p>
    <w:p w:rsidR="00EB00E6" w:rsidRPr="005C333D" w:rsidRDefault="00EB00E6" w:rsidP="00EB00E6">
      <w:pPr>
        <w:pStyle w:val="4-SubsectionHeading"/>
      </w:pPr>
      <w:bookmarkStart w:id="14" w:name="_Toc22897641"/>
      <w:bookmarkStart w:id="15" w:name="_Toc48576993"/>
      <w:bookmarkStart w:id="16" w:name="_Toc62030465"/>
      <w:bookmarkStart w:id="17" w:name="_Toc22897642"/>
      <w:r w:rsidRPr="005C333D">
        <w:t>Comparative effectiveness</w:t>
      </w:r>
      <w:bookmarkEnd w:id="14"/>
      <w:bookmarkEnd w:id="15"/>
      <w:bookmarkEnd w:id="16"/>
    </w:p>
    <w:p w:rsidR="00EB00E6" w:rsidRPr="005C333D" w:rsidRDefault="00EB00E6" w:rsidP="00C113FA">
      <w:pPr>
        <w:pStyle w:val="3-BodyText"/>
      </w:pPr>
      <w:r w:rsidRPr="005C333D">
        <w:t xml:space="preserve">Table </w:t>
      </w:r>
      <w:r w:rsidR="00FA3624" w:rsidRPr="005C333D">
        <w:t>4</w:t>
      </w:r>
      <w:r w:rsidRPr="005C333D">
        <w:t xml:space="preserve"> presents the key efficacy results of</w:t>
      </w:r>
      <w:r w:rsidR="00AE15E6" w:rsidRPr="005C333D">
        <w:t xml:space="preserve"> </w:t>
      </w:r>
      <w:r w:rsidR="000450AA" w:rsidRPr="005C333D">
        <w:t xml:space="preserve">mean change in CFS and Table 5 presents the </w:t>
      </w:r>
      <w:r w:rsidR="00AE15E6" w:rsidRPr="005C333D">
        <w:t xml:space="preserve">CFS-OSDI </w:t>
      </w:r>
      <w:r w:rsidR="0075056B" w:rsidRPr="005C333D">
        <w:t>response</w:t>
      </w:r>
      <w:r w:rsidR="00AE15E6" w:rsidRPr="005C333D">
        <w:t xml:space="preserve"> across the studies</w:t>
      </w:r>
      <w:r w:rsidR="00816216" w:rsidRPr="005C333D">
        <w:t xml:space="preserve">. </w:t>
      </w:r>
      <w:r w:rsidR="004E1A27" w:rsidRPr="005C333D">
        <w:t xml:space="preserve">CFS-OSDI response was </w:t>
      </w:r>
      <w:r w:rsidR="00816216" w:rsidRPr="005C333D">
        <w:t xml:space="preserve">used to </w:t>
      </w:r>
      <w:r w:rsidR="00EE680C" w:rsidRPr="005C333D">
        <w:t xml:space="preserve">support </w:t>
      </w:r>
      <w:r w:rsidR="00816216" w:rsidRPr="005C333D">
        <w:t xml:space="preserve">the </w:t>
      </w:r>
      <w:r w:rsidR="009D34F6" w:rsidRPr="005C333D">
        <w:t>claim of superior effectiveness of ciclosporin compared to BSC</w:t>
      </w:r>
      <w:r w:rsidRPr="005C333D">
        <w:t>.</w:t>
      </w:r>
      <w:r w:rsidR="008266A5" w:rsidRPr="005C333D">
        <w:t xml:space="preserve"> </w:t>
      </w:r>
    </w:p>
    <w:p w:rsidR="00AB7A4D" w:rsidRPr="005C333D" w:rsidRDefault="00AB7A4D" w:rsidP="00AB7A4D">
      <w:pPr>
        <w:pStyle w:val="TableFigureHeading"/>
        <w:rPr>
          <w:szCs w:val="16"/>
        </w:rPr>
      </w:pPr>
      <w:r w:rsidRPr="005C333D">
        <w:rPr>
          <w:rStyle w:val="CommentReference"/>
          <w:b/>
        </w:rPr>
        <w:t>Table</w:t>
      </w:r>
      <w:r w:rsidR="00822929" w:rsidRPr="005C333D">
        <w:rPr>
          <w:rStyle w:val="CommentReference"/>
          <w:b/>
        </w:rPr>
        <w:t xml:space="preserve"> 4</w:t>
      </w:r>
      <w:r w:rsidRPr="005C333D">
        <w:rPr>
          <w:rStyle w:val="CommentReference"/>
          <w:b/>
        </w:rPr>
        <w:t>:</w:t>
      </w:r>
      <w:r w:rsidRPr="005C333D">
        <w:rPr>
          <w:rStyle w:val="CommentReference"/>
        </w:rPr>
        <w:t xml:space="preserve"> </w:t>
      </w:r>
      <w:r w:rsidRPr="005C333D">
        <w:rPr>
          <w:szCs w:val="16"/>
        </w:rPr>
        <w:t>Results of mean change in CFS from baseline to 6 months across the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9"/>
        <w:gridCol w:w="962"/>
        <w:gridCol w:w="330"/>
        <w:gridCol w:w="789"/>
        <w:gridCol w:w="631"/>
        <w:gridCol w:w="830"/>
        <w:gridCol w:w="330"/>
        <w:gridCol w:w="822"/>
        <w:gridCol w:w="631"/>
        <w:gridCol w:w="932"/>
        <w:gridCol w:w="1093"/>
        <w:gridCol w:w="558"/>
      </w:tblGrid>
      <w:tr w:rsidR="00AB7A4D" w:rsidRPr="005C333D" w:rsidTr="00C9399F">
        <w:trPr>
          <w:trHeight w:val="726"/>
          <w:tblHeader/>
        </w:trPr>
        <w:tc>
          <w:tcPr>
            <w:tcW w:w="1109" w:type="dxa"/>
            <w:vMerge w:val="restart"/>
            <w:vAlign w:val="center"/>
          </w:tcPr>
          <w:p w:rsidR="00AB7A4D" w:rsidRPr="005C333D" w:rsidRDefault="00AB7A4D" w:rsidP="00AA6DA3">
            <w:pPr>
              <w:pStyle w:val="In-tableHeading"/>
              <w:rPr>
                <w:lang w:val="en-AU"/>
              </w:rPr>
            </w:pPr>
            <w:r w:rsidRPr="005C333D">
              <w:rPr>
                <w:lang w:val="en-AU"/>
              </w:rPr>
              <w:t xml:space="preserve">Trial </w:t>
            </w:r>
          </w:p>
        </w:tc>
        <w:tc>
          <w:tcPr>
            <w:tcW w:w="962" w:type="dxa"/>
            <w:vMerge w:val="restart"/>
            <w:vAlign w:val="center"/>
          </w:tcPr>
          <w:p w:rsidR="00AB7A4D" w:rsidRPr="005C333D" w:rsidRDefault="00AB7A4D" w:rsidP="00CD26DE">
            <w:pPr>
              <w:pStyle w:val="In-tableHeading"/>
              <w:jc w:val="center"/>
              <w:rPr>
                <w:iCs/>
                <w:lang w:val="en-AU"/>
              </w:rPr>
            </w:pPr>
            <w:r w:rsidRPr="005C333D">
              <w:rPr>
                <w:iCs/>
                <w:lang w:val="en-AU"/>
              </w:rPr>
              <w:t>Endpoint</w:t>
            </w:r>
          </w:p>
        </w:tc>
        <w:tc>
          <w:tcPr>
            <w:tcW w:w="2580" w:type="dxa"/>
            <w:gridSpan w:val="4"/>
          </w:tcPr>
          <w:p w:rsidR="00AB7A4D" w:rsidRPr="005C333D" w:rsidRDefault="00AA6DA3" w:rsidP="00CD26DE">
            <w:pPr>
              <w:pStyle w:val="In-tableHeading"/>
              <w:jc w:val="center"/>
              <w:rPr>
                <w:iCs/>
                <w:lang w:val="en-AU"/>
              </w:rPr>
            </w:pPr>
            <w:r w:rsidRPr="005C333D">
              <w:rPr>
                <w:iCs/>
                <w:lang w:val="en-AU"/>
              </w:rPr>
              <w:t>Ciclosporin,</w:t>
            </w:r>
          </w:p>
          <w:p w:rsidR="00AB7A4D" w:rsidRPr="005C333D" w:rsidRDefault="00AB7A4D" w:rsidP="00AA6DA3">
            <w:pPr>
              <w:pStyle w:val="In-tableHeading"/>
              <w:jc w:val="center"/>
              <w:rPr>
                <w:lang w:val="en-AU"/>
              </w:rPr>
            </w:pPr>
            <w:r w:rsidRPr="005C333D">
              <w:rPr>
                <w:bCs/>
                <w:lang w:val="en-AU"/>
              </w:rPr>
              <w:t xml:space="preserve">Mean (SD) </w:t>
            </w:r>
            <w:r w:rsidR="00AA6DA3" w:rsidRPr="005C333D">
              <w:rPr>
                <w:bCs/>
                <w:lang w:val="en-AU"/>
              </w:rPr>
              <w:br/>
              <w:t>OR a</w:t>
            </w:r>
            <w:r w:rsidRPr="005C333D">
              <w:rPr>
                <w:bCs/>
                <w:lang w:val="en-AU"/>
              </w:rPr>
              <w:t>djusted mean (95% CI)</w:t>
            </w:r>
          </w:p>
        </w:tc>
        <w:tc>
          <w:tcPr>
            <w:tcW w:w="2715" w:type="dxa"/>
            <w:gridSpan w:val="4"/>
          </w:tcPr>
          <w:p w:rsidR="00AB7A4D" w:rsidRPr="005C333D" w:rsidRDefault="00AB7A4D" w:rsidP="00CD26DE">
            <w:pPr>
              <w:pStyle w:val="In-tableHeading"/>
              <w:jc w:val="center"/>
              <w:rPr>
                <w:lang w:val="en-AU"/>
              </w:rPr>
            </w:pPr>
            <w:r w:rsidRPr="005C333D">
              <w:rPr>
                <w:lang w:val="en-AU"/>
              </w:rPr>
              <w:t>Vehicle</w:t>
            </w:r>
            <w:r w:rsidR="00AA6DA3" w:rsidRPr="005C333D">
              <w:rPr>
                <w:lang w:val="en-AU"/>
              </w:rPr>
              <w:t>,</w:t>
            </w:r>
          </w:p>
          <w:p w:rsidR="00AB7A4D" w:rsidRPr="005C333D" w:rsidRDefault="00AB7A4D" w:rsidP="00AA6DA3">
            <w:pPr>
              <w:pStyle w:val="In-tableHeading"/>
              <w:jc w:val="center"/>
              <w:rPr>
                <w:lang w:val="en-AU"/>
              </w:rPr>
            </w:pPr>
            <w:r w:rsidRPr="005C333D">
              <w:rPr>
                <w:bCs/>
                <w:lang w:val="en-AU"/>
              </w:rPr>
              <w:t xml:space="preserve">Mean (SD) </w:t>
            </w:r>
            <w:r w:rsidR="00AA6DA3" w:rsidRPr="005C333D">
              <w:rPr>
                <w:bCs/>
                <w:lang w:val="en-AU"/>
              </w:rPr>
              <w:br/>
              <w:t>OR a</w:t>
            </w:r>
            <w:r w:rsidRPr="005C333D">
              <w:rPr>
                <w:bCs/>
                <w:lang w:val="en-AU"/>
              </w:rPr>
              <w:t>djusted mean (95% CI)</w:t>
            </w:r>
          </w:p>
        </w:tc>
        <w:tc>
          <w:tcPr>
            <w:tcW w:w="1093" w:type="dxa"/>
            <w:vMerge w:val="restart"/>
            <w:vAlign w:val="center"/>
          </w:tcPr>
          <w:p w:rsidR="00AB7A4D" w:rsidRPr="005C333D" w:rsidRDefault="00AB7A4D" w:rsidP="00CD26DE">
            <w:pPr>
              <w:pStyle w:val="In-tableHeading"/>
              <w:jc w:val="center"/>
              <w:rPr>
                <w:lang w:val="en-AU"/>
              </w:rPr>
            </w:pPr>
            <w:r w:rsidRPr="005C333D">
              <w:rPr>
                <w:iCs/>
                <w:lang w:val="en-AU"/>
              </w:rPr>
              <w:t>Mean difference (95% CI)</w:t>
            </w:r>
          </w:p>
        </w:tc>
        <w:tc>
          <w:tcPr>
            <w:tcW w:w="0" w:type="auto"/>
            <w:vMerge w:val="restart"/>
            <w:vAlign w:val="center"/>
          </w:tcPr>
          <w:p w:rsidR="00AB7A4D" w:rsidRPr="005C333D" w:rsidRDefault="00AB7A4D" w:rsidP="00CD26DE">
            <w:pPr>
              <w:pStyle w:val="In-tableHeading"/>
              <w:jc w:val="center"/>
              <w:rPr>
                <w:lang w:val="en-AU"/>
              </w:rPr>
            </w:pPr>
            <w:r w:rsidRPr="005C333D">
              <w:rPr>
                <w:iCs/>
                <w:lang w:val="en-AU"/>
              </w:rPr>
              <w:t>p-value</w:t>
            </w:r>
          </w:p>
        </w:tc>
      </w:tr>
      <w:tr w:rsidR="00C9399F" w:rsidRPr="005C333D" w:rsidTr="00C9399F">
        <w:trPr>
          <w:trHeight w:val="246"/>
        </w:trPr>
        <w:tc>
          <w:tcPr>
            <w:tcW w:w="1109" w:type="dxa"/>
            <w:vMerge/>
            <w:vAlign w:val="center"/>
          </w:tcPr>
          <w:p w:rsidR="00AB7A4D" w:rsidRPr="005C333D" w:rsidRDefault="00AB7A4D" w:rsidP="00CD26DE">
            <w:pPr>
              <w:pStyle w:val="TableText0"/>
              <w:keepNext/>
            </w:pPr>
          </w:p>
        </w:tc>
        <w:tc>
          <w:tcPr>
            <w:tcW w:w="962" w:type="dxa"/>
            <w:vMerge/>
          </w:tcPr>
          <w:p w:rsidR="00AB7A4D" w:rsidRPr="005C333D" w:rsidRDefault="00AB7A4D" w:rsidP="00CD26DE">
            <w:pPr>
              <w:pStyle w:val="TableText0"/>
              <w:keepNext/>
              <w:jc w:val="center"/>
            </w:pPr>
          </w:p>
        </w:tc>
        <w:tc>
          <w:tcPr>
            <w:tcW w:w="330" w:type="dxa"/>
            <w:vAlign w:val="center"/>
          </w:tcPr>
          <w:p w:rsidR="00AB7A4D" w:rsidRPr="005C333D" w:rsidRDefault="00AB7A4D" w:rsidP="005C15A2">
            <w:pPr>
              <w:pStyle w:val="TableText0"/>
              <w:keepNext/>
              <w:jc w:val="center"/>
              <w:rPr>
                <w:b/>
              </w:rPr>
            </w:pPr>
            <w:r w:rsidRPr="005C333D">
              <w:rPr>
                <w:b/>
              </w:rPr>
              <w:t>N</w:t>
            </w:r>
          </w:p>
        </w:tc>
        <w:tc>
          <w:tcPr>
            <w:tcW w:w="789" w:type="dxa"/>
            <w:vAlign w:val="center"/>
          </w:tcPr>
          <w:p w:rsidR="00AB7A4D" w:rsidRPr="005C333D" w:rsidRDefault="00AB7A4D" w:rsidP="005C15A2">
            <w:pPr>
              <w:pStyle w:val="TableText0"/>
              <w:keepNext/>
              <w:jc w:val="center"/>
              <w:rPr>
                <w:b/>
              </w:rPr>
            </w:pPr>
            <w:r w:rsidRPr="005C333D">
              <w:rPr>
                <w:b/>
              </w:rPr>
              <w:t>Baseline</w:t>
            </w:r>
          </w:p>
        </w:tc>
        <w:tc>
          <w:tcPr>
            <w:tcW w:w="631" w:type="dxa"/>
            <w:vAlign w:val="center"/>
          </w:tcPr>
          <w:p w:rsidR="00AB7A4D" w:rsidRPr="005C333D" w:rsidRDefault="00AB7A4D" w:rsidP="005C15A2">
            <w:pPr>
              <w:pStyle w:val="TableText0"/>
              <w:keepNext/>
              <w:jc w:val="center"/>
              <w:rPr>
                <w:b/>
              </w:rPr>
            </w:pPr>
            <w:r w:rsidRPr="005C333D">
              <w:rPr>
                <w:b/>
              </w:rPr>
              <w:t>Follow-up</w:t>
            </w:r>
          </w:p>
        </w:tc>
        <w:tc>
          <w:tcPr>
            <w:tcW w:w="830" w:type="dxa"/>
            <w:vAlign w:val="center"/>
          </w:tcPr>
          <w:p w:rsidR="00AB7A4D" w:rsidRPr="005C333D" w:rsidRDefault="00AB7A4D" w:rsidP="005C15A2">
            <w:pPr>
              <w:pStyle w:val="TableText0"/>
              <w:keepNext/>
              <w:jc w:val="center"/>
              <w:rPr>
                <w:b/>
              </w:rPr>
            </w:pPr>
            <w:r w:rsidRPr="005C333D">
              <w:rPr>
                <w:b/>
              </w:rPr>
              <w:t>Change</w:t>
            </w:r>
          </w:p>
        </w:tc>
        <w:tc>
          <w:tcPr>
            <w:tcW w:w="330" w:type="dxa"/>
            <w:vAlign w:val="center"/>
          </w:tcPr>
          <w:p w:rsidR="00AB7A4D" w:rsidRPr="005C333D" w:rsidRDefault="00AB7A4D" w:rsidP="005C15A2">
            <w:pPr>
              <w:pStyle w:val="TableText0"/>
              <w:keepNext/>
              <w:jc w:val="center"/>
              <w:rPr>
                <w:b/>
              </w:rPr>
            </w:pPr>
            <w:r w:rsidRPr="005C333D">
              <w:rPr>
                <w:b/>
              </w:rPr>
              <w:t>N</w:t>
            </w:r>
          </w:p>
        </w:tc>
        <w:tc>
          <w:tcPr>
            <w:tcW w:w="822" w:type="dxa"/>
            <w:vAlign w:val="center"/>
          </w:tcPr>
          <w:p w:rsidR="00AB7A4D" w:rsidRPr="005C333D" w:rsidRDefault="00AB7A4D" w:rsidP="005C15A2">
            <w:pPr>
              <w:pStyle w:val="TableText0"/>
              <w:keepNext/>
              <w:jc w:val="center"/>
              <w:rPr>
                <w:b/>
              </w:rPr>
            </w:pPr>
            <w:r w:rsidRPr="005C333D">
              <w:rPr>
                <w:b/>
              </w:rPr>
              <w:t>Baseline</w:t>
            </w:r>
          </w:p>
        </w:tc>
        <w:tc>
          <w:tcPr>
            <w:tcW w:w="631" w:type="dxa"/>
            <w:vAlign w:val="center"/>
          </w:tcPr>
          <w:p w:rsidR="00AB7A4D" w:rsidRPr="005C333D" w:rsidRDefault="00AB7A4D" w:rsidP="005C15A2">
            <w:pPr>
              <w:pStyle w:val="TableText0"/>
              <w:keepNext/>
              <w:jc w:val="center"/>
              <w:rPr>
                <w:b/>
              </w:rPr>
            </w:pPr>
            <w:r w:rsidRPr="005C333D">
              <w:rPr>
                <w:b/>
              </w:rPr>
              <w:t>Follow-up</w:t>
            </w:r>
          </w:p>
        </w:tc>
        <w:tc>
          <w:tcPr>
            <w:tcW w:w="932" w:type="dxa"/>
            <w:vAlign w:val="center"/>
          </w:tcPr>
          <w:p w:rsidR="00AB7A4D" w:rsidRPr="005C333D" w:rsidRDefault="00AB7A4D" w:rsidP="005C15A2">
            <w:pPr>
              <w:pStyle w:val="TableText0"/>
              <w:keepNext/>
              <w:jc w:val="center"/>
              <w:rPr>
                <w:b/>
              </w:rPr>
            </w:pPr>
            <w:r w:rsidRPr="005C333D">
              <w:rPr>
                <w:b/>
              </w:rPr>
              <w:t>Change</w:t>
            </w:r>
          </w:p>
        </w:tc>
        <w:tc>
          <w:tcPr>
            <w:tcW w:w="1093" w:type="dxa"/>
            <w:vMerge/>
            <w:vAlign w:val="center"/>
          </w:tcPr>
          <w:p w:rsidR="00AB7A4D" w:rsidRPr="005C333D" w:rsidRDefault="00AB7A4D" w:rsidP="00CD26DE">
            <w:pPr>
              <w:pStyle w:val="TableText0"/>
              <w:keepNext/>
              <w:jc w:val="center"/>
            </w:pPr>
          </w:p>
        </w:tc>
        <w:tc>
          <w:tcPr>
            <w:tcW w:w="0" w:type="auto"/>
            <w:vMerge/>
            <w:vAlign w:val="center"/>
          </w:tcPr>
          <w:p w:rsidR="00AB7A4D" w:rsidRPr="005C333D" w:rsidRDefault="00AB7A4D" w:rsidP="00CD26DE">
            <w:pPr>
              <w:pStyle w:val="TableText0"/>
              <w:keepNext/>
              <w:jc w:val="center"/>
            </w:pPr>
          </w:p>
        </w:tc>
      </w:tr>
      <w:tr w:rsidR="00AB7A4D" w:rsidRPr="005C333D" w:rsidTr="00FF5E66">
        <w:trPr>
          <w:trHeight w:val="234"/>
        </w:trPr>
        <w:tc>
          <w:tcPr>
            <w:tcW w:w="0" w:type="auto"/>
            <w:gridSpan w:val="12"/>
            <w:shd w:val="clear" w:color="auto" w:fill="auto"/>
          </w:tcPr>
          <w:p w:rsidR="00AB7A4D" w:rsidRPr="005C333D" w:rsidRDefault="00AB7A4D" w:rsidP="00CD26DE">
            <w:pPr>
              <w:pStyle w:val="TableText0"/>
              <w:keepNext/>
            </w:pPr>
            <w:r w:rsidRPr="005C333D">
              <w:rPr>
                <w:b/>
              </w:rPr>
              <w:t>Total population</w:t>
            </w:r>
          </w:p>
        </w:tc>
      </w:tr>
      <w:tr w:rsidR="00C9399F" w:rsidRPr="005C333D" w:rsidTr="00C9399F">
        <w:trPr>
          <w:trHeight w:val="726"/>
        </w:trPr>
        <w:tc>
          <w:tcPr>
            <w:tcW w:w="1109" w:type="dxa"/>
            <w:vAlign w:val="center"/>
          </w:tcPr>
          <w:p w:rsidR="00AB7A4D" w:rsidRPr="005C333D" w:rsidRDefault="00AB7A4D" w:rsidP="00CD26DE">
            <w:pPr>
              <w:pStyle w:val="TableText0"/>
              <w:keepNext/>
            </w:pPr>
            <w:r w:rsidRPr="005C333D">
              <w:t>SANSIKA</w:t>
            </w:r>
          </w:p>
          <w:p w:rsidR="00AB7A4D" w:rsidRPr="005C333D" w:rsidRDefault="00AB7A4D" w:rsidP="00CD26DE">
            <w:pPr>
              <w:pStyle w:val="TableText0"/>
              <w:keepNext/>
            </w:pPr>
            <w:r w:rsidRPr="005C333D">
              <w:t>CFS=4 (FAS)</w:t>
            </w:r>
          </w:p>
        </w:tc>
        <w:tc>
          <w:tcPr>
            <w:tcW w:w="962" w:type="dxa"/>
            <w:vAlign w:val="center"/>
          </w:tcPr>
          <w:p w:rsidR="00AB7A4D" w:rsidRPr="005C333D" w:rsidRDefault="00AB7A4D" w:rsidP="00CD26DE">
            <w:pPr>
              <w:pStyle w:val="TableText0"/>
              <w:keepNext/>
              <w:jc w:val="center"/>
            </w:pPr>
            <w:r w:rsidRPr="005C333D">
              <w:t>Secondary</w:t>
            </w:r>
          </w:p>
        </w:tc>
        <w:tc>
          <w:tcPr>
            <w:tcW w:w="330" w:type="dxa"/>
            <w:vAlign w:val="center"/>
          </w:tcPr>
          <w:p w:rsidR="00AB7A4D" w:rsidRPr="005C333D" w:rsidRDefault="00AB7A4D" w:rsidP="00CD26DE">
            <w:pPr>
              <w:pStyle w:val="TableText0"/>
              <w:keepNext/>
              <w:jc w:val="center"/>
            </w:pPr>
            <w:r w:rsidRPr="005C333D">
              <w:t>154</w:t>
            </w:r>
          </w:p>
        </w:tc>
        <w:tc>
          <w:tcPr>
            <w:tcW w:w="789" w:type="dxa"/>
            <w:vAlign w:val="center"/>
          </w:tcPr>
          <w:p w:rsidR="00AB7A4D" w:rsidRPr="005C333D" w:rsidRDefault="00AB7A4D" w:rsidP="00CD26DE">
            <w:pPr>
              <w:pStyle w:val="TableText0"/>
              <w:keepNext/>
              <w:jc w:val="center"/>
            </w:pPr>
            <w:r w:rsidRPr="005C333D">
              <w:t>4.00 (0.00)</w:t>
            </w:r>
          </w:p>
        </w:tc>
        <w:tc>
          <w:tcPr>
            <w:tcW w:w="631" w:type="dxa"/>
            <w:vAlign w:val="center"/>
          </w:tcPr>
          <w:p w:rsidR="00AB7A4D" w:rsidRPr="005C333D" w:rsidRDefault="00AB7A4D" w:rsidP="00CD26DE">
            <w:pPr>
              <w:pStyle w:val="TableText0"/>
              <w:keepNext/>
              <w:jc w:val="center"/>
            </w:pPr>
            <w:r w:rsidRPr="005C333D">
              <w:t>2.19 (1.27)</w:t>
            </w:r>
          </w:p>
        </w:tc>
        <w:tc>
          <w:tcPr>
            <w:tcW w:w="830" w:type="dxa"/>
            <w:vAlign w:val="center"/>
          </w:tcPr>
          <w:p w:rsidR="00AB7A4D" w:rsidRPr="005C333D" w:rsidRDefault="00AB7A4D" w:rsidP="00CD26DE">
            <w:pPr>
              <w:pStyle w:val="TableText0"/>
              <w:keepNext/>
              <w:jc w:val="center"/>
            </w:pPr>
            <w:r w:rsidRPr="005C333D">
              <w:t xml:space="preserve">-1.76 </w:t>
            </w:r>
            <w:r w:rsidRPr="005C333D">
              <w:br/>
              <w:t>(-1.97,</w:t>
            </w:r>
            <w:r w:rsidRPr="005C333D">
              <w:br/>
              <w:t xml:space="preserve"> -1.56)</w:t>
            </w:r>
          </w:p>
        </w:tc>
        <w:tc>
          <w:tcPr>
            <w:tcW w:w="330" w:type="dxa"/>
            <w:vAlign w:val="center"/>
          </w:tcPr>
          <w:p w:rsidR="00AB7A4D" w:rsidRPr="005C333D" w:rsidRDefault="00AB7A4D" w:rsidP="00CD26DE">
            <w:pPr>
              <w:pStyle w:val="TableText0"/>
              <w:keepNext/>
              <w:jc w:val="center"/>
            </w:pPr>
            <w:r w:rsidRPr="005C333D">
              <w:t>91</w:t>
            </w:r>
          </w:p>
        </w:tc>
        <w:tc>
          <w:tcPr>
            <w:tcW w:w="822" w:type="dxa"/>
            <w:vAlign w:val="center"/>
          </w:tcPr>
          <w:p w:rsidR="00AB7A4D" w:rsidRPr="005C333D" w:rsidRDefault="00AB7A4D" w:rsidP="00CD26DE">
            <w:pPr>
              <w:pStyle w:val="TableText0"/>
              <w:keepNext/>
              <w:jc w:val="center"/>
            </w:pPr>
            <w:r w:rsidRPr="005C333D">
              <w:t>4.00 (0.00)</w:t>
            </w:r>
          </w:p>
        </w:tc>
        <w:tc>
          <w:tcPr>
            <w:tcW w:w="631" w:type="dxa"/>
            <w:vAlign w:val="center"/>
          </w:tcPr>
          <w:p w:rsidR="00AB7A4D" w:rsidRPr="005C333D" w:rsidRDefault="00AB7A4D" w:rsidP="00CD26DE">
            <w:pPr>
              <w:pStyle w:val="TableText0"/>
              <w:keepNext/>
              <w:jc w:val="center"/>
            </w:pPr>
            <w:r w:rsidRPr="005C333D">
              <w:t>2.52 (1.08)</w:t>
            </w:r>
          </w:p>
        </w:tc>
        <w:tc>
          <w:tcPr>
            <w:tcW w:w="932" w:type="dxa"/>
            <w:vAlign w:val="center"/>
          </w:tcPr>
          <w:p w:rsidR="00AB7A4D" w:rsidRPr="005C333D" w:rsidRDefault="00AB7A4D" w:rsidP="00CD26DE">
            <w:pPr>
              <w:pStyle w:val="TableText0"/>
              <w:keepNext/>
              <w:jc w:val="center"/>
            </w:pPr>
            <w:r w:rsidRPr="005C333D">
              <w:t>-1.42</w:t>
            </w:r>
            <w:r w:rsidRPr="005C333D">
              <w:br/>
              <w:t>(-1.68,</w:t>
            </w:r>
            <w:r w:rsidRPr="005C333D">
              <w:br/>
              <w:t xml:space="preserve"> -1.16)</w:t>
            </w:r>
          </w:p>
        </w:tc>
        <w:tc>
          <w:tcPr>
            <w:tcW w:w="1093" w:type="dxa"/>
            <w:vAlign w:val="center"/>
          </w:tcPr>
          <w:p w:rsidR="00AB7A4D" w:rsidRPr="005C333D" w:rsidRDefault="00AB7A4D" w:rsidP="005C15A2">
            <w:pPr>
              <w:pStyle w:val="TableText0"/>
              <w:keepNext/>
              <w:jc w:val="center"/>
            </w:pPr>
            <w:r w:rsidRPr="005C333D">
              <w:t>-0.31</w:t>
            </w:r>
            <w:r w:rsidRPr="005C333D">
              <w:br/>
              <w:t>(-0.57, -0.06)</w:t>
            </w:r>
          </w:p>
        </w:tc>
        <w:tc>
          <w:tcPr>
            <w:tcW w:w="0" w:type="auto"/>
            <w:vAlign w:val="center"/>
          </w:tcPr>
          <w:p w:rsidR="00AB7A4D" w:rsidRPr="005C333D" w:rsidRDefault="00AB7A4D" w:rsidP="00CD26DE">
            <w:pPr>
              <w:pStyle w:val="TableText0"/>
              <w:keepNext/>
              <w:jc w:val="center"/>
            </w:pPr>
            <w:r w:rsidRPr="005C333D">
              <w:rPr>
                <w:b/>
                <w:bCs w:val="0"/>
              </w:rPr>
              <w:t>0.017</w:t>
            </w:r>
          </w:p>
        </w:tc>
      </w:tr>
      <w:tr w:rsidR="00C9399F" w:rsidRPr="005C333D" w:rsidTr="00C9399F">
        <w:trPr>
          <w:trHeight w:val="726"/>
        </w:trPr>
        <w:tc>
          <w:tcPr>
            <w:tcW w:w="1109" w:type="dxa"/>
            <w:vAlign w:val="center"/>
          </w:tcPr>
          <w:p w:rsidR="00AB7A4D" w:rsidRPr="005C333D" w:rsidRDefault="00AB7A4D" w:rsidP="00CD26DE">
            <w:pPr>
              <w:pStyle w:val="TableText0"/>
              <w:keepNext/>
            </w:pPr>
            <w:r w:rsidRPr="005C333D">
              <w:t>SICCANOVE</w:t>
            </w:r>
          </w:p>
          <w:p w:rsidR="00AB7A4D" w:rsidRPr="005C333D" w:rsidRDefault="00AB7A4D" w:rsidP="00CD26DE">
            <w:pPr>
              <w:pStyle w:val="TableText0"/>
              <w:keepNext/>
            </w:pPr>
            <w:r w:rsidRPr="005C333D">
              <w:t>CFS=2-4 (FAS LOCF)</w:t>
            </w:r>
          </w:p>
        </w:tc>
        <w:tc>
          <w:tcPr>
            <w:tcW w:w="962" w:type="dxa"/>
            <w:vAlign w:val="center"/>
          </w:tcPr>
          <w:p w:rsidR="00AB7A4D" w:rsidRPr="005C333D" w:rsidRDefault="00AB7A4D" w:rsidP="00CD26DE">
            <w:pPr>
              <w:pStyle w:val="TableText0"/>
              <w:keepNext/>
              <w:jc w:val="center"/>
            </w:pPr>
            <w:r w:rsidRPr="005C333D">
              <w:t>Co-primary</w:t>
            </w:r>
          </w:p>
        </w:tc>
        <w:tc>
          <w:tcPr>
            <w:tcW w:w="330" w:type="dxa"/>
            <w:vAlign w:val="center"/>
          </w:tcPr>
          <w:p w:rsidR="00AB7A4D" w:rsidRPr="005C333D" w:rsidRDefault="00AB7A4D" w:rsidP="00CD26DE">
            <w:pPr>
              <w:pStyle w:val="TableText0"/>
              <w:keepNext/>
              <w:jc w:val="center"/>
            </w:pPr>
            <w:r w:rsidRPr="005C333D">
              <w:t>241</w:t>
            </w:r>
          </w:p>
        </w:tc>
        <w:tc>
          <w:tcPr>
            <w:tcW w:w="789" w:type="dxa"/>
            <w:vAlign w:val="center"/>
          </w:tcPr>
          <w:p w:rsidR="00AB7A4D" w:rsidRPr="005C333D" w:rsidRDefault="00AB7A4D" w:rsidP="00CD26DE">
            <w:pPr>
              <w:pStyle w:val="TableText0"/>
              <w:keepNext/>
              <w:jc w:val="center"/>
            </w:pPr>
            <w:r w:rsidRPr="005C333D">
              <w:t>2.83 (0.709)</w:t>
            </w:r>
          </w:p>
        </w:tc>
        <w:tc>
          <w:tcPr>
            <w:tcW w:w="631" w:type="dxa"/>
            <w:vAlign w:val="center"/>
          </w:tcPr>
          <w:p w:rsidR="00AB7A4D" w:rsidRPr="005C333D" w:rsidRDefault="00AB7A4D" w:rsidP="00CD26DE">
            <w:pPr>
              <w:pStyle w:val="TableText0"/>
              <w:keepNext/>
              <w:jc w:val="center"/>
            </w:pPr>
            <w:r w:rsidRPr="005C333D">
              <w:t>1.78 (1.065)</w:t>
            </w:r>
          </w:p>
        </w:tc>
        <w:tc>
          <w:tcPr>
            <w:tcW w:w="830" w:type="dxa"/>
            <w:vAlign w:val="center"/>
          </w:tcPr>
          <w:p w:rsidR="00AB7A4D" w:rsidRPr="005C333D" w:rsidRDefault="00AB7A4D" w:rsidP="00CD26DE">
            <w:pPr>
              <w:pStyle w:val="TableText0"/>
              <w:keepNext/>
              <w:jc w:val="center"/>
            </w:pPr>
            <w:r w:rsidRPr="005C333D">
              <w:t>-1.05 (0.983)</w:t>
            </w:r>
          </w:p>
        </w:tc>
        <w:tc>
          <w:tcPr>
            <w:tcW w:w="330" w:type="dxa"/>
            <w:vAlign w:val="center"/>
          </w:tcPr>
          <w:p w:rsidR="00AB7A4D" w:rsidRPr="005C333D" w:rsidRDefault="00AB7A4D" w:rsidP="00CD26DE">
            <w:pPr>
              <w:pStyle w:val="TableText0"/>
              <w:keepNext/>
              <w:jc w:val="center"/>
            </w:pPr>
            <w:r w:rsidRPr="005C333D">
              <w:t>248</w:t>
            </w:r>
          </w:p>
        </w:tc>
        <w:tc>
          <w:tcPr>
            <w:tcW w:w="822" w:type="dxa"/>
            <w:vAlign w:val="center"/>
          </w:tcPr>
          <w:p w:rsidR="00AB7A4D" w:rsidRPr="005C333D" w:rsidRDefault="00AB7A4D" w:rsidP="00CD26DE">
            <w:pPr>
              <w:pStyle w:val="TableText0"/>
              <w:keepNext/>
              <w:jc w:val="center"/>
            </w:pPr>
            <w:r w:rsidRPr="005C333D">
              <w:t>2.80 (0.720)</w:t>
            </w:r>
          </w:p>
        </w:tc>
        <w:tc>
          <w:tcPr>
            <w:tcW w:w="631" w:type="dxa"/>
            <w:vAlign w:val="center"/>
          </w:tcPr>
          <w:p w:rsidR="00AB7A4D" w:rsidRPr="005C333D" w:rsidRDefault="00AB7A4D" w:rsidP="00CD26DE">
            <w:pPr>
              <w:pStyle w:val="TableText0"/>
              <w:keepNext/>
              <w:jc w:val="center"/>
            </w:pPr>
            <w:r w:rsidRPr="005C333D">
              <w:t>1.98 (1.172)</w:t>
            </w:r>
          </w:p>
        </w:tc>
        <w:tc>
          <w:tcPr>
            <w:tcW w:w="932" w:type="dxa"/>
            <w:vAlign w:val="center"/>
          </w:tcPr>
          <w:p w:rsidR="00AB7A4D" w:rsidRPr="005C333D" w:rsidRDefault="00AB7A4D" w:rsidP="00CD26DE">
            <w:pPr>
              <w:pStyle w:val="TableText0"/>
              <w:keepNext/>
              <w:jc w:val="center"/>
            </w:pPr>
            <w:r w:rsidRPr="005C333D">
              <w:t>-0.82 (0.937)</w:t>
            </w:r>
          </w:p>
        </w:tc>
        <w:tc>
          <w:tcPr>
            <w:tcW w:w="1093" w:type="dxa"/>
            <w:vAlign w:val="center"/>
          </w:tcPr>
          <w:p w:rsidR="00AB7A4D" w:rsidRPr="005C333D" w:rsidRDefault="00AB7A4D" w:rsidP="005C15A2">
            <w:pPr>
              <w:pStyle w:val="TableText0"/>
              <w:keepNext/>
              <w:jc w:val="center"/>
            </w:pPr>
            <w:r w:rsidRPr="005C333D">
              <w:t xml:space="preserve">-0.22 </w:t>
            </w:r>
            <w:r w:rsidRPr="005C333D">
              <w:br/>
              <w:t>(-0.39,</w:t>
            </w:r>
            <w:r w:rsidR="005C15A2" w:rsidRPr="005C333D">
              <w:t xml:space="preserve"> </w:t>
            </w:r>
            <w:r w:rsidRPr="005C333D">
              <w:t>-0.06)</w:t>
            </w:r>
          </w:p>
        </w:tc>
        <w:tc>
          <w:tcPr>
            <w:tcW w:w="0" w:type="auto"/>
            <w:vAlign w:val="center"/>
          </w:tcPr>
          <w:p w:rsidR="00AB7A4D" w:rsidRPr="005C333D" w:rsidRDefault="00AB7A4D" w:rsidP="00CD26DE">
            <w:pPr>
              <w:pStyle w:val="TableText0"/>
              <w:keepNext/>
              <w:jc w:val="center"/>
            </w:pPr>
            <w:r w:rsidRPr="005C333D">
              <w:rPr>
                <w:b/>
                <w:bCs w:val="0"/>
              </w:rPr>
              <w:t>0.009</w:t>
            </w:r>
          </w:p>
        </w:tc>
      </w:tr>
      <w:tr w:rsidR="00AB7A4D" w:rsidRPr="005C333D" w:rsidTr="00FF5E66">
        <w:trPr>
          <w:trHeight w:val="246"/>
        </w:trPr>
        <w:tc>
          <w:tcPr>
            <w:tcW w:w="0" w:type="auto"/>
            <w:gridSpan w:val="12"/>
            <w:shd w:val="clear" w:color="auto" w:fill="auto"/>
          </w:tcPr>
          <w:p w:rsidR="00AB7A4D" w:rsidRPr="005C333D" w:rsidRDefault="00AB7A4D" w:rsidP="00CD26DE">
            <w:pPr>
              <w:pStyle w:val="TableText0"/>
              <w:keepNext/>
            </w:pPr>
            <w:r w:rsidRPr="005C333D">
              <w:rPr>
                <w:rFonts w:eastAsia="Times New Roman" w:cs="Times New Roman"/>
                <w:b/>
                <w:bCs w:val="0"/>
                <w:szCs w:val="20"/>
                <w:lang w:eastAsia="en-US"/>
              </w:rPr>
              <w:t>Subgroup</w:t>
            </w:r>
          </w:p>
        </w:tc>
      </w:tr>
      <w:tr w:rsidR="00C9399F" w:rsidRPr="005C333D" w:rsidTr="00C9399F">
        <w:trPr>
          <w:trHeight w:val="726"/>
        </w:trPr>
        <w:tc>
          <w:tcPr>
            <w:tcW w:w="1109" w:type="dxa"/>
            <w:vAlign w:val="center"/>
          </w:tcPr>
          <w:p w:rsidR="00AB7A4D" w:rsidRPr="005C333D" w:rsidRDefault="00AB7A4D" w:rsidP="00CD26DE">
            <w:pPr>
              <w:pStyle w:val="TableText0"/>
              <w:keepNext/>
            </w:pPr>
            <w:r w:rsidRPr="005C333D">
              <w:t>Post-hoc</w:t>
            </w:r>
          </w:p>
          <w:p w:rsidR="00AB7A4D" w:rsidRPr="005C333D" w:rsidRDefault="00AB7A4D" w:rsidP="00CD26DE">
            <w:pPr>
              <w:pStyle w:val="TableText0"/>
              <w:keepNext/>
            </w:pPr>
            <w:r w:rsidRPr="005C333D">
              <w:t>SICCANOVE</w:t>
            </w:r>
          </w:p>
          <w:p w:rsidR="00AB7A4D" w:rsidRPr="005C333D" w:rsidRDefault="00AB7A4D" w:rsidP="00CD26DE">
            <w:pPr>
              <w:pStyle w:val="TableText0"/>
              <w:keepNext/>
            </w:pPr>
            <w:r w:rsidRPr="005C333D">
              <w:t>CFS=4 (SG)</w:t>
            </w:r>
          </w:p>
        </w:tc>
        <w:tc>
          <w:tcPr>
            <w:tcW w:w="962" w:type="dxa"/>
            <w:vAlign w:val="center"/>
          </w:tcPr>
          <w:p w:rsidR="00AB7A4D" w:rsidRPr="005C333D" w:rsidRDefault="00AB7A4D" w:rsidP="00CD26DE">
            <w:pPr>
              <w:pStyle w:val="TableText0"/>
              <w:keepNext/>
              <w:jc w:val="center"/>
            </w:pPr>
            <w:r w:rsidRPr="005C333D">
              <w:t>Post-hoc</w:t>
            </w:r>
          </w:p>
        </w:tc>
        <w:tc>
          <w:tcPr>
            <w:tcW w:w="330" w:type="dxa"/>
            <w:vAlign w:val="center"/>
          </w:tcPr>
          <w:p w:rsidR="00AB7A4D" w:rsidRPr="005C333D" w:rsidRDefault="00AB7A4D" w:rsidP="00CD26DE">
            <w:pPr>
              <w:pStyle w:val="TableText0"/>
              <w:keepNext/>
              <w:jc w:val="center"/>
            </w:pPr>
            <w:r w:rsidRPr="005C333D">
              <w:t>39</w:t>
            </w:r>
          </w:p>
        </w:tc>
        <w:tc>
          <w:tcPr>
            <w:tcW w:w="789" w:type="dxa"/>
            <w:vAlign w:val="center"/>
          </w:tcPr>
          <w:p w:rsidR="00AB7A4D" w:rsidRPr="005C333D" w:rsidRDefault="00AB7A4D" w:rsidP="00CD26DE">
            <w:pPr>
              <w:pStyle w:val="TableText0"/>
              <w:keepNext/>
              <w:jc w:val="center"/>
            </w:pPr>
            <w:r w:rsidRPr="005C333D">
              <w:t>4.00 (0.00)</w:t>
            </w:r>
          </w:p>
        </w:tc>
        <w:tc>
          <w:tcPr>
            <w:tcW w:w="631" w:type="dxa"/>
            <w:vAlign w:val="center"/>
          </w:tcPr>
          <w:p w:rsidR="00AB7A4D" w:rsidRPr="005C333D" w:rsidRDefault="00AB7A4D" w:rsidP="00CD26DE">
            <w:pPr>
              <w:pStyle w:val="TableText0"/>
              <w:keepNext/>
              <w:jc w:val="center"/>
            </w:pPr>
            <w:r w:rsidRPr="005C333D">
              <w:t>2.59 (1.141)</w:t>
            </w:r>
          </w:p>
        </w:tc>
        <w:tc>
          <w:tcPr>
            <w:tcW w:w="830" w:type="dxa"/>
            <w:vAlign w:val="center"/>
          </w:tcPr>
          <w:p w:rsidR="00AB7A4D" w:rsidRPr="005C333D" w:rsidRDefault="00AB7A4D" w:rsidP="00CD26DE">
            <w:pPr>
              <w:pStyle w:val="TableText0"/>
              <w:keepNext/>
              <w:jc w:val="center"/>
            </w:pPr>
            <w:r w:rsidRPr="005C333D">
              <w:t>-1.41 (1.141)</w:t>
            </w:r>
          </w:p>
        </w:tc>
        <w:tc>
          <w:tcPr>
            <w:tcW w:w="330" w:type="dxa"/>
            <w:vAlign w:val="center"/>
          </w:tcPr>
          <w:p w:rsidR="00AB7A4D" w:rsidRPr="005C333D" w:rsidRDefault="00AB7A4D" w:rsidP="00CD26DE">
            <w:pPr>
              <w:pStyle w:val="TableText0"/>
              <w:keepNext/>
              <w:jc w:val="center"/>
            </w:pPr>
            <w:r w:rsidRPr="005C333D">
              <w:t>36</w:t>
            </w:r>
          </w:p>
        </w:tc>
        <w:tc>
          <w:tcPr>
            <w:tcW w:w="822" w:type="dxa"/>
            <w:vAlign w:val="center"/>
          </w:tcPr>
          <w:p w:rsidR="00AB7A4D" w:rsidRPr="005C333D" w:rsidRDefault="00AB7A4D" w:rsidP="00CD26DE">
            <w:pPr>
              <w:pStyle w:val="TableText0"/>
              <w:keepNext/>
              <w:jc w:val="center"/>
            </w:pPr>
            <w:r w:rsidRPr="005C333D">
              <w:t>4.03 (0.167)</w:t>
            </w:r>
          </w:p>
        </w:tc>
        <w:tc>
          <w:tcPr>
            <w:tcW w:w="631" w:type="dxa"/>
            <w:vAlign w:val="center"/>
          </w:tcPr>
          <w:p w:rsidR="00AB7A4D" w:rsidRPr="005C333D" w:rsidRDefault="00AB7A4D" w:rsidP="00CD26DE">
            <w:pPr>
              <w:pStyle w:val="TableText0"/>
              <w:keepNext/>
              <w:jc w:val="center"/>
            </w:pPr>
            <w:r w:rsidRPr="005C333D">
              <w:t>3.36 (0.961)</w:t>
            </w:r>
          </w:p>
        </w:tc>
        <w:tc>
          <w:tcPr>
            <w:tcW w:w="932" w:type="dxa"/>
            <w:vAlign w:val="center"/>
          </w:tcPr>
          <w:p w:rsidR="00AB7A4D" w:rsidRPr="005C333D" w:rsidRDefault="00AB7A4D" w:rsidP="00CD26DE">
            <w:pPr>
              <w:pStyle w:val="TableText0"/>
              <w:keepNext/>
              <w:jc w:val="center"/>
            </w:pPr>
            <w:r w:rsidRPr="005C333D">
              <w:t>-0.67 (0.986)</w:t>
            </w:r>
          </w:p>
        </w:tc>
        <w:tc>
          <w:tcPr>
            <w:tcW w:w="1093" w:type="dxa"/>
            <w:vAlign w:val="center"/>
          </w:tcPr>
          <w:p w:rsidR="00AB7A4D" w:rsidRPr="005C333D" w:rsidRDefault="00AB7A4D" w:rsidP="005C15A2">
            <w:pPr>
              <w:pStyle w:val="TableText0"/>
              <w:keepNext/>
              <w:jc w:val="center"/>
            </w:pPr>
            <w:r w:rsidRPr="005C333D">
              <w:t xml:space="preserve">-0.74 </w:t>
            </w:r>
            <w:r w:rsidRPr="005C333D">
              <w:br/>
              <w:t>(-1.24,</w:t>
            </w:r>
            <w:r w:rsidR="005C15A2" w:rsidRPr="005C333D">
              <w:t xml:space="preserve"> </w:t>
            </w:r>
            <w:r w:rsidRPr="005C333D">
              <w:t>-0.24)</w:t>
            </w:r>
          </w:p>
        </w:tc>
        <w:tc>
          <w:tcPr>
            <w:tcW w:w="0" w:type="auto"/>
            <w:vAlign w:val="center"/>
          </w:tcPr>
          <w:p w:rsidR="00AB7A4D" w:rsidRPr="005C333D" w:rsidRDefault="00AB7A4D" w:rsidP="00CD26DE">
            <w:pPr>
              <w:pStyle w:val="TableText0"/>
              <w:keepNext/>
              <w:jc w:val="center"/>
            </w:pPr>
            <w:r w:rsidRPr="005C333D">
              <w:rPr>
                <w:b/>
                <w:bCs w:val="0"/>
              </w:rPr>
              <w:t>0.004</w:t>
            </w:r>
          </w:p>
        </w:tc>
      </w:tr>
      <w:tr w:rsidR="001D7E7D" w:rsidRPr="005C333D" w:rsidTr="00FF5E66">
        <w:trPr>
          <w:trHeight w:val="131"/>
        </w:trPr>
        <w:tc>
          <w:tcPr>
            <w:tcW w:w="0" w:type="auto"/>
            <w:gridSpan w:val="12"/>
            <w:vAlign w:val="center"/>
          </w:tcPr>
          <w:p w:rsidR="001D7E7D" w:rsidRPr="005C333D" w:rsidRDefault="001D7E7D" w:rsidP="00CD26DE">
            <w:pPr>
              <w:pStyle w:val="TableText0"/>
              <w:keepNext/>
              <w:rPr>
                <w:b/>
                <w:bCs w:val="0"/>
              </w:rPr>
            </w:pPr>
            <w:r w:rsidRPr="005C333D">
              <w:rPr>
                <w:b/>
                <w:bCs w:val="0"/>
                <w:szCs w:val="20"/>
              </w:rPr>
              <w:t>Meta-analysis (Leonardi 2019) of total trial population – SANSIKA and SICCANOVE</w:t>
            </w:r>
          </w:p>
        </w:tc>
      </w:tr>
      <w:tr w:rsidR="00C9399F" w:rsidRPr="005C333D" w:rsidTr="00C9399F">
        <w:trPr>
          <w:trHeight w:val="59"/>
        </w:trPr>
        <w:tc>
          <w:tcPr>
            <w:tcW w:w="1109" w:type="dxa"/>
            <w:vAlign w:val="center"/>
          </w:tcPr>
          <w:p w:rsidR="001D7E7D" w:rsidRPr="005C333D" w:rsidRDefault="001D7E7D" w:rsidP="00CD26DE">
            <w:pPr>
              <w:pStyle w:val="TableText0"/>
              <w:keepNext/>
            </w:pPr>
            <w:r w:rsidRPr="005C333D">
              <w:t>Meta-analysis</w:t>
            </w:r>
          </w:p>
        </w:tc>
        <w:tc>
          <w:tcPr>
            <w:tcW w:w="962" w:type="dxa"/>
            <w:vAlign w:val="center"/>
          </w:tcPr>
          <w:p w:rsidR="001D7E7D" w:rsidRPr="005C333D" w:rsidRDefault="001D7E7D" w:rsidP="00CD26DE">
            <w:pPr>
              <w:pStyle w:val="TableText0"/>
              <w:keepNext/>
              <w:jc w:val="center"/>
            </w:pPr>
            <w:r w:rsidRPr="005C333D">
              <w:t>Post-hoc</w:t>
            </w:r>
          </w:p>
        </w:tc>
        <w:tc>
          <w:tcPr>
            <w:tcW w:w="330" w:type="dxa"/>
            <w:vAlign w:val="center"/>
          </w:tcPr>
          <w:p w:rsidR="001D7E7D" w:rsidRPr="005C333D" w:rsidRDefault="001D7E7D" w:rsidP="00CD26DE">
            <w:pPr>
              <w:pStyle w:val="TableText0"/>
              <w:keepNext/>
              <w:jc w:val="center"/>
            </w:pPr>
            <w:r w:rsidRPr="005C333D">
              <w:t>-</w:t>
            </w:r>
          </w:p>
        </w:tc>
        <w:tc>
          <w:tcPr>
            <w:tcW w:w="789" w:type="dxa"/>
            <w:vAlign w:val="center"/>
          </w:tcPr>
          <w:p w:rsidR="001D7E7D" w:rsidRPr="005C333D" w:rsidRDefault="001D7E7D" w:rsidP="00CD26DE">
            <w:pPr>
              <w:pStyle w:val="TableText0"/>
              <w:keepNext/>
              <w:jc w:val="center"/>
            </w:pPr>
            <w:r w:rsidRPr="005C333D">
              <w:t>-</w:t>
            </w:r>
          </w:p>
        </w:tc>
        <w:tc>
          <w:tcPr>
            <w:tcW w:w="631" w:type="dxa"/>
            <w:vAlign w:val="center"/>
          </w:tcPr>
          <w:p w:rsidR="001D7E7D" w:rsidRPr="005C333D" w:rsidRDefault="001D7E7D" w:rsidP="00CD26DE">
            <w:pPr>
              <w:pStyle w:val="TableText0"/>
              <w:keepNext/>
              <w:jc w:val="center"/>
            </w:pPr>
            <w:r w:rsidRPr="005C333D">
              <w:t>-</w:t>
            </w:r>
          </w:p>
        </w:tc>
        <w:tc>
          <w:tcPr>
            <w:tcW w:w="830" w:type="dxa"/>
            <w:vAlign w:val="center"/>
          </w:tcPr>
          <w:p w:rsidR="001D7E7D" w:rsidRPr="005C333D" w:rsidRDefault="001D7E7D" w:rsidP="00CD26DE">
            <w:pPr>
              <w:pStyle w:val="TableText0"/>
              <w:keepNext/>
              <w:jc w:val="center"/>
            </w:pPr>
            <w:r w:rsidRPr="005C333D">
              <w:t>-</w:t>
            </w:r>
          </w:p>
        </w:tc>
        <w:tc>
          <w:tcPr>
            <w:tcW w:w="330" w:type="dxa"/>
            <w:vAlign w:val="center"/>
          </w:tcPr>
          <w:p w:rsidR="001D7E7D" w:rsidRPr="005C333D" w:rsidRDefault="001D7E7D" w:rsidP="00CD26DE">
            <w:pPr>
              <w:pStyle w:val="TableText0"/>
              <w:keepNext/>
              <w:jc w:val="center"/>
            </w:pPr>
            <w:r w:rsidRPr="005C333D">
              <w:t>-</w:t>
            </w:r>
          </w:p>
        </w:tc>
        <w:tc>
          <w:tcPr>
            <w:tcW w:w="822" w:type="dxa"/>
            <w:vAlign w:val="center"/>
          </w:tcPr>
          <w:p w:rsidR="001D7E7D" w:rsidRPr="005C333D" w:rsidRDefault="001D7E7D" w:rsidP="00CD26DE">
            <w:pPr>
              <w:pStyle w:val="TableText0"/>
              <w:keepNext/>
              <w:jc w:val="center"/>
            </w:pPr>
            <w:r w:rsidRPr="005C333D">
              <w:t>-</w:t>
            </w:r>
          </w:p>
        </w:tc>
        <w:tc>
          <w:tcPr>
            <w:tcW w:w="631" w:type="dxa"/>
            <w:vAlign w:val="center"/>
          </w:tcPr>
          <w:p w:rsidR="001D7E7D" w:rsidRPr="005C333D" w:rsidRDefault="001D7E7D" w:rsidP="00CD26DE">
            <w:pPr>
              <w:pStyle w:val="TableText0"/>
              <w:keepNext/>
              <w:jc w:val="center"/>
            </w:pPr>
            <w:r w:rsidRPr="005C333D">
              <w:t>-</w:t>
            </w:r>
          </w:p>
        </w:tc>
        <w:tc>
          <w:tcPr>
            <w:tcW w:w="932" w:type="dxa"/>
            <w:vAlign w:val="center"/>
          </w:tcPr>
          <w:p w:rsidR="001D7E7D" w:rsidRPr="005C333D" w:rsidRDefault="001D7E7D" w:rsidP="00CD26DE">
            <w:pPr>
              <w:pStyle w:val="TableText0"/>
              <w:keepNext/>
              <w:jc w:val="center"/>
            </w:pPr>
            <w:r w:rsidRPr="005C333D">
              <w:t>-</w:t>
            </w:r>
          </w:p>
        </w:tc>
        <w:tc>
          <w:tcPr>
            <w:tcW w:w="1093" w:type="dxa"/>
            <w:vAlign w:val="center"/>
          </w:tcPr>
          <w:p w:rsidR="001D7E7D" w:rsidRPr="005C333D" w:rsidRDefault="001D7E7D" w:rsidP="00CD26DE">
            <w:pPr>
              <w:pStyle w:val="TableText0"/>
              <w:keepNext/>
              <w:jc w:val="center"/>
            </w:pPr>
            <w:r w:rsidRPr="005C333D">
              <w:rPr>
                <w:szCs w:val="20"/>
              </w:rPr>
              <w:t xml:space="preserve">-0.25 </w:t>
            </w:r>
            <w:r w:rsidR="005C15A2" w:rsidRPr="005C333D">
              <w:rPr>
                <w:szCs w:val="20"/>
              </w:rPr>
              <w:br/>
            </w:r>
            <w:r w:rsidRPr="005C333D">
              <w:rPr>
                <w:szCs w:val="20"/>
              </w:rPr>
              <w:t>(-0.40, -0.11)</w:t>
            </w:r>
          </w:p>
        </w:tc>
        <w:tc>
          <w:tcPr>
            <w:tcW w:w="0" w:type="auto"/>
            <w:vAlign w:val="center"/>
          </w:tcPr>
          <w:p w:rsidR="001D7E7D" w:rsidRPr="005C333D" w:rsidRDefault="001D7E7D" w:rsidP="00CD26DE">
            <w:pPr>
              <w:pStyle w:val="TableText0"/>
              <w:keepNext/>
              <w:jc w:val="center"/>
              <w:rPr>
                <w:b/>
                <w:bCs w:val="0"/>
              </w:rPr>
            </w:pPr>
            <w:r w:rsidRPr="005C333D">
              <w:rPr>
                <w:b/>
                <w:bCs w:val="0"/>
              </w:rPr>
              <w:t>0.0008</w:t>
            </w:r>
          </w:p>
        </w:tc>
      </w:tr>
    </w:tbl>
    <w:p w:rsidR="00AB7A4D" w:rsidRPr="005C333D" w:rsidRDefault="00AB7A4D" w:rsidP="00AB7A4D">
      <w:pPr>
        <w:pStyle w:val="TableFigureFooter"/>
        <w:rPr>
          <w:rFonts w:eastAsia="Calibri"/>
        </w:rPr>
      </w:pPr>
      <w:r w:rsidRPr="005C333D">
        <w:rPr>
          <w:rFonts w:eastAsia="Calibri"/>
        </w:rPr>
        <w:t xml:space="preserve">CI = confidence interval; </w:t>
      </w:r>
      <w:r w:rsidR="00AA6DA3" w:rsidRPr="005C333D">
        <w:rPr>
          <w:rFonts w:eastAsia="Calibri"/>
        </w:rPr>
        <w:t xml:space="preserve">CFS = corneal fluorescent staining; FAS = full analysis set; LOCF = last observation carried forward; </w:t>
      </w:r>
      <w:r w:rsidRPr="005C333D">
        <w:rPr>
          <w:rFonts w:eastAsia="Calibri"/>
        </w:rPr>
        <w:t>OR</w:t>
      </w:r>
      <w:r w:rsidR="00AA6DA3" w:rsidRPr="005C333D">
        <w:rPr>
          <w:rFonts w:eastAsia="Calibri"/>
        </w:rPr>
        <w:t xml:space="preserve"> </w:t>
      </w:r>
      <w:r w:rsidRPr="005C333D">
        <w:rPr>
          <w:rFonts w:eastAsia="Calibri"/>
        </w:rPr>
        <w:t>=</w:t>
      </w:r>
      <w:r w:rsidR="00AA6DA3" w:rsidRPr="005C333D">
        <w:rPr>
          <w:rFonts w:eastAsia="Calibri"/>
        </w:rPr>
        <w:t xml:space="preserve"> </w:t>
      </w:r>
      <w:r w:rsidRPr="005C333D">
        <w:rPr>
          <w:rFonts w:eastAsia="Calibri"/>
        </w:rPr>
        <w:t>odd</w:t>
      </w:r>
      <w:r w:rsidR="00AA6DA3" w:rsidRPr="005C333D">
        <w:rPr>
          <w:rFonts w:eastAsia="Calibri"/>
        </w:rPr>
        <w:t>s</w:t>
      </w:r>
      <w:r w:rsidRPr="005C333D">
        <w:rPr>
          <w:rFonts w:eastAsia="Calibri"/>
        </w:rPr>
        <w:t xml:space="preserve"> ratio; SD</w:t>
      </w:r>
      <w:r w:rsidR="00AA6DA3" w:rsidRPr="005C333D">
        <w:rPr>
          <w:rFonts w:eastAsia="Calibri"/>
        </w:rPr>
        <w:t xml:space="preserve"> </w:t>
      </w:r>
      <w:r w:rsidRPr="005C333D">
        <w:rPr>
          <w:rFonts w:eastAsia="Calibri"/>
        </w:rPr>
        <w:t xml:space="preserve">= standard deviation; </w:t>
      </w:r>
      <w:r w:rsidR="00AA6DA3" w:rsidRPr="005C333D">
        <w:rPr>
          <w:rFonts w:eastAsia="Calibri"/>
        </w:rPr>
        <w:t>SG = subgroup</w:t>
      </w:r>
      <w:r w:rsidRPr="005C333D">
        <w:rPr>
          <w:rFonts w:eastAsia="Calibri"/>
        </w:rPr>
        <w:t xml:space="preserve">. </w:t>
      </w:r>
      <w:r w:rsidRPr="005C333D">
        <w:rPr>
          <w:rFonts w:eastAsia="Calibri"/>
          <w:b/>
        </w:rPr>
        <w:t>Bold</w:t>
      </w:r>
      <w:r w:rsidRPr="005C333D">
        <w:rPr>
          <w:rFonts w:eastAsia="Calibri"/>
        </w:rPr>
        <w:t xml:space="preserve"> indicates statistically significant results.</w:t>
      </w:r>
    </w:p>
    <w:p w:rsidR="00AB7A4D" w:rsidRPr="005C333D" w:rsidRDefault="00AB7A4D" w:rsidP="00AB7A4D">
      <w:pPr>
        <w:pStyle w:val="TableFigureFooter"/>
        <w:rPr>
          <w:sz w:val="20"/>
        </w:rPr>
      </w:pPr>
      <w:r w:rsidRPr="005C333D">
        <w:t>Source: Table 2.5.2, p69</w:t>
      </w:r>
      <w:r w:rsidR="001D7E7D" w:rsidRPr="005C333D">
        <w:t xml:space="preserve"> and Table 2.6.4, p88 of the submission</w:t>
      </w:r>
      <w:r w:rsidRPr="005C333D">
        <w:t xml:space="preserve"> of the submission.</w:t>
      </w:r>
    </w:p>
    <w:p w:rsidR="00822929" w:rsidRPr="005C333D" w:rsidRDefault="00822929" w:rsidP="00186556">
      <w:pPr>
        <w:pStyle w:val="TableFigureFooter"/>
      </w:pPr>
    </w:p>
    <w:p w:rsidR="00272646" w:rsidRPr="005C333D" w:rsidRDefault="0036376E" w:rsidP="00F738EC">
      <w:pPr>
        <w:pStyle w:val="ListBullet"/>
        <w:keepNext/>
        <w:ind w:left="357" w:hanging="357"/>
      </w:pPr>
      <w:r w:rsidRPr="005C333D">
        <w:rPr>
          <w:rStyle w:val="CommentReference"/>
          <w:szCs w:val="24"/>
        </w:rPr>
        <w:t>Table</w:t>
      </w:r>
      <w:r w:rsidR="002A1195" w:rsidRPr="005C333D">
        <w:rPr>
          <w:rStyle w:val="CommentReference"/>
          <w:szCs w:val="24"/>
        </w:rPr>
        <w:t xml:space="preserve"> </w:t>
      </w:r>
      <w:r w:rsidR="00656DC5" w:rsidRPr="005C333D">
        <w:rPr>
          <w:rStyle w:val="CommentReference"/>
          <w:szCs w:val="24"/>
        </w:rPr>
        <w:t>5</w:t>
      </w:r>
      <w:r w:rsidRPr="005C333D">
        <w:rPr>
          <w:rStyle w:val="CommentReference"/>
          <w:szCs w:val="24"/>
        </w:rPr>
        <w:t>:</w:t>
      </w:r>
      <w:r w:rsidR="00BF2C5E" w:rsidRPr="005C333D">
        <w:rPr>
          <w:rStyle w:val="CommentReference"/>
          <w:szCs w:val="24"/>
        </w:rPr>
        <w:t xml:space="preserve"> </w:t>
      </w:r>
      <w:r w:rsidR="001B2B6D" w:rsidRPr="005C333D">
        <w:rPr>
          <w:rStyle w:val="CommentReference"/>
          <w:szCs w:val="24"/>
        </w:rPr>
        <w:t>Results of CFS-OSDI response across the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93"/>
        <w:gridCol w:w="1174"/>
        <w:gridCol w:w="1059"/>
        <w:gridCol w:w="1396"/>
        <w:gridCol w:w="1253"/>
        <w:gridCol w:w="920"/>
      </w:tblGrid>
      <w:tr w:rsidR="00A92DB3" w:rsidRPr="005C333D" w:rsidTr="00A92DB3">
        <w:trPr>
          <w:tblHeader/>
        </w:trPr>
        <w:tc>
          <w:tcPr>
            <w:tcW w:w="1177" w:type="pct"/>
            <w:tcBorders>
              <w:bottom w:val="single" w:sz="4" w:space="0" w:color="auto"/>
            </w:tcBorders>
            <w:vAlign w:val="center"/>
          </w:tcPr>
          <w:p w:rsidR="002C6DB6" w:rsidRPr="005C333D" w:rsidRDefault="002C6DB6" w:rsidP="00A92DB3">
            <w:pPr>
              <w:pStyle w:val="TableTitlecentred"/>
              <w:keepNext/>
              <w:jc w:val="left"/>
              <w:rPr>
                <w:rFonts w:ascii="Arial Narrow" w:hAnsi="Arial Narrow"/>
                <w:sz w:val="20"/>
              </w:rPr>
            </w:pPr>
            <w:r w:rsidRPr="005C333D">
              <w:rPr>
                <w:rFonts w:ascii="Arial Narrow" w:hAnsi="Arial Narrow"/>
                <w:sz w:val="20"/>
              </w:rPr>
              <w:t>Trial ID</w:t>
            </w:r>
          </w:p>
        </w:tc>
        <w:tc>
          <w:tcPr>
            <w:tcW w:w="606" w:type="pct"/>
            <w:tcBorders>
              <w:bottom w:val="single" w:sz="4" w:space="0" w:color="auto"/>
            </w:tcBorders>
            <w:vAlign w:val="center"/>
          </w:tcPr>
          <w:p w:rsidR="002C6DB6" w:rsidRPr="005C333D" w:rsidRDefault="002C6DB6" w:rsidP="00A92DB3">
            <w:pPr>
              <w:pStyle w:val="TableTitlecentred"/>
              <w:keepNext/>
              <w:rPr>
                <w:rFonts w:ascii="Arial Narrow" w:hAnsi="Arial Narrow"/>
                <w:sz w:val="20"/>
              </w:rPr>
            </w:pPr>
            <w:r w:rsidRPr="005C333D">
              <w:rPr>
                <w:rFonts w:ascii="Arial Narrow" w:hAnsi="Arial Narrow"/>
                <w:sz w:val="20"/>
              </w:rPr>
              <w:t>Endpoint</w:t>
            </w:r>
          </w:p>
        </w:tc>
        <w:tc>
          <w:tcPr>
            <w:tcW w:w="651" w:type="pct"/>
            <w:tcBorders>
              <w:bottom w:val="single" w:sz="4" w:space="0" w:color="auto"/>
            </w:tcBorders>
            <w:vAlign w:val="center"/>
          </w:tcPr>
          <w:p w:rsidR="002C6DB6" w:rsidRPr="005C333D" w:rsidRDefault="002C6DB6" w:rsidP="00A92DB3">
            <w:pPr>
              <w:pStyle w:val="TableTitlecentred"/>
              <w:keepNext/>
              <w:rPr>
                <w:rFonts w:ascii="Arial Narrow" w:hAnsi="Arial Narrow"/>
                <w:sz w:val="20"/>
              </w:rPr>
            </w:pPr>
            <w:r w:rsidRPr="005C333D">
              <w:rPr>
                <w:rFonts w:ascii="Arial Narrow" w:hAnsi="Arial Narrow"/>
                <w:sz w:val="20"/>
              </w:rPr>
              <w:t>Ciclosporin</w:t>
            </w:r>
          </w:p>
          <w:p w:rsidR="002C6DB6" w:rsidRPr="005C333D" w:rsidRDefault="002C6DB6" w:rsidP="00A92DB3">
            <w:pPr>
              <w:pStyle w:val="TableTitlecentred"/>
              <w:keepNext/>
              <w:rPr>
                <w:rFonts w:ascii="Arial Narrow" w:hAnsi="Arial Narrow"/>
                <w:sz w:val="20"/>
              </w:rPr>
            </w:pPr>
            <w:r w:rsidRPr="005C333D">
              <w:rPr>
                <w:rFonts w:ascii="Arial Narrow" w:hAnsi="Arial Narrow"/>
                <w:sz w:val="20"/>
              </w:rPr>
              <w:t>n/N (%)</w:t>
            </w:r>
          </w:p>
        </w:tc>
        <w:tc>
          <w:tcPr>
            <w:tcW w:w="587" w:type="pct"/>
            <w:tcBorders>
              <w:bottom w:val="single" w:sz="4" w:space="0" w:color="auto"/>
            </w:tcBorders>
            <w:vAlign w:val="center"/>
          </w:tcPr>
          <w:p w:rsidR="002C6DB6" w:rsidRPr="005C333D" w:rsidRDefault="002C6DB6" w:rsidP="00A92DB3">
            <w:pPr>
              <w:pStyle w:val="TableTitlecentred"/>
              <w:keepNext/>
              <w:rPr>
                <w:rFonts w:ascii="Arial Narrow" w:hAnsi="Arial Narrow"/>
                <w:sz w:val="20"/>
              </w:rPr>
            </w:pPr>
            <w:r w:rsidRPr="005C333D">
              <w:rPr>
                <w:rFonts w:ascii="Arial Narrow" w:hAnsi="Arial Narrow"/>
                <w:sz w:val="20"/>
              </w:rPr>
              <w:t>Vehicle</w:t>
            </w:r>
          </w:p>
          <w:p w:rsidR="002C6DB6" w:rsidRPr="005C333D" w:rsidRDefault="002C6DB6" w:rsidP="00A92DB3">
            <w:pPr>
              <w:pStyle w:val="TableTitlecentred"/>
              <w:keepNext/>
              <w:rPr>
                <w:rFonts w:ascii="Arial Narrow" w:hAnsi="Arial Narrow"/>
                <w:sz w:val="20"/>
              </w:rPr>
            </w:pPr>
            <w:r w:rsidRPr="005C333D">
              <w:rPr>
                <w:rFonts w:ascii="Arial Narrow" w:hAnsi="Arial Narrow"/>
                <w:sz w:val="20"/>
              </w:rPr>
              <w:t>n/N (%)</w:t>
            </w:r>
          </w:p>
        </w:tc>
        <w:tc>
          <w:tcPr>
            <w:tcW w:w="774" w:type="pct"/>
            <w:tcBorders>
              <w:bottom w:val="single" w:sz="4" w:space="0" w:color="auto"/>
            </w:tcBorders>
            <w:vAlign w:val="center"/>
          </w:tcPr>
          <w:p w:rsidR="002C6DB6" w:rsidRPr="005C333D" w:rsidRDefault="002C6DB6" w:rsidP="00A92DB3">
            <w:pPr>
              <w:pStyle w:val="TableTitlecentred"/>
              <w:keepNext/>
              <w:rPr>
                <w:rFonts w:ascii="Arial Narrow" w:hAnsi="Arial Narrow"/>
                <w:sz w:val="20"/>
              </w:rPr>
            </w:pPr>
            <w:r w:rsidRPr="005C333D">
              <w:rPr>
                <w:rFonts w:ascii="Arial Narrow" w:hAnsi="Arial Narrow"/>
                <w:sz w:val="20"/>
              </w:rPr>
              <w:t>Risk difference (95%</w:t>
            </w:r>
            <w:r w:rsidR="00141938" w:rsidRPr="005C333D">
              <w:rPr>
                <w:rFonts w:ascii="Arial Narrow" w:hAnsi="Arial Narrow"/>
                <w:sz w:val="20"/>
              </w:rPr>
              <w:t xml:space="preserve"> </w:t>
            </w:r>
            <w:r w:rsidRPr="005C333D">
              <w:rPr>
                <w:rFonts w:ascii="Arial Narrow" w:hAnsi="Arial Narrow"/>
                <w:sz w:val="20"/>
              </w:rPr>
              <w:t>CI)</w:t>
            </w:r>
          </w:p>
        </w:tc>
        <w:tc>
          <w:tcPr>
            <w:tcW w:w="695" w:type="pct"/>
            <w:tcBorders>
              <w:bottom w:val="single" w:sz="4" w:space="0" w:color="auto"/>
            </w:tcBorders>
            <w:vAlign w:val="center"/>
          </w:tcPr>
          <w:p w:rsidR="002C6DB6" w:rsidRPr="005C333D" w:rsidRDefault="002C6DB6" w:rsidP="00A92DB3">
            <w:pPr>
              <w:pStyle w:val="TableTitlecentred"/>
              <w:keepNext/>
              <w:rPr>
                <w:rFonts w:ascii="Arial Narrow" w:hAnsi="Arial Narrow"/>
                <w:sz w:val="20"/>
              </w:rPr>
            </w:pPr>
            <w:r w:rsidRPr="005C333D">
              <w:rPr>
                <w:rFonts w:ascii="Arial Narrow" w:hAnsi="Arial Narrow"/>
                <w:sz w:val="20"/>
              </w:rPr>
              <w:t xml:space="preserve">Odds ratio </w:t>
            </w:r>
            <w:r w:rsidRPr="005C333D">
              <w:rPr>
                <w:rFonts w:ascii="Arial Narrow" w:hAnsi="Arial Narrow"/>
                <w:sz w:val="20"/>
              </w:rPr>
              <w:br/>
              <w:t>(95%</w:t>
            </w:r>
            <w:r w:rsidR="00141938" w:rsidRPr="005C333D">
              <w:rPr>
                <w:rFonts w:ascii="Arial Narrow" w:hAnsi="Arial Narrow"/>
                <w:sz w:val="20"/>
              </w:rPr>
              <w:t xml:space="preserve"> </w:t>
            </w:r>
            <w:r w:rsidRPr="005C333D">
              <w:rPr>
                <w:rFonts w:ascii="Arial Narrow" w:hAnsi="Arial Narrow"/>
                <w:sz w:val="20"/>
              </w:rPr>
              <w:t>CI)</w:t>
            </w:r>
          </w:p>
        </w:tc>
        <w:tc>
          <w:tcPr>
            <w:tcW w:w="510" w:type="pct"/>
            <w:tcBorders>
              <w:bottom w:val="single" w:sz="4" w:space="0" w:color="auto"/>
            </w:tcBorders>
            <w:vAlign w:val="center"/>
          </w:tcPr>
          <w:p w:rsidR="002C6DB6" w:rsidRPr="005C333D" w:rsidRDefault="002C6DB6" w:rsidP="00A92DB3">
            <w:pPr>
              <w:pStyle w:val="TableTitlecentred"/>
              <w:keepNext/>
              <w:rPr>
                <w:rFonts w:ascii="Arial Narrow" w:hAnsi="Arial Narrow"/>
                <w:sz w:val="20"/>
              </w:rPr>
            </w:pPr>
            <w:r w:rsidRPr="005C333D">
              <w:rPr>
                <w:rFonts w:ascii="Arial Narrow" w:hAnsi="Arial Narrow"/>
                <w:sz w:val="20"/>
              </w:rPr>
              <w:t>p-value</w:t>
            </w:r>
          </w:p>
        </w:tc>
      </w:tr>
      <w:tr w:rsidR="00A92DB3" w:rsidRPr="005C333D" w:rsidTr="00A92DB3">
        <w:tc>
          <w:tcPr>
            <w:tcW w:w="1177" w:type="pct"/>
            <w:tcBorders>
              <w:top w:val="single" w:sz="4" w:space="0" w:color="auto"/>
              <w:left w:val="single" w:sz="4" w:space="0" w:color="auto"/>
              <w:bottom w:val="single" w:sz="4" w:space="0" w:color="auto"/>
              <w:right w:val="nil"/>
            </w:tcBorders>
            <w:shd w:val="clear" w:color="auto" w:fill="D9D9D9" w:themeFill="background1" w:themeFillShade="D9"/>
            <w:vAlign w:val="center"/>
          </w:tcPr>
          <w:p w:rsidR="002C6DB6" w:rsidRPr="005C333D" w:rsidRDefault="002C6DB6" w:rsidP="00A92DB3">
            <w:pPr>
              <w:pStyle w:val="TableTextleftalign"/>
              <w:keepNext/>
              <w:widowControl w:val="0"/>
              <w:rPr>
                <w:rFonts w:ascii="Arial Narrow" w:hAnsi="Arial Narrow"/>
                <w:b/>
                <w:sz w:val="20"/>
                <w:szCs w:val="20"/>
              </w:rPr>
            </w:pPr>
            <w:r w:rsidRPr="005C333D">
              <w:rPr>
                <w:rFonts w:ascii="Arial Narrow" w:hAnsi="Arial Narrow"/>
                <w:b/>
                <w:sz w:val="20"/>
                <w:szCs w:val="20"/>
              </w:rPr>
              <w:t>Total population</w:t>
            </w:r>
          </w:p>
        </w:tc>
        <w:tc>
          <w:tcPr>
            <w:tcW w:w="606" w:type="pct"/>
            <w:tcBorders>
              <w:top w:val="single" w:sz="4" w:space="0" w:color="auto"/>
              <w:left w:val="nil"/>
              <w:bottom w:val="single" w:sz="4" w:space="0" w:color="auto"/>
              <w:right w:val="nil"/>
            </w:tcBorders>
            <w:shd w:val="clear" w:color="auto" w:fill="D9D9D9" w:themeFill="background1" w:themeFillShade="D9"/>
            <w:vAlign w:val="center"/>
          </w:tcPr>
          <w:p w:rsidR="002C6DB6" w:rsidRPr="005C333D" w:rsidRDefault="002C6DB6" w:rsidP="00A92DB3">
            <w:pPr>
              <w:pStyle w:val="TableTextleftalign"/>
              <w:keepNext/>
              <w:widowControl w:val="0"/>
              <w:jc w:val="center"/>
              <w:rPr>
                <w:rFonts w:ascii="Arial Narrow" w:hAnsi="Arial Narrow"/>
                <w:b/>
                <w:sz w:val="20"/>
                <w:szCs w:val="20"/>
              </w:rPr>
            </w:pPr>
          </w:p>
        </w:tc>
        <w:tc>
          <w:tcPr>
            <w:tcW w:w="651" w:type="pct"/>
            <w:tcBorders>
              <w:top w:val="single" w:sz="4" w:space="0" w:color="auto"/>
              <w:left w:val="nil"/>
              <w:bottom w:val="single" w:sz="4" w:space="0" w:color="auto"/>
              <w:right w:val="nil"/>
            </w:tcBorders>
            <w:shd w:val="clear" w:color="auto" w:fill="D9D9D9" w:themeFill="background1" w:themeFillShade="D9"/>
            <w:vAlign w:val="center"/>
          </w:tcPr>
          <w:p w:rsidR="002C6DB6" w:rsidRPr="005C333D" w:rsidRDefault="002C6DB6" w:rsidP="00A92DB3">
            <w:pPr>
              <w:pStyle w:val="TableTextleftalign"/>
              <w:keepNext/>
              <w:widowControl w:val="0"/>
              <w:jc w:val="center"/>
              <w:rPr>
                <w:rFonts w:ascii="Arial Narrow" w:hAnsi="Arial Narrow"/>
                <w:b/>
                <w:sz w:val="20"/>
                <w:szCs w:val="20"/>
              </w:rPr>
            </w:pPr>
          </w:p>
        </w:tc>
        <w:tc>
          <w:tcPr>
            <w:tcW w:w="587" w:type="pct"/>
            <w:tcBorders>
              <w:top w:val="single" w:sz="4" w:space="0" w:color="auto"/>
              <w:left w:val="nil"/>
              <w:bottom w:val="single" w:sz="4" w:space="0" w:color="auto"/>
              <w:right w:val="nil"/>
            </w:tcBorders>
            <w:shd w:val="clear" w:color="auto" w:fill="D9D9D9" w:themeFill="background1" w:themeFillShade="D9"/>
            <w:vAlign w:val="center"/>
          </w:tcPr>
          <w:p w:rsidR="002C6DB6" w:rsidRPr="005C333D" w:rsidRDefault="002C6DB6" w:rsidP="00A92DB3">
            <w:pPr>
              <w:pStyle w:val="TableTextleftalign"/>
              <w:keepNext/>
              <w:widowControl w:val="0"/>
              <w:jc w:val="center"/>
              <w:rPr>
                <w:rFonts w:ascii="Arial Narrow" w:hAnsi="Arial Narrow"/>
                <w:b/>
                <w:sz w:val="20"/>
                <w:szCs w:val="20"/>
              </w:rPr>
            </w:pPr>
          </w:p>
        </w:tc>
        <w:tc>
          <w:tcPr>
            <w:tcW w:w="774" w:type="pct"/>
            <w:tcBorders>
              <w:top w:val="single" w:sz="4" w:space="0" w:color="auto"/>
              <w:left w:val="nil"/>
              <w:bottom w:val="single" w:sz="4" w:space="0" w:color="auto"/>
              <w:right w:val="nil"/>
            </w:tcBorders>
            <w:shd w:val="clear" w:color="auto" w:fill="D9D9D9" w:themeFill="background1" w:themeFillShade="D9"/>
            <w:vAlign w:val="center"/>
          </w:tcPr>
          <w:p w:rsidR="002C6DB6" w:rsidRPr="005C333D" w:rsidRDefault="002C6DB6" w:rsidP="00A92DB3">
            <w:pPr>
              <w:pStyle w:val="TableTextleftalign"/>
              <w:keepNext/>
              <w:widowControl w:val="0"/>
              <w:jc w:val="center"/>
              <w:rPr>
                <w:rFonts w:ascii="Arial Narrow" w:hAnsi="Arial Narrow"/>
                <w:b/>
                <w:sz w:val="20"/>
                <w:szCs w:val="20"/>
              </w:rPr>
            </w:pPr>
          </w:p>
        </w:tc>
        <w:tc>
          <w:tcPr>
            <w:tcW w:w="695" w:type="pct"/>
            <w:tcBorders>
              <w:top w:val="single" w:sz="4" w:space="0" w:color="auto"/>
              <w:left w:val="nil"/>
              <w:bottom w:val="single" w:sz="4" w:space="0" w:color="auto"/>
              <w:right w:val="nil"/>
            </w:tcBorders>
            <w:shd w:val="clear" w:color="auto" w:fill="D9D9D9" w:themeFill="background1" w:themeFillShade="D9"/>
            <w:vAlign w:val="center"/>
          </w:tcPr>
          <w:p w:rsidR="002C6DB6" w:rsidRPr="005C333D" w:rsidRDefault="002C6DB6" w:rsidP="00A92DB3">
            <w:pPr>
              <w:pStyle w:val="TableTextleftalign"/>
              <w:keepNext/>
              <w:widowControl w:val="0"/>
              <w:jc w:val="center"/>
              <w:rPr>
                <w:rFonts w:ascii="Arial Narrow" w:hAnsi="Arial Narrow"/>
                <w:b/>
                <w:sz w:val="20"/>
                <w:szCs w:val="20"/>
              </w:rPr>
            </w:pPr>
          </w:p>
        </w:tc>
        <w:tc>
          <w:tcPr>
            <w:tcW w:w="510"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2C6DB6" w:rsidRPr="005C333D" w:rsidRDefault="002C6DB6" w:rsidP="00A92DB3">
            <w:pPr>
              <w:pStyle w:val="TableTextleftalign"/>
              <w:keepNext/>
              <w:widowControl w:val="0"/>
              <w:jc w:val="center"/>
              <w:rPr>
                <w:rFonts w:ascii="Arial Narrow" w:hAnsi="Arial Narrow"/>
                <w:b/>
                <w:sz w:val="20"/>
                <w:szCs w:val="20"/>
              </w:rPr>
            </w:pP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sz w:val="20"/>
                <w:szCs w:val="20"/>
              </w:rPr>
              <w:t>Improvement ≥ 2 grades (CFS) and 30% (OSDI)</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r>
      <w:tr w:rsidR="00A92DB3" w:rsidRPr="005C333D" w:rsidTr="00A92DB3">
        <w:tc>
          <w:tcPr>
            <w:tcW w:w="1177" w:type="pct"/>
            <w:tcBorders>
              <w:top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SANSIKA</w:t>
            </w:r>
          </w:p>
        </w:tc>
        <w:tc>
          <w:tcPr>
            <w:tcW w:w="606"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Primary</w:t>
            </w:r>
          </w:p>
        </w:tc>
        <w:tc>
          <w:tcPr>
            <w:tcW w:w="651"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44/154 (28.6)</w:t>
            </w:r>
          </w:p>
        </w:tc>
        <w:tc>
          <w:tcPr>
            <w:tcW w:w="587"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21/91 (23.1)</w:t>
            </w:r>
          </w:p>
        </w:tc>
        <w:tc>
          <w:tcPr>
            <w:tcW w:w="774"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0.05 </w:t>
            </w:r>
            <w:r w:rsidR="005C15A2" w:rsidRPr="005C333D">
              <w:rPr>
                <w:rFonts w:ascii="Arial Narrow" w:hAnsi="Arial Narrow"/>
                <w:sz w:val="20"/>
                <w:szCs w:val="20"/>
              </w:rPr>
              <w:br/>
            </w:r>
            <w:r w:rsidRPr="005C333D">
              <w:rPr>
                <w:rFonts w:ascii="Arial Narrow" w:hAnsi="Arial Narrow"/>
                <w:sz w:val="20"/>
                <w:szCs w:val="20"/>
              </w:rPr>
              <w:t>(-0.06, 0.17)</w:t>
            </w:r>
          </w:p>
        </w:tc>
        <w:tc>
          <w:tcPr>
            <w:tcW w:w="695"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1.36</w:t>
            </w:r>
            <w:r w:rsidR="005C15A2" w:rsidRPr="005C333D">
              <w:rPr>
                <w:rFonts w:ascii="Arial Narrow" w:hAnsi="Arial Narrow"/>
                <w:sz w:val="20"/>
                <w:szCs w:val="20"/>
              </w:rPr>
              <w:br/>
            </w:r>
            <w:r w:rsidRPr="005C333D">
              <w:rPr>
                <w:rFonts w:ascii="Arial Narrow" w:hAnsi="Arial Narrow"/>
                <w:sz w:val="20"/>
                <w:szCs w:val="20"/>
              </w:rPr>
              <w:t>(0.74, 2.54)</w:t>
            </w:r>
          </w:p>
        </w:tc>
        <w:tc>
          <w:tcPr>
            <w:tcW w:w="510"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0.326</w:t>
            </w:r>
          </w:p>
        </w:tc>
      </w:tr>
      <w:tr w:rsidR="00A92DB3" w:rsidRPr="005C333D" w:rsidTr="00A92DB3">
        <w:tc>
          <w:tcPr>
            <w:tcW w:w="1177" w:type="pct"/>
            <w:tcBorders>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w:t>
            </w:r>
          </w:p>
        </w:tc>
        <w:tc>
          <w:tcPr>
            <w:tcW w:w="606"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651"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587"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774"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695"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510"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b/>
                <w:bCs/>
                <w:sz w:val="20"/>
                <w:szCs w:val="20"/>
              </w:rPr>
            </w:pPr>
            <w:r w:rsidRPr="005C333D">
              <w:rPr>
                <w:rFonts w:ascii="Arial Narrow" w:hAnsi="Arial Narrow"/>
                <w:b/>
                <w:bCs/>
                <w:sz w:val="20"/>
                <w:szCs w:val="20"/>
              </w:rPr>
              <w:t>Improvement ≥ 2 grades (CFS)</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r>
      <w:tr w:rsidR="00A92DB3" w:rsidRPr="005C333D" w:rsidTr="00A92DB3">
        <w:tc>
          <w:tcPr>
            <w:tcW w:w="1177" w:type="pct"/>
            <w:tcBorders>
              <w:top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SANSIKA</w:t>
            </w:r>
          </w:p>
        </w:tc>
        <w:tc>
          <w:tcPr>
            <w:tcW w:w="606"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Secondary</w:t>
            </w:r>
          </w:p>
        </w:tc>
        <w:tc>
          <w:tcPr>
            <w:tcW w:w="651"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80/154 (51.9)</w:t>
            </w:r>
          </w:p>
        </w:tc>
        <w:tc>
          <w:tcPr>
            <w:tcW w:w="587"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41/91 (45.1)</w:t>
            </w:r>
          </w:p>
        </w:tc>
        <w:tc>
          <w:tcPr>
            <w:tcW w:w="774"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0.07 </w:t>
            </w:r>
            <w:r w:rsidR="005C15A2" w:rsidRPr="005C333D">
              <w:rPr>
                <w:rFonts w:ascii="Arial Narrow" w:hAnsi="Arial Narrow"/>
                <w:sz w:val="20"/>
                <w:szCs w:val="20"/>
              </w:rPr>
              <w:br/>
            </w:r>
            <w:r w:rsidRPr="005C333D">
              <w:rPr>
                <w:rFonts w:ascii="Arial Narrow" w:hAnsi="Arial Narrow"/>
                <w:sz w:val="20"/>
                <w:szCs w:val="20"/>
              </w:rPr>
              <w:t>(-0.06, 0.20)</w:t>
            </w:r>
          </w:p>
        </w:tc>
        <w:tc>
          <w:tcPr>
            <w:tcW w:w="695"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1.288 </w:t>
            </w:r>
            <w:r w:rsidR="005C15A2" w:rsidRPr="005C333D">
              <w:rPr>
                <w:rFonts w:ascii="Arial Narrow" w:hAnsi="Arial Narrow"/>
                <w:sz w:val="20"/>
                <w:szCs w:val="20"/>
              </w:rPr>
              <w:br/>
            </w:r>
            <w:r w:rsidRPr="005C333D">
              <w:rPr>
                <w:rFonts w:ascii="Arial Narrow" w:hAnsi="Arial Narrow"/>
                <w:sz w:val="20"/>
                <w:szCs w:val="20"/>
              </w:rPr>
              <w:t>(0.761, 2.185)</w:t>
            </w:r>
          </w:p>
        </w:tc>
        <w:tc>
          <w:tcPr>
            <w:tcW w:w="510"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0.346</w:t>
            </w:r>
          </w:p>
        </w:tc>
      </w:tr>
      <w:tr w:rsidR="00A92DB3" w:rsidRPr="005C333D" w:rsidTr="00A92DB3">
        <w:tc>
          <w:tcPr>
            <w:tcW w:w="1177" w:type="pct"/>
            <w:tcBorders>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w:t>
            </w:r>
          </w:p>
        </w:tc>
        <w:tc>
          <w:tcPr>
            <w:tcW w:w="606"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651"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587"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774"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695"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510"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b/>
                <w:bCs/>
                <w:sz w:val="20"/>
                <w:szCs w:val="20"/>
              </w:rPr>
            </w:pPr>
            <w:r w:rsidRPr="005C333D">
              <w:rPr>
                <w:rFonts w:ascii="Arial Narrow" w:hAnsi="Arial Narrow"/>
                <w:b/>
                <w:bCs/>
                <w:sz w:val="20"/>
                <w:szCs w:val="20"/>
              </w:rPr>
              <w:t>Improvement ≥ 30% (OSDI)</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r>
      <w:tr w:rsidR="00A92DB3" w:rsidRPr="005C333D" w:rsidTr="00A92DB3">
        <w:tc>
          <w:tcPr>
            <w:tcW w:w="1177" w:type="pct"/>
            <w:tcBorders>
              <w:top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SANSIKA</w:t>
            </w:r>
          </w:p>
        </w:tc>
        <w:tc>
          <w:tcPr>
            <w:tcW w:w="606"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Secondary</w:t>
            </w:r>
          </w:p>
        </w:tc>
        <w:tc>
          <w:tcPr>
            <w:tcW w:w="651"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61/154 (39.6)</w:t>
            </w:r>
          </w:p>
        </w:tc>
        <w:tc>
          <w:tcPr>
            <w:tcW w:w="587"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36/91 (39.6)</w:t>
            </w:r>
          </w:p>
        </w:tc>
        <w:tc>
          <w:tcPr>
            <w:tcW w:w="774"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0.00 </w:t>
            </w:r>
            <w:r w:rsidR="005C15A2" w:rsidRPr="005C333D">
              <w:rPr>
                <w:rFonts w:ascii="Arial Narrow" w:hAnsi="Arial Narrow"/>
                <w:sz w:val="20"/>
                <w:szCs w:val="20"/>
              </w:rPr>
              <w:br/>
            </w:r>
            <w:r w:rsidRPr="005C333D">
              <w:rPr>
                <w:rFonts w:ascii="Arial Narrow" w:hAnsi="Arial Narrow"/>
                <w:sz w:val="20"/>
                <w:szCs w:val="20"/>
              </w:rPr>
              <w:t>(-0.13, 0.13)</w:t>
            </w:r>
          </w:p>
        </w:tc>
        <w:tc>
          <w:tcPr>
            <w:tcW w:w="695"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1.021 </w:t>
            </w:r>
            <w:r w:rsidR="005C15A2" w:rsidRPr="005C333D">
              <w:rPr>
                <w:rFonts w:ascii="Arial Narrow" w:hAnsi="Arial Narrow"/>
                <w:sz w:val="20"/>
                <w:szCs w:val="20"/>
              </w:rPr>
              <w:br/>
            </w:r>
            <w:r w:rsidRPr="005C333D">
              <w:rPr>
                <w:rFonts w:ascii="Arial Narrow" w:hAnsi="Arial Narrow"/>
                <w:sz w:val="20"/>
                <w:szCs w:val="20"/>
              </w:rPr>
              <w:t>(0.598, 1.755)</w:t>
            </w:r>
          </w:p>
        </w:tc>
        <w:tc>
          <w:tcPr>
            <w:tcW w:w="510"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0.939</w:t>
            </w:r>
          </w:p>
        </w:tc>
      </w:tr>
      <w:tr w:rsidR="00A92DB3" w:rsidRPr="005C333D" w:rsidTr="00A92DB3">
        <w:tc>
          <w:tcPr>
            <w:tcW w:w="1177" w:type="pct"/>
            <w:tcBorders>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w:t>
            </w:r>
          </w:p>
        </w:tc>
        <w:tc>
          <w:tcPr>
            <w:tcW w:w="606"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651"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587"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p>
        </w:tc>
        <w:tc>
          <w:tcPr>
            <w:tcW w:w="774"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p>
        </w:tc>
        <w:tc>
          <w:tcPr>
            <w:tcW w:w="695"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p>
        </w:tc>
        <w:tc>
          <w:tcPr>
            <w:tcW w:w="510"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sz w:val="20"/>
                <w:szCs w:val="20"/>
              </w:rPr>
              <w:t>Improvement ≥ 3 grades (CFS) and 30% (OSDI)</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r>
      <w:tr w:rsidR="00A92DB3" w:rsidRPr="005C333D" w:rsidTr="00A92DB3">
        <w:tc>
          <w:tcPr>
            <w:tcW w:w="1177" w:type="pct"/>
            <w:tcBorders>
              <w:top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SANSIKA</w:t>
            </w:r>
          </w:p>
        </w:tc>
        <w:tc>
          <w:tcPr>
            <w:tcW w:w="606"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Post-hoc</w:t>
            </w:r>
          </w:p>
        </w:tc>
        <w:tc>
          <w:tcPr>
            <w:tcW w:w="651"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29/154 (18.8)</w:t>
            </w:r>
          </w:p>
        </w:tc>
        <w:tc>
          <w:tcPr>
            <w:tcW w:w="587"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7/91 </w:t>
            </w:r>
            <w:r w:rsidR="00A92DB3" w:rsidRPr="005C333D">
              <w:rPr>
                <w:rFonts w:ascii="Arial Narrow" w:hAnsi="Arial Narrow"/>
                <w:sz w:val="20"/>
                <w:szCs w:val="20"/>
              </w:rPr>
              <w:br/>
            </w:r>
            <w:r w:rsidRPr="005C333D">
              <w:rPr>
                <w:rFonts w:ascii="Arial Narrow" w:hAnsi="Arial Narrow"/>
                <w:sz w:val="20"/>
                <w:szCs w:val="20"/>
              </w:rPr>
              <w:t>(7.7)</w:t>
            </w:r>
          </w:p>
        </w:tc>
        <w:tc>
          <w:tcPr>
            <w:tcW w:w="774"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0.11 </w:t>
            </w:r>
            <w:r w:rsidR="005C15A2" w:rsidRPr="005C333D">
              <w:rPr>
                <w:rFonts w:ascii="Arial Narrow" w:hAnsi="Arial Narrow"/>
                <w:sz w:val="20"/>
                <w:szCs w:val="20"/>
              </w:rPr>
              <w:br/>
            </w:r>
            <w:r w:rsidRPr="005C333D">
              <w:rPr>
                <w:rFonts w:ascii="Arial Narrow" w:hAnsi="Arial Narrow"/>
                <w:sz w:val="20"/>
                <w:szCs w:val="20"/>
              </w:rPr>
              <w:t>(0.03, 0.19)</w:t>
            </w:r>
          </w:p>
        </w:tc>
        <w:tc>
          <w:tcPr>
            <w:tcW w:w="695"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2.95 </w:t>
            </w:r>
            <w:r w:rsidR="005C15A2" w:rsidRPr="005C333D">
              <w:rPr>
                <w:rFonts w:ascii="Arial Narrow" w:hAnsi="Arial Narrow"/>
                <w:sz w:val="20"/>
                <w:szCs w:val="20"/>
              </w:rPr>
              <w:br/>
            </w:r>
            <w:r w:rsidRPr="005C333D">
              <w:rPr>
                <w:rFonts w:ascii="Arial Narrow" w:hAnsi="Arial Narrow"/>
                <w:sz w:val="20"/>
                <w:szCs w:val="20"/>
              </w:rPr>
              <w:t>(1.28, 7.68)</w:t>
            </w:r>
          </w:p>
        </w:tc>
        <w:tc>
          <w:tcPr>
            <w:tcW w:w="510" w:type="pct"/>
            <w:tcBorders>
              <w:top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b/>
                <w:bCs/>
                <w:sz w:val="20"/>
                <w:szCs w:val="20"/>
              </w:rPr>
              <w:t>0.016</w:t>
            </w:r>
          </w:p>
        </w:tc>
      </w:tr>
      <w:tr w:rsidR="00A92DB3" w:rsidRPr="005C333D" w:rsidTr="00A92DB3">
        <w:tc>
          <w:tcPr>
            <w:tcW w:w="1177" w:type="pct"/>
            <w:tcBorders>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w:t>
            </w:r>
          </w:p>
        </w:tc>
        <w:tc>
          <w:tcPr>
            <w:tcW w:w="606"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651" w:type="pct"/>
            <w:tcBorders>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587"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774"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695"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510" w:type="pct"/>
            <w:tcBorders>
              <w:bottom w:val="single" w:sz="4" w:space="0" w:color="auto"/>
            </w:tcBorders>
            <w:vAlign w:val="center"/>
          </w:tcPr>
          <w:p w:rsidR="002C6DB6" w:rsidRPr="005C333D" w:rsidRDefault="00A92DB3" w:rsidP="00A92DB3">
            <w:pPr>
              <w:pStyle w:val="TableTextcentred"/>
              <w:keepNext/>
              <w:widowControl w:val="0"/>
              <w:rPr>
                <w:rFonts w:ascii="Arial Narrow" w:hAnsi="Arial Narrow"/>
                <w:b/>
                <w:bCs/>
                <w:sz w:val="20"/>
                <w:szCs w:val="20"/>
              </w:rPr>
            </w:pPr>
            <w:r w:rsidRPr="005C333D">
              <w:rPr>
                <w:rFonts w:ascii="Arial Narrow" w:hAnsi="Arial Narrow"/>
                <w:b/>
                <w:bCs/>
                <w:sz w:val="20"/>
                <w:szCs w:val="20"/>
              </w:rPr>
              <w:t>-</w:t>
            </w:r>
          </w:p>
        </w:tc>
      </w:tr>
      <w:tr w:rsidR="002C6DB6" w:rsidRPr="005C333D" w:rsidTr="00A92DB3">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bCs/>
                <w:sz w:val="20"/>
                <w:szCs w:val="20"/>
              </w:rPr>
              <w:t>PBS eligible subgroup – SICCANOVE (CFS=4; OSDI ≥ 23)</w:t>
            </w:r>
          </w:p>
        </w:tc>
      </w:tr>
      <w:tr w:rsidR="002C6DB6" w:rsidRPr="005C333D" w:rsidTr="00A92DB3">
        <w:tc>
          <w:tcPr>
            <w:tcW w:w="3021" w:type="pct"/>
            <w:gridSpan w:val="4"/>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bCs/>
                <w:sz w:val="20"/>
                <w:szCs w:val="20"/>
              </w:rPr>
              <w:t>Improvement ≥ 2 grades (CFS) and 30% (OSDI)</w:t>
            </w: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r>
      <w:tr w:rsidR="00A92DB3" w:rsidRPr="005C333D" w:rsidTr="00A92DB3">
        <w:tc>
          <w:tcPr>
            <w:tcW w:w="1177" w:type="pct"/>
            <w:tcBorders>
              <w:top w:val="single" w:sz="4" w:space="0" w:color="auto"/>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 CFS=4; OSDI</w:t>
            </w:r>
            <w:r w:rsidR="00DD24CF" w:rsidRPr="005C333D">
              <w:rPr>
                <w:rFonts w:ascii="Arial Narrow" w:hAnsi="Arial Narrow"/>
                <w:sz w:val="20"/>
                <w:szCs w:val="20"/>
              </w:rPr>
              <w:t xml:space="preserve"> </w:t>
            </w:r>
            <w:r w:rsidRPr="005C333D">
              <w:rPr>
                <w:rFonts w:ascii="Arial Narrow" w:hAnsi="Arial Narrow"/>
                <w:sz w:val="20"/>
                <w:szCs w:val="20"/>
              </w:rPr>
              <w:t>≥</w:t>
            </w:r>
            <w:r w:rsidR="00DD24CF" w:rsidRPr="005C333D">
              <w:rPr>
                <w:rFonts w:ascii="Arial Narrow" w:hAnsi="Arial Narrow"/>
                <w:sz w:val="20"/>
                <w:szCs w:val="20"/>
              </w:rPr>
              <w:t xml:space="preserve"> </w:t>
            </w:r>
            <w:r w:rsidRPr="005C333D">
              <w:rPr>
                <w:rFonts w:ascii="Arial Narrow" w:hAnsi="Arial Narrow"/>
                <w:sz w:val="20"/>
                <w:szCs w:val="20"/>
              </w:rPr>
              <w:t>23 (SG)</w:t>
            </w:r>
          </w:p>
        </w:tc>
        <w:tc>
          <w:tcPr>
            <w:tcW w:w="606"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Post-hoc</w:t>
            </w:r>
          </w:p>
        </w:tc>
        <w:tc>
          <w:tcPr>
            <w:tcW w:w="651"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12/39 </w:t>
            </w:r>
            <w:r w:rsidR="00A92DB3" w:rsidRPr="005C333D">
              <w:rPr>
                <w:rFonts w:ascii="Arial Narrow" w:hAnsi="Arial Narrow"/>
                <w:sz w:val="20"/>
                <w:szCs w:val="20"/>
              </w:rPr>
              <w:br/>
            </w:r>
            <w:r w:rsidRPr="005C333D">
              <w:rPr>
                <w:rFonts w:ascii="Arial Narrow" w:hAnsi="Arial Narrow"/>
                <w:sz w:val="20"/>
                <w:szCs w:val="20"/>
              </w:rPr>
              <w:t>(30.8)</w:t>
            </w:r>
          </w:p>
        </w:tc>
        <w:tc>
          <w:tcPr>
            <w:tcW w:w="587"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2/36 </w:t>
            </w:r>
            <w:r w:rsidR="00A92DB3" w:rsidRPr="005C333D">
              <w:rPr>
                <w:rFonts w:ascii="Arial Narrow" w:hAnsi="Arial Narrow"/>
                <w:sz w:val="20"/>
                <w:szCs w:val="20"/>
              </w:rPr>
              <w:br/>
            </w:r>
            <w:r w:rsidRPr="005C333D">
              <w:rPr>
                <w:rFonts w:ascii="Arial Narrow" w:hAnsi="Arial Narrow"/>
                <w:sz w:val="20"/>
                <w:szCs w:val="20"/>
              </w:rPr>
              <w:t>(5.6)</w:t>
            </w:r>
          </w:p>
        </w:tc>
        <w:tc>
          <w:tcPr>
            <w:tcW w:w="774" w:type="pct"/>
            <w:tcBorders>
              <w:top w:val="single" w:sz="4" w:space="0" w:color="auto"/>
              <w:bottom w:val="single" w:sz="4" w:space="0" w:color="auto"/>
            </w:tcBorders>
            <w:vAlign w:val="center"/>
          </w:tcPr>
          <w:p w:rsidR="005C15A2"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0.25</w:t>
            </w:r>
          </w:p>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(0.09, 0.42)</w:t>
            </w:r>
          </w:p>
        </w:tc>
        <w:tc>
          <w:tcPr>
            <w:tcW w:w="695" w:type="pct"/>
            <w:tcBorders>
              <w:top w:val="single" w:sz="4" w:space="0" w:color="auto"/>
              <w:bottom w:val="single" w:sz="4" w:space="0" w:color="auto"/>
            </w:tcBorders>
            <w:vAlign w:val="center"/>
          </w:tcPr>
          <w:p w:rsidR="005C15A2"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7.56</w:t>
            </w:r>
          </w:p>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(1.56, 36.68)</w:t>
            </w:r>
            <w:r w:rsidRPr="005C333D">
              <w:rPr>
                <w:rFonts w:ascii="Arial Narrow" w:hAnsi="Arial Narrow"/>
                <w:sz w:val="20"/>
                <w:szCs w:val="20"/>
                <w:vertAlign w:val="superscript"/>
              </w:rPr>
              <w:t>a</w:t>
            </w:r>
          </w:p>
        </w:tc>
        <w:tc>
          <w:tcPr>
            <w:tcW w:w="510"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b/>
                <w:bCs/>
                <w:sz w:val="20"/>
                <w:szCs w:val="20"/>
              </w:rPr>
            </w:pPr>
            <w:r w:rsidRPr="005C333D">
              <w:rPr>
                <w:rFonts w:ascii="Arial Narrow" w:hAnsi="Arial Narrow"/>
                <w:b/>
                <w:bCs/>
                <w:sz w:val="20"/>
                <w:szCs w:val="20"/>
              </w:rPr>
              <w:t>0.004</w:t>
            </w: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bCs/>
                <w:sz w:val="20"/>
                <w:szCs w:val="20"/>
              </w:rPr>
              <w:t>Improvement ≥ 2 grades (CFS)</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b/>
                <w:bCs/>
                <w:sz w:val="20"/>
                <w:szCs w:val="20"/>
              </w:rPr>
            </w:pPr>
          </w:p>
        </w:tc>
      </w:tr>
      <w:tr w:rsidR="00A92DB3" w:rsidRPr="005C333D" w:rsidTr="00A92DB3">
        <w:tc>
          <w:tcPr>
            <w:tcW w:w="1177" w:type="pct"/>
            <w:tcBorders>
              <w:top w:val="single" w:sz="4" w:space="0" w:color="auto"/>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 CFS=4; OSDI</w:t>
            </w:r>
            <w:r w:rsidR="00DD24CF" w:rsidRPr="005C333D">
              <w:rPr>
                <w:rFonts w:ascii="Arial Narrow" w:hAnsi="Arial Narrow"/>
                <w:sz w:val="20"/>
                <w:szCs w:val="20"/>
              </w:rPr>
              <w:t xml:space="preserve"> </w:t>
            </w:r>
            <w:r w:rsidRPr="005C333D">
              <w:rPr>
                <w:rFonts w:ascii="Arial Narrow" w:hAnsi="Arial Narrow"/>
                <w:sz w:val="20"/>
                <w:szCs w:val="20"/>
              </w:rPr>
              <w:t>≥</w:t>
            </w:r>
            <w:r w:rsidR="00DD24CF" w:rsidRPr="005C333D">
              <w:rPr>
                <w:rFonts w:ascii="Arial Narrow" w:hAnsi="Arial Narrow"/>
                <w:sz w:val="20"/>
                <w:szCs w:val="20"/>
              </w:rPr>
              <w:t xml:space="preserve"> </w:t>
            </w:r>
            <w:r w:rsidRPr="005C333D">
              <w:rPr>
                <w:rFonts w:ascii="Arial Narrow" w:hAnsi="Arial Narrow"/>
                <w:sz w:val="20"/>
                <w:szCs w:val="20"/>
              </w:rPr>
              <w:t>23 (SG)</w:t>
            </w:r>
          </w:p>
        </w:tc>
        <w:tc>
          <w:tcPr>
            <w:tcW w:w="606"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Post-hoc</w:t>
            </w:r>
          </w:p>
        </w:tc>
        <w:tc>
          <w:tcPr>
            <w:tcW w:w="651"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16/39 </w:t>
            </w:r>
            <w:r w:rsidR="00A92DB3" w:rsidRPr="005C333D">
              <w:rPr>
                <w:rFonts w:ascii="Arial Narrow" w:hAnsi="Arial Narrow"/>
                <w:sz w:val="20"/>
                <w:szCs w:val="20"/>
              </w:rPr>
              <w:br/>
            </w:r>
            <w:r w:rsidRPr="005C333D">
              <w:rPr>
                <w:rFonts w:ascii="Arial Narrow" w:hAnsi="Arial Narrow"/>
                <w:sz w:val="20"/>
                <w:szCs w:val="20"/>
              </w:rPr>
              <w:t>(41.0)</w:t>
            </w:r>
          </w:p>
        </w:tc>
        <w:tc>
          <w:tcPr>
            <w:tcW w:w="587"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6/36 </w:t>
            </w:r>
            <w:r w:rsidR="00A92DB3" w:rsidRPr="005C333D">
              <w:rPr>
                <w:rFonts w:ascii="Arial Narrow" w:hAnsi="Arial Narrow"/>
                <w:sz w:val="20"/>
                <w:szCs w:val="20"/>
              </w:rPr>
              <w:br/>
            </w:r>
            <w:r w:rsidRPr="005C333D">
              <w:rPr>
                <w:rFonts w:ascii="Arial Narrow" w:hAnsi="Arial Narrow"/>
                <w:sz w:val="20"/>
                <w:szCs w:val="20"/>
              </w:rPr>
              <w:t>(16.7)</w:t>
            </w:r>
          </w:p>
        </w:tc>
        <w:tc>
          <w:tcPr>
            <w:tcW w:w="774" w:type="pct"/>
            <w:tcBorders>
              <w:top w:val="single" w:sz="4" w:space="0" w:color="auto"/>
              <w:bottom w:val="single" w:sz="4" w:space="0" w:color="auto"/>
            </w:tcBorders>
            <w:vAlign w:val="center"/>
          </w:tcPr>
          <w:p w:rsidR="005C15A2"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0.24</w:t>
            </w:r>
          </w:p>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(0.05, 0.44)</w:t>
            </w:r>
          </w:p>
        </w:tc>
        <w:tc>
          <w:tcPr>
            <w:tcW w:w="695" w:type="pct"/>
            <w:tcBorders>
              <w:top w:val="single" w:sz="4" w:space="0" w:color="auto"/>
              <w:bottom w:val="single" w:sz="4" w:space="0" w:color="auto"/>
            </w:tcBorders>
            <w:vAlign w:val="center"/>
          </w:tcPr>
          <w:p w:rsidR="005C15A2"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3.48</w:t>
            </w:r>
          </w:p>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(1.18, 10.29)</w:t>
            </w:r>
            <w:r w:rsidRPr="005C333D">
              <w:rPr>
                <w:rFonts w:ascii="Arial Narrow" w:hAnsi="Arial Narrow"/>
                <w:sz w:val="20"/>
                <w:szCs w:val="20"/>
                <w:vertAlign w:val="superscript"/>
              </w:rPr>
              <w:t>a</w:t>
            </w:r>
          </w:p>
        </w:tc>
        <w:tc>
          <w:tcPr>
            <w:tcW w:w="510"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b/>
                <w:bCs/>
                <w:sz w:val="20"/>
                <w:szCs w:val="20"/>
              </w:rPr>
            </w:pPr>
            <w:r w:rsidRPr="005C333D">
              <w:rPr>
                <w:rFonts w:ascii="Arial Narrow" w:hAnsi="Arial Narrow"/>
                <w:b/>
                <w:bCs/>
                <w:sz w:val="20"/>
                <w:szCs w:val="20"/>
              </w:rPr>
              <w:t>0.013</w:t>
            </w: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bCs/>
                <w:sz w:val="20"/>
                <w:szCs w:val="20"/>
              </w:rPr>
              <w:t>Improvement ≥ 30% (OSDI)</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r>
      <w:tr w:rsidR="00A92DB3" w:rsidRPr="005C333D" w:rsidTr="00A92DB3">
        <w:tc>
          <w:tcPr>
            <w:tcW w:w="1177" w:type="pct"/>
            <w:tcBorders>
              <w:top w:val="single" w:sz="4" w:space="0" w:color="auto"/>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 CFS=4; OSDI</w:t>
            </w:r>
            <w:r w:rsidR="00DD24CF" w:rsidRPr="005C333D">
              <w:rPr>
                <w:rFonts w:ascii="Arial Narrow" w:hAnsi="Arial Narrow"/>
                <w:sz w:val="20"/>
                <w:szCs w:val="20"/>
              </w:rPr>
              <w:t xml:space="preserve"> </w:t>
            </w:r>
            <w:r w:rsidRPr="005C333D">
              <w:rPr>
                <w:rFonts w:ascii="Arial Narrow" w:hAnsi="Arial Narrow"/>
                <w:sz w:val="20"/>
                <w:szCs w:val="20"/>
              </w:rPr>
              <w:t>≥</w:t>
            </w:r>
            <w:r w:rsidR="00DD24CF" w:rsidRPr="005C333D">
              <w:rPr>
                <w:rFonts w:ascii="Arial Narrow" w:hAnsi="Arial Narrow"/>
                <w:sz w:val="20"/>
                <w:szCs w:val="20"/>
              </w:rPr>
              <w:t xml:space="preserve"> </w:t>
            </w:r>
            <w:r w:rsidRPr="005C333D">
              <w:rPr>
                <w:rFonts w:ascii="Arial Narrow" w:hAnsi="Arial Narrow"/>
                <w:sz w:val="20"/>
                <w:szCs w:val="20"/>
              </w:rPr>
              <w:t>23 (SG)</w:t>
            </w:r>
          </w:p>
        </w:tc>
        <w:tc>
          <w:tcPr>
            <w:tcW w:w="606"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Post-hoc</w:t>
            </w:r>
          </w:p>
        </w:tc>
        <w:tc>
          <w:tcPr>
            <w:tcW w:w="651"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16/39 </w:t>
            </w:r>
            <w:r w:rsidR="00A92DB3" w:rsidRPr="005C333D">
              <w:rPr>
                <w:rFonts w:ascii="Arial Narrow" w:hAnsi="Arial Narrow"/>
                <w:sz w:val="20"/>
                <w:szCs w:val="20"/>
              </w:rPr>
              <w:br/>
            </w:r>
            <w:r w:rsidRPr="005C333D">
              <w:rPr>
                <w:rFonts w:ascii="Arial Narrow" w:hAnsi="Arial Narrow"/>
                <w:sz w:val="20"/>
                <w:szCs w:val="20"/>
              </w:rPr>
              <w:t>(41.0)</w:t>
            </w:r>
          </w:p>
        </w:tc>
        <w:tc>
          <w:tcPr>
            <w:tcW w:w="587"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 xml:space="preserve">9/36 </w:t>
            </w:r>
            <w:r w:rsidR="00A92DB3" w:rsidRPr="005C333D">
              <w:rPr>
                <w:rFonts w:ascii="Arial Narrow" w:hAnsi="Arial Narrow"/>
                <w:sz w:val="20"/>
                <w:szCs w:val="20"/>
              </w:rPr>
              <w:br/>
            </w:r>
            <w:r w:rsidRPr="005C333D">
              <w:rPr>
                <w:rFonts w:ascii="Arial Narrow" w:hAnsi="Arial Narrow"/>
                <w:sz w:val="20"/>
                <w:szCs w:val="20"/>
              </w:rPr>
              <w:t>(25.0)</w:t>
            </w:r>
          </w:p>
        </w:tc>
        <w:tc>
          <w:tcPr>
            <w:tcW w:w="774" w:type="pct"/>
            <w:tcBorders>
              <w:top w:val="single" w:sz="4" w:space="0" w:color="auto"/>
              <w:bottom w:val="single" w:sz="4" w:space="0" w:color="auto"/>
            </w:tcBorders>
            <w:vAlign w:val="center"/>
          </w:tcPr>
          <w:p w:rsidR="005C15A2"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0.16</w:t>
            </w:r>
          </w:p>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(-0.05, 0.37)</w:t>
            </w:r>
          </w:p>
        </w:tc>
        <w:tc>
          <w:tcPr>
            <w:tcW w:w="695" w:type="pct"/>
            <w:tcBorders>
              <w:top w:val="single" w:sz="4" w:space="0" w:color="auto"/>
              <w:bottom w:val="single" w:sz="4" w:space="0" w:color="auto"/>
            </w:tcBorders>
            <w:vAlign w:val="center"/>
          </w:tcPr>
          <w:p w:rsidR="005C15A2"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2.09</w:t>
            </w:r>
          </w:p>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(0.78, 5.61)</w:t>
            </w:r>
            <w:r w:rsidRPr="005C333D">
              <w:rPr>
                <w:rFonts w:ascii="Arial Narrow" w:hAnsi="Arial Narrow"/>
                <w:sz w:val="20"/>
                <w:szCs w:val="20"/>
                <w:vertAlign w:val="superscript"/>
              </w:rPr>
              <w:t>a</w:t>
            </w:r>
          </w:p>
        </w:tc>
        <w:tc>
          <w:tcPr>
            <w:tcW w:w="510"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0.106</w:t>
            </w:r>
          </w:p>
        </w:tc>
      </w:tr>
      <w:tr w:rsidR="002C6DB6" w:rsidRPr="005C333D" w:rsidTr="00A92DB3">
        <w:tc>
          <w:tcPr>
            <w:tcW w:w="2434" w:type="pct"/>
            <w:gridSpan w:val="3"/>
            <w:tcBorders>
              <w:top w:val="single" w:sz="4" w:space="0" w:color="auto"/>
              <w:left w:val="single" w:sz="4" w:space="0" w:color="auto"/>
              <w:bottom w:val="single" w:sz="4" w:space="0" w:color="auto"/>
              <w:right w:val="nil"/>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b/>
                <w:bCs/>
                <w:sz w:val="20"/>
                <w:szCs w:val="20"/>
              </w:rPr>
              <w:t>Improvement ≥ 3 grades (CFS) and 30% (OSDI)</w:t>
            </w:r>
          </w:p>
        </w:tc>
        <w:tc>
          <w:tcPr>
            <w:tcW w:w="587"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774"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695" w:type="pct"/>
            <w:tcBorders>
              <w:top w:val="single" w:sz="4" w:space="0" w:color="auto"/>
              <w:left w:val="nil"/>
              <w:bottom w:val="single" w:sz="4" w:space="0" w:color="auto"/>
              <w:right w:val="nil"/>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c>
          <w:tcPr>
            <w:tcW w:w="510" w:type="pct"/>
            <w:tcBorders>
              <w:top w:val="single" w:sz="4" w:space="0" w:color="auto"/>
              <w:left w:val="nil"/>
              <w:bottom w:val="single" w:sz="4" w:space="0" w:color="auto"/>
              <w:right w:val="single" w:sz="4" w:space="0" w:color="auto"/>
            </w:tcBorders>
            <w:vAlign w:val="center"/>
          </w:tcPr>
          <w:p w:rsidR="002C6DB6" w:rsidRPr="005C333D" w:rsidRDefault="002C6DB6" w:rsidP="00A92DB3">
            <w:pPr>
              <w:pStyle w:val="TableTextleftalign"/>
              <w:keepNext/>
              <w:widowControl w:val="0"/>
              <w:jc w:val="center"/>
              <w:rPr>
                <w:rFonts w:ascii="Arial Narrow" w:hAnsi="Arial Narrow"/>
                <w:sz w:val="20"/>
                <w:szCs w:val="20"/>
              </w:rPr>
            </w:pPr>
          </w:p>
        </w:tc>
      </w:tr>
      <w:tr w:rsidR="00A92DB3" w:rsidRPr="005C333D" w:rsidTr="00A92DB3">
        <w:tc>
          <w:tcPr>
            <w:tcW w:w="1177" w:type="pct"/>
            <w:tcBorders>
              <w:top w:val="single" w:sz="4" w:space="0" w:color="auto"/>
              <w:bottom w:val="single" w:sz="4" w:space="0" w:color="auto"/>
            </w:tcBorders>
            <w:vAlign w:val="center"/>
          </w:tcPr>
          <w:p w:rsidR="002C6DB6" w:rsidRPr="005C333D" w:rsidRDefault="002C6DB6" w:rsidP="00A92DB3">
            <w:pPr>
              <w:pStyle w:val="TableTextleftalign"/>
              <w:keepNext/>
              <w:widowControl w:val="0"/>
              <w:rPr>
                <w:rFonts w:ascii="Arial Narrow" w:hAnsi="Arial Narrow"/>
                <w:sz w:val="20"/>
                <w:szCs w:val="20"/>
              </w:rPr>
            </w:pPr>
            <w:r w:rsidRPr="005C333D">
              <w:rPr>
                <w:rFonts w:ascii="Arial Narrow" w:hAnsi="Arial Narrow"/>
                <w:sz w:val="20"/>
                <w:szCs w:val="20"/>
              </w:rPr>
              <w:t>SICCANOVE CFS=4 OSDI</w:t>
            </w:r>
            <w:r w:rsidR="00DD24CF" w:rsidRPr="005C333D">
              <w:rPr>
                <w:rFonts w:ascii="Arial Narrow" w:hAnsi="Arial Narrow"/>
                <w:sz w:val="20"/>
                <w:szCs w:val="20"/>
              </w:rPr>
              <w:t xml:space="preserve"> </w:t>
            </w:r>
            <w:r w:rsidRPr="005C333D">
              <w:rPr>
                <w:rFonts w:ascii="Arial Narrow" w:hAnsi="Arial Narrow"/>
                <w:sz w:val="20"/>
                <w:szCs w:val="20"/>
              </w:rPr>
              <w:t>≥</w:t>
            </w:r>
            <w:r w:rsidR="00DD24CF" w:rsidRPr="005C333D">
              <w:rPr>
                <w:rFonts w:ascii="Arial Narrow" w:hAnsi="Arial Narrow"/>
                <w:sz w:val="20"/>
                <w:szCs w:val="20"/>
              </w:rPr>
              <w:t xml:space="preserve"> </w:t>
            </w:r>
            <w:r w:rsidRPr="005C333D">
              <w:rPr>
                <w:rFonts w:ascii="Arial Narrow" w:hAnsi="Arial Narrow"/>
                <w:sz w:val="20"/>
                <w:szCs w:val="20"/>
              </w:rPr>
              <w:t>23 (SG)</w:t>
            </w:r>
            <w:r w:rsidR="00BC668F" w:rsidRPr="005C333D">
              <w:rPr>
                <w:rFonts w:ascii="Arial Narrow" w:hAnsi="Arial Narrow"/>
                <w:sz w:val="20"/>
                <w:szCs w:val="20"/>
                <w:vertAlign w:val="superscript"/>
              </w:rPr>
              <w:t>a</w:t>
            </w:r>
          </w:p>
        </w:tc>
        <w:tc>
          <w:tcPr>
            <w:tcW w:w="606"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651" w:type="pct"/>
            <w:tcBorders>
              <w:top w:val="single" w:sz="4" w:space="0" w:color="auto"/>
              <w:bottom w:val="single" w:sz="4" w:space="0" w:color="auto"/>
            </w:tcBorders>
            <w:vAlign w:val="center"/>
          </w:tcPr>
          <w:p w:rsidR="002C6DB6" w:rsidRPr="005C333D" w:rsidRDefault="002C6DB6" w:rsidP="00A92DB3">
            <w:pPr>
              <w:pStyle w:val="TableTextcentred"/>
              <w:keepNext/>
              <w:widowControl w:val="0"/>
              <w:rPr>
                <w:rFonts w:ascii="Arial Narrow" w:hAnsi="Arial Narrow"/>
                <w:sz w:val="20"/>
                <w:szCs w:val="20"/>
              </w:rPr>
            </w:pPr>
            <w:r w:rsidRPr="005C333D">
              <w:rPr>
                <w:rFonts w:ascii="Arial Narrow" w:hAnsi="Arial Narrow"/>
                <w:sz w:val="20"/>
                <w:szCs w:val="20"/>
              </w:rPr>
              <w:t>NR</w:t>
            </w:r>
          </w:p>
        </w:tc>
        <w:tc>
          <w:tcPr>
            <w:tcW w:w="587" w:type="pct"/>
            <w:tcBorders>
              <w:top w:val="single" w:sz="4" w:space="0" w:color="auto"/>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774" w:type="pct"/>
            <w:tcBorders>
              <w:top w:val="single" w:sz="4" w:space="0" w:color="auto"/>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695" w:type="pct"/>
            <w:tcBorders>
              <w:top w:val="single" w:sz="4" w:space="0" w:color="auto"/>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c>
          <w:tcPr>
            <w:tcW w:w="510" w:type="pct"/>
            <w:tcBorders>
              <w:top w:val="single" w:sz="4" w:space="0" w:color="auto"/>
              <w:bottom w:val="single" w:sz="4" w:space="0" w:color="auto"/>
            </w:tcBorders>
            <w:vAlign w:val="center"/>
          </w:tcPr>
          <w:p w:rsidR="002C6DB6" w:rsidRPr="005C333D" w:rsidRDefault="00A92DB3" w:rsidP="00A92DB3">
            <w:pPr>
              <w:pStyle w:val="TableTextcentred"/>
              <w:keepNext/>
              <w:widowControl w:val="0"/>
              <w:rPr>
                <w:rFonts w:ascii="Arial Narrow" w:hAnsi="Arial Narrow"/>
                <w:sz w:val="20"/>
                <w:szCs w:val="20"/>
              </w:rPr>
            </w:pPr>
            <w:r w:rsidRPr="005C333D">
              <w:rPr>
                <w:rFonts w:ascii="Arial Narrow" w:hAnsi="Arial Narrow"/>
                <w:sz w:val="20"/>
                <w:szCs w:val="20"/>
              </w:rPr>
              <w:t>-</w:t>
            </w:r>
          </w:p>
        </w:tc>
      </w:tr>
      <w:tr w:rsidR="004B4F0F" w:rsidRPr="005C333D" w:rsidTr="00A92DB3">
        <w:tc>
          <w:tcPr>
            <w:tcW w:w="5000" w:type="pct"/>
            <w:gridSpan w:val="7"/>
            <w:tcBorders>
              <w:top w:val="single" w:sz="4" w:space="0" w:color="auto"/>
              <w:bottom w:val="single" w:sz="4" w:space="0" w:color="auto"/>
            </w:tcBorders>
            <w:shd w:val="clear" w:color="auto" w:fill="D9D9D9" w:themeFill="background1" w:themeFillShade="D9"/>
            <w:vAlign w:val="center"/>
          </w:tcPr>
          <w:p w:rsidR="004B4F0F" w:rsidRPr="005C333D" w:rsidRDefault="004B4F0F" w:rsidP="00A92DB3">
            <w:pPr>
              <w:pStyle w:val="TableTextcentred"/>
              <w:keepNext/>
              <w:widowControl w:val="0"/>
              <w:jc w:val="left"/>
              <w:rPr>
                <w:rFonts w:ascii="Arial Narrow" w:hAnsi="Arial Narrow"/>
                <w:b/>
                <w:bCs/>
                <w:sz w:val="20"/>
                <w:szCs w:val="20"/>
              </w:rPr>
            </w:pPr>
            <w:r w:rsidRPr="005C333D">
              <w:rPr>
                <w:rFonts w:ascii="Arial Narrow" w:hAnsi="Arial Narrow"/>
                <w:b/>
                <w:bCs/>
                <w:sz w:val="20"/>
                <w:szCs w:val="20"/>
              </w:rPr>
              <w:t>Meta-analysis (Leonardi</w:t>
            </w:r>
            <w:r w:rsidR="00065C9E" w:rsidRPr="005C333D">
              <w:rPr>
                <w:rFonts w:ascii="Arial Narrow" w:hAnsi="Arial Narrow"/>
                <w:b/>
                <w:bCs/>
                <w:sz w:val="20"/>
                <w:szCs w:val="20"/>
              </w:rPr>
              <w:t xml:space="preserve"> </w:t>
            </w:r>
            <w:r w:rsidR="001100EE" w:rsidRPr="005C333D">
              <w:rPr>
                <w:rFonts w:ascii="Arial Narrow" w:hAnsi="Arial Narrow"/>
                <w:b/>
                <w:bCs/>
                <w:sz w:val="20"/>
                <w:szCs w:val="20"/>
              </w:rPr>
              <w:t>2019</w:t>
            </w:r>
            <w:r w:rsidRPr="005C333D">
              <w:rPr>
                <w:rFonts w:ascii="Arial Narrow" w:hAnsi="Arial Narrow"/>
                <w:b/>
                <w:bCs/>
                <w:sz w:val="20"/>
                <w:szCs w:val="20"/>
              </w:rPr>
              <w:t>) of</w:t>
            </w:r>
            <w:r w:rsidR="008B744D" w:rsidRPr="005C333D">
              <w:rPr>
                <w:rFonts w:ascii="Arial Narrow" w:hAnsi="Arial Narrow"/>
                <w:b/>
                <w:bCs/>
                <w:sz w:val="20"/>
                <w:szCs w:val="20"/>
              </w:rPr>
              <w:t xml:space="preserve"> PBS eligible populatio</w:t>
            </w:r>
            <w:r w:rsidR="00DD3D53" w:rsidRPr="005C333D">
              <w:rPr>
                <w:rFonts w:ascii="Arial Narrow" w:hAnsi="Arial Narrow"/>
                <w:b/>
                <w:bCs/>
                <w:sz w:val="20"/>
                <w:szCs w:val="20"/>
              </w:rPr>
              <w:t>n –</w:t>
            </w:r>
            <w:r w:rsidR="00BF2C5E" w:rsidRPr="005C333D">
              <w:rPr>
                <w:rFonts w:ascii="Arial Narrow" w:hAnsi="Arial Narrow"/>
                <w:b/>
                <w:bCs/>
                <w:sz w:val="20"/>
                <w:szCs w:val="20"/>
              </w:rPr>
              <w:t xml:space="preserve"> </w:t>
            </w:r>
            <w:r w:rsidRPr="005C333D">
              <w:rPr>
                <w:rFonts w:ascii="Arial Narrow" w:hAnsi="Arial Narrow"/>
                <w:b/>
                <w:bCs/>
                <w:sz w:val="20"/>
                <w:szCs w:val="20"/>
              </w:rPr>
              <w:t>SANSIKA total population</w:t>
            </w:r>
            <w:r w:rsidR="00EE0D62" w:rsidRPr="005C333D">
              <w:rPr>
                <w:rFonts w:ascii="Arial Narrow" w:hAnsi="Arial Narrow"/>
                <w:b/>
                <w:bCs/>
                <w:sz w:val="20"/>
                <w:szCs w:val="20"/>
              </w:rPr>
              <w:t xml:space="preserve"> and SICCANOVE subgroup</w:t>
            </w:r>
            <w:r w:rsidR="00AD6090" w:rsidRPr="005C333D">
              <w:rPr>
                <w:rFonts w:ascii="Arial Narrow" w:hAnsi="Arial Narrow"/>
                <w:b/>
                <w:bCs/>
                <w:sz w:val="20"/>
                <w:szCs w:val="20"/>
              </w:rPr>
              <w:t xml:space="preserve"> with severe keratitis</w:t>
            </w:r>
            <w:r w:rsidR="00EE0D62" w:rsidRPr="005C333D">
              <w:rPr>
                <w:rFonts w:ascii="Arial Narrow" w:hAnsi="Arial Narrow"/>
                <w:b/>
                <w:bCs/>
                <w:sz w:val="20"/>
                <w:szCs w:val="20"/>
              </w:rPr>
              <w:t xml:space="preserve"> </w:t>
            </w:r>
            <w:r w:rsidR="00DE01D5" w:rsidRPr="005C333D">
              <w:rPr>
                <w:rFonts w:ascii="Arial Narrow" w:hAnsi="Arial Narrow"/>
                <w:b/>
                <w:bCs/>
                <w:sz w:val="20"/>
                <w:szCs w:val="20"/>
              </w:rPr>
              <w:t>CFS=4; OSDI ≥ 23)</w:t>
            </w:r>
          </w:p>
        </w:tc>
      </w:tr>
      <w:tr w:rsidR="00A92DB3" w:rsidRPr="005C333D" w:rsidTr="00A92DB3">
        <w:tc>
          <w:tcPr>
            <w:tcW w:w="1177" w:type="pct"/>
            <w:tcBorders>
              <w:top w:val="single" w:sz="4" w:space="0" w:color="auto"/>
              <w:bottom w:val="single" w:sz="4" w:space="0" w:color="auto"/>
            </w:tcBorders>
            <w:vAlign w:val="center"/>
          </w:tcPr>
          <w:p w:rsidR="000140F0" w:rsidRPr="005C333D" w:rsidRDefault="000140F0" w:rsidP="00A92DB3">
            <w:pPr>
              <w:pStyle w:val="TableTextleftalign"/>
              <w:keepNext/>
              <w:widowControl w:val="0"/>
              <w:rPr>
                <w:rFonts w:ascii="Arial Narrow" w:hAnsi="Arial Narrow"/>
                <w:sz w:val="20"/>
                <w:szCs w:val="20"/>
              </w:rPr>
            </w:pPr>
            <w:r w:rsidRPr="005C333D">
              <w:rPr>
                <w:rFonts w:ascii="Arial Narrow" w:hAnsi="Arial Narrow"/>
                <w:bCs/>
                <w:sz w:val="20"/>
                <w:szCs w:val="22"/>
              </w:rPr>
              <w:t>Improvement ≥ 3 grades (CFS) and 30% (OSDI)</w:t>
            </w:r>
          </w:p>
        </w:tc>
        <w:tc>
          <w:tcPr>
            <w:tcW w:w="606" w:type="pct"/>
            <w:tcBorders>
              <w:top w:val="single" w:sz="4" w:space="0" w:color="auto"/>
              <w:bottom w:val="single" w:sz="4" w:space="0" w:color="auto"/>
            </w:tcBorders>
            <w:vAlign w:val="center"/>
          </w:tcPr>
          <w:p w:rsidR="000140F0" w:rsidRPr="005C333D" w:rsidRDefault="00FB3DDB" w:rsidP="00A92DB3">
            <w:pPr>
              <w:pStyle w:val="TableTextcentred"/>
              <w:keepNext/>
              <w:widowControl w:val="0"/>
              <w:rPr>
                <w:rFonts w:ascii="Arial Narrow" w:hAnsi="Arial Narrow"/>
                <w:sz w:val="20"/>
                <w:szCs w:val="20"/>
              </w:rPr>
            </w:pPr>
            <w:r w:rsidRPr="005C333D">
              <w:rPr>
                <w:rFonts w:ascii="Arial Narrow" w:hAnsi="Arial Narrow"/>
                <w:sz w:val="20"/>
                <w:szCs w:val="20"/>
              </w:rPr>
              <w:t>Post-hoc</w:t>
            </w:r>
          </w:p>
        </w:tc>
        <w:tc>
          <w:tcPr>
            <w:tcW w:w="651"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34/193 (17.6)</w:t>
            </w:r>
          </w:p>
        </w:tc>
        <w:tc>
          <w:tcPr>
            <w:tcW w:w="587"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 xml:space="preserve">7/126 </w:t>
            </w:r>
            <w:r w:rsidR="00A92DB3" w:rsidRPr="005C333D">
              <w:rPr>
                <w:rFonts w:ascii="Arial Narrow" w:hAnsi="Arial Narrow"/>
                <w:bCs/>
                <w:sz w:val="20"/>
                <w:szCs w:val="22"/>
              </w:rPr>
              <w:br/>
            </w:r>
            <w:r w:rsidRPr="005C333D">
              <w:rPr>
                <w:rFonts w:ascii="Arial Narrow" w:hAnsi="Arial Narrow"/>
                <w:bCs/>
                <w:sz w:val="20"/>
                <w:szCs w:val="22"/>
              </w:rPr>
              <w:t>(5.6)</w:t>
            </w:r>
          </w:p>
        </w:tc>
        <w:tc>
          <w:tcPr>
            <w:tcW w:w="774"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bCs/>
                <w:sz w:val="20"/>
                <w:szCs w:val="22"/>
              </w:rPr>
            </w:pPr>
            <w:r w:rsidRPr="005C333D">
              <w:rPr>
                <w:rFonts w:ascii="Arial Narrow" w:hAnsi="Arial Narrow"/>
                <w:bCs/>
                <w:sz w:val="20"/>
                <w:szCs w:val="22"/>
              </w:rPr>
              <w:t>0.12</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(0.05, 0.19)</w:t>
            </w:r>
          </w:p>
        </w:tc>
        <w:tc>
          <w:tcPr>
            <w:tcW w:w="695"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bCs/>
                <w:sz w:val="20"/>
                <w:szCs w:val="22"/>
              </w:rPr>
            </w:pPr>
            <w:r w:rsidRPr="005C333D">
              <w:rPr>
                <w:rFonts w:ascii="Arial Narrow" w:hAnsi="Arial Narrow"/>
                <w:bCs/>
                <w:sz w:val="20"/>
                <w:szCs w:val="22"/>
              </w:rPr>
              <w:t>3.664</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(1.639, 9.355)</w:t>
            </w:r>
          </w:p>
        </w:tc>
        <w:tc>
          <w:tcPr>
            <w:tcW w:w="510"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
                <w:sz w:val="20"/>
                <w:szCs w:val="22"/>
              </w:rPr>
              <w:t>0.003</w:t>
            </w:r>
          </w:p>
        </w:tc>
      </w:tr>
      <w:tr w:rsidR="00A92DB3" w:rsidRPr="005C333D" w:rsidTr="00A92DB3">
        <w:tc>
          <w:tcPr>
            <w:tcW w:w="1177" w:type="pct"/>
            <w:tcBorders>
              <w:top w:val="single" w:sz="4" w:space="0" w:color="auto"/>
              <w:bottom w:val="single" w:sz="4" w:space="0" w:color="auto"/>
            </w:tcBorders>
            <w:vAlign w:val="center"/>
          </w:tcPr>
          <w:p w:rsidR="000140F0" w:rsidRPr="005C333D" w:rsidRDefault="000140F0" w:rsidP="00A92DB3">
            <w:pPr>
              <w:pStyle w:val="TableTextleftalign"/>
              <w:keepNext/>
              <w:widowControl w:val="0"/>
              <w:rPr>
                <w:rFonts w:ascii="Arial Narrow" w:hAnsi="Arial Narrow"/>
                <w:sz w:val="20"/>
                <w:szCs w:val="20"/>
              </w:rPr>
            </w:pPr>
            <w:r w:rsidRPr="005C333D">
              <w:rPr>
                <w:rFonts w:ascii="Arial Narrow" w:hAnsi="Arial Narrow"/>
                <w:bCs/>
                <w:sz w:val="20"/>
                <w:szCs w:val="22"/>
              </w:rPr>
              <w:t>Improvement ≥ 2 grades (CFS) and 30% (OSDI)</w:t>
            </w:r>
          </w:p>
        </w:tc>
        <w:tc>
          <w:tcPr>
            <w:tcW w:w="606" w:type="pct"/>
            <w:tcBorders>
              <w:top w:val="single" w:sz="4" w:space="0" w:color="auto"/>
              <w:bottom w:val="single" w:sz="4" w:space="0" w:color="auto"/>
            </w:tcBorders>
            <w:vAlign w:val="center"/>
          </w:tcPr>
          <w:p w:rsidR="000140F0" w:rsidRPr="005C333D" w:rsidRDefault="00E73572" w:rsidP="00A92DB3">
            <w:pPr>
              <w:pStyle w:val="TableTextcentred"/>
              <w:keepNext/>
              <w:widowControl w:val="0"/>
              <w:rPr>
                <w:rFonts w:ascii="Arial Narrow" w:hAnsi="Arial Narrow"/>
                <w:sz w:val="20"/>
                <w:szCs w:val="20"/>
              </w:rPr>
            </w:pPr>
            <w:r w:rsidRPr="005C333D">
              <w:rPr>
                <w:rFonts w:ascii="Arial Narrow" w:hAnsi="Arial Narrow"/>
                <w:sz w:val="20"/>
                <w:szCs w:val="20"/>
              </w:rPr>
              <w:t>Primary</w:t>
            </w:r>
          </w:p>
        </w:tc>
        <w:tc>
          <w:tcPr>
            <w:tcW w:w="651"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57/193</w:t>
            </w:r>
            <w:r w:rsidR="00BF2C5E" w:rsidRPr="005C333D">
              <w:rPr>
                <w:rFonts w:ascii="Arial Narrow" w:hAnsi="Arial Narrow"/>
                <w:bCs/>
                <w:sz w:val="20"/>
                <w:szCs w:val="22"/>
              </w:rPr>
              <w:t xml:space="preserve"> </w:t>
            </w:r>
            <w:r w:rsidRPr="005C333D">
              <w:rPr>
                <w:rFonts w:ascii="Arial Narrow" w:hAnsi="Arial Narrow"/>
                <w:bCs/>
                <w:sz w:val="20"/>
                <w:szCs w:val="22"/>
              </w:rPr>
              <w:t>(29.5)</w:t>
            </w:r>
          </w:p>
        </w:tc>
        <w:tc>
          <w:tcPr>
            <w:tcW w:w="587"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23/126</w:t>
            </w:r>
            <w:r w:rsidR="00BF2C5E" w:rsidRPr="005C333D">
              <w:rPr>
                <w:rFonts w:ascii="Arial Narrow" w:hAnsi="Arial Narrow"/>
                <w:bCs/>
                <w:sz w:val="20"/>
                <w:szCs w:val="22"/>
              </w:rPr>
              <w:t xml:space="preserve"> </w:t>
            </w:r>
            <w:r w:rsidRPr="005C333D">
              <w:rPr>
                <w:rFonts w:ascii="Arial Narrow" w:hAnsi="Arial Narrow"/>
                <w:bCs/>
                <w:sz w:val="20"/>
                <w:szCs w:val="22"/>
              </w:rPr>
              <w:t>(18.3)</w:t>
            </w:r>
          </w:p>
        </w:tc>
        <w:tc>
          <w:tcPr>
            <w:tcW w:w="774"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bCs/>
                <w:sz w:val="20"/>
                <w:szCs w:val="22"/>
              </w:rPr>
            </w:pPr>
            <w:r w:rsidRPr="005C333D">
              <w:rPr>
                <w:rFonts w:ascii="Arial Narrow" w:hAnsi="Arial Narrow"/>
                <w:bCs/>
                <w:sz w:val="20"/>
                <w:szCs w:val="22"/>
              </w:rPr>
              <w:t>0.11</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(0.02, 0.21)</w:t>
            </w:r>
          </w:p>
        </w:tc>
        <w:tc>
          <w:tcPr>
            <w:tcW w:w="695"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bCs/>
                <w:sz w:val="20"/>
                <w:szCs w:val="22"/>
              </w:rPr>
            </w:pPr>
            <w:r w:rsidRPr="005C333D">
              <w:rPr>
                <w:rFonts w:ascii="Arial Narrow" w:hAnsi="Arial Narrow"/>
                <w:bCs/>
                <w:sz w:val="20"/>
                <w:szCs w:val="22"/>
              </w:rPr>
              <w:t>1.803</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bCs/>
                <w:sz w:val="20"/>
                <w:szCs w:val="22"/>
              </w:rPr>
              <w:t>(1.043, 3.192)</w:t>
            </w:r>
          </w:p>
        </w:tc>
        <w:tc>
          <w:tcPr>
            <w:tcW w:w="510" w:type="pct"/>
            <w:tcBorders>
              <w:top w:val="single" w:sz="4" w:space="0" w:color="auto"/>
              <w:bottom w:val="single" w:sz="4" w:space="0" w:color="auto"/>
            </w:tcBorders>
            <w:vAlign w:val="center"/>
          </w:tcPr>
          <w:p w:rsidR="000140F0" w:rsidRPr="005C333D" w:rsidRDefault="00813962" w:rsidP="00A92DB3">
            <w:pPr>
              <w:pStyle w:val="TableTextcentred"/>
              <w:keepNext/>
              <w:widowControl w:val="0"/>
              <w:rPr>
                <w:rFonts w:ascii="Arial Narrow" w:hAnsi="Arial Narrow"/>
                <w:sz w:val="20"/>
                <w:szCs w:val="20"/>
              </w:rPr>
            </w:pPr>
            <w:r w:rsidRPr="005C333D">
              <w:rPr>
                <w:rFonts w:ascii="Arial Narrow" w:hAnsi="Arial Narrow"/>
                <w:b/>
                <w:sz w:val="20"/>
                <w:szCs w:val="22"/>
              </w:rPr>
              <w:t>0.038</w:t>
            </w:r>
          </w:p>
        </w:tc>
      </w:tr>
      <w:tr w:rsidR="00A92DB3" w:rsidRPr="005C333D" w:rsidTr="00A92DB3">
        <w:tc>
          <w:tcPr>
            <w:tcW w:w="1177" w:type="pct"/>
            <w:tcBorders>
              <w:top w:val="single" w:sz="4" w:space="0" w:color="auto"/>
              <w:bottom w:val="single" w:sz="4" w:space="0" w:color="auto"/>
            </w:tcBorders>
            <w:vAlign w:val="center"/>
          </w:tcPr>
          <w:p w:rsidR="000140F0" w:rsidRPr="005C333D" w:rsidRDefault="000140F0" w:rsidP="00A92DB3">
            <w:pPr>
              <w:pStyle w:val="TableTextleftalign"/>
              <w:keepNext/>
              <w:widowControl w:val="0"/>
              <w:rPr>
                <w:rFonts w:ascii="Arial Narrow" w:hAnsi="Arial Narrow"/>
                <w:sz w:val="20"/>
                <w:szCs w:val="20"/>
              </w:rPr>
            </w:pPr>
            <w:r w:rsidRPr="005C333D">
              <w:rPr>
                <w:rFonts w:ascii="Arial Narrow" w:hAnsi="Arial Narrow"/>
                <w:sz w:val="20"/>
                <w:szCs w:val="22"/>
              </w:rPr>
              <w:t>CFS response (improvement ≥ 2 grades)</w:t>
            </w:r>
          </w:p>
        </w:tc>
        <w:tc>
          <w:tcPr>
            <w:tcW w:w="606" w:type="pct"/>
            <w:tcBorders>
              <w:top w:val="single" w:sz="4" w:space="0" w:color="auto"/>
              <w:bottom w:val="single" w:sz="4" w:space="0" w:color="auto"/>
            </w:tcBorders>
            <w:vAlign w:val="center"/>
          </w:tcPr>
          <w:p w:rsidR="000140F0" w:rsidRPr="005C333D" w:rsidRDefault="008C4006" w:rsidP="00A92DB3">
            <w:pPr>
              <w:pStyle w:val="TableTextcentred"/>
              <w:keepNext/>
              <w:widowControl w:val="0"/>
              <w:rPr>
                <w:rFonts w:ascii="Arial Narrow" w:hAnsi="Arial Narrow"/>
                <w:sz w:val="20"/>
                <w:szCs w:val="20"/>
              </w:rPr>
            </w:pPr>
            <w:r w:rsidRPr="005C333D">
              <w:rPr>
                <w:rFonts w:ascii="Arial Narrow" w:hAnsi="Arial Narrow"/>
                <w:sz w:val="20"/>
                <w:szCs w:val="20"/>
              </w:rPr>
              <w:t>Secondary</w:t>
            </w:r>
          </w:p>
        </w:tc>
        <w:tc>
          <w:tcPr>
            <w:tcW w:w="651"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97</w:t>
            </w:r>
            <w:r w:rsidRPr="005C333D">
              <w:rPr>
                <w:rFonts w:ascii="Arial Narrow" w:hAnsi="Arial Narrow"/>
                <w:bCs/>
                <w:sz w:val="20"/>
                <w:szCs w:val="22"/>
              </w:rPr>
              <w:t>/193</w:t>
            </w:r>
            <w:r w:rsidR="00BF2C5E" w:rsidRPr="005C333D">
              <w:rPr>
                <w:rFonts w:ascii="Arial Narrow" w:hAnsi="Arial Narrow"/>
                <w:bCs/>
                <w:sz w:val="20"/>
                <w:szCs w:val="22"/>
              </w:rPr>
              <w:t xml:space="preserve"> </w:t>
            </w:r>
            <w:r w:rsidRPr="005C333D">
              <w:rPr>
                <w:rFonts w:ascii="Arial Narrow" w:hAnsi="Arial Narrow"/>
                <w:sz w:val="20"/>
                <w:szCs w:val="22"/>
              </w:rPr>
              <w:t>(50.3)</w:t>
            </w:r>
          </w:p>
        </w:tc>
        <w:tc>
          <w:tcPr>
            <w:tcW w:w="587"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47</w:t>
            </w:r>
            <w:r w:rsidRPr="005C333D">
              <w:rPr>
                <w:rFonts w:ascii="Arial Narrow" w:hAnsi="Arial Narrow"/>
                <w:bCs/>
                <w:sz w:val="20"/>
                <w:szCs w:val="22"/>
              </w:rPr>
              <w:t>/126</w:t>
            </w:r>
            <w:r w:rsidR="00BF2C5E" w:rsidRPr="005C333D">
              <w:rPr>
                <w:rFonts w:ascii="Arial Narrow" w:hAnsi="Arial Narrow"/>
                <w:bCs/>
                <w:sz w:val="20"/>
                <w:szCs w:val="22"/>
              </w:rPr>
              <w:t xml:space="preserve"> </w:t>
            </w:r>
            <w:r w:rsidRPr="005C333D">
              <w:rPr>
                <w:rFonts w:ascii="Arial Narrow" w:hAnsi="Arial Narrow"/>
                <w:sz w:val="20"/>
                <w:szCs w:val="22"/>
              </w:rPr>
              <w:t>(37.3)</w:t>
            </w:r>
          </w:p>
        </w:tc>
        <w:tc>
          <w:tcPr>
            <w:tcW w:w="774"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sz w:val="20"/>
                <w:szCs w:val="22"/>
              </w:rPr>
            </w:pPr>
            <w:r w:rsidRPr="005C333D">
              <w:rPr>
                <w:rFonts w:ascii="Arial Narrow" w:hAnsi="Arial Narrow"/>
                <w:sz w:val="20"/>
                <w:szCs w:val="22"/>
              </w:rPr>
              <w:t>0.13</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(0.02, 0.24)</w:t>
            </w:r>
          </w:p>
        </w:tc>
        <w:tc>
          <w:tcPr>
            <w:tcW w:w="695"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sz w:val="20"/>
                <w:szCs w:val="22"/>
              </w:rPr>
            </w:pPr>
            <w:r w:rsidRPr="005C333D">
              <w:rPr>
                <w:rFonts w:ascii="Arial Narrow" w:hAnsi="Arial Narrow"/>
                <w:sz w:val="20"/>
                <w:szCs w:val="22"/>
              </w:rPr>
              <w:t>1.557</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(0.975, 2.501)</w:t>
            </w:r>
          </w:p>
        </w:tc>
        <w:tc>
          <w:tcPr>
            <w:tcW w:w="510" w:type="pct"/>
            <w:tcBorders>
              <w:top w:val="single" w:sz="4" w:space="0" w:color="auto"/>
              <w:bottom w:val="single" w:sz="4" w:space="0" w:color="auto"/>
            </w:tcBorders>
            <w:vAlign w:val="center"/>
          </w:tcPr>
          <w:p w:rsidR="000140F0" w:rsidRPr="005C333D" w:rsidRDefault="00026B13" w:rsidP="00A92DB3">
            <w:pPr>
              <w:pStyle w:val="TableTextcentred"/>
              <w:keepNext/>
              <w:widowControl w:val="0"/>
              <w:rPr>
                <w:rFonts w:ascii="Arial Narrow" w:hAnsi="Arial Narrow"/>
                <w:sz w:val="20"/>
                <w:szCs w:val="20"/>
              </w:rPr>
            </w:pPr>
            <w:r w:rsidRPr="005C333D">
              <w:rPr>
                <w:rFonts w:ascii="Arial Narrow" w:hAnsi="Arial Narrow"/>
                <w:sz w:val="20"/>
                <w:szCs w:val="22"/>
              </w:rPr>
              <w:t>0.065</w:t>
            </w:r>
          </w:p>
        </w:tc>
      </w:tr>
      <w:tr w:rsidR="00A92DB3" w:rsidRPr="005C333D" w:rsidTr="00A92DB3">
        <w:tc>
          <w:tcPr>
            <w:tcW w:w="1177" w:type="pct"/>
            <w:tcBorders>
              <w:top w:val="single" w:sz="4" w:space="0" w:color="auto"/>
              <w:bottom w:val="single" w:sz="4" w:space="0" w:color="auto"/>
            </w:tcBorders>
            <w:vAlign w:val="center"/>
          </w:tcPr>
          <w:p w:rsidR="000140F0" w:rsidRPr="005C333D" w:rsidRDefault="000140F0" w:rsidP="00A92DB3">
            <w:pPr>
              <w:pStyle w:val="TableTextleftalign"/>
              <w:keepNext/>
              <w:widowControl w:val="0"/>
              <w:rPr>
                <w:rFonts w:ascii="Arial Narrow" w:hAnsi="Arial Narrow"/>
                <w:sz w:val="20"/>
                <w:szCs w:val="20"/>
              </w:rPr>
            </w:pPr>
            <w:r w:rsidRPr="005C333D">
              <w:rPr>
                <w:rFonts w:ascii="Arial Narrow" w:hAnsi="Arial Narrow"/>
                <w:sz w:val="20"/>
                <w:szCs w:val="22"/>
              </w:rPr>
              <w:t>OSDI response (30% improvement)</w:t>
            </w:r>
          </w:p>
        </w:tc>
        <w:tc>
          <w:tcPr>
            <w:tcW w:w="606" w:type="pct"/>
            <w:tcBorders>
              <w:top w:val="single" w:sz="4" w:space="0" w:color="auto"/>
              <w:bottom w:val="single" w:sz="4" w:space="0" w:color="auto"/>
            </w:tcBorders>
            <w:vAlign w:val="center"/>
          </w:tcPr>
          <w:p w:rsidR="000140F0" w:rsidRPr="005C333D" w:rsidRDefault="00494516" w:rsidP="00A92DB3">
            <w:pPr>
              <w:pStyle w:val="TableTextcentred"/>
              <w:keepNext/>
              <w:widowControl w:val="0"/>
              <w:rPr>
                <w:rFonts w:ascii="Arial Narrow" w:hAnsi="Arial Narrow"/>
                <w:sz w:val="20"/>
                <w:szCs w:val="20"/>
              </w:rPr>
            </w:pPr>
            <w:r w:rsidRPr="005C333D">
              <w:rPr>
                <w:rFonts w:ascii="Arial Narrow" w:hAnsi="Arial Narrow"/>
                <w:sz w:val="20"/>
                <w:szCs w:val="20"/>
              </w:rPr>
              <w:t>Secondary</w:t>
            </w:r>
          </w:p>
        </w:tc>
        <w:tc>
          <w:tcPr>
            <w:tcW w:w="651"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78</w:t>
            </w:r>
            <w:r w:rsidRPr="005C333D">
              <w:rPr>
                <w:rFonts w:ascii="Arial Narrow" w:hAnsi="Arial Narrow"/>
                <w:bCs/>
                <w:sz w:val="20"/>
                <w:szCs w:val="22"/>
              </w:rPr>
              <w:t>/193</w:t>
            </w:r>
            <w:r w:rsidR="00BF2C5E" w:rsidRPr="005C333D">
              <w:rPr>
                <w:rFonts w:ascii="Arial Narrow" w:hAnsi="Arial Narrow"/>
                <w:bCs/>
                <w:sz w:val="20"/>
                <w:szCs w:val="22"/>
              </w:rPr>
              <w:t xml:space="preserve"> </w:t>
            </w:r>
            <w:r w:rsidRPr="005C333D">
              <w:rPr>
                <w:rFonts w:ascii="Arial Narrow" w:hAnsi="Arial Narrow"/>
                <w:sz w:val="20"/>
                <w:szCs w:val="22"/>
              </w:rPr>
              <w:t>(40.4)</w:t>
            </w:r>
          </w:p>
        </w:tc>
        <w:tc>
          <w:tcPr>
            <w:tcW w:w="587"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45</w:t>
            </w:r>
            <w:r w:rsidRPr="005C333D">
              <w:rPr>
                <w:rFonts w:ascii="Arial Narrow" w:hAnsi="Arial Narrow"/>
                <w:bCs/>
                <w:sz w:val="20"/>
                <w:szCs w:val="22"/>
              </w:rPr>
              <w:t>/126</w:t>
            </w:r>
            <w:r w:rsidR="00BF2C5E" w:rsidRPr="005C333D">
              <w:rPr>
                <w:rFonts w:ascii="Arial Narrow" w:hAnsi="Arial Narrow"/>
                <w:bCs/>
                <w:sz w:val="20"/>
                <w:szCs w:val="22"/>
              </w:rPr>
              <w:t xml:space="preserve"> </w:t>
            </w:r>
            <w:r w:rsidRPr="005C333D">
              <w:rPr>
                <w:rFonts w:ascii="Arial Narrow" w:hAnsi="Arial Narrow"/>
                <w:sz w:val="20"/>
                <w:szCs w:val="22"/>
              </w:rPr>
              <w:t>(35.7)</w:t>
            </w:r>
          </w:p>
        </w:tc>
        <w:tc>
          <w:tcPr>
            <w:tcW w:w="774"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sz w:val="20"/>
                <w:szCs w:val="22"/>
              </w:rPr>
            </w:pPr>
            <w:r w:rsidRPr="005C333D">
              <w:rPr>
                <w:rFonts w:ascii="Arial Narrow" w:hAnsi="Arial Narrow"/>
                <w:sz w:val="20"/>
                <w:szCs w:val="22"/>
              </w:rPr>
              <w:t>0.05</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(-0.06, 0.16)</w:t>
            </w:r>
          </w:p>
        </w:tc>
        <w:tc>
          <w:tcPr>
            <w:tcW w:w="695"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sz w:val="20"/>
                <w:szCs w:val="22"/>
              </w:rPr>
            </w:pPr>
            <w:r w:rsidRPr="005C333D">
              <w:rPr>
                <w:rFonts w:ascii="Arial Narrow" w:hAnsi="Arial Narrow"/>
                <w:sz w:val="20"/>
                <w:szCs w:val="22"/>
              </w:rPr>
              <w:t>1.207</w:t>
            </w:r>
          </w:p>
          <w:p w:rsidR="000140F0" w:rsidRPr="005C333D" w:rsidRDefault="000140F0" w:rsidP="00A92DB3">
            <w:pPr>
              <w:pStyle w:val="TableTextcentred"/>
              <w:keepNext/>
              <w:widowControl w:val="0"/>
              <w:rPr>
                <w:rFonts w:ascii="Arial Narrow" w:hAnsi="Arial Narrow"/>
                <w:sz w:val="20"/>
                <w:szCs w:val="22"/>
              </w:rPr>
            </w:pPr>
            <w:r w:rsidRPr="005C333D">
              <w:rPr>
                <w:rFonts w:ascii="Arial Narrow" w:hAnsi="Arial Narrow"/>
                <w:sz w:val="20"/>
                <w:szCs w:val="22"/>
              </w:rPr>
              <w:t>(0.753, 1.945)</w:t>
            </w:r>
          </w:p>
        </w:tc>
        <w:tc>
          <w:tcPr>
            <w:tcW w:w="510" w:type="pct"/>
            <w:tcBorders>
              <w:top w:val="single" w:sz="4" w:space="0" w:color="auto"/>
              <w:bottom w:val="single" w:sz="4" w:space="0" w:color="auto"/>
            </w:tcBorders>
            <w:vAlign w:val="center"/>
          </w:tcPr>
          <w:p w:rsidR="000140F0" w:rsidRPr="005C333D" w:rsidRDefault="00D92FE6" w:rsidP="00A92DB3">
            <w:pPr>
              <w:pStyle w:val="TableTextcentred"/>
              <w:keepNext/>
              <w:widowControl w:val="0"/>
              <w:rPr>
                <w:rFonts w:ascii="Arial Narrow" w:hAnsi="Arial Narrow"/>
                <w:sz w:val="20"/>
                <w:szCs w:val="20"/>
              </w:rPr>
            </w:pPr>
            <w:r w:rsidRPr="005C333D">
              <w:rPr>
                <w:rFonts w:ascii="Arial Narrow" w:hAnsi="Arial Narrow"/>
                <w:sz w:val="20"/>
                <w:szCs w:val="22"/>
              </w:rPr>
              <w:t>0.436</w:t>
            </w:r>
          </w:p>
        </w:tc>
      </w:tr>
      <w:tr w:rsidR="00A92DB3" w:rsidRPr="005C333D" w:rsidTr="00A92DB3">
        <w:tc>
          <w:tcPr>
            <w:tcW w:w="1177" w:type="pct"/>
            <w:tcBorders>
              <w:top w:val="single" w:sz="4" w:space="0" w:color="auto"/>
              <w:bottom w:val="single" w:sz="4" w:space="0" w:color="auto"/>
            </w:tcBorders>
            <w:vAlign w:val="center"/>
          </w:tcPr>
          <w:p w:rsidR="000140F0" w:rsidRPr="005C333D" w:rsidRDefault="000140F0" w:rsidP="00A92DB3">
            <w:pPr>
              <w:pStyle w:val="TableTextleftalign"/>
              <w:keepNext/>
              <w:widowControl w:val="0"/>
              <w:rPr>
                <w:rFonts w:ascii="Arial Narrow" w:hAnsi="Arial Narrow"/>
                <w:sz w:val="20"/>
                <w:szCs w:val="20"/>
              </w:rPr>
            </w:pPr>
            <w:r w:rsidRPr="005C333D">
              <w:rPr>
                <w:rFonts w:ascii="Arial Narrow" w:hAnsi="Arial Narrow"/>
                <w:sz w:val="20"/>
                <w:szCs w:val="22"/>
              </w:rPr>
              <w:t>Complete responders (CFS)</w:t>
            </w:r>
          </w:p>
        </w:tc>
        <w:tc>
          <w:tcPr>
            <w:tcW w:w="606" w:type="pct"/>
            <w:tcBorders>
              <w:top w:val="single" w:sz="4" w:space="0" w:color="auto"/>
              <w:bottom w:val="single" w:sz="4" w:space="0" w:color="auto"/>
            </w:tcBorders>
            <w:vAlign w:val="center"/>
          </w:tcPr>
          <w:p w:rsidR="000140F0" w:rsidRPr="005C333D" w:rsidRDefault="00304E9F" w:rsidP="00A92DB3">
            <w:pPr>
              <w:pStyle w:val="TableTextcentred"/>
              <w:keepNext/>
              <w:widowControl w:val="0"/>
              <w:rPr>
                <w:rFonts w:ascii="Arial Narrow" w:hAnsi="Arial Narrow"/>
                <w:sz w:val="20"/>
                <w:szCs w:val="20"/>
              </w:rPr>
            </w:pPr>
            <w:r w:rsidRPr="005C333D">
              <w:rPr>
                <w:rFonts w:ascii="Arial Narrow" w:hAnsi="Arial Narrow"/>
                <w:sz w:val="20"/>
                <w:szCs w:val="20"/>
              </w:rPr>
              <w:t>Secondary</w:t>
            </w:r>
          </w:p>
        </w:tc>
        <w:tc>
          <w:tcPr>
            <w:tcW w:w="651"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11</w:t>
            </w:r>
            <w:r w:rsidRPr="005C333D">
              <w:rPr>
                <w:rFonts w:ascii="Arial Narrow" w:hAnsi="Arial Narrow"/>
                <w:bCs/>
                <w:sz w:val="20"/>
                <w:szCs w:val="22"/>
              </w:rPr>
              <w:t>/193</w:t>
            </w:r>
            <w:r w:rsidR="00BF2C5E" w:rsidRPr="005C333D">
              <w:rPr>
                <w:rFonts w:ascii="Arial Narrow" w:hAnsi="Arial Narrow"/>
                <w:bCs/>
                <w:sz w:val="20"/>
                <w:szCs w:val="22"/>
              </w:rPr>
              <w:t xml:space="preserve"> </w:t>
            </w:r>
            <w:r w:rsidR="00A92DB3" w:rsidRPr="005C333D">
              <w:rPr>
                <w:rFonts w:ascii="Arial Narrow" w:hAnsi="Arial Narrow"/>
                <w:bCs/>
                <w:sz w:val="20"/>
                <w:szCs w:val="22"/>
              </w:rPr>
              <w:br/>
            </w:r>
            <w:r w:rsidRPr="005C333D">
              <w:rPr>
                <w:rFonts w:ascii="Arial Narrow" w:hAnsi="Arial Narrow"/>
                <w:sz w:val="20"/>
                <w:szCs w:val="22"/>
              </w:rPr>
              <w:t>(5.7)</w:t>
            </w:r>
          </w:p>
        </w:tc>
        <w:tc>
          <w:tcPr>
            <w:tcW w:w="587"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4</w:t>
            </w:r>
            <w:r w:rsidRPr="005C333D">
              <w:rPr>
                <w:rFonts w:ascii="Arial Narrow" w:hAnsi="Arial Narrow"/>
                <w:bCs/>
                <w:sz w:val="20"/>
                <w:szCs w:val="22"/>
              </w:rPr>
              <w:t>/126</w:t>
            </w:r>
            <w:r w:rsidR="00BF2C5E" w:rsidRPr="005C333D">
              <w:rPr>
                <w:rFonts w:ascii="Arial Narrow" w:hAnsi="Arial Narrow"/>
                <w:bCs/>
                <w:sz w:val="20"/>
                <w:szCs w:val="22"/>
              </w:rPr>
              <w:t xml:space="preserve"> </w:t>
            </w:r>
            <w:r w:rsidR="00A92DB3" w:rsidRPr="005C333D">
              <w:rPr>
                <w:rFonts w:ascii="Arial Narrow" w:hAnsi="Arial Narrow"/>
                <w:bCs/>
                <w:sz w:val="20"/>
                <w:szCs w:val="22"/>
              </w:rPr>
              <w:br/>
            </w:r>
            <w:r w:rsidRPr="005C333D">
              <w:rPr>
                <w:rFonts w:ascii="Arial Narrow" w:hAnsi="Arial Narrow"/>
                <w:sz w:val="20"/>
                <w:szCs w:val="22"/>
              </w:rPr>
              <w:t>(3.2)</w:t>
            </w:r>
          </w:p>
        </w:tc>
        <w:tc>
          <w:tcPr>
            <w:tcW w:w="774" w:type="pct"/>
            <w:tcBorders>
              <w:top w:val="single" w:sz="4" w:space="0" w:color="auto"/>
              <w:bottom w:val="single" w:sz="4" w:space="0" w:color="auto"/>
            </w:tcBorders>
            <w:vAlign w:val="center"/>
          </w:tcPr>
          <w:p w:rsidR="005C15A2" w:rsidRPr="005C333D" w:rsidRDefault="000140F0" w:rsidP="00A92DB3">
            <w:pPr>
              <w:pStyle w:val="TableTextcentred"/>
              <w:keepNext/>
              <w:widowControl w:val="0"/>
              <w:rPr>
                <w:rFonts w:ascii="Arial Narrow" w:hAnsi="Arial Narrow"/>
                <w:sz w:val="20"/>
                <w:szCs w:val="22"/>
              </w:rPr>
            </w:pPr>
            <w:r w:rsidRPr="005C333D">
              <w:rPr>
                <w:rFonts w:ascii="Arial Narrow" w:hAnsi="Arial Narrow"/>
                <w:sz w:val="20"/>
                <w:szCs w:val="22"/>
              </w:rPr>
              <w:t>0.03</w:t>
            </w:r>
          </w:p>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(-0.02, 0.07)</w:t>
            </w:r>
          </w:p>
        </w:tc>
        <w:tc>
          <w:tcPr>
            <w:tcW w:w="695" w:type="pct"/>
            <w:tcBorders>
              <w:top w:val="single" w:sz="4" w:space="0" w:color="auto"/>
              <w:bottom w:val="single" w:sz="4" w:space="0" w:color="auto"/>
            </w:tcBorders>
            <w:vAlign w:val="center"/>
          </w:tcPr>
          <w:p w:rsidR="000140F0" w:rsidRPr="005C333D" w:rsidRDefault="000140F0" w:rsidP="00A92DB3">
            <w:pPr>
              <w:pStyle w:val="TableTextcentred"/>
              <w:keepNext/>
              <w:widowControl w:val="0"/>
              <w:rPr>
                <w:rFonts w:ascii="Arial Narrow" w:hAnsi="Arial Narrow"/>
                <w:sz w:val="20"/>
                <w:szCs w:val="20"/>
              </w:rPr>
            </w:pPr>
            <w:r w:rsidRPr="005C333D">
              <w:rPr>
                <w:rFonts w:ascii="Arial Narrow" w:hAnsi="Arial Narrow"/>
                <w:sz w:val="20"/>
                <w:szCs w:val="22"/>
              </w:rPr>
              <w:t xml:space="preserve">1.823 </w:t>
            </w:r>
            <w:r w:rsidR="005C15A2" w:rsidRPr="005C333D">
              <w:rPr>
                <w:rFonts w:ascii="Arial Narrow" w:hAnsi="Arial Narrow"/>
                <w:sz w:val="20"/>
                <w:szCs w:val="22"/>
              </w:rPr>
              <w:br/>
            </w:r>
            <w:r w:rsidRPr="005C333D">
              <w:rPr>
                <w:rFonts w:ascii="Arial Narrow" w:hAnsi="Arial Narrow"/>
                <w:sz w:val="20"/>
                <w:szCs w:val="22"/>
              </w:rPr>
              <w:t>(0.598, 6.775)</w:t>
            </w:r>
          </w:p>
        </w:tc>
        <w:tc>
          <w:tcPr>
            <w:tcW w:w="510" w:type="pct"/>
            <w:tcBorders>
              <w:top w:val="single" w:sz="4" w:space="0" w:color="auto"/>
              <w:bottom w:val="single" w:sz="4" w:space="0" w:color="auto"/>
            </w:tcBorders>
            <w:vAlign w:val="center"/>
          </w:tcPr>
          <w:p w:rsidR="000140F0" w:rsidRPr="005C333D" w:rsidRDefault="0092503A" w:rsidP="00A92DB3">
            <w:pPr>
              <w:pStyle w:val="TableTextcentred"/>
              <w:keepNext/>
              <w:widowControl w:val="0"/>
              <w:rPr>
                <w:rFonts w:ascii="Arial Narrow" w:hAnsi="Arial Narrow"/>
                <w:sz w:val="20"/>
                <w:szCs w:val="20"/>
              </w:rPr>
            </w:pPr>
            <w:r w:rsidRPr="005C333D">
              <w:rPr>
                <w:rFonts w:ascii="Arial Narrow" w:hAnsi="Arial Narrow"/>
                <w:sz w:val="20"/>
                <w:szCs w:val="22"/>
              </w:rPr>
              <w:t>0.320</w:t>
            </w:r>
          </w:p>
        </w:tc>
      </w:tr>
    </w:tbl>
    <w:p w:rsidR="00AA6DA3" w:rsidRPr="005C333D" w:rsidRDefault="00AE49AF" w:rsidP="00AE49AF">
      <w:pPr>
        <w:pStyle w:val="TableFootnotetext"/>
        <w:keepNext/>
        <w:rPr>
          <w:rFonts w:ascii="Arial Narrow" w:hAnsi="Arial Narrow"/>
          <w:sz w:val="18"/>
          <w:szCs w:val="18"/>
        </w:rPr>
      </w:pPr>
      <w:r w:rsidRPr="005C333D">
        <w:rPr>
          <w:rFonts w:ascii="Arial Narrow" w:hAnsi="Arial Narrow"/>
          <w:sz w:val="18"/>
          <w:szCs w:val="22"/>
        </w:rPr>
        <w:t>CI</w:t>
      </w:r>
      <w:r w:rsidR="00AA6DA3" w:rsidRPr="005C333D">
        <w:rPr>
          <w:rFonts w:ascii="Arial Narrow" w:hAnsi="Arial Narrow"/>
          <w:sz w:val="18"/>
          <w:szCs w:val="22"/>
        </w:rPr>
        <w:t xml:space="preserve"> </w:t>
      </w:r>
      <w:r w:rsidRPr="005C333D">
        <w:rPr>
          <w:rFonts w:ascii="Arial Narrow" w:hAnsi="Arial Narrow"/>
          <w:sz w:val="18"/>
          <w:szCs w:val="22"/>
        </w:rPr>
        <w:t>= confidence interval; CFS</w:t>
      </w:r>
      <w:r w:rsidR="00AA6DA3" w:rsidRPr="005C333D">
        <w:rPr>
          <w:rFonts w:ascii="Arial Narrow" w:hAnsi="Arial Narrow"/>
          <w:sz w:val="18"/>
          <w:szCs w:val="22"/>
        </w:rPr>
        <w:t xml:space="preserve"> </w:t>
      </w:r>
      <w:r w:rsidRPr="005C333D">
        <w:rPr>
          <w:rFonts w:ascii="Arial Narrow" w:hAnsi="Arial Narrow"/>
          <w:sz w:val="18"/>
          <w:szCs w:val="22"/>
        </w:rPr>
        <w:t>= corneal fluorescent staining; NR</w:t>
      </w:r>
      <w:r w:rsidR="00AA6DA3" w:rsidRPr="005C333D">
        <w:rPr>
          <w:rFonts w:ascii="Arial Narrow" w:hAnsi="Arial Narrow"/>
          <w:sz w:val="18"/>
          <w:szCs w:val="22"/>
        </w:rPr>
        <w:t xml:space="preserve"> </w:t>
      </w:r>
      <w:r w:rsidRPr="005C333D">
        <w:rPr>
          <w:rFonts w:ascii="Arial Narrow" w:hAnsi="Arial Narrow"/>
          <w:sz w:val="18"/>
          <w:szCs w:val="22"/>
        </w:rPr>
        <w:t>= not reported; OSDI</w:t>
      </w:r>
      <w:r w:rsidR="00141938" w:rsidRPr="005C333D">
        <w:rPr>
          <w:rFonts w:ascii="Arial Narrow" w:hAnsi="Arial Narrow"/>
          <w:sz w:val="18"/>
          <w:szCs w:val="22"/>
        </w:rPr>
        <w:t xml:space="preserve"> </w:t>
      </w:r>
      <w:r w:rsidRPr="005C333D">
        <w:rPr>
          <w:rFonts w:ascii="Arial Narrow" w:hAnsi="Arial Narrow"/>
          <w:sz w:val="18"/>
          <w:szCs w:val="22"/>
        </w:rPr>
        <w:t>= ocular disease surface index</w:t>
      </w:r>
      <w:r w:rsidR="00141938" w:rsidRPr="005C333D">
        <w:rPr>
          <w:rFonts w:ascii="Arial Narrow" w:hAnsi="Arial Narrow"/>
          <w:sz w:val="18"/>
          <w:szCs w:val="22"/>
        </w:rPr>
        <w:t xml:space="preserve">; SG = subgroup; </w:t>
      </w:r>
      <w:r w:rsidR="00141938" w:rsidRPr="005C333D">
        <w:rPr>
          <w:rFonts w:ascii="Arial Narrow" w:eastAsia="Calibri" w:hAnsi="Arial Narrow"/>
          <w:b/>
          <w:sz w:val="18"/>
          <w:szCs w:val="22"/>
        </w:rPr>
        <w:t>Bold</w:t>
      </w:r>
      <w:r w:rsidR="00141938" w:rsidRPr="005C333D">
        <w:rPr>
          <w:rFonts w:ascii="Arial Narrow" w:eastAsia="Calibri" w:hAnsi="Arial Narrow"/>
          <w:sz w:val="18"/>
          <w:szCs w:val="22"/>
        </w:rPr>
        <w:t xml:space="preserve"> indicates statistically significant results.</w:t>
      </w:r>
      <w:r w:rsidR="004E3EC5" w:rsidRPr="005C333D">
        <w:rPr>
          <w:rFonts w:ascii="Arial Narrow" w:hAnsi="Arial Narrow"/>
          <w:sz w:val="18"/>
          <w:szCs w:val="18"/>
        </w:rPr>
        <w:t xml:space="preserve"> </w:t>
      </w:r>
    </w:p>
    <w:p w:rsidR="00AE49AF" w:rsidRPr="005C333D" w:rsidRDefault="004E3EC5" w:rsidP="00AE49AF">
      <w:pPr>
        <w:pStyle w:val="TableFootnotetext"/>
        <w:keepNext/>
        <w:rPr>
          <w:rFonts w:ascii="Arial Narrow" w:hAnsi="Arial Narrow"/>
          <w:sz w:val="18"/>
          <w:szCs w:val="22"/>
        </w:rPr>
      </w:pPr>
      <w:r w:rsidRPr="00FD5945">
        <w:rPr>
          <w:rFonts w:ascii="Arial Narrow" w:hAnsi="Arial Narrow"/>
          <w:sz w:val="18"/>
          <w:szCs w:val="18"/>
          <w:vertAlign w:val="superscript"/>
        </w:rPr>
        <w:t>a</w:t>
      </w:r>
      <w:r w:rsidRPr="005C333D">
        <w:rPr>
          <w:rFonts w:ascii="Arial Narrow" w:hAnsi="Arial Narrow"/>
          <w:sz w:val="18"/>
          <w:szCs w:val="18"/>
        </w:rPr>
        <w:t xml:space="preserve"> individual study data not reported in the SICCANOVE CSR or Leonardi 2019.</w:t>
      </w:r>
      <w:r w:rsidR="00AE49AF" w:rsidRPr="005C333D">
        <w:rPr>
          <w:rFonts w:ascii="Arial Narrow" w:eastAsia="Calibri" w:hAnsi="Arial Narrow"/>
          <w:b/>
          <w:sz w:val="18"/>
          <w:szCs w:val="22"/>
        </w:rPr>
        <w:t xml:space="preserve"> </w:t>
      </w:r>
    </w:p>
    <w:p w:rsidR="00AE49AF" w:rsidRPr="005C333D" w:rsidRDefault="00AE49AF" w:rsidP="00AE49AF">
      <w:pPr>
        <w:pStyle w:val="TableFootnotetext"/>
        <w:widowControl w:val="0"/>
        <w:rPr>
          <w:rFonts w:ascii="Arial Narrow" w:hAnsi="Arial Narrow"/>
          <w:sz w:val="18"/>
          <w:szCs w:val="18"/>
        </w:rPr>
      </w:pPr>
      <w:r w:rsidRPr="005C333D">
        <w:rPr>
          <w:rFonts w:ascii="Arial Narrow" w:hAnsi="Arial Narrow"/>
          <w:sz w:val="18"/>
          <w:szCs w:val="22"/>
        </w:rPr>
        <w:t xml:space="preserve">Source: Table 2.5.4, p73 of </w:t>
      </w:r>
      <w:r w:rsidR="007014EF" w:rsidRPr="005C333D">
        <w:rPr>
          <w:rFonts w:ascii="Arial Narrow" w:hAnsi="Arial Narrow"/>
          <w:sz w:val="18"/>
          <w:szCs w:val="22"/>
        </w:rPr>
        <w:t xml:space="preserve">the </w:t>
      </w:r>
      <w:r w:rsidRPr="005C333D">
        <w:rPr>
          <w:rFonts w:ascii="Arial Narrow" w:hAnsi="Arial Narrow"/>
          <w:sz w:val="18"/>
          <w:szCs w:val="22"/>
        </w:rPr>
        <w:t>submission</w:t>
      </w:r>
      <w:r w:rsidR="00EB577E" w:rsidRPr="005C333D">
        <w:rPr>
          <w:rFonts w:ascii="Arial Narrow" w:hAnsi="Arial Narrow"/>
          <w:sz w:val="18"/>
          <w:szCs w:val="22"/>
        </w:rPr>
        <w:t xml:space="preserve"> and </w:t>
      </w:r>
      <w:r w:rsidR="00EB577E" w:rsidRPr="005C333D">
        <w:rPr>
          <w:rFonts w:ascii="Arial Narrow" w:hAnsi="Arial Narrow"/>
          <w:sz w:val="18"/>
          <w:szCs w:val="18"/>
        </w:rPr>
        <w:t xml:space="preserve">Table 2.6.2, p86 of </w:t>
      </w:r>
      <w:r w:rsidR="007014EF" w:rsidRPr="005C333D">
        <w:rPr>
          <w:rFonts w:ascii="Arial Narrow" w:hAnsi="Arial Narrow"/>
          <w:sz w:val="18"/>
          <w:szCs w:val="18"/>
        </w:rPr>
        <w:t xml:space="preserve">the </w:t>
      </w:r>
      <w:r w:rsidR="00EB577E" w:rsidRPr="005C333D">
        <w:rPr>
          <w:rFonts w:ascii="Arial Narrow" w:hAnsi="Arial Narrow"/>
          <w:sz w:val="18"/>
          <w:szCs w:val="18"/>
        </w:rPr>
        <w:t>submission.</w:t>
      </w:r>
      <w:r w:rsidR="009346DC" w:rsidRPr="005C333D">
        <w:rPr>
          <w:rFonts w:ascii="Arial Narrow" w:hAnsi="Arial Narrow"/>
          <w:sz w:val="18"/>
          <w:szCs w:val="18"/>
        </w:rPr>
        <w:t xml:space="preserve"> </w:t>
      </w:r>
    </w:p>
    <w:p w:rsidR="00EF4356" w:rsidRPr="005C333D" w:rsidRDefault="00EF4356" w:rsidP="00AE49AF">
      <w:pPr>
        <w:pStyle w:val="TableFootnotetext"/>
        <w:widowControl w:val="0"/>
        <w:rPr>
          <w:rFonts w:ascii="Arial Narrow" w:hAnsi="Arial Narrow"/>
          <w:sz w:val="18"/>
          <w:szCs w:val="18"/>
        </w:rPr>
      </w:pPr>
    </w:p>
    <w:p w:rsidR="00822929" w:rsidRPr="005C333D" w:rsidRDefault="002A1195" w:rsidP="00B73532">
      <w:pPr>
        <w:pStyle w:val="3-BodyText"/>
      </w:pPr>
      <w:r w:rsidRPr="005C333D">
        <w:t>Ciclosporin was associated with a statistically significantly greater improvement in CFS at six months relative to baseline compared with vehicle in all trials and subgroups.</w:t>
      </w:r>
      <w:r w:rsidR="00375227" w:rsidRPr="005C333D">
        <w:t xml:space="preserve"> </w:t>
      </w:r>
    </w:p>
    <w:p w:rsidR="00EF4356" w:rsidRPr="005C333D" w:rsidRDefault="00EF4356" w:rsidP="00B73532">
      <w:pPr>
        <w:pStyle w:val="3-BodyText"/>
        <w:rPr>
          <w:i/>
          <w:iCs/>
        </w:rPr>
      </w:pPr>
      <w:r w:rsidRPr="005C333D">
        <w:t xml:space="preserve">There was no significant difference in the co-primary responder rates (CFS improvement ≥ 2 and OSDI improvement ≥ 30%) between the ciclosporin group (28.6%) and the vehicle group (23.1%) (p=0.326) in </w:t>
      </w:r>
      <w:r w:rsidR="00D67E7C" w:rsidRPr="005C333D">
        <w:t xml:space="preserve">the </w:t>
      </w:r>
      <w:r w:rsidRPr="005C333D">
        <w:t>SANSIKA</w:t>
      </w:r>
      <w:r w:rsidR="00D67E7C" w:rsidRPr="005C333D">
        <w:t xml:space="preserve"> trial</w:t>
      </w:r>
      <w:r w:rsidRPr="005C333D">
        <w:t xml:space="preserve">. The submission claimed this was due to the lack of correlation between signs and symptoms in DED (Baudouin 2014), </w:t>
      </w:r>
      <w:r w:rsidR="00816216" w:rsidRPr="005C333D">
        <w:t>and</w:t>
      </w:r>
      <w:r w:rsidRPr="005C333D">
        <w:t xml:space="preserve"> the beneficial effects of the vehicle itself.</w:t>
      </w:r>
      <w:r w:rsidR="00C514C8" w:rsidRPr="005C333D">
        <w:rPr>
          <w:i/>
          <w:iCs/>
        </w:rPr>
        <w:t xml:space="preserve"> </w:t>
      </w:r>
      <w:r w:rsidR="006C52F4" w:rsidRPr="005C333D">
        <w:rPr>
          <w:iCs/>
        </w:rPr>
        <w:t>T</w:t>
      </w:r>
      <w:r w:rsidRPr="005C333D">
        <w:rPr>
          <w:iCs/>
        </w:rPr>
        <w:t xml:space="preserve">he </w:t>
      </w:r>
      <w:r w:rsidR="001123B3" w:rsidRPr="005C333D">
        <w:rPr>
          <w:iCs/>
        </w:rPr>
        <w:t xml:space="preserve">ESC considered that the </w:t>
      </w:r>
      <w:r w:rsidRPr="005C333D">
        <w:rPr>
          <w:iCs/>
        </w:rPr>
        <w:t xml:space="preserve">claim </w:t>
      </w:r>
      <w:r w:rsidR="00816216" w:rsidRPr="005C333D">
        <w:rPr>
          <w:iCs/>
        </w:rPr>
        <w:t xml:space="preserve">that the </w:t>
      </w:r>
      <w:r w:rsidRPr="005C333D">
        <w:rPr>
          <w:iCs/>
        </w:rPr>
        <w:t xml:space="preserve">vehicle may bias the results against ciclosporin </w:t>
      </w:r>
      <w:r w:rsidR="001123B3" w:rsidRPr="005C333D">
        <w:rPr>
          <w:iCs/>
        </w:rPr>
        <w:t>wa</w:t>
      </w:r>
      <w:r w:rsidRPr="005C333D">
        <w:rPr>
          <w:iCs/>
        </w:rPr>
        <w:t xml:space="preserve">s </w:t>
      </w:r>
      <w:r w:rsidR="006B295C" w:rsidRPr="005C333D">
        <w:rPr>
          <w:iCs/>
        </w:rPr>
        <w:t>reasonable</w:t>
      </w:r>
      <w:r w:rsidR="00816216" w:rsidRPr="005C333D">
        <w:rPr>
          <w:iCs/>
        </w:rPr>
        <w:t>.</w:t>
      </w:r>
      <w:r w:rsidR="00AE02BD" w:rsidRPr="005C333D">
        <w:rPr>
          <w:i/>
          <w:iCs/>
        </w:rPr>
        <w:t xml:space="preserve"> </w:t>
      </w:r>
    </w:p>
    <w:p w:rsidR="00EF4356" w:rsidRPr="005C333D" w:rsidRDefault="00EF4356" w:rsidP="00B73532">
      <w:pPr>
        <w:pStyle w:val="3-BodyText"/>
      </w:pPr>
      <w:r w:rsidRPr="005C333D">
        <w:t xml:space="preserve">In the post-hoc analysis for the SANSIKA trial, there was </w:t>
      </w:r>
      <w:r w:rsidR="00254986" w:rsidRPr="005C333D">
        <w:t xml:space="preserve">a </w:t>
      </w:r>
      <w:r w:rsidRPr="005C333D">
        <w:t>significantly higher percentage of the co-primary endpoint of responders using the more stringent response definition (CFS improvement</w:t>
      </w:r>
      <w:r w:rsidR="00BF2C5E" w:rsidRPr="005C333D">
        <w:t xml:space="preserve"> </w:t>
      </w:r>
      <w:r w:rsidRPr="005C333D">
        <w:t>≥ 3 and OSDI improvement ≥ 30%) in the ciclosporin group (18.8%) versus the vehicle group (7.7%) (p=0.016).</w:t>
      </w:r>
      <w:r w:rsidR="00BF2C5E" w:rsidRPr="005C333D">
        <w:t xml:space="preserve"> </w:t>
      </w:r>
    </w:p>
    <w:p w:rsidR="00EF4356" w:rsidRPr="005C333D" w:rsidRDefault="00EF4356" w:rsidP="00B73532">
      <w:pPr>
        <w:pStyle w:val="3-BodyText"/>
      </w:pPr>
      <w:r w:rsidRPr="005C333D">
        <w:t xml:space="preserve">For the PBS eligible severe subgroup (CFS=4; OSDI ≥ 23) in the SICCANOVE post-hoc analysis, there was </w:t>
      </w:r>
      <w:r w:rsidR="00202B5A" w:rsidRPr="005C333D">
        <w:t xml:space="preserve">a </w:t>
      </w:r>
      <w:r w:rsidRPr="005C333D">
        <w:t xml:space="preserve">significantly higher percentage of responders based on CFS improvement ≥ 2 grades and OSDI improvement 30% in the ciclosporin group (30.8%) versus the vehicle group (5.6%) (p=0.004). </w:t>
      </w:r>
      <w:r w:rsidRPr="005C333D">
        <w:rPr>
          <w:iCs/>
        </w:rPr>
        <w:t>However, this is the less stringent criteria</w:t>
      </w:r>
      <w:r w:rsidR="00AA54F7" w:rsidRPr="005C333D">
        <w:rPr>
          <w:iCs/>
        </w:rPr>
        <w:t xml:space="preserve"> </w:t>
      </w:r>
      <w:bookmarkStart w:id="18" w:name="_Hlk61469481"/>
      <w:r w:rsidR="00AA54F7" w:rsidRPr="005C333D">
        <w:rPr>
          <w:iCs/>
        </w:rPr>
        <w:t xml:space="preserve">for </w:t>
      </w:r>
      <w:r w:rsidR="001B0A6A" w:rsidRPr="005C333D">
        <w:rPr>
          <w:iCs/>
        </w:rPr>
        <w:t>CFS-OSDI</w:t>
      </w:r>
      <w:r w:rsidR="00AA54F7" w:rsidRPr="005C333D">
        <w:rPr>
          <w:iCs/>
        </w:rPr>
        <w:t xml:space="preserve"> response rate</w:t>
      </w:r>
      <w:r w:rsidRPr="005C333D">
        <w:rPr>
          <w:iCs/>
        </w:rPr>
        <w:t xml:space="preserve"> </w:t>
      </w:r>
      <w:r w:rsidR="00202B5A" w:rsidRPr="005C333D">
        <w:rPr>
          <w:iCs/>
        </w:rPr>
        <w:t>and</w:t>
      </w:r>
      <w:bookmarkEnd w:id="18"/>
      <w:r w:rsidR="00202B5A" w:rsidRPr="005C333D">
        <w:rPr>
          <w:iCs/>
        </w:rPr>
        <w:t xml:space="preserve"> </w:t>
      </w:r>
      <w:r w:rsidR="001123B3" w:rsidRPr="005C333D">
        <w:rPr>
          <w:iCs/>
        </w:rPr>
        <w:t>wa</w:t>
      </w:r>
      <w:r w:rsidR="00C514C8" w:rsidRPr="005C333D">
        <w:rPr>
          <w:iCs/>
        </w:rPr>
        <w:t xml:space="preserve">s </w:t>
      </w:r>
      <w:r w:rsidRPr="005C333D">
        <w:rPr>
          <w:iCs/>
        </w:rPr>
        <w:t>not representative of the PBS restriction. The submission did not report the results for the more stringent response definition (CFS improvement ≥ 3 and OSDI improvement ≥ 30%).</w:t>
      </w:r>
    </w:p>
    <w:p w:rsidR="00DD24CF" w:rsidRPr="005C333D" w:rsidRDefault="00EF4356" w:rsidP="00DD24CF">
      <w:pPr>
        <w:pStyle w:val="3-BodyText"/>
        <w:rPr>
          <w:i/>
        </w:rPr>
      </w:pPr>
      <w:r w:rsidRPr="005C333D">
        <w:t xml:space="preserve">In the meta-analysis there was a significantly higher percentage of responders with ciclosporin versus the vehicle using the more stringent responder rate (CFS improvement ≥ 3 and OSDI improvement 30%) (17.6% and 5.6%, p=0.003). </w:t>
      </w:r>
      <w:r w:rsidRPr="005C333D">
        <w:rPr>
          <w:iCs/>
        </w:rPr>
        <w:t>The difference in CFS-OSDI responders was similar (17.6%) to the SANSIKA trial (18.8%).</w:t>
      </w:r>
      <w:r w:rsidRPr="005C333D">
        <w:rPr>
          <w:i/>
          <w:iCs/>
        </w:rPr>
        <w:t xml:space="preserve"> </w:t>
      </w:r>
    </w:p>
    <w:p w:rsidR="001C36D8" w:rsidRPr="005C333D" w:rsidRDefault="00974E38" w:rsidP="00277084">
      <w:pPr>
        <w:pStyle w:val="3-BodyText"/>
      </w:pPr>
      <w:r w:rsidRPr="005C333D">
        <w:rPr>
          <w:iCs/>
        </w:rPr>
        <w:t>W</w:t>
      </w:r>
      <w:r w:rsidR="00A92DB3" w:rsidRPr="005C333D">
        <w:rPr>
          <w:iCs/>
        </w:rPr>
        <w:t xml:space="preserve">hen the CFS and OSDI components of the </w:t>
      </w:r>
      <w:r w:rsidR="00DD24CF" w:rsidRPr="005C333D">
        <w:rPr>
          <w:iCs/>
        </w:rPr>
        <w:t xml:space="preserve">composite </w:t>
      </w:r>
      <w:r w:rsidR="00A92DB3" w:rsidRPr="005C333D">
        <w:rPr>
          <w:iCs/>
        </w:rPr>
        <w:t>primary outcome were considered separately</w:t>
      </w:r>
      <w:r w:rsidRPr="005C333D">
        <w:rPr>
          <w:iCs/>
        </w:rPr>
        <w:t xml:space="preserve"> the</w:t>
      </w:r>
      <w:r w:rsidR="00A92DB3" w:rsidRPr="005C333D">
        <w:rPr>
          <w:iCs/>
        </w:rPr>
        <w:t xml:space="preserve"> available evidence did not support an i</w:t>
      </w:r>
      <w:r w:rsidR="00DD24CF" w:rsidRPr="005C333D">
        <w:rPr>
          <w:iCs/>
        </w:rPr>
        <w:t>mprovement in the symptoms of DE</w:t>
      </w:r>
      <w:r w:rsidR="00A92DB3" w:rsidRPr="005C333D">
        <w:rPr>
          <w:iCs/>
        </w:rPr>
        <w:t>D, as measured by the OSDI</w:t>
      </w:r>
      <w:r w:rsidR="00DD24CF" w:rsidRPr="005C333D">
        <w:rPr>
          <w:iCs/>
        </w:rPr>
        <w:t xml:space="preserve">, </w:t>
      </w:r>
      <w:r w:rsidRPr="005C333D">
        <w:rPr>
          <w:iCs/>
        </w:rPr>
        <w:t xml:space="preserve">which could be attributed to the active ingredient, ciclosporin. </w:t>
      </w:r>
      <w:r w:rsidR="00DD24CF" w:rsidRPr="005C333D">
        <w:t xml:space="preserve">The ESC noted that the evidence presented suggested that the symptomatic benefit of the product may be due to the cationic lipid based emulsion vehicle. This was acknowledged in the PSCR, which stated that symptom improvement has been shown to be superior with the use of a cationic lipid based emulsion compared with standard preservative free artificial tears. </w:t>
      </w:r>
      <w:r w:rsidR="00F10C1F" w:rsidRPr="005C333D">
        <w:rPr>
          <w:iCs/>
        </w:rPr>
        <w:t xml:space="preserve">The pre-PBAC response acknowledged that the symptomatic benefit of ciclosporin is at least partly attributed to the cationic emulsion, but that it does not treat the underlying pathogenesis of the disease. </w:t>
      </w:r>
      <w:r w:rsidRPr="005C333D">
        <w:rPr>
          <w:iCs/>
        </w:rPr>
        <w:t>The ESC considered that it was unclear whether the CFS-OSDI response results were clinically relevant for ciclosporin.</w:t>
      </w:r>
      <w:r w:rsidR="001C36D8" w:rsidRPr="005C333D">
        <w:rPr>
          <w:iCs/>
        </w:rPr>
        <w:t xml:space="preserve"> </w:t>
      </w:r>
      <w:r w:rsidR="00351FF0" w:rsidRPr="005C333D">
        <w:rPr>
          <w:iCs/>
        </w:rPr>
        <w:t>The pre-PBAC response stated that patients achieving a CFS-OSDI response were almost free of the signs of dry eye disease, concurrent with significant symptomatic improvement and would have improved from severe to mild disease and reversed disease progression.</w:t>
      </w:r>
    </w:p>
    <w:p w:rsidR="00A92DB3" w:rsidRPr="005C333D" w:rsidRDefault="001C36D8" w:rsidP="00277084">
      <w:pPr>
        <w:pStyle w:val="3-BodyText"/>
      </w:pPr>
      <w:r w:rsidRPr="005C333D">
        <w:rPr>
          <w:iCs/>
        </w:rPr>
        <w:t>The ESC, noting the evidence presented in the PSCR with regards to the symptomatic benefit of the cationic lipid based emulsion, considered that there may be a clinical benefit to patients suffering from DED in having access to a product containing the vehicle only (i.e. without the immunosuppressant agent), as no comparable product is currently available in Australia.</w:t>
      </w:r>
    </w:p>
    <w:p w:rsidR="00EF4356" w:rsidRPr="005C333D" w:rsidRDefault="00EF4356" w:rsidP="00AE49AF">
      <w:pPr>
        <w:pStyle w:val="TableFootnotetext"/>
        <w:widowControl w:val="0"/>
        <w:rPr>
          <w:rFonts w:ascii="Arial Narrow" w:hAnsi="Arial Narrow"/>
          <w:sz w:val="18"/>
          <w:szCs w:val="22"/>
        </w:rPr>
      </w:pPr>
    </w:p>
    <w:p w:rsidR="00B60939" w:rsidRPr="005C333D" w:rsidRDefault="00B60939" w:rsidP="00D86231">
      <w:pPr>
        <w:pStyle w:val="4-SubsectionHeading"/>
      </w:pPr>
      <w:bookmarkStart w:id="19" w:name="_Toc62030466"/>
      <w:r w:rsidRPr="005C333D">
        <w:t>Comparative harms</w:t>
      </w:r>
      <w:bookmarkEnd w:id="17"/>
      <w:bookmarkEnd w:id="19"/>
    </w:p>
    <w:p w:rsidR="00B60939" w:rsidRPr="005C333D" w:rsidRDefault="00CA2811" w:rsidP="00B73532">
      <w:pPr>
        <w:pStyle w:val="3-BodyText"/>
      </w:pPr>
      <w:r w:rsidRPr="005C333D">
        <w:t>T</w:t>
      </w:r>
      <w:r w:rsidR="005A17D1" w:rsidRPr="005C333D">
        <w:t xml:space="preserve">he summary of the adverse events from the pooled PBS </w:t>
      </w:r>
      <w:r w:rsidR="00B01ED1" w:rsidRPr="005C333D">
        <w:t>eligible</w:t>
      </w:r>
      <w:r w:rsidR="005A17D1" w:rsidRPr="005C333D">
        <w:t xml:space="preserve"> population</w:t>
      </w:r>
      <w:r w:rsidR="002B2B8C" w:rsidRPr="005C333D">
        <w:t xml:space="preserve"> of patients with severe keratitis with DED</w:t>
      </w:r>
      <w:r w:rsidR="005A17D1" w:rsidRPr="005C333D">
        <w:t xml:space="preserve"> from the </w:t>
      </w:r>
      <w:r w:rsidR="00BD5296" w:rsidRPr="005C333D">
        <w:t xml:space="preserve">SANSIKA and SICCANOVE trials and the </w:t>
      </w:r>
      <w:r w:rsidR="005A17D1" w:rsidRPr="005C333D">
        <w:t xml:space="preserve">Leonardi 2019 meta-analysis is </w:t>
      </w:r>
      <w:r w:rsidR="007053D9" w:rsidRPr="005C333D">
        <w:t xml:space="preserve">presented </w:t>
      </w:r>
      <w:r w:rsidR="005A17D1" w:rsidRPr="005C333D">
        <w:t xml:space="preserve">in </w:t>
      </w:r>
      <w:r w:rsidR="00AB160D" w:rsidRPr="005C333D">
        <w:t xml:space="preserve">Table </w:t>
      </w:r>
      <w:r w:rsidR="000450AA" w:rsidRPr="005C333D">
        <w:t>6</w:t>
      </w:r>
      <w:r w:rsidR="005A17D1" w:rsidRPr="005C333D">
        <w:t xml:space="preserve">. </w:t>
      </w:r>
    </w:p>
    <w:p w:rsidR="00B60939" w:rsidRPr="005C333D" w:rsidRDefault="00173565" w:rsidP="00D86231">
      <w:pPr>
        <w:pStyle w:val="TableFigureHeading"/>
      </w:pPr>
      <w:r w:rsidRPr="005C333D">
        <w:rPr>
          <w:rStyle w:val="CommentReference"/>
          <w:b/>
          <w:szCs w:val="24"/>
        </w:rPr>
        <w:t xml:space="preserve">Table </w:t>
      </w:r>
      <w:r w:rsidR="00435EF9" w:rsidRPr="005C333D">
        <w:rPr>
          <w:rStyle w:val="CommentReference"/>
          <w:b/>
          <w:szCs w:val="24"/>
        </w:rPr>
        <w:t>6</w:t>
      </w:r>
      <w:r w:rsidR="004826F3" w:rsidRPr="005C333D">
        <w:rPr>
          <w:rStyle w:val="CommentReference"/>
          <w:b/>
          <w:szCs w:val="24"/>
        </w:rPr>
        <w:t>:</w:t>
      </w:r>
      <w:r w:rsidR="00BF2C5E" w:rsidRPr="005C333D">
        <w:rPr>
          <w:rStyle w:val="CommentReference"/>
          <w:b/>
          <w:szCs w:val="24"/>
        </w:rPr>
        <w:t xml:space="preserve"> </w:t>
      </w:r>
      <w:r w:rsidR="005D26B4" w:rsidRPr="005C333D">
        <w:rPr>
          <w:rStyle w:val="CommentReference"/>
          <w:b/>
          <w:szCs w:val="24"/>
        </w:rPr>
        <w:t xml:space="preserve">Summary of key adverse events in the </w:t>
      </w:r>
      <w:r w:rsidR="005F7980" w:rsidRPr="005C333D">
        <w:rPr>
          <w:rStyle w:val="CommentReference"/>
          <w:b/>
          <w:szCs w:val="24"/>
        </w:rPr>
        <w:t xml:space="preserve">PBS </w:t>
      </w:r>
      <w:r w:rsidR="005A0300" w:rsidRPr="005C333D">
        <w:rPr>
          <w:rStyle w:val="CommentReference"/>
          <w:b/>
          <w:szCs w:val="24"/>
        </w:rPr>
        <w:t>eligible</w:t>
      </w:r>
      <w:r w:rsidR="005F7980" w:rsidRPr="005C333D">
        <w:rPr>
          <w:rStyle w:val="CommentReference"/>
          <w:b/>
          <w:szCs w:val="24"/>
        </w:rPr>
        <w:t xml:space="preserve"> </w:t>
      </w:r>
      <w:r w:rsidR="006055A0" w:rsidRPr="005C333D">
        <w:rPr>
          <w:rStyle w:val="CommentReference"/>
          <w:b/>
          <w:szCs w:val="24"/>
        </w:rPr>
        <w:t xml:space="preserve">population from the </w:t>
      </w:r>
      <w:r w:rsidR="007031AE" w:rsidRPr="005C333D">
        <w:rPr>
          <w:rStyle w:val="CommentReference"/>
          <w:b/>
          <w:szCs w:val="24"/>
        </w:rPr>
        <w:t xml:space="preserve">pivotal </w:t>
      </w:r>
      <w:r w:rsidR="00252C79" w:rsidRPr="005C333D">
        <w:rPr>
          <w:rStyle w:val="CommentReference"/>
          <w:b/>
          <w:szCs w:val="24"/>
        </w:rPr>
        <w:t>trials</w:t>
      </w:r>
      <w:r w:rsidR="00466DD9" w:rsidRPr="005C333D">
        <w:rPr>
          <w:rStyle w:val="CommentReference"/>
          <w:b/>
          <w:szCs w:val="24"/>
        </w:rPr>
        <w:t xml:space="preserve"> and meta-analysis (Leonardi, 2019)</w:t>
      </w:r>
      <w:r w:rsidR="00252C79" w:rsidRPr="005C333D">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01"/>
        <w:gridCol w:w="1697"/>
        <w:gridCol w:w="2222"/>
      </w:tblGrid>
      <w:tr w:rsidR="003B36EC" w:rsidRPr="005C333D" w:rsidTr="00277084">
        <w:trPr>
          <w:cantSplit/>
          <w:tblHeader/>
        </w:trPr>
        <w:tc>
          <w:tcPr>
            <w:tcW w:w="1884" w:type="pct"/>
            <w:vAlign w:val="center"/>
          </w:tcPr>
          <w:p w:rsidR="003B36EC" w:rsidRPr="005C333D" w:rsidRDefault="003B36EC" w:rsidP="00141938">
            <w:pPr>
              <w:pStyle w:val="In-tableHeading"/>
              <w:rPr>
                <w:lang w:val="en-AU"/>
              </w:rPr>
            </w:pPr>
            <w:r w:rsidRPr="005C333D">
              <w:rPr>
                <w:lang w:val="en-AU"/>
              </w:rPr>
              <w:t xml:space="preserve">Trial </w:t>
            </w:r>
          </w:p>
        </w:tc>
        <w:tc>
          <w:tcPr>
            <w:tcW w:w="943" w:type="pct"/>
          </w:tcPr>
          <w:p w:rsidR="003B36EC" w:rsidRPr="005C333D" w:rsidRDefault="003B36EC" w:rsidP="00CD26DE">
            <w:pPr>
              <w:pStyle w:val="In-tableHeading"/>
              <w:jc w:val="center"/>
              <w:rPr>
                <w:lang w:val="en-AU"/>
              </w:rPr>
            </w:pPr>
            <w:r w:rsidRPr="005C333D">
              <w:rPr>
                <w:lang w:val="en-AU"/>
              </w:rPr>
              <w:t>Ciclosporin</w:t>
            </w:r>
            <w:r w:rsidR="00141938" w:rsidRPr="005C333D">
              <w:rPr>
                <w:lang w:val="en-AU"/>
              </w:rPr>
              <w:t>,</w:t>
            </w:r>
            <w:r w:rsidRPr="005C333D">
              <w:rPr>
                <w:lang w:val="en-AU"/>
              </w:rPr>
              <w:t xml:space="preserve"> n (%)</w:t>
            </w:r>
          </w:p>
        </w:tc>
        <w:tc>
          <w:tcPr>
            <w:tcW w:w="941" w:type="pct"/>
          </w:tcPr>
          <w:p w:rsidR="003B36EC" w:rsidRPr="005C333D" w:rsidRDefault="003B36EC" w:rsidP="00CD26DE">
            <w:pPr>
              <w:pStyle w:val="In-tableHeading"/>
              <w:jc w:val="center"/>
              <w:rPr>
                <w:lang w:val="en-AU"/>
              </w:rPr>
            </w:pPr>
            <w:r w:rsidRPr="005C333D">
              <w:rPr>
                <w:lang w:val="en-AU"/>
              </w:rPr>
              <w:t>Vehicle</w:t>
            </w:r>
            <w:r w:rsidR="00141938" w:rsidRPr="005C333D">
              <w:rPr>
                <w:lang w:val="en-AU"/>
              </w:rPr>
              <w:t>,</w:t>
            </w:r>
            <w:r w:rsidRPr="005C333D">
              <w:rPr>
                <w:lang w:val="en-AU"/>
              </w:rPr>
              <w:t xml:space="preserve"> n (%)</w:t>
            </w:r>
          </w:p>
        </w:tc>
        <w:tc>
          <w:tcPr>
            <w:tcW w:w="1232" w:type="pct"/>
          </w:tcPr>
          <w:p w:rsidR="003B36EC" w:rsidRPr="005C333D" w:rsidRDefault="003B36EC" w:rsidP="00CD26DE">
            <w:pPr>
              <w:pStyle w:val="In-tableHeading"/>
              <w:jc w:val="center"/>
              <w:rPr>
                <w:lang w:val="en-AU"/>
              </w:rPr>
            </w:pPr>
            <w:r w:rsidRPr="005C333D">
              <w:rPr>
                <w:lang w:val="en-AU"/>
              </w:rPr>
              <w:t>Odd</w:t>
            </w:r>
            <w:r w:rsidR="00141938" w:rsidRPr="005C333D">
              <w:rPr>
                <w:lang w:val="en-AU"/>
              </w:rPr>
              <w:t>s</w:t>
            </w:r>
            <w:r w:rsidRPr="005C333D">
              <w:rPr>
                <w:lang w:val="en-AU"/>
              </w:rPr>
              <w:t xml:space="preserve"> ratio (95% CI) </w:t>
            </w:r>
          </w:p>
        </w:tc>
      </w:tr>
      <w:tr w:rsidR="00BD5296" w:rsidRPr="005C333D" w:rsidTr="00277084">
        <w:trPr>
          <w:cantSplit/>
        </w:trPr>
        <w:tc>
          <w:tcPr>
            <w:tcW w:w="1884" w:type="pct"/>
            <w:shd w:val="clear" w:color="auto" w:fill="D9D9D9" w:themeFill="background1" w:themeFillShade="D9"/>
          </w:tcPr>
          <w:p w:rsidR="00BD5296" w:rsidRPr="005C333D" w:rsidRDefault="00BD5296" w:rsidP="00CD26DE">
            <w:pPr>
              <w:pStyle w:val="TableText0"/>
              <w:keepNext/>
              <w:rPr>
                <w:b/>
                <w:bCs w:val="0"/>
              </w:rPr>
            </w:pPr>
            <w:r w:rsidRPr="005C333D">
              <w:rPr>
                <w:b/>
                <w:bCs w:val="0"/>
              </w:rPr>
              <w:t>SANSIKA trial</w:t>
            </w:r>
          </w:p>
        </w:tc>
        <w:tc>
          <w:tcPr>
            <w:tcW w:w="943" w:type="pct"/>
            <w:shd w:val="clear" w:color="auto" w:fill="D9D9D9" w:themeFill="background1" w:themeFillShade="D9"/>
          </w:tcPr>
          <w:p w:rsidR="00BD5296" w:rsidRPr="005C333D" w:rsidRDefault="00BD5296" w:rsidP="00CD26DE">
            <w:pPr>
              <w:pStyle w:val="TableText0"/>
              <w:keepNext/>
              <w:jc w:val="center"/>
            </w:pPr>
          </w:p>
        </w:tc>
        <w:tc>
          <w:tcPr>
            <w:tcW w:w="941" w:type="pct"/>
            <w:shd w:val="clear" w:color="auto" w:fill="D9D9D9" w:themeFill="background1" w:themeFillShade="D9"/>
          </w:tcPr>
          <w:p w:rsidR="00BD5296" w:rsidRPr="005C333D" w:rsidRDefault="00BD5296" w:rsidP="00CD26DE">
            <w:pPr>
              <w:pStyle w:val="TableText0"/>
              <w:keepNext/>
              <w:jc w:val="center"/>
            </w:pPr>
          </w:p>
        </w:tc>
        <w:tc>
          <w:tcPr>
            <w:tcW w:w="1232" w:type="pct"/>
            <w:shd w:val="clear" w:color="auto" w:fill="D9D9D9" w:themeFill="background1" w:themeFillShade="D9"/>
          </w:tcPr>
          <w:p w:rsidR="00BD5296" w:rsidRPr="005C333D" w:rsidRDefault="00BD5296" w:rsidP="00CD26DE">
            <w:pPr>
              <w:pStyle w:val="TableText0"/>
              <w:keepNext/>
              <w:jc w:val="center"/>
            </w:pPr>
          </w:p>
        </w:tc>
      </w:tr>
      <w:tr w:rsidR="00F1553A" w:rsidRPr="005C333D" w:rsidTr="00277084">
        <w:trPr>
          <w:cantSplit/>
        </w:trPr>
        <w:tc>
          <w:tcPr>
            <w:tcW w:w="1884" w:type="pct"/>
            <w:vAlign w:val="center"/>
          </w:tcPr>
          <w:p w:rsidR="00F1553A" w:rsidRPr="005C333D" w:rsidRDefault="00F1553A" w:rsidP="00CD26DE">
            <w:pPr>
              <w:pStyle w:val="TableText0"/>
              <w:keepNext/>
              <w:rPr>
                <w:b/>
                <w:bCs w:val="0"/>
              </w:rPr>
            </w:pPr>
            <w:r w:rsidRPr="005C333D">
              <w:rPr>
                <w:bCs w:val="0"/>
              </w:rPr>
              <w:t>Any severe ocular TEAE</w:t>
            </w:r>
          </w:p>
        </w:tc>
        <w:tc>
          <w:tcPr>
            <w:tcW w:w="943" w:type="pct"/>
          </w:tcPr>
          <w:p w:rsidR="00F1553A" w:rsidRPr="005C333D" w:rsidRDefault="00F1553A" w:rsidP="00CD26DE">
            <w:pPr>
              <w:pStyle w:val="TableText0"/>
              <w:keepNext/>
              <w:jc w:val="center"/>
            </w:pPr>
            <w:r w:rsidRPr="005C333D">
              <w:t>9 (5.8)</w:t>
            </w:r>
          </w:p>
        </w:tc>
        <w:tc>
          <w:tcPr>
            <w:tcW w:w="941" w:type="pct"/>
          </w:tcPr>
          <w:p w:rsidR="00F1553A" w:rsidRPr="005C333D" w:rsidRDefault="00F1553A" w:rsidP="00CD26DE">
            <w:pPr>
              <w:pStyle w:val="TableText0"/>
              <w:keepNext/>
              <w:jc w:val="center"/>
            </w:pPr>
            <w:r w:rsidRPr="005C333D">
              <w:t>5 (5.6)</w:t>
            </w:r>
          </w:p>
        </w:tc>
        <w:tc>
          <w:tcPr>
            <w:tcW w:w="1232" w:type="pct"/>
            <w:vAlign w:val="center"/>
          </w:tcPr>
          <w:p w:rsidR="00F1553A" w:rsidRPr="005C333D" w:rsidRDefault="00F1553A" w:rsidP="00CD26DE">
            <w:pPr>
              <w:pStyle w:val="TableText0"/>
              <w:keepNext/>
              <w:jc w:val="center"/>
            </w:pPr>
            <w:r w:rsidRPr="005C333D">
              <w:t>1.07 (0.35, 3.29)</w:t>
            </w:r>
          </w:p>
        </w:tc>
      </w:tr>
      <w:tr w:rsidR="005B5D41" w:rsidRPr="005C333D" w:rsidTr="00277084">
        <w:trPr>
          <w:cantSplit/>
        </w:trPr>
        <w:tc>
          <w:tcPr>
            <w:tcW w:w="1884" w:type="pct"/>
            <w:vAlign w:val="center"/>
          </w:tcPr>
          <w:p w:rsidR="005B5D41" w:rsidRPr="005C333D" w:rsidRDefault="005B5D41" w:rsidP="00CD26DE">
            <w:pPr>
              <w:pStyle w:val="TableText0"/>
              <w:keepNext/>
              <w:rPr>
                <w:b/>
                <w:bCs w:val="0"/>
              </w:rPr>
            </w:pPr>
            <w:r w:rsidRPr="005C333D">
              <w:rPr>
                <w:bCs w:val="0"/>
              </w:rPr>
              <w:t>Any TEAE</w:t>
            </w:r>
          </w:p>
        </w:tc>
        <w:tc>
          <w:tcPr>
            <w:tcW w:w="943" w:type="pct"/>
          </w:tcPr>
          <w:p w:rsidR="005B5D41" w:rsidRPr="005C333D" w:rsidRDefault="005B5D41" w:rsidP="00CD26DE">
            <w:pPr>
              <w:pStyle w:val="TableText0"/>
              <w:keepNext/>
              <w:jc w:val="center"/>
            </w:pPr>
            <w:r w:rsidRPr="005C333D">
              <w:t>88 (57.1)</w:t>
            </w:r>
          </w:p>
        </w:tc>
        <w:tc>
          <w:tcPr>
            <w:tcW w:w="941" w:type="pct"/>
          </w:tcPr>
          <w:p w:rsidR="005B5D41" w:rsidRPr="005C333D" w:rsidRDefault="005B5D41" w:rsidP="00CD26DE">
            <w:pPr>
              <w:pStyle w:val="TableText0"/>
              <w:keepNext/>
              <w:jc w:val="center"/>
            </w:pPr>
            <w:r w:rsidRPr="005C333D">
              <w:t>42 (46.7)</w:t>
            </w:r>
          </w:p>
        </w:tc>
        <w:tc>
          <w:tcPr>
            <w:tcW w:w="1232" w:type="pct"/>
          </w:tcPr>
          <w:p w:rsidR="005B5D41" w:rsidRPr="005C333D" w:rsidRDefault="005B5D41" w:rsidP="00CD26DE">
            <w:pPr>
              <w:pStyle w:val="TableText0"/>
              <w:keepNext/>
              <w:jc w:val="center"/>
            </w:pPr>
            <w:r w:rsidRPr="005C333D">
              <w:t>1.56 (0.92, 2.62)</w:t>
            </w:r>
          </w:p>
        </w:tc>
      </w:tr>
      <w:tr w:rsidR="002F1EB9" w:rsidRPr="005C333D" w:rsidTr="00277084">
        <w:trPr>
          <w:cantSplit/>
        </w:trPr>
        <w:tc>
          <w:tcPr>
            <w:tcW w:w="1884" w:type="pct"/>
            <w:vAlign w:val="center"/>
          </w:tcPr>
          <w:p w:rsidR="002F1EB9" w:rsidRPr="005C333D" w:rsidRDefault="002F1EB9" w:rsidP="00CD26DE">
            <w:pPr>
              <w:pStyle w:val="TableText0"/>
              <w:keepNext/>
              <w:rPr>
                <w:b/>
                <w:bCs w:val="0"/>
              </w:rPr>
            </w:pPr>
            <w:r w:rsidRPr="005C333D">
              <w:rPr>
                <w:bCs w:val="0"/>
              </w:rPr>
              <w:t>Withdrawn due to an ocular TEAE</w:t>
            </w:r>
          </w:p>
        </w:tc>
        <w:tc>
          <w:tcPr>
            <w:tcW w:w="943" w:type="pct"/>
            <w:vAlign w:val="center"/>
          </w:tcPr>
          <w:p w:rsidR="002F1EB9" w:rsidRPr="005C333D" w:rsidRDefault="002F1EB9" w:rsidP="00CD26DE">
            <w:pPr>
              <w:pStyle w:val="TableText0"/>
              <w:keepNext/>
              <w:jc w:val="center"/>
            </w:pPr>
            <w:r w:rsidRPr="005C333D">
              <w:t>18 (11.7)</w:t>
            </w:r>
          </w:p>
        </w:tc>
        <w:tc>
          <w:tcPr>
            <w:tcW w:w="941" w:type="pct"/>
            <w:vAlign w:val="center"/>
          </w:tcPr>
          <w:p w:rsidR="002F1EB9" w:rsidRPr="005C333D" w:rsidRDefault="002F1EB9" w:rsidP="00CD26DE">
            <w:pPr>
              <w:pStyle w:val="TableText0"/>
              <w:keepNext/>
              <w:jc w:val="center"/>
            </w:pPr>
            <w:r w:rsidRPr="005C333D">
              <w:t>6 (6.7)</w:t>
            </w:r>
          </w:p>
        </w:tc>
        <w:tc>
          <w:tcPr>
            <w:tcW w:w="1232" w:type="pct"/>
            <w:vAlign w:val="center"/>
          </w:tcPr>
          <w:p w:rsidR="002F1EB9" w:rsidRPr="005C333D" w:rsidRDefault="002F1EB9" w:rsidP="00CD26DE">
            <w:pPr>
              <w:pStyle w:val="TableText0"/>
              <w:keepNext/>
              <w:jc w:val="center"/>
            </w:pPr>
            <w:r w:rsidRPr="005C333D">
              <w:t>1.88 (0.72, 4.91)</w:t>
            </w:r>
          </w:p>
        </w:tc>
      </w:tr>
      <w:tr w:rsidR="00986263" w:rsidRPr="005C333D" w:rsidTr="00277084">
        <w:trPr>
          <w:cantSplit/>
        </w:trPr>
        <w:tc>
          <w:tcPr>
            <w:tcW w:w="1884" w:type="pct"/>
            <w:vAlign w:val="center"/>
          </w:tcPr>
          <w:p w:rsidR="00986263" w:rsidRPr="005C333D" w:rsidRDefault="00986263" w:rsidP="00CD26DE">
            <w:pPr>
              <w:pStyle w:val="TableText0"/>
              <w:keepNext/>
            </w:pPr>
            <w:r w:rsidRPr="005C333D">
              <w:rPr>
                <w:bCs w:val="0"/>
              </w:rPr>
              <w:t>Death</w:t>
            </w:r>
          </w:p>
        </w:tc>
        <w:tc>
          <w:tcPr>
            <w:tcW w:w="943" w:type="pct"/>
          </w:tcPr>
          <w:p w:rsidR="00986263" w:rsidRPr="005C333D" w:rsidRDefault="00986263" w:rsidP="00CD26DE">
            <w:pPr>
              <w:pStyle w:val="TableText0"/>
              <w:keepNext/>
              <w:jc w:val="center"/>
            </w:pPr>
            <w:r w:rsidRPr="005C333D">
              <w:t>0</w:t>
            </w:r>
          </w:p>
        </w:tc>
        <w:tc>
          <w:tcPr>
            <w:tcW w:w="941" w:type="pct"/>
          </w:tcPr>
          <w:p w:rsidR="00986263" w:rsidRPr="005C333D" w:rsidRDefault="00986263" w:rsidP="00CD26DE">
            <w:pPr>
              <w:pStyle w:val="TableText0"/>
              <w:keepNext/>
              <w:jc w:val="center"/>
            </w:pPr>
            <w:r w:rsidRPr="005C333D">
              <w:t>0</w:t>
            </w:r>
          </w:p>
        </w:tc>
        <w:tc>
          <w:tcPr>
            <w:tcW w:w="1232" w:type="pct"/>
            <w:vAlign w:val="center"/>
          </w:tcPr>
          <w:p w:rsidR="00986263" w:rsidRPr="005C333D" w:rsidRDefault="00986263" w:rsidP="00CD26DE">
            <w:pPr>
              <w:pStyle w:val="TableText0"/>
              <w:keepNext/>
              <w:jc w:val="center"/>
            </w:pPr>
            <w:r w:rsidRPr="005C333D">
              <w:t>Not estimable</w:t>
            </w:r>
          </w:p>
        </w:tc>
      </w:tr>
      <w:tr w:rsidR="0024477C" w:rsidRPr="005C333D" w:rsidTr="00277084">
        <w:trPr>
          <w:cantSplit/>
        </w:trPr>
        <w:tc>
          <w:tcPr>
            <w:tcW w:w="1884" w:type="pct"/>
            <w:vAlign w:val="center"/>
          </w:tcPr>
          <w:p w:rsidR="0024477C" w:rsidRPr="005C333D" w:rsidRDefault="0024477C" w:rsidP="00CD26DE">
            <w:pPr>
              <w:pStyle w:val="TableText0"/>
              <w:keepNext/>
              <w:rPr>
                <w:bCs w:val="0"/>
              </w:rPr>
            </w:pPr>
            <w:r w:rsidRPr="005C333D">
              <w:rPr>
                <w:bCs w:val="0"/>
              </w:rPr>
              <w:t>Instillation site pain</w:t>
            </w:r>
          </w:p>
        </w:tc>
        <w:tc>
          <w:tcPr>
            <w:tcW w:w="943" w:type="pct"/>
          </w:tcPr>
          <w:p w:rsidR="0024477C" w:rsidRPr="005C333D" w:rsidRDefault="0024477C" w:rsidP="00CD26DE">
            <w:pPr>
              <w:pStyle w:val="TableText0"/>
              <w:keepNext/>
              <w:jc w:val="center"/>
            </w:pPr>
            <w:r w:rsidRPr="005C333D">
              <w:t>47 (30.5)</w:t>
            </w:r>
          </w:p>
        </w:tc>
        <w:tc>
          <w:tcPr>
            <w:tcW w:w="941" w:type="pct"/>
          </w:tcPr>
          <w:p w:rsidR="0024477C" w:rsidRPr="005C333D" w:rsidRDefault="0024477C" w:rsidP="00CD26DE">
            <w:pPr>
              <w:pStyle w:val="TableText0"/>
              <w:keepNext/>
              <w:jc w:val="center"/>
            </w:pPr>
            <w:r w:rsidRPr="005C333D">
              <w:t>8 (8.9)</w:t>
            </w:r>
          </w:p>
        </w:tc>
        <w:tc>
          <w:tcPr>
            <w:tcW w:w="1232" w:type="pct"/>
            <w:vAlign w:val="center"/>
          </w:tcPr>
          <w:p w:rsidR="0024477C" w:rsidRPr="005C333D" w:rsidRDefault="0024477C" w:rsidP="00CD26DE">
            <w:pPr>
              <w:pStyle w:val="TableText0"/>
              <w:keepNext/>
              <w:jc w:val="center"/>
            </w:pPr>
            <w:r w:rsidRPr="005C333D">
              <w:t>4.56 (2.04, 10.17)</w:t>
            </w:r>
          </w:p>
        </w:tc>
      </w:tr>
      <w:tr w:rsidR="00421B21" w:rsidRPr="005C333D" w:rsidTr="00277084">
        <w:trPr>
          <w:cantSplit/>
        </w:trPr>
        <w:tc>
          <w:tcPr>
            <w:tcW w:w="1884" w:type="pct"/>
            <w:vAlign w:val="center"/>
          </w:tcPr>
          <w:p w:rsidR="00421B21" w:rsidRPr="005C333D" w:rsidRDefault="00421B21" w:rsidP="00CD26DE">
            <w:pPr>
              <w:pStyle w:val="TableText0"/>
              <w:keepNext/>
              <w:rPr>
                <w:bCs w:val="0"/>
              </w:rPr>
            </w:pPr>
            <w:r w:rsidRPr="005C333D">
              <w:rPr>
                <w:bCs w:val="0"/>
              </w:rPr>
              <w:t>Instillation site irritation</w:t>
            </w:r>
          </w:p>
        </w:tc>
        <w:tc>
          <w:tcPr>
            <w:tcW w:w="943" w:type="pct"/>
          </w:tcPr>
          <w:p w:rsidR="00421B21" w:rsidRPr="005C333D" w:rsidRDefault="00421B21" w:rsidP="00CD26DE">
            <w:pPr>
              <w:pStyle w:val="TableText0"/>
              <w:keepNext/>
              <w:jc w:val="center"/>
            </w:pPr>
            <w:r w:rsidRPr="005C333D">
              <w:t>1 (0.6)</w:t>
            </w:r>
          </w:p>
        </w:tc>
        <w:tc>
          <w:tcPr>
            <w:tcW w:w="941" w:type="pct"/>
          </w:tcPr>
          <w:p w:rsidR="00421B21" w:rsidRPr="005C333D" w:rsidRDefault="00421B21" w:rsidP="00CD26DE">
            <w:pPr>
              <w:pStyle w:val="TableText0"/>
              <w:keepNext/>
              <w:jc w:val="center"/>
            </w:pPr>
            <w:r w:rsidRPr="005C333D">
              <w:t>0</w:t>
            </w:r>
          </w:p>
        </w:tc>
        <w:tc>
          <w:tcPr>
            <w:tcW w:w="1232" w:type="pct"/>
            <w:vAlign w:val="center"/>
          </w:tcPr>
          <w:p w:rsidR="00421B21" w:rsidRPr="005C333D" w:rsidRDefault="00421B21" w:rsidP="00CD26DE">
            <w:pPr>
              <w:pStyle w:val="TableText0"/>
              <w:keepNext/>
              <w:jc w:val="center"/>
            </w:pPr>
            <w:r w:rsidRPr="005C333D">
              <w:t>1.79 (0.07, 44.36)</w:t>
            </w:r>
          </w:p>
        </w:tc>
      </w:tr>
      <w:tr w:rsidR="00BD5296" w:rsidRPr="005C333D" w:rsidTr="00277084">
        <w:trPr>
          <w:cantSplit/>
        </w:trPr>
        <w:tc>
          <w:tcPr>
            <w:tcW w:w="1884" w:type="pct"/>
            <w:shd w:val="clear" w:color="auto" w:fill="D9D9D9" w:themeFill="background1" w:themeFillShade="D9"/>
          </w:tcPr>
          <w:p w:rsidR="00BD5296" w:rsidRPr="005C333D" w:rsidRDefault="00BD5296" w:rsidP="00CD26DE">
            <w:pPr>
              <w:pStyle w:val="TableText0"/>
              <w:keepNext/>
              <w:rPr>
                <w:b/>
                <w:bCs w:val="0"/>
              </w:rPr>
            </w:pPr>
            <w:r w:rsidRPr="005C333D">
              <w:rPr>
                <w:b/>
                <w:bCs w:val="0"/>
              </w:rPr>
              <w:t>SICCANOVE trial</w:t>
            </w:r>
          </w:p>
        </w:tc>
        <w:tc>
          <w:tcPr>
            <w:tcW w:w="943" w:type="pct"/>
            <w:shd w:val="clear" w:color="auto" w:fill="D9D9D9" w:themeFill="background1" w:themeFillShade="D9"/>
          </w:tcPr>
          <w:p w:rsidR="00BD5296" w:rsidRPr="005C333D" w:rsidRDefault="00BD5296" w:rsidP="00CD26DE">
            <w:pPr>
              <w:pStyle w:val="TableText0"/>
              <w:keepNext/>
              <w:jc w:val="center"/>
            </w:pPr>
          </w:p>
        </w:tc>
        <w:tc>
          <w:tcPr>
            <w:tcW w:w="941" w:type="pct"/>
            <w:shd w:val="clear" w:color="auto" w:fill="D9D9D9" w:themeFill="background1" w:themeFillShade="D9"/>
          </w:tcPr>
          <w:p w:rsidR="00BD5296" w:rsidRPr="005C333D" w:rsidRDefault="00BD5296" w:rsidP="00CD26DE">
            <w:pPr>
              <w:pStyle w:val="TableText0"/>
              <w:keepNext/>
              <w:jc w:val="center"/>
            </w:pPr>
          </w:p>
        </w:tc>
        <w:tc>
          <w:tcPr>
            <w:tcW w:w="1232" w:type="pct"/>
            <w:shd w:val="clear" w:color="auto" w:fill="D9D9D9" w:themeFill="background1" w:themeFillShade="D9"/>
          </w:tcPr>
          <w:p w:rsidR="00BD5296" w:rsidRPr="005C333D" w:rsidRDefault="00BD5296" w:rsidP="00CD26DE">
            <w:pPr>
              <w:pStyle w:val="TableText0"/>
              <w:keepNext/>
              <w:jc w:val="center"/>
            </w:pPr>
          </w:p>
        </w:tc>
      </w:tr>
      <w:tr w:rsidR="00B05A41" w:rsidRPr="005C333D" w:rsidTr="00277084">
        <w:trPr>
          <w:cantSplit/>
        </w:trPr>
        <w:tc>
          <w:tcPr>
            <w:tcW w:w="1884" w:type="pct"/>
            <w:vAlign w:val="center"/>
          </w:tcPr>
          <w:p w:rsidR="00B05A41" w:rsidRPr="005C333D" w:rsidRDefault="00B05A41" w:rsidP="00CD26DE">
            <w:pPr>
              <w:pStyle w:val="TableText0"/>
              <w:keepNext/>
              <w:rPr>
                <w:b/>
                <w:bCs w:val="0"/>
              </w:rPr>
            </w:pPr>
            <w:r w:rsidRPr="005C333D">
              <w:rPr>
                <w:bCs w:val="0"/>
              </w:rPr>
              <w:t>Any severe ocular TEAE</w:t>
            </w:r>
          </w:p>
        </w:tc>
        <w:tc>
          <w:tcPr>
            <w:tcW w:w="943" w:type="pct"/>
          </w:tcPr>
          <w:p w:rsidR="00B05A41" w:rsidRPr="005C333D" w:rsidRDefault="00B05A41" w:rsidP="00CD26DE">
            <w:pPr>
              <w:pStyle w:val="TableText0"/>
              <w:keepNext/>
              <w:jc w:val="center"/>
            </w:pPr>
            <w:r w:rsidRPr="005C333D">
              <w:t>84 (34.7)</w:t>
            </w:r>
          </w:p>
        </w:tc>
        <w:tc>
          <w:tcPr>
            <w:tcW w:w="941" w:type="pct"/>
          </w:tcPr>
          <w:p w:rsidR="00B05A41" w:rsidRPr="005C333D" w:rsidRDefault="00B05A41" w:rsidP="00CD26DE">
            <w:pPr>
              <w:pStyle w:val="TableText0"/>
              <w:keepNext/>
              <w:jc w:val="center"/>
            </w:pPr>
            <w:r w:rsidRPr="005C333D">
              <w:t>40 (16.0)</w:t>
            </w:r>
          </w:p>
        </w:tc>
        <w:tc>
          <w:tcPr>
            <w:tcW w:w="1232" w:type="pct"/>
            <w:vAlign w:val="center"/>
          </w:tcPr>
          <w:p w:rsidR="00B05A41" w:rsidRPr="005C333D" w:rsidRDefault="00B05A41" w:rsidP="00CD26DE">
            <w:pPr>
              <w:pStyle w:val="TableText0"/>
              <w:keepNext/>
              <w:jc w:val="center"/>
            </w:pPr>
            <w:r w:rsidRPr="005C333D">
              <w:t>2.79 (1.82, 4.29)</w:t>
            </w:r>
          </w:p>
        </w:tc>
      </w:tr>
      <w:tr w:rsidR="008A6AA1" w:rsidRPr="005C333D" w:rsidTr="00277084">
        <w:trPr>
          <w:cantSplit/>
        </w:trPr>
        <w:tc>
          <w:tcPr>
            <w:tcW w:w="1884" w:type="pct"/>
            <w:vAlign w:val="center"/>
          </w:tcPr>
          <w:p w:rsidR="008A6AA1" w:rsidRPr="005C333D" w:rsidRDefault="008A6AA1" w:rsidP="00CD26DE">
            <w:pPr>
              <w:pStyle w:val="TableText0"/>
              <w:keepNext/>
              <w:rPr>
                <w:b/>
                <w:bCs w:val="0"/>
              </w:rPr>
            </w:pPr>
            <w:r w:rsidRPr="005C333D">
              <w:rPr>
                <w:bCs w:val="0"/>
              </w:rPr>
              <w:t>Any TEAE</w:t>
            </w:r>
          </w:p>
        </w:tc>
        <w:tc>
          <w:tcPr>
            <w:tcW w:w="943" w:type="pct"/>
          </w:tcPr>
          <w:p w:rsidR="008A6AA1" w:rsidRPr="005C333D" w:rsidRDefault="008A6AA1" w:rsidP="00CD26DE">
            <w:pPr>
              <w:pStyle w:val="TableText0"/>
              <w:keepNext/>
              <w:jc w:val="center"/>
            </w:pPr>
            <w:r w:rsidRPr="005C333D">
              <w:t>NR</w:t>
            </w:r>
          </w:p>
        </w:tc>
        <w:tc>
          <w:tcPr>
            <w:tcW w:w="941" w:type="pct"/>
          </w:tcPr>
          <w:p w:rsidR="008A6AA1" w:rsidRPr="005C333D" w:rsidRDefault="008A6AA1" w:rsidP="00CD26DE">
            <w:pPr>
              <w:pStyle w:val="TableText0"/>
              <w:keepNext/>
              <w:jc w:val="center"/>
            </w:pPr>
            <w:r w:rsidRPr="005C333D">
              <w:t>NR</w:t>
            </w:r>
          </w:p>
        </w:tc>
        <w:tc>
          <w:tcPr>
            <w:tcW w:w="1232" w:type="pct"/>
          </w:tcPr>
          <w:p w:rsidR="008A6AA1" w:rsidRPr="005C333D" w:rsidRDefault="0034793F" w:rsidP="00CD26DE">
            <w:pPr>
              <w:pStyle w:val="TableText0"/>
              <w:keepNext/>
              <w:jc w:val="center"/>
            </w:pPr>
            <w:r w:rsidRPr="005C333D">
              <w:t>NR</w:t>
            </w:r>
          </w:p>
        </w:tc>
      </w:tr>
      <w:tr w:rsidR="00DB6D1E" w:rsidRPr="005C333D" w:rsidTr="00277084">
        <w:trPr>
          <w:cantSplit/>
        </w:trPr>
        <w:tc>
          <w:tcPr>
            <w:tcW w:w="1884" w:type="pct"/>
            <w:vAlign w:val="center"/>
          </w:tcPr>
          <w:p w:rsidR="00DB6D1E" w:rsidRPr="005C333D" w:rsidRDefault="00DB6D1E" w:rsidP="00CD26DE">
            <w:pPr>
              <w:pStyle w:val="TableText0"/>
              <w:keepNext/>
              <w:rPr>
                <w:b/>
                <w:bCs w:val="0"/>
              </w:rPr>
            </w:pPr>
            <w:r w:rsidRPr="005C333D">
              <w:rPr>
                <w:bCs w:val="0"/>
              </w:rPr>
              <w:t>Withdrawn due to an ocular TEAE</w:t>
            </w:r>
          </w:p>
        </w:tc>
        <w:tc>
          <w:tcPr>
            <w:tcW w:w="943" w:type="pct"/>
            <w:vAlign w:val="center"/>
          </w:tcPr>
          <w:p w:rsidR="00DB6D1E" w:rsidRPr="005C333D" w:rsidRDefault="00DB6D1E" w:rsidP="00CD26DE">
            <w:pPr>
              <w:pStyle w:val="TableText0"/>
              <w:keepNext/>
              <w:jc w:val="center"/>
            </w:pPr>
            <w:r w:rsidRPr="005C333D">
              <w:t>24 (9.9)</w:t>
            </w:r>
          </w:p>
        </w:tc>
        <w:tc>
          <w:tcPr>
            <w:tcW w:w="941" w:type="pct"/>
            <w:vAlign w:val="center"/>
          </w:tcPr>
          <w:p w:rsidR="00DB6D1E" w:rsidRPr="005C333D" w:rsidRDefault="00DB6D1E" w:rsidP="00CD26DE">
            <w:pPr>
              <w:pStyle w:val="TableText0"/>
              <w:keepNext/>
              <w:jc w:val="center"/>
            </w:pPr>
            <w:r w:rsidRPr="005C333D">
              <w:t>18 (7.2)</w:t>
            </w:r>
          </w:p>
        </w:tc>
        <w:tc>
          <w:tcPr>
            <w:tcW w:w="1232" w:type="pct"/>
            <w:vAlign w:val="center"/>
          </w:tcPr>
          <w:p w:rsidR="00DB6D1E" w:rsidRPr="005C333D" w:rsidRDefault="00DB6D1E" w:rsidP="00CD26DE">
            <w:pPr>
              <w:pStyle w:val="TableText0"/>
              <w:keepNext/>
              <w:jc w:val="center"/>
            </w:pPr>
            <w:r w:rsidRPr="005C333D">
              <w:t>1.42 (0.75, 2.69)</w:t>
            </w:r>
          </w:p>
        </w:tc>
      </w:tr>
      <w:tr w:rsidR="00986263" w:rsidRPr="005C333D" w:rsidTr="00277084">
        <w:trPr>
          <w:cantSplit/>
        </w:trPr>
        <w:tc>
          <w:tcPr>
            <w:tcW w:w="1884" w:type="pct"/>
            <w:vAlign w:val="center"/>
          </w:tcPr>
          <w:p w:rsidR="00986263" w:rsidRPr="005C333D" w:rsidRDefault="00986263" w:rsidP="00CD26DE">
            <w:pPr>
              <w:pStyle w:val="TableText0"/>
              <w:keepNext/>
              <w:rPr>
                <w:b/>
                <w:bCs w:val="0"/>
              </w:rPr>
            </w:pPr>
            <w:r w:rsidRPr="005C333D">
              <w:rPr>
                <w:bCs w:val="0"/>
              </w:rPr>
              <w:t>Death</w:t>
            </w:r>
          </w:p>
        </w:tc>
        <w:tc>
          <w:tcPr>
            <w:tcW w:w="943" w:type="pct"/>
          </w:tcPr>
          <w:p w:rsidR="00986263" w:rsidRPr="005C333D" w:rsidRDefault="00986263" w:rsidP="00CD26DE">
            <w:pPr>
              <w:pStyle w:val="TableText0"/>
              <w:keepNext/>
              <w:jc w:val="center"/>
            </w:pPr>
            <w:r w:rsidRPr="005C333D">
              <w:t>0</w:t>
            </w:r>
          </w:p>
        </w:tc>
        <w:tc>
          <w:tcPr>
            <w:tcW w:w="941" w:type="pct"/>
          </w:tcPr>
          <w:p w:rsidR="00986263" w:rsidRPr="005C333D" w:rsidRDefault="00986263" w:rsidP="00CD26DE">
            <w:pPr>
              <w:pStyle w:val="TableText0"/>
              <w:keepNext/>
              <w:jc w:val="center"/>
            </w:pPr>
            <w:r w:rsidRPr="005C333D">
              <w:t>0</w:t>
            </w:r>
          </w:p>
        </w:tc>
        <w:tc>
          <w:tcPr>
            <w:tcW w:w="1232" w:type="pct"/>
            <w:vAlign w:val="center"/>
          </w:tcPr>
          <w:p w:rsidR="00986263" w:rsidRPr="005C333D" w:rsidRDefault="00986263" w:rsidP="00CD26DE">
            <w:pPr>
              <w:pStyle w:val="TableText0"/>
              <w:keepNext/>
              <w:jc w:val="center"/>
            </w:pPr>
            <w:r w:rsidRPr="005C333D">
              <w:t>Not estimable</w:t>
            </w:r>
          </w:p>
        </w:tc>
      </w:tr>
      <w:tr w:rsidR="004D6B20" w:rsidRPr="005C333D" w:rsidTr="00277084">
        <w:trPr>
          <w:cantSplit/>
        </w:trPr>
        <w:tc>
          <w:tcPr>
            <w:tcW w:w="1884" w:type="pct"/>
            <w:vAlign w:val="center"/>
          </w:tcPr>
          <w:p w:rsidR="004D6B20" w:rsidRPr="005C333D" w:rsidRDefault="004D6B20" w:rsidP="00CD26DE">
            <w:pPr>
              <w:pStyle w:val="TableText0"/>
              <w:keepNext/>
              <w:rPr>
                <w:bCs w:val="0"/>
              </w:rPr>
            </w:pPr>
            <w:r w:rsidRPr="005C333D">
              <w:rPr>
                <w:bCs w:val="0"/>
              </w:rPr>
              <w:t>Instillation site pain</w:t>
            </w:r>
          </w:p>
        </w:tc>
        <w:tc>
          <w:tcPr>
            <w:tcW w:w="943" w:type="pct"/>
          </w:tcPr>
          <w:p w:rsidR="004D6B20" w:rsidRPr="005C333D" w:rsidRDefault="004D6B20" w:rsidP="00CD26DE">
            <w:pPr>
              <w:pStyle w:val="TableText0"/>
              <w:keepNext/>
              <w:jc w:val="center"/>
            </w:pPr>
            <w:r w:rsidRPr="005C333D">
              <w:t>3 (1.2)</w:t>
            </w:r>
          </w:p>
        </w:tc>
        <w:tc>
          <w:tcPr>
            <w:tcW w:w="941" w:type="pct"/>
          </w:tcPr>
          <w:p w:rsidR="004D6B20" w:rsidRPr="005C333D" w:rsidRDefault="004D6B20" w:rsidP="00CD26DE">
            <w:pPr>
              <w:pStyle w:val="TableText0"/>
              <w:keepNext/>
              <w:jc w:val="center"/>
            </w:pPr>
            <w:r w:rsidRPr="005C333D">
              <w:t>1 (0.4)</w:t>
            </w:r>
          </w:p>
        </w:tc>
        <w:tc>
          <w:tcPr>
            <w:tcW w:w="1232" w:type="pct"/>
            <w:vAlign w:val="center"/>
          </w:tcPr>
          <w:p w:rsidR="004D6B20" w:rsidRPr="005C333D" w:rsidRDefault="004D6B20" w:rsidP="00CD26DE">
            <w:pPr>
              <w:pStyle w:val="TableText0"/>
              <w:keepNext/>
              <w:jc w:val="center"/>
            </w:pPr>
            <w:r w:rsidRPr="005C333D">
              <w:t>3.13 (0.32, 30.26)</w:t>
            </w:r>
          </w:p>
        </w:tc>
      </w:tr>
      <w:tr w:rsidR="007C14CE" w:rsidRPr="005C333D" w:rsidTr="00277084">
        <w:trPr>
          <w:cantSplit/>
        </w:trPr>
        <w:tc>
          <w:tcPr>
            <w:tcW w:w="1884" w:type="pct"/>
            <w:vAlign w:val="center"/>
          </w:tcPr>
          <w:p w:rsidR="007C14CE" w:rsidRPr="005C333D" w:rsidRDefault="007C14CE" w:rsidP="00CD26DE">
            <w:pPr>
              <w:pStyle w:val="TableText0"/>
              <w:keepNext/>
              <w:rPr>
                <w:bCs w:val="0"/>
              </w:rPr>
            </w:pPr>
            <w:r w:rsidRPr="005C333D">
              <w:rPr>
                <w:bCs w:val="0"/>
              </w:rPr>
              <w:t>Instillation site irritation</w:t>
            </w:r>
          </w:p>
        </w:tc>
        <w:tc>
          <w:tcPr>
            <w:tcW w:w="943" w:type="pct"/>
          </w:tcPr>
          <w:p w:rsidR="007C14CE" w:rsidRPr="005C333D" w:rsidRDefault="007C14CE" w:rsidP="00CD26DE">
            <w:pPr>
              <w:pStyle w:val="TableText0"/>
              <w:keepNext/>
              <w:jc w:val="center"/>
            </w:pPr>
            <w:r w:rsidRPr="005C333D">
              <w:t>19 (7.9)</w:t>
            </w:r>
          </w:p>
        </w:tc>
        <w:tc>
          <w:tcPr>
            <w:tcW w:w="941" w:type="pct"/>
          </w:tcPr>
          <w:p w:rsidR="007C14CE" w:rsidRPr="005C333D" w:rsidRDefault="007C14CE" w:rsidP="00CD26DE">
            <w:pPr>
              <w:pStyle w:val="TableText0"/>
              <w:keepNext/>
              <w:jc w:val="center"/>
            </w:pPr>
            <w:r w:rsidRPr="005C333D">
              <w:t>4 (1.6)</w:t>
            </w:r>
          </w:p>
        </w:tc>
        <w:tc>
          <w:tcPr>
            <w:tcW w:w="1232" w:type="pct"/>
            <w:vAlign w:val="center"/>
          </w:tcPr>
          <w:p w:rsidR="007C14CE" w:rsidRPr="005C333D" w:rsidRDefault="007C14CE" w:rsidP="00CD26DE">
            <w:pPr>
              <w:pStyle w:val="TableText0"/>
              <w:keepNext/>
              <w:jc w:val="center"/>
            </w:pPr>
            <w:r w:rsidRPr="005C333D">
              <w:t>5.24 (1.76, 15.64)</w:t>
            </w:r>
          </w:p>
        </w:tc>
      </w:tr>
      <w:tr w:rsidR="00BD5296" w:rsidRPr="005C333D" w:rsidTr="00BD5296">
        <w:trPr>
          <w:cantSplit/>
        </w:trPr>
        <w:tc>
          <w:tcPr>
            <w:tcW w:w="5000" w:type="pct"/>
            <w:gridSpan w:val="4"/>
            <w:shd w:val="clear" w:color="auto" w:fill="D9D9D9" w:themeFill="background1" w:themeFillShade="D9"/>
          </w:tcPr>
          <w:p w:rsidR="00BD5296" w:rsidRPr="005C333D" w:rsidRDefault="00BD5296" w:rsidP="00CD26DE">
            <w:pPr>
              <w:pStyle w:val="TableText0"/>
              <w:keepNext/>
              <w:rPr>
                <w:b/>
                <w:bCs w:val="0"/>
                <w:szCs w:val="20"/>
              </w:rPr>
            </w:pPr>
            <w:r w:rsidRPr="005C333D">
              <w:rPr>
                <w:b/>
                <w:bCs w:val="0"/>
              </w:rPr>
              <w:t>Meta-analysis</w:t>
            </w:r>
            <w:r w:rsidR="00730C7D" w:rsidRPr="005C333D">
              <w:rPr>
                <w:b/>
                <w:bCs w:val="0"/>
              </w:rPr>
              <w:t xml:space="preserve"> (Leonardi 2019)</w:t>
            </w:r>
          </w:p>
        </w:tc>
      </w:tr>
      <w:tr w:rsidR="00EF39EE" w:rsidRPr="005C333D" w:rsidTr="008B672D">
        <w:trPr>
          <w:cantSplit/>
        </w:trPr>
        <w:tc>
          <w:tcPr>
            <w:tcW w:w="5000" w:type="pct"/>
            <w:gridSpan w:val="4"/>
          </w:tcPr>
          <w:p w:rsidR="00EF39EE" w:rsidRPr="005C333D" w:rsidRDefault="00EF39EE" w:rsidP="00CD26DE">
            <w:pPr>
              <w:pStyle w:val="TableText0"/>
              <w:keepNext/>
            </w:pPr>
            <w:r w:rsidRPr="005C333D">
              <w:rPr>
                <w:b/>
                <w:szCs w:val="20"/>
              </w:rPr>
              <w:t>Ocular TEAE</w:t>
            </w:r>
          </w:p>
        </w:tc>
      </w:tr>
      <w:tr w:rsidR="00EF39EE" w:rsidRPr="005C333D" w:rsidTr="00277084">
        <w:trPr>
          <w:cantSplit/>
        </w:trPr>
        <w:tc>
          <w:tcPr>
            <w:tcW w:w="1884" w:type="pct"/>
          </w:tcPr>
          <w:p w:rsidR="00EF39EE" w:rsidRPr="005C333D" w:rsidRDefault="00EF39EE" w:rsidP="00CD26DE">
            <w:pPr>
              <w:pStyle w:val="TableText0"/>
              <w:keepNext/>
            </w:pPr>
            <w:r w:rsidRPr="005C333D">
              <w:rPr>
                <w:szCs w:val="20"/>
              </w:rPr>
              <w:t>SANSIKA (N=250)</w:t>
            </w:r>
          </w:p>
        </w:tc>
        <w:tc>
          <w:tcPr>
            <w:tcW w:w="943" w:type="pct"/>
          </w:tcPr>
          <w:p w:rsidR="00EF39EE" w:rsidRPr="005C333D" w:rsidRDefault="00EF39EE" w:rsidP="00CD26DE">
            <w:pPr>
              <w:pStyle w:val="TableText0"/>
              <w:keepNext/>
              <w:jc w:val="center"/>
            </w:pPr>
            <w:r w:rsidRPr="005C333D">
              <w:rPr>
                <w:szCs w:val="20"/>
              </w:rPr>
              <w:t>66 (42.9)</w:t>
            </w:r>
          </w:p>
        </w:tc>
        <w:tc>
          <w:tcPr>
            <w:tcW w:w="941" w:type="pct"/>
          </w:tcPr>
          <w:p w:rsidR="00EF39EE" w:rsidRPr="005C333D" w:rsidRDefault="00EF39EE" w:rsidP="00CD26DE">
            <w:pPr>
              <w:pStyle w:val="TableText0"/>
              <w:keepNext/>
              <w:jc w:val="center"/>
            </w:pPr>
            <w:r w:rsidRPr="005C333D">
              <w:rPr>
                <w:szCs w:val="20"/>
              </w:rPr>
              <w:t>27 (30.0)</w:t>
            </w:r>
          </w:p>
        </w:tc>
        <w:tc>
          <w:tcPr>
            <w:tcW w:w="1232" w:type="pct"/>
          </w:tcPr>
          <w:p w:rsidR="00EF39EE" w:rsidRPr="005C333D" w:rsidRDefault="00EF39EE" w:rsidP="00CD26DE">
            <w:pPr>
              <w:pStyle w:val="TableText0"/>
              <w:keepNext/>
              <w:jc w:val="center"/>
            </w:pPr>
            <w:r w:rsidRPr="005C333D">
              <w:rPr>
                <w:szCs w:val="20"/>
              </w:rPr>
              <w:t>1.78 (1.02, 3.09)</w:t>
            </w:r>
          </w:p>
        </w:tc>
      </w:tr>
      <w:tr w:rsidR="00EF39EE" w:rsidRPr="005C333D" w:rsidTr="00277084">
        <w:trPr>
          <w:cantSplit/>
        </w:trPr>
        <w:tc>
          <w:tcPr>
            <w:tcW w:w="1884" w:type="pct"/>
          </w:tcPr>
          <w:p w:rsidR="00EF39EE" w:rsidRPr="005C333D" w:rsidRDefault="00EF39EE" w:rsidP="00CD26DE">
            <w:pPr>
              <w:pStyle w:val="TableText0"/>
              <w:keepNext/>
            </w:pPr>
            <w:r w:rsidRPr="005C333D">
              <w:rPr>
                <w:szCs w:val="20"/>
              </w:rPr>
              <w:t>SICCANOVE (N=242)</w:t>
            </w:r>
          </w:p>
        </w:tc>
        <w:tc>
          <w:tcPr>
            <w:tcW w:w="943" w:type="pct"/>
          </w:tcPr>
          <w:p w:rsidR="00EF39EE" w:rsidRPr="005C333D" w:rsidRDefault="00EF39EE" w:rsidP="00CD26DE">
            <w:pPr>
              <w:pStyle w:val="TableText0"/>
              <w:keepNext/>
              <w:jc w:val="center"/>
            </w:pPr>
            <w:r w:rsidRPr="005C333D">
              <w:rPr>
                <w:szCs w:val="20"/>
              </w:rPr>
              <w:t>103 (42.6)</w:t>
            </w:r>
          </w:p>
        </w:tc>
        <w:tc>
          <w:tcPr>
            <w:tcW w:w="941" w:type="pct"/>
          </w:tcPr>
          <w:p w:rsidR="00EF39EE" w:rsidRPr="005C333D" w:rsidRDefault="00EF39EE" w:rsidP="00CD26DE">
            <w:pPr>
              <w:pStyle w:val="TableText0"/>
              <w:keepNext/>
              <w:jc w:val="center"/>
            </w:pPr>
            <w:r w:rsidRPr="005C333D">
              <w:rPr>
                <w:szCs w:val="20"/>
              </w:rPr>
              <w:t>67 (26.8)</w:t>
            </w:r>
          </w:p>
        </w:tc>
        <w:tc>
          <w:tcPr>
            <w:tcW w:w="1232" w:type="pct"/>
          </w:tcPr>
          <w:p w:rsidR="00EF39EE" w:rsidRPr="005C333D" w:rsidRDefault="00EF39EE" w:rsidP="00CD26DE">
            <w:pPr>
              <w:pStyle w:val="TableText0"/>
              <w:keepNext/>
              <w:jc w:val="center"/>
            </w:pPr>
            <w:r w:rsidRPr="005C333D">
              <w:rPr>
                <w:szCs w:val="20"/>
              </w:rPr>
              <w:t>2.02 (1.39, 2.96)</w:t>
            </w:r>
          </w:p>
        </w:tc>
      </w:tr>
      <w:tr w:rsidR="00A14BAE" w:rsidRPr="005C333D" w:rsidTr="008B672D">
        <w:trPr>
          <w:cantSplit/>
        </w:trPr>
        <w:tc>
          <w:tcPr>
            <w:tcW w:w="3768" w:type="pct"/>
            <w:gridSpan w:val="3"/>
          </w:tcPr>
          <w:p w:rsidR="00A14BAE" w:rsidRPr="005C333D" w:rsidRDefault="00A14BAE" w:rsidP="00CD26DE">
            <w:pPr>
              <w:pStyle w:val="TableText0"/>
              <w:keepNext/>
              <w:rPr>
                <w:szCs w:val="20"/>
              </w:rPr>
            </w:pPr>
            <w:r w:rsidRPr="005C333D">
              <w:rPr>
                <w:iCs/>
              </w:rPr>
              <w:t>Heterogeneity:</w:t>
            </w:r>
            <w:r w:rsidR="00BF2C5E" w:rsidRPr="005C333D">
              <w:rPr>
                <w:iCs/>
              </w:rPr>
              <w:t xml:space="preserve"> </w:t>
            </w:r>
            <w:r w:rsidRPr="005C333D">
              <w:rPr>
                <w:iCs/>
              </w:rPr>
              <w:t>Chi</w:t>
            </w:r>
            <w:r w:rsidRPr="005C333D">
              <w:rPr>
                <w:iCs/>
                <w:vertAlign w:val="superscript"/>
              </w:rPr>
              <w:t>2</w:t>
            </w:r>
            <w:r w:rsidRPr="005C333D">
              <w:rPr>
                <w:iCs/>
              </w:rPr>
              <w:t xml:space="preserve"> = 0.14, df=1 (p=0.70); I</w:t>
            </w:r>
            <w:r w:rsidRPr="005C333D">
              <w:rPr>
                <w:iCs/>
                <w:vertAlign w:val="superscript"/>
              </w:rPr>
              <w:t>2</w:t>
            </w:r>
            <w:r w:rsidR="00BF2C5E" w:rsidRPr="005C333D">
              <w:rPr>
                <w:iCs/>
                <w:vertAlign w:val="superscript"/>
              </w:rPr>
              <w:t xml:space="preserve"> </w:t>
            </w:r>
            <w:r w:rsidRPr="005C333D">
              <w:rPr>
                <w:iCs/>
              </w:rPr>
              <w:t>= 0%</w:t>
            </w:r>
          </w:p>
        </w:tc>
        <w:tc>
          <w:tcPr>
            <w:tcW w:w="1232" w:type="pct"/>
            <w:vAlign w:val="center"/>
          </w:tcPr>
          <w:p w:rsidR="00A14BAE" w:rsidRPr="005C333D" w:rsidRDefault="00181E9F" w:rsidP="00CD26DE">
            <w:pPr>
              <w:pStyle w:val="TableText0"/>
              <w:keepNext/>
              <w:jc w:val="center"/>
              <w:rPr>
                <w:bCs w:val="0"/>
                <w:szCs w:val="20"/>
              </w:rPr>
            </w:pPr>
            <w:r w:rsidRPr="005C333D">
              <w:rPr>
                <w:bCs w:val="0"/>
              </w:rPr>
              <w:t>1.94 (1.42, 2.65)</w:t>
            </w:r>
          </w:p>
        </w:tc>
      </w:tr>
      <w:tr w:rsidR="00A14BAE" w:rsidRPr="005C333D" w:rsidTr="008B672D">
        <w:trPr>
          <w:cantSplit/>
        </w:trPr>
        <w:tc>
          <w:tcPr>
            <w:tcW w:w="3768" w:type="pct"/>
            <w:gridSpan w:val="3"/>
          </w:tcPr>
          <w:p w:rsidR="00A14BAE" w:rsidRPr="005C333D" w:rsidRDefault="00A14BAE" w:rsidP="00CD26DE">
            <w:pPr>
              <w:pStyle w:val="TableText0"/>
              <w:keepNext/>
              <w:rPr>
                <w:szCs w:val="20"/>
              </w:rPr>
            </w:pPr>
            <w:r w:rsidRPr="005C333D">
              <w:t>Test for overall effect:</w:t>
            </w:r>
            <w:r w:rsidR="00BF2C5E" w:rsidRPr="005C333D">
              <w:t xml:space="preserve"> </w:t>
            </w:r>
            <w:r w:rsidRPr="005C333D">
              <w:t>Z=4.17 (</w:t>
            </w:r>
            <w:r w:rsidRPr="005C333D">
              <w:rPr>
                <w:b/>
                <w:bCs w:val="0"/>
              </w:rPr>
              <w:t>p&lt;0.0001</w:t>
            </w:r>
            <w:r w:rsidRPr="005C333D">
              <w:t>)</w:t>
            </w:r>
          </w:p>
        </w:tc>
        <w:tc>
          <w:tcPr>
            <w:tcW w:w="1232" w:type="pct"/>
          </w:tcPr>
          <w:p w:rsidR="00A14BAE" w:rsidRPr="005C333D" w:rsidRDefault="00A14BAE" w:rsidP="00CD26DE">
            <w:pPr>
              <w:pStyle w:val="TableText0"/>
              <w:keepNext/>
              <w:jc w:val="center"/>
              <w:rPr>
                <w:szCs w:val="20"/>
              </w:rPr>
            </w:pPr>
          </w:p>
        </w:tc>
      </w:tr>
      <w:tr w:rsidR="001568B6" w:rsidRPr="005C333D" w:rsidTr="008B672D">
        <w:trPr>
          <w:cantSplit/>
        </w:trPr>
        <w:tc>
          <w:tcPr>
            <w:tcW w:w="5000" w:type="pct"/>
            <w:gridSpan w:val="4"/>
          </w:tcPr>
          <w:p w:rsidR="001568B6" w:rsidRPr="005C333D" w:rsidRDefault="001568B6" w:rsidP="00CD26DE">
            <w:pPr>
              <w:pStyle w:val="TableText0"/>
              <w:keepNext/>
            </w:pPr>
            <w:r w:rsidRPr="005C333D">
              <w:rPr>
                <w:b/>
                <w:szCs w:val="20"/>
              </w:rPr>
              <w:t>Treatment related ocular TEAE</w:t>
            </w:r>
          </w:p>
        </w:tc>
      </w:tr>
      <w:tr w:rsidR="00A43576" w:rsidRPr="005C333D" w:rsidTr="00277084">
        <w:trPr>
          <w:cantSplit/>
        </w:trPr>
        <w:tc>
          <w:tcPr>
            <w:tcW w:w="1884" w:type="pct"/>
          </w:tcPr>
          <w:p w:rsidR="00A43576" w:rsidRPr="005C333D" w:rsidRDefault="00A43576" w:rsidP="00CD26DE">
            <w:pPr>
              <w:pStyle w:val="TableText0"/>
              <w:keepNext/>
            </w:pPr>
            <w:r w:rsidRPr="005C333D">
              <w:rPr>
                <w:szCs w:val="20"/>
              </w:rPr>
              <w:t>SANSIKA (N=250)</w:t>
            </w:r>
          </w:p>
        </w:tc>
        <w:tc>
          <w:tcPr>
            <w:tcW w:w="943" w:type="pct"/>
            <w:vAlign w:val="center"/>
          </w:tcPr>
          <w:p w:rsidR="00A43576" w:rsidRPr="005C333D" w:rsidRDefault="00A43576" w:rsidP="00CD26DE">
            <w:pPr>
              <w:pStyle w:val="TableText0"/>
              <w:keepNext/>
              <w:jc w:val="center"/>
            </w:pPr>
            <w:r w:rsidRPr="005C333D">
              <w:t>57 (37.0)</w:t>
            </w:r>
          </w:p>
        </w:tc>
        <w:tc>
          <w:tcPr>
            <w:tcW w:w="941" w:type="pct"/>
            <w:vAlign w:val="center"/>
          </w:tcPr>
          <w:p w:rsidR="00A43576" w:rsidRPr="005C333D" w:rsidRDefault="00A43576" w:rsidP="00CD26DE">
            <w:pPr>
              <w:pStyle w:val="TableText0"/>
              <w:keepNext/>
              <w:jc w:val="center"/>
            </w:pPr>
            <w:r w:rsidRPr="005C333D">
              <w:t>18 (20.0)</w:t>
            </w:r>
          </w:p>
        </w:tc>
        <w:tc>
          <w:tcPr>
            <w:tcW w:w="1232" w:type="pct"/>
            <w:vAlign w:val="center"/>
          </w:tcPr>
          <w:p w:rsidR="00A43576" w:rsidRPr="005C333D" w:rsidRDefault="00A43576" w:rsidP="00CD26DE">
            <w:pPr>
              <w:pStyle w:val="TableText0"/>
              <w:keepNext/>
              <w:jc w:val="center"/>
            </w:pPr>
            <w:r w:rsidRPr="005C333D">
              <w:t>2.38 (1.29, 4.39)</w:t>
            </w:r>
          </w:p>
        </w:tc>
      </w:tr>
      <w:tr w:rsidR="00251A5D" w:rsidRPr="005C333D" w:rsidTr="00277084">
        <w:trPr>
          <w:cantSplit/>
        </w:trPr>
        <w:tc>
          <w:tcPr>
            <w:tcW w:w="1884" w:type="pct"/>
          </w:tcPr>
          <w:p w:rsidR="00251A5D" w:rsidRPr="005C333D" w:rsidRDefault="00251A5D" w:rsidP="00CD26DE">
            <w:pPr>
              <w:pStyle w:val="TableText0"/>
              <w:keepNext/>
            </w:pPr>
            <w:r w:rsidRPr="005C333D">
              <w:rPr>
                <w:szCs w:val="20"/>
              </w:rPr>
              <w:t>SICCANOVE (N=242)</w:t>
            </w:r>
          </w:p>
        </w:tc>
        <w:tc>
          <w:tcPr>
            <w:tcW w:w="943" w:type="pct"/>
          </w:tcPr>
          <w:p w:rsidR="00251A5D" w:rsidRPr="005C333D" w:rsidRDefault="00251A5D" w:rsidP="00CD26DE">
            <w:pPr>
              <w:pStyle w:val="TableText0"/>
              <w:keepNext/>
              <w:jc w:val="center"/>
            </w:pPr>
            <w:r w:rsidRPr="005C333D">
              <w:rPr>
                <w:szCs w:val="20"/>
              </w:rPr>
              <w:t>176 (78.9)</w:t>
            </w:r>
          </w:p>
        </w:tc>
        <w:tc>
          <w:tcPr>
            <w:tcW w:w="941" w:type="pct"/>
          </w:tcPr>
          <w:p w:rsidR="00251A5D" w:rsidRPr="005C333D" w:rsidRDefault="00251A5D" w:rsidP="00CD26DE">
            <w:pPr>
              <w:pStyle w:val="TableText0"/>
              <w:keepNext/>
              <w:jc w:val="center"/>
            </w:pPr>
            <w:r w:rsidRPr="005C333D">
              <w:rPr>
                <w:szCs w:val="20"/>
              </w:rPr>
              <w:t>66 (58.9)</w:t>
            </w:r>
          </w:p>
        </w:tc>
        <w:tc>
          <w:tcPr>
            <w:tcW w:w="1232" w:type="pct"/>
          </w:tcPr>
          <w:p w:rsidR="00251A5D" w:rsidRPr="005C333D" w:rsidRDefault="00251A5D" w:rsidP="00CD26DE">
            <w:pPr>
              <w:pStyle w:val="TableText0"/>
              <w:keepNext/>
              <w:jc w:val="center"/>
            </w:pPr>
            <w:r w:rsidRPr="005C333D">
              <w:rPr>
                <w:szCs w:val="20"/>
              </w:rPr>
              <w:t>7.43 (4.99, 11.08)</w:t>
            </w:r>
          </w:p>
        </w:tc>
      </w:tr>
      <w:tr w:rsidR="001568B6" w:rsidRPr="005C333D" w:rsidTr="008B672D">
        <w:trPr>
          <w:cantSplit/>
        </w:trPr>
        <w:tc>
          <w:tcPr>
            <w:tcW w:w="3768" w:type="pct"/>
            <w:gridSpan w:val="3"/>
          </w:tcPr>
          <w:p w:rsidR="001568B6" w:rsidRPr="005C333D" w:rsidRDefault="001568B6" w:rsidP="00CD26DE">
            <w:pPr>
              <w:pStyle w:val="TableText0"/>
              <w:keepNext/>
              <w:rPr>
                <w:szCs w:val="20"/>
              </w:rPr>
            </w:pPr>
            <w:r w:rsidRPr="005C333D">
              <w:rPr>
                <w:iCs/>
              </w:rPr>
              <w:t>Heterogeneity:</w:t>
            </w:r>
            <w:r w:rsidR="00BF2C5E" w:rsidRPr="005C333D">
              <w:rPr>
                <w:iCs/>
              </w:rPr>
              <w:t xml:space="preserve"> </w:t>
            </w:r>
            <w:r w:rsidRPr="005C333D">
              <w:rPr>
                <w:iCs/>
              </w:rPr>
              <w:t>Chi</w:t>
            </w:r>
            <w:r w:rsidRPr="005C333D">
              <w:rPr>
                <w:iCs/>
                <w:vertAlign w:val="superscript"/>
              </w:rPr>
              <w:t>2</w:t>
            </w:r>
            <w:r w:rsidRPr="005C333D">
              <w:rPr>
                <w:iCs/>
              </w:rPr>
              <w:t xml:space="preserve"> = 9.36, df=1 (</w:t>
            </w:r>
            <w:r w:rsidRPr="005C333D">
              <w:rPr>
                <w:b/>
                <w:bCs w:val="0"/>
                <w:iCs/>
              </w:rPr>
              <w:t>p=0.002</w:t>
            </w:r>
            <w:r w:rsidRPr="005C333D">
              <w:rPr>
                <w:iCs/>
              </w:rPr>
              <w:t>); I</w:t>
            </w:r>
            <w:r w:rsidRPr="005C333D">
              <w:rPr>
                <w:iCs/>
                <w:vertAlign w:val="superscript"/>
              </w:rPr>
              <w:t>2</w:t>
            </w:r>
            <w:r w:rsidR="00BF2C5E" w:rsidRPr="005C333D">
              <w:rPr>
                <w:iCs/>
                <w:vertAlign w:val="superscript"/>
              </w:rPr>
              <w:t xml:space="preserve"> </w:t>
            </w:r>
            <w:r w:rsidRPr="005C333D">
              <w:rPr>
                <w:iCs/>
              </w:rPr>
              <w:t>= 89%</w:t>
            </w:r>
          </w:p>
        </w:tc>
        <w:tc>
          <w:tcPr>
            <w:tcW w:w="1232" w:type="pct"/>
          </w:tcPr>
          <w:p w:rsidR="001568B6" w:rsidRPr="005C333D" w:rsidRDefault="00236D0B" w:rsidP="00CD26DE">
            <w:pPr>
              <w:pStyle w:val="TableText0"/>
              <w:keepNext/>
              <w:jc w:val="center"/>
              <w:rPr>
                <w:bCs w:val="0"/>
                <w:szCs w:val="20"/>
              </w:rPr>
            </w:pPr>
            <w:r w:rsidRPr="005C333D">
              <w:rPr>
                <w:bCs w:val="0"/>
              </w:rPr>
              <w:t>4.31 (1.41, 13.15)</w:t>
            </w:r>
          </w:p>
        </w:tc>
      </w:tr>
      <w:tr w:rsidR="001568B6" w:rsidRPr="005C333D" w:rsidTr="008B672D">
        <w:trPr>
          <w:cantSplit/>
        </w:trPr>
        <w:tc>
          <w:tcPr>
            <w:tcW w:w="3768" w:type="pct"/>
            <w:gridSpan w:val="3"/>
          </w:tcPr>
          <w:p w:rsidR="001568B6" w:rsidRPr="005C333D" w:rsidRDefault="001568B6" w:rsidP="00CD26DE">
            <w:pPr>
              <w:pStyle w:val="TableText0"/>
              <w:keepNext/>
              <w:rPr>
                <w:szCs w:val="20"/>
              </w:rPr>
            </w:pPr>
            <w:r w:rsidRPr="005C333D">
              <w:t>Test for overall effect:</w:t>
            </w:r>
            <w:r w:rsidR="00BF2C5E" w:rsidRPr="005C333D">
              <w:t xml:space="preserve"> </w:t>
            </w:r>
            <w:r w:rsidRPr="005C333D">
              <w:t>Z=2.57 (</w:t>
            </w:r>
            <w:r w:rsidRPr="005C333D">
              <w:rPr>
                <w:b/>
                <w:bCs w:val="0"/>
              </w:rPr>
              <w:t>p=0.01</w:t>
            </w:r>
            <w:r w:rsidRPr="005C333D">
              <w:t>)</w:t>
            </w:r>
          </w:p>
        </w:tc>
        <w:tc>
          <w:tcPr>
            <w:tcW w:w="1232" w:type="pct"/>
          </w:tcPr>
          <w:p w:rsidR="001568B6" w:rsidRPr="005C333D" w:rsidRDefault="001568B6" w:rsidP="00CD26DE">
            <w:pPr>
              <w:pStyle w:val="TableText0"/>
              <w:keepNext/>
              <w:jc w:val="center"/>
              <w:rPr>
                <w:szCs w:val="20"/>
              </w:rPr>
            </w:pPr>
          </w:p>
        </w:tc>
      </w:tr>
      <w:tr w:rsidR="008F500D" w:rsidRPr="005C333D" w:rsidTr="008B672D">
        <w:trPr>
          <w:cantSplit/>
        </w:trPr>
        <w:tc>
          <w:tcPr>
            <w:tcW w:w="5000" w:type="pct"/>
            <w:gridSpan w:val="4"/>
          </w:tcPr>
          <w:p w:rsidR="008F500D" w:rsidRPr="005C333D" w:rsidRDefault="008F500D" w:rsidP="00CD26DE">
            <w:pPr>
              <w:pStyle w:val="TableText0"/>
              <w:keepNext/>
            </w:pPr>
            <w:r w:rsidRPr="005C333D">
              <w:rPr>
                <w:b/>
                <w:szCs w:val="20"/>
              </w:rPr>
              <w:t>Instillation site pain</w:t>
            </w:r>
          </w:p>
        </w:tc>
      </w:tr>
      <w:tr w:rsidR="00362DF6" w:rsidRPr="005C333D" w:rsidTr="00277084">
        <w:trPr>
          <w:cantSplit/>
        </w:trPr>
        <w:tc>
          <w:tcPr>
            <w:tcW w:w="1884" w:type="pct"/>
          </w:tcPr>
          <w:p w:rsidR="00362DF6" w:rsidRPr="005C333D" w:rsidRDefault="00362DF6" w:rsidP="00CD26DE">
            <w:pPr>
              <w:pStyle w:val="TableText0"/>
              <w:keepNext/>
            </w:pPr>
            <w:r w:rsidRPr="005C333D">
              <w:rPr>
                <w:szCs w:val="20"/>
              </w:rPr>
              <w:t>SANSIKA (N=250)</w:t>
            </w:r>
          </w:p>
        </w:tc>
        <w:tc>
          <w:tcPr>
            <w:tcW w:w="943" w:type="pct"/>
          </w:tcPr>
          <w:p w:rsidR="00362DF6" w:rsidRPr="005C333D" w:rsidRDefault="00362DF6" w:rsidP="00CD26DE">
            <w:pPr>
              <w:pStyle w:val="TableText0"/>
              <w:keepNext/>
              <w:jc w:val="center"/>
            </w:pPr>
            <w:r w:rsidRPr="005C333D">
              <w:rPr>
                <w:szCs w:val="20"/>
              </w:rPr>
              <w:t>47 (30.5)</w:t>
            </w:r>
          </w:p>
        </w:tc>
        <w:tc>
          <w:tcPr>
            <w:tcW w:w="941" w:type="pct"/>
          </w:tcPr>
          <w:p w:rsidR="00362DF6" w:rsidRPr="005C333D" w:rsidRDefault="00362DF6" w:rsidP="00CD26DE">
            <w:pPr>
              <w:pStyle w:val="TableText0"/>
              <w:keepNext/>
              <w:jc w:val="center"/>
            </w:pPr>
            <w:r w:rsidRPr="005C333D">
              <w:rPr>
                <w:szCs w:val="20"/>
              </w:rPr>
              <w:t>8 (8.9)</w:t>
            </w:r>
          </w:p>
        </w:tc>
        <w:tc>
          <w:tcPr>
            <w:tcW w:w="1232" w:type="pct"/>
          </w:tcPr>
          <w:p w:rsidR="00362DF6" w:rsidRPr="005C333D" w:rsidRDefault="00362DF6" w:rsidP="00CD26DE">
            <w:pPr>
              <w:pStyle w:val="TableText0"/>
              <w:keepNext/>
              <w:jc w:val="center"/>
            </w:pPr>
            <w:r w:rsidRPr="005C333D">
              <w:rPr>
                <w:szCs w:val="20"/>
              </w:rPr>
              <w:t>4.56 (2.04, 10.17)</w:t>
            </w:r>
          </w:p>
        </w:tc>
      </w:tr>
      <w:tr w:rsidR="00362DF6" w:rsidRPr="005C333D" w:rsidTr="00277084">
        <w:trPr>
          <w:cantSplit/>
        </w:trPr>
        <w:tc>
          <w:tcPr>
            <w:tcW w:w="1884" w:type="pct"/>
          </w:tcPr>
          <w:p w:rsidR="00362DF6" w:rsidRPr="005C333D" w:rsidRDefault="00362DF6" w:rsidP="00CD26DE">
            <w:pPr>
              <w:pStyle w:val="TableText0"/>
              <w:keepNext/>
            </w:pPr>
            <w:r w:rsidRPr="005C333D">
              <w:rPr>
                <w:szCs w:val="20"/>
              </w:rPr>
              <w:t>SICCANOVE (N=242)</w:t>
            </w:r>
          </w:p>
        </w:tc>
        <w:tc>
          <w:tcPr>
            <w:tcW w:w="943" w:type="pct"/>
          </w:tcPr>
          <w:p w:rsidR="00362DF6" w:rsidRPr="005C333D" w:rsidRDefault="00362DF6" w:rsidP="00CD26DE">
            <w:pPr>
              <w:pStyle w:val="TableText0"/>
              <w:keepNext/>
              <w:jc w:val="center"/>
            </w:pPr>
            <w:r w:rsidRPr="005C333D">
              <w:rPr>
                <w:szCs w:val="20"/>
              </w:rPr>
              <w:t>3 (1.2)</w:t>
            </w:r>
          </w:p>
        </w:tc>
        <w:tc>
          <w:tcPr>
            <w:tcW w:w="941" w:type="pct"/>
          </w:tcPr>
          <w:p w:rsidR="00362DF6" w:rsidRPr="005C333D" w:rsidRDefault="00362DF6" w:rsidP="00CD26DE">
            <w:pPr>
              <w:pStyle w:val="TableText0"/>
              <w:keepNext/>
              <w:jc w:val="center"/>
            </w:pPr>
            <w:r w:rsidRPr="005C333D">
              <w:rPr>
                <w:szCs w:val="20"/>
              </w:rPr>
              <w:t>1 (0.4)</w:t>
            </w:r>
          </w:p>
        </w:tc>
        <w:tc>
          <w:tcPr>
            <w:tcW w:w="1232" w:type="pct"/>
          </w:tcPr>
          <w:p w:rsidR="00362DF6" w:rsidRPr="005C333D" w:rsidRDefault="00362DF6" w:rsidP="00CD26DE">
            <w:pPr>
              <w:pStyle w:val="TableText0"/>
              <w:keepNext/>
              <w:jc w:val="center"/>
            </w:pPr>
            <w:r w:rsidRPr="005C333D">
              <w:rPr>
                <w:szCs w:val="20"/>
              </w:rPr>
              <w:t>3.13 (0.32, 30.26)</w:t>
            </w:r>
          </w:p>
        </w:tc>
      </w:tr>
      <w:tr w:rsidR="00057126" w:rsidRPr="005C333D" w:rsidTr="008B672D">
        <w:trPr>
          <w:cantSplit/>
        </w:trPr>
        <w:tc>
          <w:tcPr>
            <w:tcW w:w="3768" w:type="pct"/>
            <w:gridSpan w:val="3"/>
          </w:tcPr>
          <w:p w:rsidR="00057126" w:rsidRPr="005C333D" w:rsidRDefault="00057126" w:rsidP="00CD26DE">
            <w:pPr>
              <w:pStyle w:val="TableText0"/>
              <w:keepNext/>
              <w:rPr>
                <w:szCs w:val="20"/>
              </w:rPr>
            </w:pPr>
            <w:r w:rsidRPr="005C333D">
              <w:rPr>
                <w:iCs/>
              </w:rPr>
              <w:t>Heterogeneity:</w:t>
            </w:r>
            <w:r w:rsidR="00BF2C5E" w:rsidRPr="005C333D">
              <w:rPr>
                <w:iCs/>
              </w:rPr>
              <w:t xml:space="preserve"> </w:t>
            </w:r>
            <w:r w:rsidRPr="005C333D">
              <w:rPr>
                <w:iCs/>
              </w:rPr>
              <w:t>Chi</w:t>
            </w:r>
            <w:r w:rsidRPr="005C333D">
              <w:rPr>
                <w:iCs/>
                <w:vertAlign w:val="superscript"/>
              </w:rPr>
              <w:t>2</w:t>
            </w:r>
            <w:r w:rsidRPr="005C333D">
              <w:rPr>
                <w:iCs/>
              </w:rPr>
              <w:t xml:space="preserve"> = 0.09, df=1 (p=0.76); I</w:t>
            </w:r>
            <w:r w:rsidRPr="005C333D">
              <w:rPr>
                <w:iCs/>
                <w:vertAlign w:val="superscript"/>
              </w:rPr>
              <w:t>2</w:t>
            </w:r>
            <w:r w:rsidR="00BF2C5E" w:rsidRPr="005C333D">
              <w:rPr>
                <w:iCs/>
                <w:vertAlign w:val="superscript"/>
              </w:rPr>
              <w:t xml:space="preserve"> </w:t>
            </w:r>
            <w:r w:rsidRPr="005C333D">
              <w:rPr>
                <w:iCs/>
              </w:rPr>
              <w:t>= 0%</w:t>
            </w:r>
          </w:p>
        </w:tc>
        <w:tc>
          <w:tcPr>
            <w:tcW w:w="1232" w:type="pct"/>
          </w:tcPr>
          <w:p w:rsidR="00057126" w:rsidRPr="005C333D" w:rsidRDefault="003018E6" w:rsidP="00CD26DE">
            <w:pPr>
              <w:pStyle w:val="TableText0"/>
              <w:keepNext/>
              <w:jc w:val="center"/>
              <w:rPr>
                <w:bCs w:val="0"/>
                <w:szCs w:val="20"/>
              </w:rPr>
            </w:pPr>
            <w:r w:rsidRPr="005C333D">
              <w:rPr>
                <w:bCs w:val="0"/>
              </w:rPr>
              <w:t>4.37 (2.05, 9.31)</w:t>
            </w:r>
          </w:p>
        </w:tc>
      </w:tr>
      <w:tr w:rsidR="00CF3414" w:rsidRPr="005C333D" w:rsidTr="008B672D">
        <w:trPr>
          <w:cantSplit/>
        </w:trPr>
        <w:tc>
          <w:tcPr>
            <w:tcW w:w="3768" w:type="pct"/>
            <w:gridSpan w:val="3"/>
          </w:tcPr>
          <w:p w:rsidR="00CF3414" w:rsidRPr="005C333D" w:rsidRDefault="00CF3414" w:rsidP="00CD26DE">
            <w:pPr>
              <w:pStyle w:val="TableText0"/>
              <w:keepNext/>
              <w:rPr>
                <w:szCs w:val="20"/>
              </w:rPr>
            </w:pPr>
            <w:r w:rsidRPr="005C333D">
              <w:t>Test for overall effect:</w:t>
            </w:r>
            <w:r w:rsidR="00BF2C5E" w:rsidRPr="005C333D">
              <w:t xml:space="preserve"> </w:t>
            </w:r>
            <w:r w:rsidRPr="005C333D">
              <w:t>Z=3.82 (</w:t>
            </w:r>
            <w:r w:rsidRPr="005C333D">
              <w:rPr>
                <w:b/>
                <w:bCs w:val="0"/>
              </w:rPr>
              <w:t>p=0.0001</w:t>
            </w:r>
            <w:r w:rsidRPr="005C333D">
              <w:t>)</w:t>
            </w:r>
          </w:p>
        </w:tc>
        <w:tc>
          <w:tcPr>
            <w:tcW w:w="1232" w:type="pct"/>
          </w:tcPr>
          <w:p w:rsidR="00CF3414" w:rsidRPr="005C333D" w:rsidRDefault="00CF3414" w:rsidP="00CD26DE">
            <w:pPr>
              <w:pStyle w:val="TableText0"/>
              <w:keepNext/>
              <w:jc w:val="center"/>
              <w:rPr>
                <w:szCs w:val="20"/>
              </w:rPr>
            </w:pPr>
          </w:p>
        </w:tc>
      </w:tr>
      <w:tr w:rsidR="008F500D" w:rsidRPr="005C333D" w:rsidTr="008B672D">
        <w:trPr>
          <w:cantSplit/>
        </w:trPr>
        <w:tc>
          <w:tcPr>
            <w:tcW w:w="5000" w:type="pct"/>
            <w:gridSpan w:val="4"/>
          </w:tcPr>
          <w:p w:rsidR="008F500D" w:rsidRPr="005C333D" w:rsidRDefault="008F500D" w:rsidP="00CD26DE">
            <w:pPr>
              <w:pStyle w:val="TableText0"/>
              <w:keepNext/>
            </w:pPr>
            <w:r w:rsidRPr="005C333D">
              <w:rPr>
                <w:b/>
                <w:szCs w:val="20"/>
              </w:rPr>
              <w:t>Instillation site irritation</w:t>
            </w:r>
          </w:p>
        </w:tc>
      </w:tr>
      <w:tr w:rsidR="00E60857" w:rsidRPr="005C333D" w:rsidTr="00277084">
        <w:trPr>
          <w:cantSplit/>
        </w:trPr>
        <w:tc>
          <w:tcPr>
            <w:tcW w:w="1884" w:type="pct"/>
          </w:tcPr>
          <w:p w:rsidR="00E60857" w:rsidRPr="005C333D" w:rsidRDefault="00E60857" w:rsidP="00CD26DE">
            <w:pPr>
              <w:pStyle w:val="TableText0"/>
              <w:keepNext/>
            </w:pPr>
            <w:r w:rsidRPr="005C333D">
              <w:rPr>
                <w:szCs w:val="20"/>
              </w:rPr>
              <w:t>SANSIKA (N=250)</w:t>
            </w:r>
          </w:p>
        </w:tc>
        <w:tc>
          <w:tcPr>
            <w:tcW w:w="943" w:type="pct"/>
          </w:tcPr>
          <w:p w:rsidR="00E60857" w:rsidRPr="005C333D" w:rsidRDefault="00E60857" w:rsidP="00CD26DE">
            <w:pPr>
              <w:pStyle w:val="TableText0"/>
              <w:keepNext/>
              <w:jc w:val="center"/>
            </w:pPr>
            <w:r w:rsidRPr="005C333D">
              <w:rPr>
                <w:szCs w:val="20"/>
              </w:rPr>
              <w:t>1 (0.6)</w:t>
            </w:r>
          </w:p>
        </w:tc>
        <w:tc>
          <w:tcPr>
            <w:tcW w:w="941" w:type="pct"/>
          </w:tcPr>
          <w:p w:rsidR="00E60857" w:rsidRPr="005C333D" w:rsidRDefault="00E60857" w:rsidP="00CD26DE">
            <w:pPr>
              <w:pStyle w:val="TableText0"/>
              <w:keepNext/>
              <w:jc w:val="center"/>
            </w:pPr>
            <w:r w:rsidRPr="005C333D">
              <w:rPr>
                <w:szCs w:val="20"/>
              </w:rPr>
              <w:t>0</w:t>
            </w:r>
          </w:p>
        </w:tc>
        <w:tc>
          <w:tcPr>
            <w:tcW w:w="1232" w:type="pct"/>
          </w:tcPr>
          <w:p w:rsidR="00E60857" w:rsidRPr="005C333D" w:rsidRDefault="00E60857" w:rsidP="00CD26DE">
            <w:pPr>
              <w:pStyle w:val="TableText0"/>
              <w:keepNext/>
              <w:jc w:val="center"/>
            </w:pPr>
            <w:r w:rsidRPr="005C333D">
              <w:rPr>
                <w:szCs w:val="20"/>
              </w:rPr>
              <w:t>1.79 (0.07, 44.36)</w:t>
            </w:r>
          </w:p>
        </w:tc>
      </w:tr>
      <w:tr w:rsidR="00E60857" w:rsidRPr="005C333D" w:rsidTr="00277084">
        <w:trPr>
          <w:cantSplit/>
        </w:trPr>
        <w:tc>
          <w:tcPr>
            <w:tcW w:w="1884" w:type="pct"/>
          </w:tcPr>
          <w:p w:rsidR="00E60857" w:rsidRPr="005C333D" w:rsidRDefault="00E60857" w:rsidP="00CD26DE">
            <w:pPr>
              <w:pStyle w:val="TableText0"/>
              <w:keepNext/>
            </w:pPr>
            <w:r w:rsidRPr="005C333D">
              <w:rPr>
                <w:szCs w:val="20"/>
              </w:rPr>
              <w:t>SICCANOVE (N=242)</w:t>
            </w:r>
          </w:p>
        </w:tc>
        <w:tc>
          <w:tcPr>
            <w:tcW w:w="943" w:type="pct"/>
          </w:tcPr>
          <w:p w:rsidR="00E60857" w:rsidRPr="005C333D" w:rsidRDefault="00E60857" w:rsidP="00CD26DE">
            <w:pPr>
              <w:pStyle w:val="TableText0"/>
              <w:keepNext/>
              <w:jc w:val="center"/>
            </w:pPr>
            <w:r w:rsidRPr="005C333D">
              <w:rPr>
                <w:szCs w:val="20"/>
              </w:rPr>
              <w:t>19 (7.9)</w:t>
            </w:r>
          </w:p>
        </w:tc>
        <w:tc>
          <w:tcPr>
            <w:tcW w:w="941" w:type="pct"/>
          </w:tcPr>
          <w:p w:rsidR="00E60857" w:rsidRPr="005C333D" w:rsidRDefault="00E60857" w:rsidP="00CD26DE">
            <w:pPr>
              <w:pStyle w:val="TableText0"/>
              <w:keepNext/>
              <w:jc w:val="center"/>
            </w:pPr>
            <w:r w:rsidRPr="005C333D">
              <w:rPr>
                <w:szCs w:val="20"/>
              </w:rPr>
              <w:t>4 (1.6)</w:t>
            </w:r>
          </w:p>
        </w:tc>
        <w:tc>
          <w:tcPr>
            <w:tcW w:w="1232" w:type="pct"/>
          </w:tcPr>
          <w:p w:rsidR="00E60857" w:rsidRPr="005C333D" w:rsidRDefault="00E60857" w:rsidP="00CD26DE">
            <w:pPr>
              <w:pStyle w:val="TableText0"/>
              <w:keepNext/>
              <w:jc w:val="center"/>
            </w:pPr>
            <w:r w:rsidRPr="005C333D">
              <w:rPr>
                <w:szCs w:val="20"/>
              </w:rPr>
              <w:t>5.24 (1.76, 15.64)</w:t>
            </w:r>
          </w:p>
        </w:tc>
      </w:tr>
      <w:tr w:rsidR="007937AC" w:rsidRPr="005C333D" w:rsidTr="008B672D">
        <w:trPr>
          <w:cantSplit/>
        </w:trPr>
        <w:tc>
          <w:tcPr>
            <w:tcW w:w="3768" w:type="pct"/>
            <w:gridSpan w:val="3"/>
          </w:tcPr>
          <w:p w:rsidR="007937AC" w:rsidRPr="005C333D" w:rsidRDefault="007937AC" w:rsidP="00CD26DE">
            <w:pPr>
              <w:pStyle w:val="TableText0"/>
              <w:keepNext/>
              <w:rPr>
                <w:szCs w:val="20"/>
              </w:rPr>
            </w:pPr>
            <w:r w:rsidRPr="005C333D">
              <w:rPr>
                <w:iCs/>
              </w:rPr>
              <w:t>Heterogeneity:</w:t>
            </w:r>
            <w:r w:rsidR="00BF2C5E" w:rsidRPr="005C333D">
              <w:rPr>
                <w:iCs/>
              </w:rPr>
              <w:t xml:space="preserve"> </w:t>
            </w:r>
            <w:r w:rsidRPr="005C333D">
              <w:rPr>
                <w:iCs/>
              </w:rPr>
              <w:t>Chi</w:t>
            </w:r>
            <w:r w:rsidRPr="005C333D">
              <w:rPr>
                <w:iCs/>
                <w:vertAlign w:val="superscript"/>
              </w:rPr>
              <w:t>2</w:t>
            </w:r>
            <w:r w:rsidRPr="005C333D">
              <w:rPr>
                <w:iCs/>
              </w:rPr>
              <w:t xml:space="preserve"> = 0.39, df=1 (p=0.53); I</w:t>
            </w:r>
            <w:r w:rsidRPr="005C333D">
              <w:rPr>
                <w:iCs/>
                <w:vertAlign w:val="superscript"/>
              </w:rPr>
              <w:t>2</w:t>
            </w:r>
            <w:r w:rsidR="00BF2C5E" w:rsidRPr="005C333D">
              <w:rPr>
                <w:iCs/>
                <w:vertAlign w:val="superscript"/>
              </w:rPr>
              <w:t xml:space="preserve"> </w:t>
            </w:r>
            <w:r w:rsidRPr="005C333D">
              <w:rPr>
                <w:iCs/>
              </w:rPr>
              <w:t>= 0%</w:t>
            </w:r>
          </w:p>
        </w:tc>
        <w:tc>
          <w:tcPr>
            <w:tcW w:w="1232" w:type="pct"/>
          </w:tcPr>
          <w:p w:rsidR="007937AC" w:rsidRPr="005C333D" w:rsidRDefault="00FD08A2" w:rsidP="00CD26DE">
            <w:pPr>
              <w:pStyle w:val="TableText0"/>
              <w:keepNext/>
              <w:jc w:val="center"/>
              <w:rPr>
                <w:szCs w:val="20"/>
              </w:rPr>
            </w:pPr>
            <w:r w:rsidRPr="005C333D">
              <w:t>4.69 (1.66, 13.19)</w:t>
            </w:r>
          </w:p>
        </w:tc>
      </w:tr>
      <w:tr w:rsidR="007937AC" w:rsidRPr="005C333D" w:rsidTr="008B672D">
        <w:trPr>
          <w:cantSplit/>
        </w:trPr>
        <w:tc>
          <w:tcPr>
            <w:tcW w:w="3768" w:type="pct"/>
            <w:gridSpan w:val="3"/>
          </w:tcPr>
          <w:p w:rsidR="007937AC" w:rsidRPr="005C333D" w:rsidRDefault="007937AC" w:rsidP="00CD26DE">
            <w:pPr>
              <w:pStyle w:val="TableText0"/>
              <w:keepNext/>
              <w:rPr>
                <w:szCs w:val="20"/>
              </w:rPr>
            </w:pPr>
            <w:r w:rsidRPr="005C333D">
              <w:t>Test for overall effect:</w:t>
            </w:r>
            <w:r w:rsidR="00BF2C5E" w:rsidRPr="005C333D">
              <w:t xml:space="preserve"> </w:t>
            </w:r>
            <w:r w:rsidRPr="005C333D">
              <w:t>Z=2.93 (</w:t>
            </w:r>
            <w:r w:rsidRPr="005C333D">
              <w:rPr>
                <w:b/>
                <w:bCs w:val="0"/>
              </w:rPr>
              <w:t>p=0.003</w:t>
            </w:r>
            <w:r w:rsidRPr="005C333D">
              <w:t>)</w:t>
            </w:r>
          </w:p>
        </w:tc>
        <w:tc>
          <w:tcPr>
            <w:tcW w:w="1232" w:type="pct"/>
          </w:tcPr>
          <w:p w:rsidR="007937AC" w:rsidRPr="005C333D" w:rsidRDefault="007937AC" w:rsidP="00CD26DE">
            <w:pPr>
              <w:pStyle w:val="TableText0"/>
              <w:keepNext/>
              <w:jc w:val="center"/>
              <w:rPr>
                <w:szCs w:val="20"/>
              </w:rPr>
            </w:pPr>
          </w:p>
        </w:tc>
      </w:tr>
    </w:tbl>
    <w:p w:rsidR="00DD4DDD" w:rsidRPr="005C333D" w:rsidRDefault="00DD4DDD" w:rsidP="00DD4DDD">
      <w:pPr>
        <w:pStyle w:val="TableFigureFooter"/>
        <w:spacing w:after="0"/>
        <w:rPr>
          <w:rFonts w:eastAsia="Calibri"/>
        </w:rPr>
      </w:pPr>
      <w:r w:rsidRPr="005C333D">
        <w:rPr>
          <w:szCs w:val="18"/>
        </w:rPr>
        <w:t>CI</w:t>
      </w:r>
      <w:r w:rsidR="00141938" w:rsidRPr="005C333D">
        <w:rPr>
          <w:szCs w:val="18"/>
        </w:rPr>
        <w:t xml:space="preserve"> </w:t>
      </w:r>
      <w:r w:rsidRPr="005C333D">
        <w:rPr>
          <w:szCs w:val="18"/>
        </w:rPr>
        <w:t>= confidence interval; TEAE</w:t>
      </w:r>
      <w:r w:rsidR="00141938" w:rsidRPr="005C333D">
        <w:rPr>
          <w:szCs w:val="18"/>
        </w:rPr>
        <w:t xml:space="preserve"> </w:t>
      </w:r>
      <w:r w:rsidRPr="005C333D">
        <w:rPr>
          <w:szCs w:val="18"/>
        </w:rPr>
        <w:t>= treatment emergent adverse event.</w:t>
      </w:r>
      <w:r w:rsidRPr="005C333D">
        <w:t xml:space="preserve"> </w:t>
      </w:r>
      <w:r w:rsidRPr="005C333D">
        <w:rPr>
          <w:b/>
          <w:bCs/>
          <w:szCs w:val="18"/>
        </w:rPr>
        <w:t>Bold</w:t>
      </w:r>
      <w:r w:rsidRPr="005C333D">
        <w:rPr>
          <w:szCs w:val="18"/>
        </w:rPr>
        <w:t xml:space="preserve"> indicates statistically significant results</w:t>
      </w:r>
      <w:r w:rsidRPr="005C333D">
        <w:rPr>
          <w:rFonts w:eastAsia="Calibri"/>
        </w:rPr>
        <w:t>.</w:t>
      </w:r>
    </w:p>
    <w:p w:rsidR="00642AF5" w:rsidRPr="005C333D" w:rsidRDefault="00642AF5" w:rsidP="00642AF5">
      <w:pPr>
        <w:rPr>
          <w:rFonts w:ascii="Arial Narrow" w:hAnsi="Arial Narrow"/>
          <w:sz w:val="18"/>
          <w:szCs w:val="18"/>
        </w:rPr>
      </w:pPr>
      <w:r w:rsidRPr="005C333D">
        <w:rPr>
          <w:rFonts w:ascii="Arial Narrow" w:hAnsi="Arial Narrow"/>
          <w:sz w:val="18"/>
          <w:szCs w:val="18"/>
        </w:rPr>
        <w:t xml:space="preserve">Source: Table </w:t>
      </w:r>
      <w:r w:rsidR="00180D80" w:rsidRPr="005C333D">
        <w:rPr>
          <w:rFonts w:ascii="Arial Narrow" w:hAnsi="Arial Narrow"/>
          <w:sz w:val="18"/>
          <w:szCs w:val="18"/>
        </w:rPr>
        <w:t>2.5.10</w:t>
      </w:r>
      <w:r w:rsidR="00EF50E7" w:rsidRPr="005C333D">
        <w:rPr>
          <w:rFonts w:ascii="Arial Narrow" w:hAnsi="Arial Narrow"/>
          <w:sz w:val="18"/>
          <w:szCs w:val="18"/>
        </w:rPr>
        <w:t xml:space="preserve">, p81 of submission, </w:t>
      </w:r>
      <w:r w:rsidRPr="005C333D">
        <w:rPr>
          <w:rFonts w:ascii="Arial Narrow" w:hAnsi="Arial Narrow"/>
          <w:sz w:val="18"/>
          <w:szCs w:val="18"/>
        </w:rPr>
        <w:t xml:space="preserve">2.6.5, p89 of </w:t>
      </w:r>
      <w:r w:rsidR="007014EF" w:rsidRPr="005C333D">
        <w:rPr>
          <w:rFonts w:ascii="Arial Narrow" w:hAnsi="Arial Narrow"/>
          <w:sz w:val="18"/>
          <w:szCs w:val="18"/>
        </w:rPr>
        <w:t xml:space="preserve">the </w:t>
      </w:r>
      <w:r w:rsidRPr="005C333D">
        <w:rPr>
          <w:rFonts w:ascii="Arial Narrow" w:hAnsi="Arial Narrow"/>
          <w:sz w:val="18"/>
          <w:szCs w:val="18"/>
        </w:rPr>
        <w:t xml:space="preserve">submission. </w:t>
      </w:r>
    </w:p>
    <w:p w:rsidR="008C27BC" w:rsidRPr="005C333D" w:rsidRDefault="008C27BC" w:rsidP="00642AF5">
      <w:pPr>
        <w:rPr>
          <w:rFonts w:ascii="Arial Narrow" w:hAnsi="Arial Narrow"/>
          <w:sz w:val="18"/>
          <w:szCs w:val="18"/>
        </w:rPr>
      </w:pPr>
    </w:p>
    <w:p w:rsidR="00917CA2" w:rsidRPr="005C333D" w:rsidRDefault="004966B1" w:rsidP="00B73532">
      <w:pPr>
        <w:pStyle w:val="3-BodyText"/>
        <w:rPr>
          <w:i/>
          <w:iCs/>
        </w:rPr>
      </w:pPr>
      <w:r w:rsidRPr="005C333D">
        <w:t>I</w:t>
      </w:r>
      <w:r w:rsidR="001C0F63" w:rsidRPr="005C333D">
        <w:t>nstallation-site eye pain and eye irritation were higher</w:t>
      </w:r>
      <w:r w:rsidR="00AB160D" w:rsidRPr="005C333D">
        <w:t xml:space="preserve"> with ciclosporin</w:t>
      </w:r>
      <w:r w:rsidR="004B665F" w:rsidRPr="005C333D">
        <w:t xml:space="preserve"> in the </w:t>
      </w:r>
      <w:r w:rsidR="00A81B97" w:rsidRPr="005C333D">
        <w:t>SANSIKA and SICCANOVE trials</w:t>
      </w:r>
      <w:r w:rsidR="001C0F63" w:rsidRPr="005C333D">
        <w:t>.</w:t>
      </w:r>
    </w:p>
    <w:p w:rsidR="00A84B80" w:rsidRPr="005C333D" w:rsidRDefault="002C5136" w:rsidP="00B73532">
      <w:pPr>
        <w:pStyle w:val="3-BodyText"/>
      </w:pPr>
      <w:r w:rsidRPr="005C333D">
        <w:t>There were no</w:t>
      </w:r>
      <w:r w:rsidR="000317A6" w:rsidRPr="005C333D">
        <w:t xml:space="preserve"> deaths </w:t>
      </w:r>
      <w:r w:rsidR="00AB160D" w:rsidRPr="005C333D">
        <w:t>and no</w:t>
      </w:r>
      <w:r w:rsidRPr="005C333D">
        <w:t xml:space="preserve"> statistical</w:t>
      </w:r>
      <w:r w:rsidR="00AB160D" w:rsidRPr="005C333D">
        <w:t xml:space="preserve">ly significant difference in </w:t>
      </w:r>
      <w:r w:rsidR="00DC40D6" w:rsidRPr="005C333D">
        <w:t>the</w:t>
      </w:r>
      <w:r w:rsidRPr="005C333D">
        <w:t xml:space="preserve"> proportions of patients discontinuing treatment due to ocular TEAE</w:t>
      </w:r>
      <w:r w:rsidR="003D2E43" w:rsidRPr="005C333D">
        <w:t>s</w:t>
      </w:r>
      <w:r w:rsidRPr="005C333D">
        <w:t xml:space="preserve"> in </w:t>
      </w:r>
      <w:r w:rsidR="00A81B97" w:rsidRPr="005C333D">
        <w:t xml:space="preserve">the </w:t>
      </w:r>
      <w:r w:rsidRPr="005C333D">
        <w:t>SANSIKA and SICCANOVE trials</w:t>
      </w:r>
      <w:r w:rsidR="006D4D6A" w:rsidRPr="005C333D">
        <w:t xml:space="preserve">. </w:t>
      </w:r>
    </w:p>
    <w:p w:rsidR="00DF282F" w:rsidRPr="005C333D" w:rsidRDefault="00DF282F" w:rsidP="00B73532">
      <w:pPr>
        <w:pStyle w:val="3-BodyText"/>
      </w:pPr>
      <w:r w:rsidRPr="005C333D">
        <w:t>In the meta-analysis there was a statistically significant higher proportion of patients with ocular TEAEs (p&lt;0.0001), treatment related ocular TEAE</w:t>
      </w:r>
      <w:r w:rsidR="00DA5BE7" w:rsidRPr="005C333D">
        <w:t>s</w:t>
      </w:r>
      <w:r w:rsidRPr="005C333D">
        <w:t xml:space="preserve"> (p=0.01), instillation site pain (p=0.0001) and instillation site irritation (p=0.003) with ciclosporin than with the vehicle. However, there was statistically significant heterogeneity in the analyses of treatment related ocular TEAE (I2 = 89%), eye disorders (I2 = 61%), and eye irritation (I2 = 63%). The proportions of patients experiencing these events in the SICCANOVE trial was markedly higher than in the SANSIKA trial. The submission claimed this was most likely due to the restricted artificial tears use in the SICCANOVE trial. </w:t>
      </w:r>
      <w:r w:rsidRPr="005C333D">
        <w:rPr>
          <w:iCs/>
        </w:rPr>
        <w:t xml:space="preserve">This </w:t>
      </w:r>
      <w:r w:rsidR="001123B3" w:rsidRPr="005C333D">
        <w:rPr>
          <w:iCs/>
        </w:rPr>
        <w:t>wa</w:t>
      </w:r>
      <w:r w:rsidRPr="005C333D">
        <w:rPr>
          <w:iCs/>
        </w:rPr>
        <w:t>s uncertain.</w:t>
      </w:r>
    </w:p>
    <w:p w:rsidR="00BA63A4" w:rsidRPr="005C333D" w:rsidRDefault="00B02EF9" w:rsidP="00B73532">
      <w:pPr>
        <w:pStyle w:val="3-BodyText"/>
      </w:pPr>
      <w:r w:rsidRPr="005C333D">
        <w:t>E</w:t>
      </w:r>
      <w:r w:rsidR="00BA63A4" w:rsidRPr="005C333D">
        <w:t>ye irritation and instillation site pain were more frequent with ciclosporin</w:t>
      </w:r>
      <w:r w:rsidRPr="005C333D">
        <w:t xml:space="preserve">, however these events appeared to be </w:t>
      </w:r>
      <w:r w:rsidR="00BA63A4" w:rsidRPr="005C333D">
        <w:t>mostly mild to moderate and transient.</w:t>
      </w:r>
    </w:p>
    <w:p w:rsidR="00DF282F" w:rsidRPr="005C333D" w:rsidRDefault="003D2E43" w:rsidP="00B73532">
      <w:pPr>
        <w:pStyle w:val="3-BodyText"/>
      </w:pPr>
      <w:r w:rsidRPr="005C333D">
        <w:t>The r</w:t>
      </w:r>
      <w:r w:rsidR="00917CA2" w:rsidRPr="005C333D">
        <w:t>isk of peri-ocular skin cancer w</w:t>
      </w:r>
      <w:r w:rsidRPr="005C333D">
        <w:t>as</w:t>
      </w:r>
      <w:r w:rsidR="00917CA2" w:rsidRPr="005C333D">
        <w:t xml:space="preserve"> noted in literature</w:t>
      </w:r>
      <w:r w:rsidRPr="005C333D">
        <w:t>, as well as</w:t>
      </w:r>
      <w:r w:rsidR="00917CA2" w:rsidRPr="005C333D">
        <w:t xml:space="preserve"> conjunctival neoplasia in </w:t>
      </w:r>
      <w:r w:rsidRPr="005C333D">
        <w:t xml:space="preserve">a </w:t>
      </w:r>
      <w:r w:rsidR="00917CA2" w:rsidRPr="005C333D">
        <w:t>post-marketing source in France.</w:t>
      </w:r>
    </w:p>
    <w:p w:rsidR="007F1017" w:rsidRPr="005C333D" w:rsidRDefault="007F1017" w:rsidP="00D86231">
      <w:pPr>
        <w:pStyle w:val="4-SubsectionHeading"/>
      </w:pPr>
      <w:bookmarkStart w:id="20" w:name="_Toc22897643"/>
      <w:bookmarkStart w:id="21" w:name="_Toc62030467"/>
      <w:r w:rsidRPr="005C333D">
        <w:t>Benefits/harms</w:t>
      </w:r>
      <w:bookmarkEnd w:id="20"/>
      <w:bookmarkEnd w:id="21"/>
    </w:p>
    <w:p w:rsidR="00DC2213" w:rsidRPr="005C333D" w:rsidRDefault="0065179F" w:rsidP="00B73532">
      <w:pPr>
        <w:pStyle w:val="3-BodyText"/>
      </w:pPr>
      <w:r w:rsidRPr="005C333D">
        <w:t>A summary of the comparative benefits</w:t>
      </w:r>
      <w:r w:rsidR="00E128B6" w:rsidRPr="005C333D">
        <w:t xml:space="preserve"> and </w:t>
      </w:r>
      <w:r w:rsidR="00FC2521" w:rsidRPr="005C333D">
        <w:t>harms</w:t>
      </w:r>
      <w:r w:rsidRPr="005C333D">
        <w:t xml:space="preserve"> for </w:t>
      </w:r>
      <w:r w:rsidR="0096335D" w:rsidRPr="005C333D">
        <w:t>cic</w:t>
      </w:r>
      <w:r w:rsidR="00352E8A" w:rsidRPr="005C333D">
        <w:t>l</w:t>
      </w:r>
      <w:r w:rsidR="0096335D" w:rsidRPr="005C333D">
        <w:t xml:space="preserve">osporin compared to BSC is presented in Table </w:t>
      </w:r>
      <w:r w:rsidR="00E65FE7" w:rsidRPr="005C333D">
        <w:t>7</w:t>
      </w:r>
      <w:r w:rsidR="0096335D" w:rsidRPr="005C333D">
        <w:t xml:space="preserve">. </w:t>
      </w:r>
    </w:p>
    <w:p w:rsidR="007F3BBA" w:rsidRPr="005C333D" w:rsidRDefault="007F3BBA" w:rsidP="00DC2213">
      <w:pPr>
        <w:pStyle w:val="TableHeading0"/>
      </w:pPr>
      <w:r w:rsidRPr="005C333D">
        <w:t xml:space="preserve">Table </w:t>
      </w:r>
      <w:r w:rsidR="00176807" w:rsidRPr="005C333D">
        <w:t>7</w:t>
      </w:r>
      <w:r w:rsidR="00CD26DE" w:rsidRPr="005C333D">
        <w:t>:</w:t>
      </w:r>
      <w:r w:rsidRPr="005C333D">
        <w:t xml:space="preserve"> Summary of comparative benefits of ciclosporin and BSC</w:t>
      </w:r>
    </w:p>
    <w:tbl>
      <w:tblPr>
        <w:tblW w:w="0" w:type="auto"/>
        <w:tblCellMar>
          <w:left w:w="28" w:type="dxa"/>
          <w:right w:w="28" w:type="dxa"/>
        </w:tblCellMar>
        <w:tblLook w:val="04A0" w:firstRow="1" w:lastRow="0" w:firstColumn="1" w:lastColumn="0" w:noHBand="0" w:noVBand="1"/>
      </w:tblPr>
      <w:tblGrid>
        <w:gridCol w:w="1555"/>
        <w:gridCol w:w="512"/>
        <w:gridCol w:w="338"/>
        <w:gridCol w:w="851"/>
        <w:gridCol w:w="141"/>
        <w:gridCol w:w="899"/>
        <w:gridCol w:w="94"/>
        <w:gridCol w:w="567"/>
        <w:gridCol w:w="567"/>
        <w:gridCol w:w="567"/>
        <w:gridCol w:w="283"/>
        <w:gridCol w:w="908"/>
        <w:gridCol w:w="1735"/>
      </w:tblGrid>
      <w:tr w:rsidR="007F3BBA" w:rsidRPr="005C333D" w:rsidTr="00454C01">
        <w:tc>
          <w:tcPr>
            <w:tcW w:w="9017" w:type="dxa"/>
            <w:gridSpan w:val="13"/>
            <w:tcBorders>
              <w:top w:val="single" w:sz="4" w:space="0" w:color="auto"/>
              <w:left w:val="single" w:sz="4" w:space="0" w:color="auto"/>
              <w:bottom w:val="double" w:sz="4" w:space="0" w:color="auto"/>
              <w:right w:val="single" w:sz="4" w:space="0" w:color="auto"/>
            </w:tcBorders>
            <w:shd w:val="clear" w:color="auto" w:fill="auto"/>
            <w:vAlign w:val="center"/>
          </w:tcPr>
          <w:p w:rsidR="007F3BBA" w:rsidRPr="005C333D" w:rsidRDefault="007F3BBA" w:rsidP="00CD26DE">
            <w:pPr>
              <w:keepNext/>
              <w:rPr>
                <w:rFonts w:ascii="Arial Narrow" w:hAnsi="Arial Narrow"/>
                <w:b/>
                <w:color w:val="000000"/>
                <w:sz w:val="20"/>
                <w:szCs w:val="18"/>
              </w:rPr>
            </w:pPr>
            <w:r w:rsidRPr="005C333D">
              <w:rPr>
                <w:rFonts w:ascii="Arial Narrow" w:hAnsi="Arial Narrow"/>
                <w:b/>
                <w:color w:val="000000"/>
                <w:sz w:val="20"/>
                <w:szCs w:val="18"/>
              </w:rPr>
              <w:t>Benefits</w:t>
            </w:r>
          </w:p>
        </w:tc>
      </w:tr>
      <w:tr w:rsidR="00A7180E" w:rsidRPr="005C333D" w:rsidTr="00C3547F">
        <w:trPr>
          <w:cantSplit/>
        </w:trPr>
        <w:tc>
          <w:tcPr>
            <w:tcW w:w="9017" w:type="dxa"/>
            <w:gridSpan w:val="13"/>
            <w:tcBorders>
              <w:top w:val="doub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In-tableHeading"/>
              <w:rPr>
                <w:lang w:val="en-AU"/>
              </w:rPr>
            </w:pPr>
            <w:r w:rsidRPr="005C333D">
              <w:rPr>
                <w:bCs/>
                <w:szCs w:val="20"/>
                <w:lang w:val="en-AU"/>
              </w:rPr>
              <w:t>Mean change in CFS from baseline to 6 months</w:t>
            </w:r>
          </w:p>
        </w:tc>
      </w:tr>
      <w:tr w:rsidR="00A7180E" w:rsidRPr="005C333D" w:rsidTr="00277084">
        <w:trPr>
          <w:cantSplit/>
          <w:trHeight w:val="22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rPr>
                <w:b/>
              </w:rPr>
            </w:pPr>
            <w:r w:rsidRPr="005C333D">
              <w:rPr>
                <w:b/>
              </w:rPr>
              <w:t>Trial</w:t>
            </w:r>
          </w:p>
        </w:tc>
        <w:tc>
          <w:tcPr>
            <w:tcW w:w="2835" w:type="dxa"/>
            <w:gridSpan w:val="6"/>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Ciclosporin</w:t>
            </w:r>
          </w:p>
        </w:tc>
        <w:tc>
          <w:tcPr>
            <w:tcW w:w="2892" w:type="dxa"/>
            <w:gridSpan w:val="5"/>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Vehicle</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Mean difference*:</w:t>
            </w:r>
          </w:p>
          <w:p w:rsidR="00A7180E" w:rsidRPr="005C333D" w:rsidRDefault="00A7180E" w:rsidP="00CD26DE">
            <w:pPr>
              <w:pStyle w:val="In-tableHeading"/>
              <w:jc w:val="center"/>
              <w:rPr>
                <w:szCs w:val="18"/>
                <w:lang w:val="en-AU"/>
              </w:rPr>
            </w:pPr>
            <w:r w:rsidRPr="005C333D">
              <w:rPr>
                <w:szCs w:val="18"/>
                <w:lang w:val="en-AU"/>
              </w:rPr>
              <w:t>Ciclosporin vs. Vehicle</w:t>
            </w:r>
          </w:p>
          <w:p w:rsidR="00A7180E" w:rsidRPr="005C333D" w:rsidRDefault="00A7180E" w:rsidP="00CD26DE">
            <w:pPr>
              <w:pStyle w:val="In-tableHeading"/>
              <w:jc w:val="center"/>
              <w:rPr>
                <w:szCs w:val="18"/>
                <w:lang w:val="en-AU"/>
              </w:rPr>
            </w:pPr>
            <w:r w:rsidRPr="005C333D">
              <w:rPr>
                <w:szCs w:val="18"/>
                <w:lang w:val="en-AU"/>
              </w:rPr>
              <w:t>(95% CI)</w:t>
            </w:r>
          </w:p>
        </w:tc>
      </w:tr>
      <w:tr w:rsidR="00A7180E" w:rsidRPr="005C333D" w:rsidTr="00277084">
        <w:trPr>
          <w:cantSplit/>
          <w:trHeight w:val="225"/>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keepNext/>
              <w:keepLines/>
              <w:rPr>
                <w:rFonts w:ascii="Arial Narrow" w:hAnsi="Arial Narrow"/>
                <w:color w:val="000000"/>
                <w:sz w:val="20"/>
                <w:szCs w:val="18"/>
              </w:rPr>
            </w:pPr>
          </w:p>
        </w:tc>
        <w:tc>
          <w:tcPr>
            <w:tcW w:w="512"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N</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 xml:space="preserve">Mean ∆ from baseline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SD</w:t>
            </w:r>
          </w:p>
        </w:tc>
        <w:tc>
          <w:tcPr>
            <w:tcW w:w="567"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N</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Mean ∆ from baseline</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In-tableHeading"/>
              <w:jc w:val="center"/>
              <w:rPr>
                <w:lang w:val="en-AU"/>
              </w:rPr>
            </w:pPr>
            <w:r w:rsidRPr="005C333D">
              <w:rPr>
                <w:lang w:val="en-AU"/>
              </w:rPr>
              <w:t>SD</w:t>
            </w:r>
          </w:p>
        </w:tc>
        <w:tc>
          <w:tcPr>
            <w:tcW w:w="1735" w:type="dxa"/>
            <w:vMerge/>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keepNext/>
              <w:keepLines/>
              <w:jc w:val="center"/>
              <w:rPr>
                <w:rFonts w:ascii="Arial Narrow" w:hAnsi="Arial Narrow"/>
                <w:b/>
                <w:sz w:val="20"/>
                <w:szCs w:val="18"/>
              </w:rPr>
            </w:pPr>
          </w:p>
        </w:tc>
      </w:tr>
      <w:tr w:rsidR="00A7180E" w:rsidRPr="005C333D" w:rsidTr="00C3547F">
        <w:trPr>
          <w:cantSplit/>
        </w:trPr>
        <w:tc>
          <w:tcPr>
            <w:tcW w:w="901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rPr>
                <w:b/>
              </w:rPr>
            </w:pPr>
            <w:r w:rsidRPr="005C333D">
              <w:rPr>
                <w:b/>
              </w:rPr>
              <w:t xml:space="preserve">Patient population: severe keratitis with DED (CFS=4 and OSDI </w:t>
            </w:r>
            <w:r w:rsidRPr="005C333D">
              <w:rPr>
                <w:rFonts w:ascii="Cambria" w:hAnsi="Cambria"/>
                <w:b/>
              </w:rPr>
              <w:t xml:space="preserve">≥ </w:t>
            </w:r>
            <w:r w:rsidRPr="005C333D">
              <w:rPr>
                <w:b/>
              </w:rPr>
              <w:t>23)</w:t>
            </w:r>
          </w:p>
        </w:tc>
      </w:tr>
      <w:tr w:rsidR="00A7180E" w:rsidRPr="005C333D" w:rsidTr="00277084">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pPr>
            <w:r w:rsidRPr="005C333D">
              <w:t>SANSIKA</w:t>
            </w:r>
          </w:p>
        </w:tc>
        <w:tc>
          <w:tcPr>
            <w:tcW w:w="512" w:type="dxa"/>
            <w:tcBorders>
              <w:top w:val="single" w:sz="4" w:space="0" w:color="auto"/>
              <w:left w:val="single" w:sz="4" w:space="0" w:color="auto"/>
              <w:bottom w:val="single" w:sz="4" w:space="0" w:color="auto"/>
              <w:right w:val="single" w:sz="4" w:space="0" w:color="auto"/>
            </w:tcBorders>
            <w:vAlign w:val="center"/>
          </w:tcPr>
          <w:p w:rsidR="00A7180E" w:rsidRPr="005C333D" w:rsidRDefault="00B45984" w:rsidP="00CD26DE">
            <w:pPr>
              <w:pStyle w:val="TableText0"/>
              <w:keepNext/>
              <w:jc w:val="center"/>
            </w:pPr>
            <w:r w:rsidRPr="005C333D">
              <w:t>154</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-1.</w:t>
            </w:r>
            <w:r w:rsidR="00B45984" w:rsidRPr="005C333D">
              <w:t>76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180E" w:rsidRPr="005C333D" w:rsidRDefault="00B45984" w:rsidP="001123B3">
            <w:pPr>
              <w:pStyle w:val="TableText0"/>
              <w:keepNext/>
              <w:jc w:val="center"/>
            </w:pPr>
            <w:r w:rsidRPr="005C333D">
              <w:t>(-1.97, -1.56)</w:t>
            </w:r>
          </w:p>
        </w:tc>
        <w:tc>
          <w:tcPr>
            <w:tcW w:w="567" w:type="dxa"/>
            <w:tcBorders>
              <w:top w:val="single" w:sz="4" w:space="0" w:color="auto"/>
              <w:left w:val="single" w:sz="4" w:space="0" w:color="auto"/>
              <w:bottom w:val="single" w:sz="4" w:space="0" w:color="auto"/>
              <w:right w:val="single" w:sz="4" w:space="0" w:color="auto"/>
            </w:tcBorders>
            <w:vAlign w:val="center"/>
          </w:tcPr>
          <w:p w:rsidR="00A7180E" w:rsidRPr="005C333D" w:rsidRDefault="00B45984" w:rsidP="00CD26DE">
            <w:pPr>
              <w:pStyle w:val="TableText0"/>
              <w:keepNext/>
              <w:jc w:val="center"/>
            </w:pPr>
            <w:r w:rsidRPr="005C333D">
              <w:t>248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-1.4</w:t>
            </w:r>
            <w:r w:rsidR="00B45984" w:rsidRPr="005C333D">
              <w:t>2</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B45984" w:rsidP="001123B3">
            <w:pPr>
              <w:pStyle w:val="TableText0"/>
              <w:keepNext/>
              <w:jc w:val="center"/>
            </w:pPr>
            <w:r w:rsidRPr="005C333D">
              <w:t>(-1.68,</w:t>
            </w:r>
            <w:r w:rsidR="001123B3" w:rsidRPr="005C333D">
              <w:t xml:space="preserve"> </w:t>
            </w:r>
            <w:r w:rsidRPr="005C333D">
              <w:t xml:space="preserve"> -1.16)</w:t>
            </w:r>
          </w:p>
        </w:tc>
        <w:tc>
          <w:tcPr>
            <w:tcW w:w="1735" w:type="dxa"/>
            <w:tcBorders>
              <w:top w:val="single" w:sz="4" w:space="0" w:color="auto"/>
              <w:left w:val="single" w:sz="4" w:space="0" w:color="auto"/>
              <w:bottom w:val="single" w:sz="4" w:space="0" w:color="auto"/>
              <w:right w:val="single" w:sz="4" w:space="0" w:color="auto"/>
            </w:tcBorders>
            <w:vAlign w:val="center"/>
          </w:tcPr>
          <w:p w:rsidR="00A7180E" w:rsidRPr="005C333D" w:rsidRDefault="00B45984" w:rsidP="00CD26DE">
            <w:pPr>
              <w:pStyle w:val="TableText0"/>
              <w:keepNext/>
              <w:jc w:val="center"/>
              <w:rPr>
                <w:b/>
                <w:bCs w:val="0"/>
              </w:rPr>
            </w:pPr>
            <w:r w:rsidRPr="005C333D">
              <w:rPr>
                <w:b/>
                <w:bCs w:val="0"/>
              </w:rPr>
              <w:t>-0.31 (-0.57, -0.06)</w:t>
            </w:r>
          </w:p>
        </w:tc>
      </w:tr>
      <w:tr w:rsidR="00A7180E" w:rsidRPr="005C333D" w:rsidTr="00277084">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rPr>
                <w:vertAlign w:val="superscript"/>
              </w:rPr>
            </w:pPr>
            <w:r w:rsidRPr="005C333D">
              <w:t xml:space="preserve">SICCANOVE </w:t>
            </w:r>
            <w:r w:rsidRPr="005C333D">
              <w:rPr>
                <w:vertAlign w:val="superscript"/>
              </w:rPr>
              <w:t>a</w:t>
            </w:r>
          </w:p>
        </w:tc>
        <w:tc>
          <w:tcPr>
            <w:tcW w:w="512"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39</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-1.41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1.141</w:t>
            </w:r>
          </w:p>
        </w:tc>
        <w:tc>
          <w:tcPr>
            <w:tcW w:w="567"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36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-0.67</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0.986</w:t>
            </w:r>
          </w:p>
        </w:tc>
        <w:tc>
          <w:tcPr>
            <w:tcW w:w="1735"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rPr>
                <w:b/>
                <w:bCs w:val="0"/>
              </w:rPr>
            </w:pPr>
            <w:r w:rsidRPr="005C333D">
              <w:rPr>
                <w:b/>
                <w:bCs w:val="0"/>
              </w:rPr>
              <w:t>-0.74 (-1.24,</w:t>
            </w:r>
            <w:r w:rsidR="004E1A27" w:rsidRPr="005C333D">
              <w:rPr>
                <w:b/>
                <w:bCs w:val="0"/>
              </w:rPr>
              <w:t xml:space="preserve"> </w:t>
            </w:r>
            <w:r w:rsidRPr="005C333D">
              <w:rPr>
                <w:b/>
                <w:bCs w:val="0"/>
              </w:rPr>
              <w:t>-0.24)</w:t>
            </w:r>
          </w:p>
        </w:tc>
      </w:tr>
      <w:tr w:rsidR="00A7180E" w:rsidRPr="005C333D" w:rsidTr="00277084">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4E1A27" w:rsidP="00CD26DE">
            <w:pPr>
              <w:pStyle w:val="TableText0"/>
              <w:keepNext/>
            </w:pPr>
            <w:r w:rsidRPr="005C333D">
              <w:t>FAS</w:t>
            </w:r>
          </w:p>
        </w:tc>
        <w:tc>
          <w:tcPr>
            <w:tcW w:w="512"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c>
          <w:tcPr>
            <w:tcW w:w="1735"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p>
        </w:tc>
      </w:tr>
      <w:tr w:rsidR="00A7180E" w:rsidRPr="005C333D" w:rsidTr="00277084">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pPr>
            <w:r w:rsidRPr="005C333D">
              <w:t>SANSIKA</w:t>
            </w:r>
          </w:p>
        </w:tc>
        <w:tc>
          <w:tcPr>
            <w:tcW w:w="7462" w:type="dxa"/>
            <w:gridSpan w:val="1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same as above</w:t>
            </w:r>
          </w:p>
        </w:tc>
      </w:tr>
      <w:tr w:rsidR="00A7180E" w:rsidRPr="005C333D" w:rsidTr="00277084">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pPr>
            <w:r w:rsidRPr="005C333D">
              <w:t>SICCANOVE</w:t>
            </w:r>
          </w:p>
        </w:tc>
        <w:tc>
          <w:tcPr>
            <w:tcW w:w="512"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24</w:t>
            </w:r>
            <w:r w:rsidR="00B45984" w:rsidRPr="005C333D">
              <w:t>1</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-1.05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0.983</w:t>
            </w:r>
          </w:p>
        </w:tc>
        <w:tc>
          <w:tcPr>
            <w:tcW w:w="567"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248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-0.82</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pPr>
            <w:r w:rsidRPr="005C333D">
              <w:t>0.937</w:t>
            </w:r>
          </w:p>
        </w:tc>
        <w:tc>
          <w:tcPr>
            <w:tcW w:w="1735" w:type="dxa"/>
            <w:tcBorders>
              <w:top w:val="single" w:sz="4" w:space="0" w:color="auto"/>
              <w:left w:val="single" w:sz="4" w:space="0" w:color="auto"/>
              <w:bottom w:val="single" w:sz="4" w:space="0" w:color="auto"/>
              <w:right w:val="single" w:sz="4" w:space="0" w:color="auto"/>
            </w:tcBorders>
            <w:vAlign w:val="center"/>
          </w:tcPr>
          <w:p w:rsidR="00A7180E" w:rsidRPr="005C333D" w:rsidRDefault="00A7180E" w:rsidP="00CD26DE">
            <w:pPr>
              <w:pStyle w:val="TableText0"/>
              <w:keepNext/>
              <w:jc w:val="center"/>
              <w:rPr>
                <w:b/>
                <w:bCs w:val="0"/>
              </w:rPr>
            </w:pPr>
            <w:r w:rsidRPr="005C333D">
              <w:rPr>
                <w:b/>
                <w:bCs w:val="0"/>
              </w:rPr>
              <w:t>-0.22 (-0.39, -0.06)</w:t>
            </w:r>
          </w:p>
        </w:tc>
      </w:tr>
      <w:tr w:rsidR="00A7180E" w:rsidRPr="005C333D" w:rsidTr="00277084">
        <w:trPr>
          <w:cantSplit/>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pStyle w:val="TableText0"/>
              <w:keepNext/>
            </w:pPr>
            <w:r w:rsidRPr="005C333D">
              <w:t>Meta-analysis</w:t>
            </w:r>
          </w:p>
        </w:tc>
        <w:tc>
          <w:tcPr>
            <w:tcW w:w="512" w:type="dxa"/>
            <w:tcBorders>
              <w:top w:val="single" w:sz="4" w:space="0" w:color="auto"/>
              <w:left w:val="single" w:sz="4" w:space="0" w:color="auto"/>
              <w:bottom w:val="single" w:sz="4" w:space="0" w:color="auto"/>
              <w:right w:val="single" w:sz="4" w:space="0" w:color="auto"/>
            </w:tcBorders>
            <w:vAlign w:val="center"/>
          </w:tcPr>
          <w:p w:rsidR="00A7180E" w:rsidRPr="005C333D" w:rsidRDefault="00277084" w:rsidP="00CD26DE">
            <w:pPr>
              <w:pStyle w:val="TableText0"/>
              <w:keepNext/>
              <w:jc w:val="center"/>
            </w:pPr>
            <w:r w:rsidRPr="005C333D">
              <w:t>NR</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277084" w:rsidP="00277084">
            <w:pPr>
              <w:pStyle w:val="TableText0"/>
              <w:keepNext/>
              <w:jc w:val="center"/>
            </w:pPr>
            <w:r w:rsidRPr="005C333D">
              <w:t>NR</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180E" w:rsidRPr="005C333D" w:rsidRDefault="00277084" w:rsidP="00CD26DE">
            <w:pPr>
              <w:pStyle w:val="TableText0"/>
              <w:keepNext/>
              <w:jc w:val="center"/>
            </w:pPr>
            <w:r w:rsidRPr="005C333D">
              <w:t>NR</w:t>
            </w:r>
          </w:p>
        </w:tc>
        <w:tc>
          <w:tcPr>
            <w:tcW w:w="567" w:type="dxa"/>
            <w:tcBorders>
              <w:top w:val="single" w:sz="4" w:space="0" w:color="auto"/>
              <w:left w:val="single" w:sz="4" w:space="0" w:color="auto"/>
              <w:bottom w:val="single" w:sz="4" w:space="0" w:color="auto"/>
              <w:right w:val="single" w:sz="4" w:space="0" w:color="auto"/>
            </w:tcBorders>
            <w:vAlign w:val="center"/>
          </w:tcPr>
          <w:p w:rsidR="00A7180E" w:rsidRPr="005C333D" w:rsidRDefault="00277084" w:rsidP="00CD26DE">
            <w:pPr>
              <w:pStyle w:val="TableText0"/>
              <w:keepNext/>
              <w:jc w:val="center"/>
            </w:pPr>
            <w:r w:rsidRPr="005C333D">
              <w:t>NR</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277084" w:rsidP="00CD26DE">
            <w:pPr>
              <w:pStyle w:val="TableText0"/>
              <w:keepNext/>
              <w:jc w:val="center"/>
            </w:pPr>
            <w:r w:rsidRPr="005C333D">
              <w:t>NR</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A7180E" w:rsidRPr="005C333D" w:rsidRDefault="00277084" w:rsidP="00CD26DE">
            <w:pPr>
              <w:pStyle w:val="TableText0"/>
              <w:keepNext/>
              <w:jc w:val="center"/>
            </w:pPr>
            <w:r w:rsidRPr="005C333D">
              <w:t>NR</w:t>
            </w:r>
          </w:p>
        </w:tc>
        <w:tc>
          <w:tcPr>
            <w:tcW w:w="1735" w:type="dxa"/>
            <w:tcBorders>
              <w:top w:val="single" w:sz="4" w:space="0" w:color="auto"/>
              <w:left w:val="single" w:sz="4" w:space="0" w:color="auto"/>
              <w:bottom w:val="single" w:sz="4" w:space="0" w:color="auto"/>
              <w:right w:val="single" w:sz="4" w:space="0" w:color="auto"/>
            </w:tcBorders>
            <w:vAlign w:val="center"/>
          </w:tcPr>
          <w:p w:rsidR="00A7180E" w:rsidRPr="005C333D" w:rsidRDefault="00360F43" w:rsidP="00CD26DE">
            <w:pPr>
              <w:pStyle w:val="TableText0"/>
              <w:keepNext/>
              <w:jc w:val="center"/>
              <w:rPr>
                <w:b/>
                <w:bCs w:val="0"/>
              </w:rPr>
            </w:pPr>
            <w:r w:rsidRPr="005C333D">
              <w:rPr>
                <w:b/>
                <w:bCs w:val="0"/>
              </w:rPr>
              <w:t>-0.25 (-0.40, -0.11)</w:t>
            </w:r>
          </w:p>
        </w:tc>
      </w:tr>
      <w:tr w:rsidR="00956B56" w:rsidRPr="005C333D" w:rsidTr="00454C01">
        <w:tc>
          <w:tcPr>
            <w:tcW w:w="9017" w:type="dxa"/>
            <w:gridSpan w:val="13"/>
            <w:tcBorders>
              <w:top w:val="single" w:sz="4" w:space="0" w:color="auto"/>
              <w:left w:val="single" w:sz="4" w:space="0" w:color="auto"/>
              <w:bottom w:val="single" w:sz="4" w:space="0" w:color="auto"/>
              <w:right w:val="single" w:sz="4" w:space="0" w:color="auto"/>
            </w:tcBorders>
            <w:shd w:val="clear" w:color="auto" w:fill="auto"/>
          </w:tcPr>
          <w:p w:rsidR="00956B56" w:rsidRPr="005C333D" w:rsidRDefault="00956B56" w:rsidP="00CD26DE">
            <w:pPr>
              <w:keepNext/>
              <w:jc w:val="left"/>
              <w:rPr>
                <w:rFonts w:ascii="Arial Narrow" w:hAnsi="Arial Narrow"/>
                <w:bCs/>
                <w:sz w:val="20"/>
                <w:szCs w:val="22"/>
              </w:rPr>
            </w:pPr>
            <w:r w:rsidRPr="005C333D">
              <w:rPr>
                <w:rFonts w:ascii="Arial Narrow" w:hAnsi="Arial Narrow"/>
                <w:b/>
                <w:bCs/>
                <w:sz w:val="20"/>
                <w:szCs w:val="20"/>
              </w:rPr>
              <w:t xml:space="preserve">CFS-OSDI response at 6 months </w:t>
            </w:r>
          </w:p>
        </w:tc>
      </w:tr>
      <w:tr w:rsidR="00A7180E" w:rsidRPr="005C333D" w:rsidTr="001C36D8">
        <w:trPr>
          <w:trHeight w:val="150"/>
        </w:trPr>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keepNext/>
              <w:rPr>
                <w:rFonts w:ascii="Arial Narrow" w:hAnsi="Arial Narrow"/>
                <w:b/>
                <w:color w:val="000000"/>
                <w:sz w:val="20"/>
                <w:szCs w:val="18"/>
              </w:rPr>
            </w:pPr>
            <w:r w:rsidRPr="005C333D">
              <w:rPr>
                <w:rFonts w:ascii="Arial Narrow" w:hAnsi="Arial Narrow"/>
                <w:b/>
                <w:color w:val="000000"/>
                <w:sz w:val="20"/>
                <w:szCs w:val="18"/>
              </w:rPr>
              <w:t>Trial</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A7180E" w:rsidRPr="005C333D" w:rsidRDefault="00A7180E" w:rsidP="00CD26DE">
            <w:pPr>
              <w:pStyle w:val="TableTitlecentred"/>
              <w:keepNext/>
              <w:rPr>
                <w:rFonts w:ascii="Arial Narrow" w:hAnsi="Arial Narrow"/>
                <w:sz w:val="20"/>
              </w:rPr>
            </w:pPr>
            <w:r w:rsidRPr="005C333D">
              <w:rPr>
                <w:rFonts w:ascii="Arial Narrow" w:hAnsi="Arial Narrow"/>
                <w:sz w:val="20"/>
              </w:rPr>
              <w:t>Ciclosporin</w:t>
            </w:r>
          </w:p>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sz w:val="20"/>
              </w:rPr>
              <w:t>n/N</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A7180E" w:rsidRPr="005C333D" w:rsidRDefault="00A7180E" w:rsidP="00CD26DE">
            <w:pPr>
              <w:pStyle w:val="TableTitlecentred"/>
              <w:keepNext/>
              <w:rPr>
                <w:rFonts w:ascii="Arial Narrow" w:hAnsi="Arial Narrow"/>
                <w:sz w:val="20"/>
              </w:rPr>
            </w:pPr>
            <w:r w:rsidRPr="005C333D">
              <w:rPr>
                <w:rFonts w:ascii="Arial Narrow" w:hAnsi="Arial Narrow"/>
                <w:sz w:val="20"/>
              </w:rPr>
              <w:t>Vehicle</w:t>
            </w:r>
          </w:p>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sz w:val="20"/>
              </w:rPr>
              <w:t>n/N</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color w:val="000000"/>
                <w:sz w:val="20"/>
                <w:szCs w:val="18"/>
              </w:rPr>
              <w:t>RR</w:t>
            </w:r>
          </w:p>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color w:val="000000"/>
                <w:sz w:val="20"/>
                <w:szCs w:val="18"/>
              </w:rPr>
              <w:t>(95% CI)</w:t>
            </w:r>
          </w:p>
        </w:tc>
        <w:tc>
          <w:tcPr>
            <w:tcW w:w="1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color w:val="000000"/>
                <w:sz w:val="20"/>
                <w:szCs w:val="18"/>
              </w:rPr>
              <w:t xml:space="preserve">Event rate/100 patients* </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color w:val="000000"/>
                <w:sz w:val="20"/>
                <w:szCs w:val="18"/>
              </w:rPr>
              <w:t>RD</w:t>
            </w:r>
          </w:p>
          <w:p w:rsidR="00A7180E" w:rsidRPr="005C333D" w:rsidRDefault="00A7180E" w:rsidP="00CD26DE">
            <w:pPr>
              <w:keepNext/>
              <w:jc w:val="center"/>
              <w:rPr>
                <w:rFonts w:ascii="Arial Narrow" w:hAnsi="Arial Narrow"/>
                <w:b/>
                <w:color w:val="000000"/>
                <w:sz w:val="20"/>
                <w:szCs w:val="18"/>
              </w:rPr>
            </w:pPr>
            <w:r w:rsidRPr="005C333D">
              <w:rPr>
                <w:rFonts w:ascii="Arial Narrow" w:hAnsi="Arial Narrow"/>
                <w:b/>
                <w:color w:val="000000"/>
                <w:sz w:val="20"/>
                <w:szCs w:val="18"/>
              </w:rPr>
              <w:t>(95% CI)</w:t>
            </w:r>
          </w:p>
        </w:tc>
      </w:tr>
      <w:tr w:rsidR="001147D3"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left"/>
              <w:rPr>
                <w:rFonts w:ascii="Arial Narrow" w:hAnsi="Arial Narrow"/>
                <w:bCs/>
                <w:sz w:val="20"/>
                <w:szCs w:val="20"/>
              </w:rPr>
            </w:pPr>
            <w:r w:rsidRPr="005C333D">
              <w:rPr>
                <w:rFonts w:ascii="Arial Narrow" w:hAnsi="Arial Narrow"/>
                <w:bCs/>
                <w:sz w:val="20"/>
                <w:szCs w:val="22"/>
              </w:rPr>
              <w:t xml:space="preserve">SANSIKA- </w:t>
            </w:r>
            <w:bookmarkStart w:id="22" w:name="_Hlk58412563"/>
            <w:r w:rsidRPr="005C333D">
              <w:rPr>
                <w:rFonts w:ascii="Arial Narrow" w:hAnsi="Arial Narrow"/>
                <w:bCs/>
                <w:sz w:val="20"/>
                <w:szCs w:val="20"/>
              </w:rPr>
              <w:t>Improvement ≥ 2 grades (CFS) and 30% (OSDI)</w:t>
            </w:r>
            <w:bookmarkEnd w:id="22"/>
            <w:r w:rsidR="00AF602F" w:rsidRPr="005C333D">
              <w:rPr>
                <w:rFonts w:ascii="Arial Narrow" w:hAnsi="Arial Narrow"/>
                <w:bCs/>
                <w:sz w:val="20"/>
                <w:szCs w:val="20"/>
              </w:rPr>
              <w:t xml:space="preserve"> (FAS)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bCs/>
                <w:sz w:val="20"/>
                <w:szCs w:val="22"/>
              </w:rPr>
            </w:pPr>
            <w:r w:rsidRPr="005C333D">
              <w:rPr>
                <w:rFonts w:ascii="Arial Narrow" w:hAnsi="Arial Narrow"/>
                <w:bCs/>
                <w:sz w:val="20"/>
                <w:szCs w:val="22"/>
              </w:rPr>
              <w:t>44/154</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bCs/>
                <w:sz w:val="20"/>
                <w:szCs w:val="22"/>
              </w:rPr>
            </w:pPr>
            <w:r w:rsidRPr="005C333D">
              <w:rPr>
                <w:rFonts w:ascii="Arial Narrow" w:hAnsi="Arial Narrow"/>
                <w:bCs/>
                <w:sz w:val="20"/>
                <w:szCs w:val="22"/>
              </w:rPr>
              <w:t>21/91</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 xml:space="preserve">1.24 </w:t>
            </w:r>
            <w:r w:rsidR="001123B3" w:rsidRPr="005C333D">
              <w:rPr>
                <w:rFonts w:ascii="Arial Narrow" w:hAnsi="Arial Narrow"/>
                <w:color w:val="000000"/>
                <w:sz w:val="20"/>
                <w:szCs w:val="18"/>
              </w:rPr>
              <w:br/>
            </w:r>
            <w:r w:rsidRPr="005C333D">
              <w:rPr>
                <w:rFonts w:ascii="Arial Narrow" w:hAnsi="Arial Narrow"/>
                <w:color w:val="000000"/>
                <w:sz w:val="20"/>
                <w:szCs w:val="18"/>
              </w:rPr>
              <w:t>(0.79, 1.94)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28.6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23.1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i/>
                <w:color w:val="000000"/>
                <w:sz w:val="20"/>
                <w:szCs w:val="18"/>
              </w:rPr>
            </w:pPr>
            <w:r w:rsidRPr="005C333D">
              <w:rPr>
                <w:rFonts w:ascii="Arial Narrow" w:hAnsi="Arial Narrow"/>
                <w:bCs/>
                <w:sz w:val="20"/>
                <w:szCs w:val="22"/>
              </w:rPr>
              <w:t xml:space="preserve">0.05 </w:t>
            </w:r>
            <w:r w:rsidR="001123B3" w:rsidRPr="005C333D">
              <w:rPr>
                <w:rFonts w:ascii="Arial Narrow" w:hAnsi="Arial Narrow"/>
                <w:bCs/>
                <w:sz w:val="20"/>
                <w:szCs w:val="22"/>
              </w:rPr>
              <w:br/>
            </w:r>
            <w:r w:rsidRPr="005C333D">
              <w:rPr>
                <w:rFonts w:ascii="Arial Narrow" w:hAnsi="Arial Narrow"/>
                <w:bCs/>
                <w:sz w:val="20"/>
                <w:szCs w:val="22"/>
              </w:rPr>
              <w:t>(-0.06, 0.17)</w:t>
            </w:r>
          </w:p>
        </w:tc>
      </w:tr>
      <w:tr w:rsidR="001147D3"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left"/>
              <w:rPr>
                <w:rFonts w:ascii="Arial Narrow" w:hAnsi="Arial Narrow"/>
                <w:bCs/>
                <w:sz w:val="20"/>
                <w:szCs w:val="22"/>
              </w:rPr>
            </w:pPr>
            <w:r w:rsidRPr="005C333D">
              <w:rPr>
                <w:rFonts w:ascii="Arial Narrow" w:hAnsi="Arial Narrow"/>
                <w:bCs/>
                <w:sz w:val="20"/>
                <w:szCs w:val="22"/>
              </w:rPr>
              <w:t xml:space="preserve">SANSIKA- </w:t>
            </w:r>
            <w:bookmarkStart w:id="23" w:name="_Hlk58412595"/>
            <w:r w:rsidRPr="005C333D">
              <w:rPr>
                <w:rFonts w:ascii="Arial Narrow" w:hAnsi="Arial Narrow"/>
                <w:bCs/>
                <w:sz w:val="20"/>
                <w:szCs w:val="20"/>
              </w:rPr>
              <w:t>Improvement ≥ 3 grades (CFS) and 30% (OSDI</w:t>
            </w:r>
            <w:bookmarkEnd w:id="23"/>
            <w:r w:rsidRPr="005C333D">
              <w:rPr>
                <w:rFonts w:ascii="Arial Narrow" w:hAnsi="Arial Narrow"/>
                <w:bCs/>
                <w:sz w:val="20"/>
                <w:szCs w:val="20"/>
              </w:rPr>
              <w:t>)</w:t>
            </w:r>
            <w:r w:rsidR="007943CB" w:rsidRPr="005C333D">
              <w:rPr>
                <w:rFonts w:ascii="Arial Narrow" w:hAnsi="Arial Narrow"/>
                <w:bCs/>
                <w:sz w:val="20"/>
                <w:szCs w:val="20"/>
              </w:rPr>
              <w:t xml:space="preserve"> (FAS)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9D6EE1">
            <w:pPr>
              <w:keepNext/>
              <w:jc w:val="center"/>
              <w:rPr>
                <w:rFonts w:ascii="Arial Narrow" w:hAnsi="Arial Narrow"/>
                <w:bCs/>
                <w:sz w:val="20"/>
                <w:szCs w:val="20"/>
              </w:rPr>
            </w:pPr>
            <w:r w:rsidRPr="005C333D">
              <w:rPr>
                <w:rFonts w:ascii="Arial Narrow" w:hAnsi="Arial Narrow"/>
                <w:sz w:val="20"/>
                <w:szCs w:val="20"/>
              </w:rPr>
              <w:t xml:space="preserve">29/154 </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9D6EE1">
            <w:pPr>
              <w:keepNext/>
              <w:jc w:val="center"/>
              <w:rPr>
                <w:rFonts w:ascii="Arial Narrow" w:hAnsi="Arial Narrow"/>
                <w:bCs/>
                <w:sz w:val="20"/>
                <w:szCs w:val="20"/>
              </w:rPr>
            </w:pPr>
            <w:r w:rsidRPr="005C333D">
              <w:rPr>
                <w:rFonts w:ascii="Arial Narrow" w:hAnsi="Arial Narrow"/>
                <w:sz w:val="20"/>
                <w:szCs w:val="20"/>
              </w:rPr>
              <w:t xml:space="preserve">7/91 </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b/>
                <w:bCs/>
                <w:color w:val="000000"/>
                <w:sz w:val="20"/>
                <w:szCs w:val="18"/>
              </w:rPr>
            </w:pPr>
            <w:r w:rsidRPr="005C333D">
              <w:rPr>
                <w:rFonts w:ascii="Arial Narrow" w:hAnsi="Arial Narrow"/>
                <w:b/>
                <w:bCs/>
                <w:color w:val="000000"/>
                <w:sz w:val="20"/>
                <w:szCs w:val="18"/>
              </w:rPr>
              <w:t xml:space="preserve">2.45 </w:t>
            </w:r>
            <w:r w:rsidR="001123B3" w:rsidRPr="005C333D">
              <w:rPr>
                <w:rFonts w:ascii="Arial Narrow" w:hAnsi="Arial Narrow"/>
                <w:b/>
                <w:bCs/>
                <w:color w:val="000000"/>
                <w:sz w:val="20"/>
                <w:szCs w:val="18"/>
              </w:rPr>
              <w:br/>
            </w:r>
            <w:r w:rsidRPr="005C333D">
              <w:rPr>
                <w:rFonts w:ascii="Arial Narrow" w:hAnsi="Arial Narrow"/>
                <w:b/>
                <w:bCs/>
                <w:color w:val="000000"/>
                <w:sz w:val="20"/>
                <w:szCs w:val="18"/>
              </w:rPr>
              <w:t>(1.12, 5.36)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18.8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7.7</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b/>
                <w:sz w:val="20"/>
                <w:szCs w:val="22"/>
              </w:rPr>
            </w:pPr>
            <w:r w:rsidRPr="005C333D">
              <w:rPr>
                <w:rFonts w:ascii="Arial Narrow" w:hAnsi="Arial Narrow"/>
                <w:b/>
                <w:sz w:val="20"/>
                <w:szCs w:val="22"/>
              </w:rPr>
              <w:t xml:space="preserve">0.11 </w:t>
            </w:r>
            <w:r w:rsidR="001123B3" w:rsidRPr="005C333D">
              <w:rPr>
                <w:rFonts w:ascii="Arial Narrow" w:hAnsi="Arial Narrow"/>
                <w:b/>
                <w:sz w:val="20"/>
                <w:szCs w:val="22"/>
              </w:rPr>
              <w:br/>
            </w:r>
            <w:r w:rsidRPr="005C333D">
              <w:rPr>
                <w:rFonts w:ascii="Arial Narrow" w:hAnsi="Arial Narrow"/>
                <w:b/>
                <w:sz w:val="20"/>
                <w:szCs w:val="22"/>
              </w:rPr>
              <w:t>(0.03, 0.19)</w:t>
            </w:r>
          </w:p>
        </w:tc>
      </w:tr>
      <w:tr w:rsidR="001147D3"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left"/>
              <w:rPr>
                <w:rFonts w:ascii="Arial Narrow" w:hAnsi="Arial Narrow"/>
                <w:bCs/>
                <w:color w:val="000000"/>
                <w:sz w:val="20"/>
                <w:szCs w:val="18"/>
              </w:rPr>
            </w:pPr>
            <w:r w:rsidRPr="005C333D">
              <w:rPr>
                <w:rFonts w:ascii="Arial Narrow" w:hAnsi="Arial Narrow"/>
                <w:bCs/>
                <w:sz w:val="20"/>
                <w:szCs w:val="20"/>
              </w:rPr>
              <w:t xml:space="preserve">Meta-analysis (Leonardi 2019) of PBS eligible population – SANSIKA total population and SICCANOVE subgroup CFS=4; OSDI ≥ 23; </w:t>
            </w:r>
            <w:bookmarkStart w:id="24" w:name="_Hlk58412636"/>
            <w:r w:rsidRPr="005C333D">
              <w:rPr>
                <w:rFonts w:ascii="Arial Narrow" w:hAnsi="Arial Narrow"/>
                <w:bCs/>
                <w:sz w:val="20"/>
                <w:szCs w:val="22"/>
              </w:rPr>
              <w:t xml:space="preserve">Improvement ≥ 2 grades (CFS) and 30% </w:t>
            </w:r>
            <w:bookmarkEnd w:id="24"/>
            <w:r w:rsidRPr="005C333D">
              <w:rPr>
                <w:rFonts w:ascii="Arial Narrow" w:hAnsi="Arial Narrow"/>
                <w:bCs/>
                <w:sz w:val="20"/>
                <w:szCs w:val="22"/>
              </w:rPr>
              <w:t>(OSDI)</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bCs/>
                <w:sz w:val="20"/>
                <w:szCs w:val="22"/>
              </w:rPr>
              <w:t>57/193</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bCs/>
                <w:sz w:val="20"/>
                <w:szCs w:val="22"/>
              </w:rPr>
              <w:t>23/126</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b/>
                <w:bCs/>
                <w:color w:val="000000"/>
                <w:sz w:val="20"/>
                <w:szCs w:val="18"/>
              </w:rPr>
            </w:pPr>
            <w:r w:rsidRPr="005C333D">
              <w:rPr>
                <w:rFonts w:ascii="Arial Narrow" w:hAnsi="Arial Narrow"/>
                <w:b/>
                <w:bCs/>
                <w:color w:val="000000"/>
                <w:sz w:val="20"/>
                <w:szCs w:val="18"/>
              </w:rPr>
              <w:t xml:space="preserve">1.62 </w:t>
            </w:r>
            <w:r w:rsidR="001123B3" w:rsidRPr="005C333D">
              <w:rPr>
                <w:rFonts w:ascii="Arial Narrow" w:hAnsi="Arial Narrow"/>
                <w:b/>
                <w:bCs/>
                <w:color w:val="000000"/>
                <w:sz w:val="20"/>
                <w:szCs w:val="18"/>
              </w:rPr>
              <w:br/>
            </w:r>
            <w:r w:rsidRPr="005C333D">
              <w:rPr>
                <w:rFonts w:ascii="Arial Narrow" w:hAnsi="Arial Narrow"/>
                <w:b/>
                <w:bCs/>
                <w:color w:val="000000"/>
                <w:sz w:val="20"/>
                <w:szCs w:val="18"/>
              </w:rPr>
              <w:t>(1.05, 2.48)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29.5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color w:val="000000"/>
                <w:sz w:val="20"/>
                <w:szCs w:val="18"/>
              </w:rPr>
            </w:pPr>
            <w:r w:rsidRPr="005C333D">
              <w:rPr>
                <w:rFonts w:ascii="Arial Narrow" w:hAnsi="Arial Narrow"/>
                <w:color w:val="000000"/>
                <w:sz w:val="20"/>
                <w:szCs w:val="18"/>
              </w:rPr>
              <w:t>18.3</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1147D3" w:rsidRPr="005C333D" w:rsidRDefault="001147D3" w:rsidP="00CD26DE">
            <w:pPr>
              <w:keepNext/>
              <w:jc w:val="center"/>
              <w:rPr>
                <w:rFonts w:ascii="Arial Narrow" w:hAnsi="Arial Narrow"/>
                <w:b/>
                <w:i/>
                <w:color w:val="000000"/>
                <w:sz w:val="20"/>
                <w:szCs w:val="18"/>
              </w:rPr>
            </w:pPr>
            <w:r w:rsidRPr="005C333D">
              <w:rPr>
                <w:rFonts w:ascii="Arial Narrow" w:hAnsi="Arial Narrow"/>
                <w:b/>
                <w:sz w:val="20"/>
                <w:szCs w:val="22"/>
              </w:rPr>
              <w:t xml:space="preserve">0.11 </w:t>
            </w:r>
            <w:r w:rsidR="001123B3" w:rsidRPr="005C333D">
              <w:rPr>
                <w:rFonts w:ascii="Arial Narrow" w:hAnsi="Arial Narrow"/>
                <w:b/>
                <w:sz w:val="20"/>
                <w:szCs w:val="22"/>
              </w:rPr>
              <w:br/>
            </w:r>
            <w:r w:rsidRPr="005C333D">
              <w:rPr>
                <w:rFonts w:ascii="Arial Narrow" w:hAnsi="Arial Narrow"/>
                <w:b/>
                <w:sz w:val="20"/>
                <w:szCs w:val="22"/>
              </w:rPr>
              <w:t>(0.02, 0.21)</w:t>
            </w:r>
          </w:p>
        </w:tc>
      </w:tr>
      <w:tr w:rsidR="00402D75" w:rsidRPr="005C333D" w:rsidTr="00454C01">
        <w:tc>
          <w:tcPr>
            <w:tcW w:w="901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02D75" w:rsidRPr="005C333D" w:rsidRDefault="00402D75" w:rsidP="00CD26DE">
            <w:pPr>
              <w:keepNext/>
              <w:jc w:val="left"/>
              <w:rPr>
                <w:rFonts w:ascii="Arial Narrow" w:hAnsi="Arial Narrow"/>
                <w:b/>
                <w:sz w:val="20"/>
                <w:szCs w:val="22"/>
              </w:rPr>
            </w:pPr>
            <w:r w:rsidRPr="005C333D">
              <w:rPr>
                <w:rFonts w:ascii="Arial Narrow" w:hAnsi="Arial Narrow"/>
                <w:b/>
                <w:color w:val="000000"/>
                <w:sz w:val="20"/>
                <w:szCs w:val="18"/>
              </w:rPr>
              <w:t>Harms</w:t>
            </w:r>
          </w:p>
        </w:tc>
      </w:tr>
      <w:tr w:rsidR="004E5389" w:rsidRPr="005C333D" w:rsidTr="00454C01">
        <w:tc>
          <w:tcPr>
            <w:tcW w:w="9017" w:type="dxa"/>
            <w:gridSpan w:val="13"/>
            <w:tcBorders>
              <w:top w:val="single" w:sz="4" w:space="0" w:color="auto"/>
              <w:left w:val="single" w:sz="4" w:space="0" w:color="auto"/>
              <w:bottom w:val="single" w:sz="4" w:space="0" w:color="auto"/>
              <w:right w:val="single" w:sz="4" w:space="0" w:color="auto"/>
            </w:tcBorders>
            <w:shd w:val="clear" w:color="auto" w:fill="auto"/>
          </w:tcPr>
          <w:p w:rsidR="004E5389" w:rsidRPr="005C333D" w:rsidRDefault="004E5389" w:rsidP="00CD26DE">
            <w:pPr>
              <w:keepNext/>
              <w:jc w:val="left"/>
              <w:rPr>
                <w:rFonts w:ascii="Arial Narrow" w:hAnsi="Arial Narrow"/>
                <w:b/>
                <w:sz w:val="20"/>
                <w:szCs w:val="22"/>
              </w:rPr>
            </w:pPr>
            <w:r w:rsidRPr="005C333D">
              <w:rPr>
                <w:rFonts w:ascii="Arial Narrow" w:hAnsi="Arial Narrow"/>
                <w:b/>
                <w:bCs/>
                <w:sz w:val="20"/>
                <w:szCs w:val="20"/>
              </w:rPr>
              <w:t>Instillation-site pain</w:t>
            </w:r>
          </w:p>
        </w:tc>
      </w:tr>
      <w:tr w:rsidR="00F4120B"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F4120B" w:rsidP="00CD26DE">
            <w:pPr>
              <w:keepNext/>
              <w:jc w:val="left"/>
              <w:rPr>
                <w:rFonts w:ascii="Arial Narrow" w:hAnsi="Arial Narrow"/>
                <w:bCs/>
                <w:sz w:val="20"/>
                <w:szCs w:val="22"/>
              </w:rPr>
            </w:pPr>
            <w:r w:rsidRPr="005C333D">
              <w:rPr>
                <w:rFonts w:ascii="Arial Narrow" w:hAnsi="Arial Narrow"/>
                <w:bCs/>
                <w:sz w:val="20"/>
                <w:szCs w:val="22"/>
              </w:rPr>
              <w:t>SANSIKA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F4120B" w:rsidP="00CD26DE">
            <w:pPr>
              <w:keepNext/>
              <w:jc w:val="center"/>
              <w:rPr>
                <w:rFonts w:ascii="Arial Narrow" w:hAnsi="Arial Narrow"/>
                <w:bCs/>
                <w:sz w:val="20"/>
                <w:szCs w:val="22"/>
              </w:rPr>
            </w:pPr>
            <w:r w:rsidRPr="005C333D">
              <w:rPr>
                <w:rFonts w:ascii="Arial Narrow" w:hAnsi="Arial Narrow"/>
                <w:bCs/>
                <w:sz w:val="20"/>
                <w:szCs w:val="22"/>
              </w:rPr>
              <w:t>47/154</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1932A1" w:rsidP="00CD26DE">
            <w:pPr>
              <w:keepNext/>
              <w:jc w:val="center"/>
              <w:rPr>
                <w:rFonts w:ascii="Arial Narrow" w:hAnsi="Arial Narrow"/>
                <w:bCs/>
                <w:sz w:val="20"/>
                <w:szCs w:val="22"/>
              </w:rPr>
            </w:pPr>
            <w:r w:rsidRPr="005C333D">
              <w:rPr>
                <w:rFonts w:ascii="Arial Narrow" w:hAnsi="Arial Narrow"/>
                <w:bCs/>
                <w:sz w:val="20"/>
                <w:szCs w:val="22"/>
              </w:rPr>
              <w:t>8</w:t>
            </w:r>
            <w:r w:rsidR="00F4120B" w:rsidRPr="005C333D">
              <w:rPr>
                <w:rFonts w:ascii="Arial Narrow" w:hAnsi="Arial Narrow"/>
                <w:bCs/>
                <w:sz w:val="20"/>
                <w:szCs w:val="22"/>
              </w:rPr>
              <w:t>/91</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A72BB0" w:rsidP="00CD26DE">
            <w:pPr>
              <w:keepNext/>
              <w:jc w:val="center"/>
              <w:rPr>
                <w:rFonts w:ascii="Arial Narrow" w:hAnsi="Arial Narrow"/>
                <w:b/>
                <w:bCs/>
                <w:color w:val="000000"/>
                <w:sz w:val="20"/>
                <w:szCs w:val="18"/>
              </w:rPr>
            </w:pPr>
            <w:r w:rsidRPr="005C333D">
              <w:rPr>
                <w:rFonts w:ascii="Arial Narrow" w:hAnsi="Arial Narrow"/>
                <w:b/>
                <w:bCs/>
                <w:color w:val="000000"/>
                <w:sz w:val="20"/>
                <w:szCs w:val="18"/>
              </w:rPr>
              <w:t xml:space="preserve">3.47 </w:t>
            </w:r>
            <w:r w:rsidR="001123B3" w:rsidRPr="005C333D">
              <w:rPr>
                <w:rFonts w:ascii="Arial Narrow" w:hAnsi="Arial Narrow"/>
                <w:b/>
                <w:bCs/>
                <w:color w:val="000000"/>
                <w:sz w:val="20"/>
                <w:szCs w:val="18"/>
              </w:rPr>
              <w:br/>
            </w:r>
            <w:r w:rsidRPr="005C333D">
              <w:rPr>
                <w:rFonts w:ascii="Arial Narrow" w:hAnsi="Arial Narrow"/>
                <w:b/>
                <w:bCs/>
                <w:color w:val="000000"/>
                <w:sz w:val="20"/>
                <w:szCs w:val="18"/>
              </w:rPr>
              <w:t>(1.7</w:t>
            </w:r>
            <w:r w:rsidR="000D0F83" w:rsidRPr="005C333D">
              <w:rPr>
                <w:rFonts w:ascii="Arial Narrow" w:hAnsi="Arial Narrow"/>
                <w:b/>
                <w:bCs/>
                <w:color w:val="000000"/>
                <w:sz w:val="20"/>
                <w:szCs w:val="18"/>
              </w:rPr>
              <w:t>2</w:t>
            </w:r>
            <w:r w:rsidRPr="005C333D">
              <w:rPr>
                <w:rFonts w:ascii="Arial Narrow" w:hAnsi="Arial Narrow"/>
                <w:b/>
                <w:bCs/>
                <w:color w:val="000000"/>
                <w:sz w:val="20"/>
                <w:szCs w:val="18"/>
              </w:rPr>
              <w:t>, 7.01)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9E0B84" w:rsidP="00CD26DE">
            <w:pPr>
              <w:keepNext/>
              <w:jc w:val="center"/>
              <w:rPr>
                <w:rFonts w:ascii="Arial Narrow" w:hAnsi="Arial Narrow"/>
                <w:color w:val="000000"/>
                <w:sz w:val="20"/>
                <w:szCs w:val="18"/>
              </w:rPr>
            </w:pPr>
            <w:r w:rsidRPr="005C333D">
              <w:rPr>
                <w:rFonts w:ascii="Arial Narrow" w:hAnsi="Arial Narrow"/>
                <w:color w:val="000000"/>
                <w:sz w:val="20"/>
                <w:szCs w:val="18"/>
              </w:rPr>
              <w:t>30.5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9E0B84" w:rsidP="00CD26DE">
            <w:pPr>
              <w:keepNext/>
              <w:jc w:val="center"/>
              <w:rPr>
                <w:rFonts w:ascii="Arial Narrow" w:hAnsi="Arial Narrow"/>
                <w:color w:val="000000"/>
                <w:sz w:val="20"/>
                <w:szCs w:val="18"/>
              </w:rPr>
            </w:pPr>
            <w:r w:rsidRPr="005C333D">
              <w:rPr>
                <w:rFonts w:ascii="Arial Narrow" w:hAnsi="Arial Narrow"/>
                <w:color w:val="000000"/>
                <w:sz w:val="20"/>
                <w:szCs w:val="18"/>
              </w:rPr>
              <w:t>8.8</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F4120B" w:rsidRPr="005C333D" w:rsidRDefault="00F26B1A" w:rsidP="00CD26DE">
            <w:pPr>
              <w:keepNext/>
              <w:jc w:val="center"/>
              <w:rPr>
                <w:rFonts w:ascii="Arial Narrow" w:hAnsi="Arial Narrow"/>
                <w:b/>
                <w:sz w:val="20"/>
                <w:szCs w:val="22"/>
              </w:rPr>
            </w:pPr>
            <w:r w:rsidRPr="005C333D">
              <w:rPr>
                <w:rFonts w:ascii="Arial Narrow" w:hAnsi="Arial Narrow"/>
                <w:b/>
                <w:sz w:val="20"/>
                <w:szCs w:val="22"/>
              </w:rPr>
              <w:t>0.21</w:t>
            </w:r>
            <w:r w:rsidR="007B6437" w:rsidRPr="005C333D">
              <w:rPr>
                <w:rFonts w:ascii="Arial Narrow" w:hAnsi="Arial Narrow"/>
                <w:b/>
                <w:sz w:val="20"/>
                <w:szCs w:val="22"/>
              </w:rPr>
              <w:t xml:space="preserve"> </w:t>
            </w:r>
            <w:r w:rsidR="001123B3" w:rsidRPr="005C333D">
              <w:rPr>
                <w:rFonts w:ascii="Arial Narrow" w:hAnsi="Arial Narrow"/>
                <w:b/>
                <w:sz w:val="20"/>
                <w:szCs w:val="22"/>
              </w:rPr>
              <w:br/>
            </w:r>
            <w:r w:rsidR="007B6437" w:rsidRPr="005C333D">
              <w:rPr>
                <w:rFonts w:ascii="Arial Narrow" w:hAnsi="Arial Narrow"/>
                <w:b/>
                <w:sz w:val="20"/>
                <w:szCs w:val="20"/>
              </w:rPr>
              <w:t>(</w:t>
            </w:r>
            <w:r w:rsidR="004E680A" w:rsidRPr="005C333D">
              <w:rPr>
                <w:rFonts w:ascii="Arial Narrow" w:hAnsi="Arial Narrow"/>
                <w:b/>
                <w:sz w:val="20"/>
                <w:szCs w:val="20"/>
              </w:rPr>
              <w:t xml:space="preserve">0.12, </w:t>
            </w:r>
            <w:r w:rsidR="00732A4B" w:rsidRPr="005C333D">
              <w:rPr>
                <w:rFonts w:ascii="Arial Narrow" w:hAnsi="Arial Narrow"/>
                <w:b/>
                <w:sz w:val="20"/>
                <w:szCs w:val="20"/>
              </w:rPr>
              <w:t>0.30</w:t>
            </w:r>
            <w:r w:rsidR="007B6437" w:rsidRPr="005C333D">
              <w:rPr>
                <w:rFonts w:ascii="Arial Narrow" w:hAnsi="Arial Narrow"/>
                <w:b/>
                <w:sz w:val="20"/>
                <w:szCs w:val="20"/>
              </w:rPr>
              <w:t>)</w:t>
            </w:r>
          </w:p>
        </w:tc>
      </w:tr>
      <w:tr w:rsidR="0033341F"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341F" w:rsidRPr="005C333D" w:rsidRDefault="008C4CE6" w:rsidP="00CD26DE">
            <w:pPr>
              <w:keepNext/>
              <w:jc w:val="left"/>
              <w:rPr>
                <w:rFonts w:ascii="Arial Narrow" w:hAnsi="Arial Narrow"/>
                <w:bCs/>
                <w:sz w:val="20"/>
                <w:szCs w:val="22"/>
              </w:rPr>
            </w:pPr>
            <w:r w:rsidRPr="005C333D">
              <w:rPr>
                <w:rFonts w:ascii="Arial Narrow" w:hAnsi="Arial Narrow"/>
                <w:bCs/>
                <w:sz w:val="20"/>
                <w:szCs w:val="22"/>
              </w:rPr>
              <w:t>SICCANOVE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41F" w:rsidRPr="005C333D" w:rsidRDefault="002731BC" w:rsidP="00CD26DE">
            <w:pPr>
              <w:keepNext/>
              <w:jc w:val="center"/>
              <w:rPr>
                <w:rFonts w:ascii="Arial Narrow" w:hAnsi="Arial Narrow"/>
                <w:bCs/>
                <w:sz w:val="20"/>
                <w:szCs w:val="22"/>
              </w:rPr>
            </w:pPr>
            <w:r w:rsidRPr="005C333D">
              <w:rPr>
                <w:rFonts w:ascii="Arial Narrow" w:hAnsi="Arial Narrow"/>
                <w:bCs/>
                <w:sz w:val="20"/>
                <w:szCs w:val="22"/>
              </w:rPr>
              <w:t>3/</w:t>
            </w:r>
            <w:r w:rsidR="004A157D" w:rsidRPr="005C333D">
              <w:rPr>
                <w:rFonts w:ascii="Arial Narrow" w:hAnsi="Arial Narrow"/>
                <w:bCs/>
                <w:sz w:val="20"/>
                <w:szCs w:val="22"/>
              </w:rPr>
              <w:t>241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33341F" w:rsidRPr="005C333D" w:rsidRDefault="00AB7EF5" w:rsidP="00CD26DE">
            <w:pPr>
              <w:keepNext/>
              <w:jc w:val="center"/>
              <w:rPr>
                <w:rFonts w:ascii="Arial Narrow" w:hAnsi="Arial Narrow"/>
                <w:bCs/>
                <w:sz w:val="20"/>
                <w:szCs w:val="22"/>
              </w:rPr>
            </w:pPr>
            <w:r w:rsidRPr="005C333D">
              <w:rPr>
                <w:rFonts w:ascii="Arial Narrow" w:hAnsi="Arial Narrow"/>
                <w:bCs/>
                <w:sz w:val="20"/>
                <w:szCs w:val="22"/>
              </w:rPr>
              <w:t>1/</w:t>
            </w:r>
            <w:r w:rsidR="00D90F17" w:rsidRPr="005C333D">
              <w:rPr>
                <w:rFonts w:ascii="Arial Narrow" w:hAnsi="Arial Narrow"/>
                <w:bCs/>
                <w:sz w:val="20"/>
                <w:szCs w:val="22"/>
              </w:rPr>
              <w:t>248</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341F" w:rsidRPr="005C333D" w:rsidRDefault="0090520F" w:rsidP="00CD26DE">
            <w:pPr>
              <w:keepNext/>
              <w:jc w:val="center"/>
              <w:rPr>
                <w:rFonts w:ascii="Arial Narrow" w:hAnsi="Arial Narrow"/>
                <w:color w:val="000000"/>
                <w:sz w:val="20"/>
                <w:szCs w:val="18"/>
              </w:rPr>
            </w:pPr>
            <w:r w:rsidRPr="005C333D">
              <w:rPr>
                <w:rFonts w:ascii="Arial Narrow" w:hAnsi="Arial Narrow"/>
                <w:color w:val="000000"/>
                <w:sz w:val="20"/>
                <w:szCs w:val="18"/>
              </w:rPr>
              <w:t xml:space="preserve">3.09 </w:t>
            </w:r>
            <w:r w:rsidR="001123B3" w:rsidRPr="005C333D">
              <w:rPr>
                <w:rFonts w:ascii="Arial Narrow" w:hAnsi="Arial Narrow"/>
                <w:color w:val="000000"/>
                <w:sz w:val="20"/>
                <w:szCs w:val="18"/>
              </w:rPr>
              <w:br/>
            </w:r>
            <w:r w:rsidRPr="005C333D">
              <w:rPr>
                <w:rFonts w:ascii="Arial Narrow" w:hAnsi="Arial Narrow"/>
                <w:color w:val="000000"/>
                <w:sz w:val="20"/>
                <w:szCs w:val="18"/>
              </w:rPr>
              <w:t>(0.32, 29.47)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41F" w:rsidRPr="005C333D" w:rsidRDefault="00806CF9" w:rsidP="00CD26DE">
            <w:pPr>
              <w:keepNext/>
              <w:jc w:val="center"/>
              <w:rPr>
                <w:rFonts w:ascii="Arial Narrow" w:hAnsi="Arial Narrow"/>
                <w:color w:val="000000"/>
                <w:sz w:val="20"/>
                <w:szCs w:val="18"/>
              </w:rPr>
            </w:pPr>
            <w:r w:rsidRPr="005C333D">
              <w:rPr>
                <w:rFonts w:ascii="Arial Narrow" w:hAnsi="Arial Narrow"/>
                <w:color w:val="000000"/>
                <w:sz w:val="20"/>
                <w:szCs w:val="18"/>
              </w:rPr>
              <w:t>1.2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33341F" w:rsidRPr="005C333D" w:rsidRDefault="00377BC8" w:rsidP="00CD26DE">
            <w:pPr>
              <w:keepNext/>
              <w:jc w:val="center"/>
              <w:rPr>
                <w:rFonts w:ascii="Arial Narrow" w:hAnsi="Arial Narrow"/>
                <w:color w:val="000000"/>
                <w:sz w:val="20"/>
                <w:szCs w:val="18"/>
              </w:rPr>
            </w:pPr>
            <w:r w:rsidRPr="005C333D">
              <w:rPr>
                <w:rFonts w:ascii="Arial Narrow" w:hAnsi="Arial Narrow"/>
                <w:color w:val="000000"/>
                <w:sz w:val="20"/>
                <w:szCs w:val="18"/>
              </w:rPr>
              <w:t>0.4</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394260" w:rsidRPr="005C333D" w:rsidRDefault="008F2D78" w:rsidP="00CD26DE">
            <w:pPr>
              <w:keepNext/>
              <w:jc w:val="center"/>
              <w:rPr>
                <w:rFonts w:ascii="Arial Narrow" w:hAnsi="Arial Narrow"/>
                <w:bCs/>
                <w:sz w:val="20"/>
                <w:szCs w:val="22"/>
              </w:rPr>
            </w:pPr>
            <w:r w:rsidRPr="005C333D">
              <w:rPr>
                <w:rFonts w:ascii="Arial Narrow" w:hAnsi="Arial Narrow"/>
                <w:bCs/>
                <w:sz w:val="20"/>
                <w:szCs w:val="22"/>
              </w:rPr>
              <w:t>0.008</w:t>
            </w:r>
            <w:r w:rsidR="00E63C44" w:rsidRPr="005C333D">
              <w:rPr>
                <w:rFonts w:ascii="Arial Narrow" w:hAnsi="Arial Narrow"/>
                <w:bCs/>
                <w:sz w:val="20"/>
                <w:szCs w:val="22"/>
              </w:rPr>
              <w:t xml:space="preserve"> </w:t>
            </w:r>
            <w:r w:rsidR="001123B3" w:rsidRPr="005C333D">
              <w:rPr>
                <w:rFonts w:ascii="Arial Narrow" w:hAnsi="Arial Narrow"/>
                <w:bCs/>
                <w:sz w:val="20"/>
                <w:szCs w:val="22"/>
              </w:rPr>
              <w:br/>
            </w:r>
            <w:r w:rsidR="00E63C44" w:rsidRPr="005C333D">
              <w:rPr>
                <w:rFonts w:ascii="Arial Narrow" w:hAnsi="Arial Narrow"/>
                <w:bCs/>
                <w:sz w:val="20"/>
                <w:szCs w:val="22"/>
              </w:rPr>
              <w:t>(-0.008</w:t>
            </w:r>
            <w:r w:rsidR="00394260" w:rsidRPr="005C333D">
              <w:rPr>
                <w:rFonts w:ascii="Arial Narrow" w:hAnsi="Arial Narrow"/>
                <w:bCs/>
                <w:sz w:val="20"/>
                <w:szCs w:val="22"/>
              </w:rPr>
              <w:t>, 0.02)</w:t>
            </w:r>
          </w:p>
        </w:tc>
      </w:tr>
      <w:tr w:rsidR="004E5389" w:rsidRPr="005C333D" w:rsidTr="00454C01">
        <w:tc>
          <w:tcPr>
            <w:tcW w:w="901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E5389" w:rsidRPr="005C333D" w:rsidRDefault="004E5389" w:rsidP="00CD26DE">
            <w:pPr>
              <w:keepNext/>
              <w:jc w:val="left"/>
              <w:rPr>
                <w:rFonts w:ascii="Arial Narrow" w:hAnsi="Arial Narrow"/>
                <w:b/>
                <w:sz w:val="20"/>
                <w:szCs w:val="22"/>
              </w:rPr>
            </w:pPr>
            <w:r w:rsidRPr="005C333D">
              <w:rPr>
                <w:rFonts w:ascii="Arial Narrow" w:hAnsi="Arial Narrow"/>
                <w:b/>
                <w:sz w:val="20"/>
                <w:szCs w:val="22"/>
              </w:rPr>
              <w:t>Instillation site irritation</w:t>
            </w:r>
          </w:p>
        </w:tc>
      </w:tr>
      <w:tr w:rsidR="00BB4C43"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BB4C43" w:rsidP="00CD26DE">
            <w:pPr>
              <w:keepNext/>
              <w:jc w:val="left"/>
              <w:rPr>
                <w:rFonts w:ascii="Arial Narrow" w:hAnsi="Arial Narrow"/>
                <w:bCs/>
                <w:sz w:val="20"/>
                <w:szCs w:val="22"/>
              </w:rPr>
            </w:pPr>
            <w:r w:rsidRPr="005C333D">
              <w:rPr>
                <w:rFonts w:ascii="Arial Narrow" w:hAnsi="Arial Narrow"/>
                <w:bCs/>
                <w:sz w:val="20"/>
                <w:szCs w:val="22"/>
              </w:rPr>
              <w:t>SANSIKA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5335B7" w:rsidP="00CD26DE">
            <w:pPr>
              <w:keepNext/>
              <w:jc w:val="center"/>
              <w:rPr>
                <w:rFonts w:ascii="Arial Narrow" w:hAnsi="Arial Narrow"/>
                <w:bCs/>
                <w:sz w:val="20"/>
                <w:szCs w:val="22"/>
              </w:rPr>
            </w:pPr>
            <w:r w:rsidRPr="005C333D">
              <w:rPr>
                <w:rFonts w:ascii="Arial Narrow" w:hAnsi="Arial Narrow"/>
                <w:bCs/>
                <w:sz w:val="20"/>
                <w:szCs w:val="22"/>
              </w:rPr>
              <w:t>1/154</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8B14FC" w:rsidP="00CD26DE">
            <w:pPr>
              <w:keepNext/>
              <w:jc w:val="center"/>
              <w:rPr>
                <w:rFonts w:ascii="Arial Narrow" w:hAnsi="Arial Narrow"/>
                <w:bCs/>
                <w:sz w:val="20"/>
                <w:szCs w:val="22"/>
              </w:rPr>
            </w:pPr>
            <w:r w:rsidRPr="005C333D">
              <w:rPr>
                <w:rFonts w:ascii="Arial Narrow" w:hAnsi="Arial Narrow"/>
                <w:bCs/>
                <w:sz w:val="20"/>
                <w:szCs w:val="22"/>
              </w:rPr>
              <w:t>0/</w:t>
            </w:r>
            <w:r w:rsidR="009210AB" w:rsidRPr="005C333D">
              <w:rPr>
                <w:rFonts w:ascii="Arial Narrow" w:hAnsi="Arial Narrow"/>
                <w:bCs/>
                <w:sz w:val="20"/>
                <w:szCs w:val="22"/>
              </w:rPr>
              <w:t>91</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6F6CB9" w:rsidP="00CD26DE">
            <w:pPr>
              <w:keepNext/>
              <w:jc w:val="center"/>
              <w:rPr>
                <w:rFonts w:ascii="Arial Narrow" w:hAnsi="Arial Narrow"/>
                <w:bCs/>
                <w:color w:val="000000"/>
                <w:sz w:val="20"/>
                <w:szCs w:val="18"/>
              </w:rPr>
            </w:pPr>
            <w:r w:rsidRPr="005C333D">
              <w:rPr>
                <w:rFonts w:ascii="Arial Narrow" w:hAnsi="Arial Narrow"/>
                <w:bCs/>
                <w:color w:val="000000"/>
                <w:sz w:val="20"/>
                <w:szCs w:val="18"/>
              </w:rPr>
              <w:t xml:space="preserve">1.78 </w:t>
            </w:r>
            <w:r w:rsidR="001123B3" w:rsidRPr="005C333D">
              <w:rPr>
                <w:rFonts w:ascii="Arial Narrow" w:hAnsi="Arial Narrow"/>
                <w:bCs/>
                <w:color w:val="000000"/>
                <w:sz w:val="20"/>
                <w:szCs w:val="18"/>
              </w:rPr>
              <w:br/>
            </w:r>
            <w:r w:rsidRPr="005C333D">
              <w:rPr>
                <w:rFonts w:ascii="Arial Narrow" w:hAnsi="Arial Narrow"/>
                <w:bCs/>
                <w:color w:val="000000"/>
                <w:sz w:val="20"/>
                <w:szCs w:val="18"/>
              </w:rPr>
              <w:t>(0.07, 43.26)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5C31A5" w:rsidP="00CD26DE">
            <w:pPr>
              <w:keepNext/>
              <w:jc w:val="center"/>
              <w:rPr>
                <w:rFonts w:ascii="Arial Narrow" w:hAnsi="Arial Narrow"/>
                <w:color w:val="000000"/>
                <w:sz w:val="20"/>
                <w:szCs w:val="18"/>
              </w:rPr>
            </w:pPr>
            <w:r w:rsidRPr="005C333D">
              <w:rPr>
                <w:rFonts w:ascii="Arial Narrow" w:hAnsi="Arial Narrow"/>
                <w:color w:val="000000"/>
                <w:sz w:val="20"/>
                <w:szCs w:val="18"/>
              </w:rPr>
              <w:t>0.65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A1075A" w:rsidP="00CD26DE">
            <w:pPr>
              <w:keepNext/>
              <w:jc w:val="center"/>
              <w:rPr>
                <w:rFonts w:ascii="Arial Narrow" w:hAnsi="Arial Narrow"/>
                <w:color w:val="000000"/>
                <w:sz w:val="20"/>
                <w:szCs w:val="18"/>
              </w:rPr>
            </w:pPr>
            <w:r w:rsidRPr="005C333D">
              <w:rPr>
                <w:rFonts w:ascii="Arial Narrow" w:hAnsi="Arial Narrow"/>
                <w:color w:val="000000"/>
                <w:sz w:val="20"/>
                <w:szCs w:val="18"/>
              </w:rPr>
              <w:t>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C3663D" w:rsidP="00CD26DE">
            <w:pPr>
              <w:keepNext/>
              <w:jc w:val="center"/>
              <w:rPr>
                <w:rFonts w:ascii="Arial Narrow" w:hAnsi="Arial Narrow"/>
                <w:bCs/>
                <w:sz w:val="20"/>
                <w:szCs w:val="22"/>
              </w:rPr>
            </w:pPr>
            <w:r w:rsidRPr="005C333D">
              <w:rPr>
                <w:rFonts w:ascii="Arial Narrow" w:hAnsi="Arial Narrow"/>
                <w:bCs/>
                <w:sz w:val="20"/>
                <w:szCs w:val="22"/>
              </w:rPr>
              <w:t xml:space="preserve">0.006 </w:t>
            </w:r>
            <w:r w:rsidR="001123B3" w:rsidRPr="005C333D">
              <w:rPr>
                <w:rFonts w:ascii="Arial Narrow" w:hAnsi="Arial Narrow"/>
                <w:bCs/>
                <w:sz w:val="20"/>
                <w:szCs w:val="22"/>
              </w:rPr>
              <w:br/>
            </w:r>
            <w:r w:rsidRPr="005C333D">
              <w:rPr>
                <w:rFonts w:ascii="Arial Narrow" w:hAnsi="Arial Narrow"/>
                <w:bCs/>
                <w:sz w:val="20"/>
                <w:szCs w:val="22"/>
              </w:rPr>
              <w:t>(</w:t>
            </w:r>
            <w:r w:rsidR="009949FC" w:rsidRPr="005C333D">
              <w:rPr>
                <w:rFonts w:ascii="Arial Narrow" w:hAnsi="Arial Narrow"/>
                <w:bCs/>
                <w:sz w:val="20"/>
                <w:szCs w:val="22"/>
              </w:rPr>
              <w:t xml:space="preserve">-0.007, </w:t>
            </w:r>
            <w:r w:rsidR="003515CB" w:rsidRPr="005C333D">
              <w:rPr>
                <w:rFonts w:ascii="Arial Narrow" w:hAnsi="Arial Narrow"/>
                <w:bCs/>
                <w:sz w:val="20"/>
                <w:szCs w:val="22"/>
              </w:rPr>
              <w:t>0.02</w:t>
            </w:r>
            <w:r w:rsidRPr="005C333D">
              <w:rPr>
                <w:rFonts w:ascii="Arial Narrow" w:hAnsi="Arial Narrow"/>
                <w:bCs/>
                <w:sz w:val="20"/>
                <w:szCs w:val="22"/>
              </w:rPr>
              <w:t>)</w:t>
            </w:r>
          </w:p>
        </w:tc>
      </w:tr>
      <w:tr w:rsidR="00BB4C43" w:rsidRPr="005C333D" w:rsidTr="001C36D8">
        <w:tc>
          <w:tcPr>
            <w:tcW w:w="2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DA4AF6" w:rsidP="00CD26DE">
            <w:pPr>
              <w:keepNext/>
              <w:jc w:val="left"/>
              <w:rPr>
                <w:rFonts w:ascii="Arial Narrow" w:hAnsi="Arial Narrow"/>
                <w:bCs/>
                <w:sz w:val="20"/>
                <w:szCs w:val="22"/>
              </w:rPr>
            </w:pPr>
            <w:r w:rsidRPr="005C333D">
              <w:rPr>
                <w:rFonts w:ascii="Arial Narrow" w:hAnsi="Arial Narrow"/>
                <w:bCs/>
                <w:sz w:val="20"/>
                <w:szCs w:val="22"/>
              </w:rPr>
              <w:t>SICCANOVE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8C0017" w:rsidP="00CD26DE">
            <w:pPr>
              <w:keepNext/>
              <w:jc w:val="center"/>
              <w:rPr>
                <w:rFonts w:ascii="Arial Narrow" w:hAnsi="Arial Narrow"/>
                <w:bCs/>
                <w:sz w:val="20"/>
                <w:szCs w:val="22"/>
              </w:rPr>
            </w:pPr>
            <w:r w:rsidRPr="005C333D">
              <w:rPr>
                <w:rFonts w:ascii="Arial Narrow" w:hAnsi="Arial Narrow"/>
                <w:bCs/>
                <w:sz w:val="20"/>
                <w:szCs w:val="22"/>
              </w:rPr>
              <w:t>19</w:t>
            </w:r>
            <w:r w:rsidR="009156A5" w:rsidRPr="005C333D">
              <w:rPr>
                <w:rFonts w:ascii="Arial Narrow" w:hAnsi="Arial Narrow"/>
                <w:bCs/>
                <w:sz w:val="20"/>
                <w:szCs w:val="22"/>
              </w:rPr>
              <w:t>/</w:t>
            </w:r>
            <w:r w:rsidR="00161E6F" w:rsidRPr="005C333D">
              <w:rPr>
                <w:rFonts w:ascii="Arial Narrow" w:hAnsi="Arial Narrow"/>
                <w:bCs/>
                <w:sz w:val="20"/>
                <w:szCs w:val="22"/>
              </w:rPr>
              <w:t>241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0758F3" w:rsidP="00CD26DE">
            <w:pPr>
              <w:keepNext/>
              <w:jc w:val="center"/>
              <w:rPr>
                <w:rFonts w:ascii="Arial Narrow" w:hAnsi="Arial Narrow"/>
                <w:bCs/>
                <w:sz w:val="20"/>
                <w:szCs w:val="22"/>
              </w:rPr>
            </w:pPr>
            <w:r w:rsidRPr="005C333D">
              <w:rPr>
                <w:rFonts w:ascii="Arial Narrow" w:hAnsi="Arial Narrow"/>
                <w:bCs/>
                <w:sz w:val="20"/>
                <w:szCs w:val="22"/>
              </w:rPr>
              <w:t>4/</w:t>
            </w:r>
            <w:r w:rsidR="00161E6F" w:rsidRPr="005C333D">
              <w:rPr>
                <w:rFonts w:ascii="Arial Narrow" w:hAnsi="Arial Narrow"/>
                <w:bCs/>
                <w:sz w:val="20"/>
                <w:szCs w:val="22"/>
              </w:rPr>
              <w:t>248</w:t>
            </w:r>
          </w:p>
        </w:tc>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062343" w:rsidP="00CD26DE">
            <w:pPr>
              <w:keepNext/>
              <w:jc w:val="center"/>
              <w:rPr>
                <w:rFonts w:ascii="Arial Narrow" w:hAnsi="Arial Narrow"/>
                <w:b/>
                <w:bCs/>
                <w:color w:val="000000"/>
                <w:sz w:val="20"/>
                <w:szCs w:val="18"/>
              </w:rPr>
            </w:pPr>
            <w:r w:rsidRPr="005C333D">
              <w:rPr>
                <w:rFonts w:ascii="Arial Narrow" w:hAnsi="Arial Narrow"/>
                <w:b/>
                <w:bCs/>
                <w:color w:val="000000"/>
                <w:sz w:val="20"/>
                <w:szCs w:val="18"/>
              </w:rPr>
              <w:t>4.89</w:t>
            </w:r>
            <w:r w:rsidR="00AC4075" w:rsidRPr="005C333D">
              <w:rPr>
                <w:rFonts w:ascii="Arial Narrow" w:hAnsi="Arial Narrow"/>
                <w:b/>
                <w:bCs/>
                <w:color w:val="000000"/>
                <w:sz w:val="20"/>
                <w:szCs w:val="18"/>
              </w:rPr>
              <w:t xml:space="preserve"> </w:t>
            </w:r>
            <w:r w:rsidR="001123B3" w:rsidRPr="005C333D">
              <w:rPr>
                <w:rFonts w:ascii="Arial Narrow" w:hAnsi="Arial Narrow"/>
                <w:b/>
                <w:bCs/>
                <w:color w:val="000000"/>
                <w:sz w:val="20"/>
                <w:szCs w:val="18"/>
              </w:rPr>
              <w:br/>
            </w:r>
            <w:r w:rsidR="00AC4075" w:rsidRPr="005C333D">
              <w:rPr>
                <w:rFonts w:ascii="Arial Narrow" w:hAnsi="Arial Narrow"/>
                <w:b/>
                <w:bCs/>
                <w:color w:val="000000"/>
                <w:sz w:val="20"/>
                <w:szCs w:val="18"/>
              </w:rPr>
              <w:t>(1.68</w:t>
            </w:r>
            <w:r w:rsidR="00F94452" w:rsidRPr="005C333D">
              <w:rPr>
                <w:rFonts w:ascii="Arial Narrow" w:hAnsi="Arial Narrow"/>
                <w:b/>
                <w:bCs/>
                <w:color w:val="000000"/>
                <w:sz w:val="20"/>
                <w:szCs w:val="18"/>
              </w:rPr>
              <w:t>, 14.16)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4A1257" w:rsidP="00CD26DE">
            <w:pPr>
              <w:keepNext/>
              <w:jc w:val="center"/>
              <w:rPr>
                <w:rFonts w:ascii="Arial Narrow" w:hAnsi="Arial Narrow"/>
                <w:color w:val="000000"/>
                <w:sz w:val="20"/>
                <w:szCs w:val="18"/>
              </w:rPr>
            </w:pPr>
            <w:r w:rsidRPr="005C333D">
              <w:rPr>
                <w:rFonts w:ascii="Arial Narrow" w:hAnsi="Arial Narrow"/>
                <w:color w:val="000000"/>
                <w:sz w:val="20"/>
                <w:szCs w:val="18"/>
              </w:rPr>
              <w:t>7.88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7B2E6B" w:rsidP="00CD26DE">
            <w:pPr>
              <w:keepNext/>
              <w:jc w:val="center"/>
              <w:rPr>
                <w:rFonts w:ascii="Arial Narrow" w:hAnsi="Arial Narrow"/>
                <w:color w:val="000000"/>
                <w:sz w:val="20"/>
                <w:szCs w:val="18"/>
              </w:rPr>
            </w:pPr>
            <w:r w:rsidRPr="005C333D">
              <w:rPr>
                <w:rFonts w:ascii="Arial Narrow" w:hAnsi="Arial Narrow"/>
                <w:color w:val="000000"/>
                <w:sz w:val="20"/>
                <w:szCs w:val="18"/>
              </w:rPr>
              <w:t>1.61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BB4C43" w:rsidRPr="005C333D" w:rsidRDefault="00104F3C" w:rsidP="00CD26DE">
            <w:pPr>
              <w:keepNext/>
              <w:jc w:val="center"/>
              <w:rPr>
                <w:rFonts w:ascii="Arial Narrow" w:hAnsi="Arial Narrow"/>
                <w:b/>
                <w:sz w:val="20"/>
                <w:szCs w:val="22"/>
              </w:rPr>
            </w:pPr>
            <w:r w:rsidRPr="005C333D">
              <w:rPr>
                <w:rFonts w:ascii="Arial Narrow" w:hAnsi="Arial Narrow"/>
                <w:b/>
                <w:sz w:val="20"/>
                <w:szCs w:val="22"/>
              </w:rPr>
              <w:t>0.06</w:t>
            </w:r>
            <w:r w:rsidR="00E136F3" w:rsidRPr="005C333D">
              <w:rPr>
                <w:rFonts w:ascii="Arial Narrow" w:hAnsi="Arial Narrow"/>
                <w:b/>
                <w:sz w:val="20"/>
                <w:szCs w:val="22"/>
              </w:rPr>
              <w:t xml:space="preserve"> </w:t>
            </w:r>
            <w:r w:rsidR="001123B3" w:rsidRPr="005C333D">
              <w:rPr>
                <w:rFonts w:ascii="Arial Narrow" w:hAnsi="Arial Narrow"/>
                <w:b/>
                <w:sz w:val="20"/>
                <w:szCs w:val="22"/>
              </w:rPr>
              <w:br/>
            </w:r>
            <w:r w:rsidR="00E136F3" w:rsidRPr="005C333D">
              <w:rPr>
                <w:rFonts w:ascii="Arial Narrow" w:hAnsi="Arial Narrow"/>
                <w:b/>
                <w:sz w:val="20"/>
                <w:szCs w:val="22"/>
              </w:rPr>
              <w:t>(</w:t>
            </w:r>
            <w:r w:rsidR="007518A2" w:rsidRPr="005C333D">
              <w:rPr>
                <w:rFonts w:ascii="Arial Narrow" w:hAnsi="Arial Narrow"/>
                <w:b/>
                <w:sz w:val="20"/>
                <w:szCs w:val="22"/>
              </w:rPr>
              <w:t>0.02</w:t>
            </w:r>
            <w:r w:rsidR="005317F3" w:rsidRPr="005C333D">
              <w:rPr>
                <w:rFonts w:ascii="Arial Narrow" w:hAnsi="Arial Narrow"/>
                <w:b/>
                <w:sz w:val="20"/>
                <w:szCs w:val="22"/>
              </w:rPr>
              <w:t xml:space="preserve">, </w:t>
            </w:r>
            <w:r w:rsidR="006D3110" w:rsidRPr="005C333D">
              <w:rPr>
                <w:rFonts w:ascii="Arial Narrow" w:hAnsi="Arial Narrow"/>
                <w:b/>
                <w:sz w:val="20"/>
                <w:szCs w:val="22"/>
              </w:rPr>
              <w:t>0.1</w:t>
            </w:r>
            <w:r w:rsidR="00E136F3" w:rsidRPr="005C333D">
              <w:rPr>
                <w:rFonts w:ascii="Arial Narrow" w:hAnsi="Arial Narrow"/>
                <w:b/>
                <w:sz w:val="20"/>
                <w:szCs w:val="22"/>
              </w:rPr>
              <w:t>)</w:t>
            </w:r>
          </w:p>
        </w:tc>
      </w:tr>
    </w:tbl>
    <w:p w:rsidR="005D091F" w:rsidRPr="005C333D" w:rsidRDefault="00141938" w:rsidP="005D091F">
      <w:pPr>
        <w:pStyle w:val="Tabletext"/>
        <w:rPr>
          <w:sz w:val="18"/>
          <w:szCs w:val="18"/>
        </w:rPr>
      </w:pPr>
      <w:r w:rsidRPr="005C333D">
        <w:rPr>
          <w:sz w:val="18"/>
          <w:szCs w:val="18"/>
        </w:rPr>
        <w:t>CFS= corneal fluorescent staining; CI = confidence interval; DED = dry eye disease; FAS=</w:t>
      </w:r>
      <w:r w:rsidRPr="005C333D">
        <w:t xml:space="preserve"> </w:t>
      </w:r>
      <w:r w:rsidRPr="005C333D">
        <w:rPr>
          <w:sz w:val="18"/>
          <w:szCs w:val="18"/>
        </w:rPr>
        <w:t xml:space="preserve">full-analysis set; NR = not reported ;OSDI= ocular disease surface index; </w:t>
      </w:r>
      <w:r w:rsidR="005D091F" w:rsidRPr="005C333D">
        <w:rPr>
          <w:sz w:val="18"/>
          <w:szCs w:val="18"/>
        </w:rPr>
        <w:t>RD</w:t>
      </w:r>
      <w:r w:rsidRPr="005C333D">
        <w:rPr>
          <w:sz w:val="18"/>
          <w:szCs w:val="18"/>
        </w:rPr>
        <w:t xml:space="preserve"> </w:t>
      </w:r>
      <w:r w:rsidR="005D091F" w:rsidRPr="005C333D">
        <w:rPr>
          <w:sz w:val="18"/>
          <w:szCs w:val="18"/>
        </w:rPr>
        <w:t>= risk difference; RR</w:t>
      </w:r>
      <w:r w:rsidRPr="005C333D">
        <w:rPr>
          <w:sz w:val="18"/>
          <w:szCs w:val="18"/>
        </w:rPr>
        <w:t xml:space="preserve"> </w:t>
      </w:r>
      <w:r w:rsidR="003F0E57">
        <w:rPr>
          <w:sz w:val="18"/>
          <w:szCs w:val="18"/>
        </w:rPr>
        <w:t>= risk ratio.</w:t>
      </w:r>
    </w:p>
    <w:p w:rsidR="005D091F" w:rsidRPr="005C333D" w:rsidRDefault="005D091F" w:rsidP="005D091F">
      <w:pPr>
        <w:pStyle w:val="Tabletext"/>
        <w:rPr>
          <w:sz w:val="18"/>
          <w:szCs w:val="22"/>
        </w:rPr>
      </w:pPr>
      <w:r w:rsidRPr="005C333D">
        <w:rPr>
          <w:b/>
          <w:bCs/>
          <w:sz w:val="18"/>
          <w:szCs w:val="22"/>
        </w:rPr>
        <w:t>Bold</w:t>
      </w:r>
      <w:r w:rsidRPr="005C333D">
        <w:rPr>
          <w:sz w:val="18"/>
          <w:szCs w:val="22"/>
        </w:rPr>
        <w:t xml:space="preserve"> indicates statistical significance</w:t>
      </w:r>
    </w:p>
    <w:p w:rsidR="00492402" w:rsidRPr="005C333D" w:rsidRDefault="00492402" w:rsidP="00492402">
      <w:pPr>
        <w:pStyle w:val="Tabletext"/>
        <w:rPr>
          <w:sz w:val="18"/>
          <w:szCs w:val="22"/>
        </w:rPr>
      </w:pPr>
      <w:r w:rsidRPr="00FD5945">
        <w:rPr>
          <w:sz w:val="18"/>
          <w:szCs w:val="22"/>
          <w:vertAlign w:val="superscript"/>
        </w:rPr>
        <w:t>a</w:t>
      </w:r>
      <w:r w:rsidRPr="005C333D">
        <w:rPr>
          <w:sz w:val="18"/>
          <w:szCs w:val="22"/>
        </w:rPr>
        <w:t xml:space="preserve"> Not full analytic set. Post-hoc analysis.</w:t>
      </w:r>
    </w:p>
    <w:p w:rsidR="00DD4DDD" w:rsidRPr="005C333D" w:rsidRDefault="00371552" w:rsidP="00DD4DDD">
      <w:pPr>
        <w:pStyle w:val="Tabletext"/>
        <w:rPr>
          <w:sz w:val="18"/>
          <w:szCs w:val="22"/>
        </w:rPr>
      </w:pPr>
      <w:r w:rsidRPr="005C333D">
        <w:rPr>
          <w:sz w:val="18"/>
          <w:szCs w:val="22"/>
        </w:rPr>
        <w:t>Source</w:t>
      </w:r>
      <w:r w:rsidR="00DD4DDD" w:rsidRPr="005C333D">
        <w:rPr>
          <w:sz w:val="18"/>
          <w:szCs w:val="22"/>
        </w:rPr>
        <w:t xml:space="preserve">: Compiled </w:t>
      </w:r>
      <w:r w:rsidR="00DD4DDD" w:rsidRPr="005C333D">
        <w:rPr>
          <w:iCs/>
          <w:sz w:val="18"/>
          <w:szCs w:val="22"/>
        </w:rPr>
        <w:t xml:space="preserve">and </w:t>
      </w:r>
      <w:bookmarkStart w:id="25" w:name="_Hlk58323512"/>
      <w:r w:rsidR="00DD4DDD" w:rsidRPr="005C333D">
        <w:rPr>
          <w:iCs/>
          <w:sz w:val="18"/>
          <w:szCs w:val="22"/>
        </w:rPr>
        <w:t>calculated during the evaluation</w:t>
      </w:r>
      <w:r w:rsidR="00DD4DDD" w:rsidRPr="005C333D">
        <w:rPr>
          <w:sz w:val="18"/>
          <w:szCs w:val="22"/>
        </w:rPr>
        <w:t xml:space="preserve"> based </w:t>
      </w:r>
      <w:bookmarkEnd w:id="25"/>
      <w:r w:rsidRPr="005C333D">
        <w:rPr>
          <w:sz w:val="18"/>
          <w:szCs w:val="22"/>
        </w:rPr>
        <w:t>on Table</w:t>
      </w:r>
      <w:r w:rsidR="00471B8E" w:rsidRPr="005C333D">
        <w:rPr>
          <w:sz w:val="18"/>
          <w:szCs w:val="22"/>
        </w:rPr>
        <w:t xml:space="preserve"> 2.5.1, p68 of submission, </w:t>
      </w:r>
      <w:r w:rsidR="00DD4DDD" w:rsidRPr="005C333D">
        <w:rPr>
          <w:sz w:val="18"/>
          <w:szCs w:val="22"/>
        </w:rPr>
        <w:t xml:space="preserve">Table 2.5.4, p73 of </w:t>
      </w:r>
      <w:r w:rsidR="007014EF" w:rsidRPr="005C333D">
        <w:rPr>
          <w:sz w:val="18"/>
          <w:szCs w:val="22"/>
        </w:rPr>
        <w:t xml:space="preserve">the </w:t>
      </w:r>
      <w:r w:rsidR="00DD4DDD" w:rsidRPr="005C333D">
        <w:rPr>
          <w:sz w:val="18"/>
          <w:szCs w:val="22"/>
        </w:rPr>
        <w:t>submission</w:t>
      </w:r>
      <w:r w:rsidR="0026711D" w:rsidRPr="005C333D">
        <w:rPr>
          <w:sz w:val="18"/>
          <w:szCs w:val="22"/>
        </w:rPr>
        <w:t xml:space="preserve">, Table 2.5.10, </w:t>
      </w:r>
      <w:r w:rsidR="00987B95" w:rsidRPr="005C333D">
        <w:rPr>
          <w:sz w:val="18"/>
          <w:szCs w:val="22"/>
        </w:rPr>
        <w:t>p81 of submission,</w:t>
      </w:r>
      <w:r w:rsidR="00DD4DDD" w:rsidRPr="005C333D">
        <w:rPr>
          <w:sz w:val="18"/>
          <w:szCs w:val="22"/>
        </w:rPr>
        <w:t xml:space="preserve"> Table 2.6.2, p86 of </w:t>
      </w:r>
      <w:r w:rsidR="007014EF" w:rsidRPr="005C333D">
        <w:rPr>
          <w:sz w:val="18"/>
          <w:szCs w:val="22"/>
        </w:rPr>
        <w:t xml:space="preserve">the </w:t>
      </w:r>
      <w:r w:rsidR="00DD4DDD" w:rsidRPr="005C333D">
        <w:rPr>
          <w:sz w:val="18"/>
          <w:szCs w:val="22"/>
        </w:rPr>
        <w:t>submission</w:t>
      </w:r>
      <w:r w:rsidR="00897F6E" w:rsidRPr="005C333D">
        <w:rPr>
          <w:sz w:val="18"/>
          <w:szCs w:val="22"/>
        </w:rPr>
        <w:t xml:space="preserve"> and Table 16</w:t>
      </w:r>
      <w:r w:rsidR="00C302B9" w:rsidRPr="005C333D">
        <w:rPr>
          <w:sz w:val="18"/>
          <w:szCs w:val="22"/>
        </w:rPr>
        <w:t xml:space="preserve">, </w:t>
      </w:r>
      <w:r w:rsidR="00897F6E" w:rsidRPr="005C333D">
        <w:rPr>
          <w:sz w:val="18"/>
          <w:szCs w:val="22"/>
        </w:rPr>
        <w:t>p96 of the SANSIKA CSR</w:t>
      </w:r>
      <w:r w:rsidR="00DD4DDD" w:rsidRPr="005C333D">
        <w:rPr>
          <w:sz w:val="18"/>
          <w:szCs w:val="22"/>
        </w:rPr>
        <w:t xml:space="preserve">. </w:t>
      </w:r>
    </w:p>
    <w:p w:rsidR="00DD4DDD" w:rsidRPr="005C333D" w:rsidRDefault="00DD4DDD" w:rsidP="005D091F">
      <w:pPr>
        <w:pStyle w:val="Tabletext"/>
        <w:rPr>
          <w:sz w:val="18"/>
          <w:szCs w:val="22"/>
        </w:rPr>
      </w:pPr>
    </w:p>
    <w:p w:rsidR="00A7180E" w:rsidRPr="005C333D" w:rsidRDefault="00A7180E" w:rsidP="00B73532">
      <w:pPr>
        <w:pStyle w:val="3-BodyText"/>
      </w:pPr>
      <w:r w:rsidRPr="005C333D">
        <w:t>On the basis of the meta-analysis evidence presented by the submission in the full analysis set, the comparison of ciclosporin and vehicle resulted in:</w:t>
      </w:r>
    </w:p>
    <w:p w:rsidR="00A7180E" w:rsidRPr="005C333D" w:rsidRDefault="00A7180E" w:rsidP="00DA5D07">
      <w:pPr>
        <w:pStyle w:val="ListParagraph"/>
        <w:numPr>
          <w:ilvl w:val="0"/>
          <w:numId w:val="7"/>
        </w:numPr>
        <w:ind w:left="1077" w:hanging="357"/>
      </w:pPr>
      <w:r w:rsidRPr="005C333D">
        <w:t>Approximately a 0.</w:t>
      </w:r>
      <w:r w:rsidR="004E1A27" w:rsidRPr="005C333D">
        <w:t>25</w:t>
      </w:r>
      <w:r w:rsidRPr="005C333D">
        <w:t xml:space="preserve"> improvement in </w:t>
      </w:r>
      <w:r w:rsidR="00F36D13" w:rsidRPr="005C333D">
        <w:t xml:space="preserve">corneal fluorescein staining </w:t>
      </w:r>
      <w:r w:rsidR="00EC5C4A" w:rsidRPr="005C333D">
        <w:t xml:space="preserve">(CFS) </w:t>
      </w:r>
      <w:r w:rsidR="00F36D13" w:rsidRPr="005C333D">
        <w:t>score, which measures ocular signs of keratitis, ove</w:t>
      </w:r>
      <w:r w:rsidRPr="005C333D">
        <w:t xml:space="preserve">r a maximum duration of </w:t>
      </w:r>
      <w:r w:rsidR="003F30BC" w:rsidRPr="005C333D">
        <w:t>follow-up</w:t>
      </w:r>
      <w:r w:rsidRPr="005C333D">
        <w:t xml:space="preserve"> of 6 months</w:t>
      </w:r>
      <w:r w:rsidR="001911DD" w:rsidRPr="005C333D">
        <w:t>.</w:t>
      </w:r>
    </w:p>
    <w:p w:rsidR="00FC135C" w:rsidRPr="005C333D" w:rsidRDefault="00F84B97" w:rsidP="00B73532">
      <w:pPr>
        <w:pStyle w:val="3-BodyText"/>
      </w:pPr>
      <w:r w:rsidRPr="005C333D">
        <w:t xml:space="preserve">On the basis of the </w:t>
      </w:r>
      <w:r w:rsidR="00100B07" w:rsidRPr="005C333D">
        <w:t xml:space="preserve">direct trial </w:t>
      </w:r>
      <w:r w:rsidRPr="005C333D">
        <w:t>evidence</w:t>
      </w:r>
      <w:r w:rsidR="00100B07" w:rsidRPr="005C333D">
        <w:t xml:space="preserve"> (SANSIKA</w:t>
      </w:r>
      <w:r w:rsidR="00D979F5" w:rsidRPr="005C333D">
        <w:t>)</w:t>
      </w:r>
      <w:r w:rsidRPr="005C333D">
        <w:t xml:space="preserve"> </w:t>
      </w:r>
      <w:bookmarkStart w:id="26" w:name="_Hlk61352018"/>
      <w:r w:rsidRPr="005C333D">
        <w:t>presented by the submission</w:t>
      </w:r>
      <w:r w:rsidR="00D979F5" w:rsidRPr="005C333D">
        <w:t xml:space="preserve">, for every 100 patients treated with ciclosporin in </w:t>
      </w:r>
      <w:r w:rsidR="009962C9" w:rsidRPr="005C333D">
        <w:t>comparison</w:t>
      </w:r>
      <w:r w:rsidR="00D979F5" w:rsidRPr="005C333D">
        <w:t xml:space="preserve"> to </w:t>
      </w:r>
      <w:r w:rsidR="00A7180E" w:rsidRPr="005C333D">
        <w:t xml:space="preserve">vehicle </w:t>
      </w:r>
      <w:r w:rsidR="00FC135C" w:rsidRPr="005C333D">
        <w:t xml:space="preserve">over a maximum duration of </w:t>
      </w:r>
      <w:r w:rsidR="003F30BC" w:rsidRPr="005C333D">
        <w:t xml:space="preserve">follow-up </w:t>
      </w:r>
      <w:r w:rsidR="00FC135C" w:rsidRPr="005C333D">
        <w:t>of 6 months:</w:t>
      </w:r>
    </w:p>
    <w:p w:rsidR="00FC135C" w:rsidRPr="005C333D" w:rsidRDefault="00546055" w:rsidP="00DA5D07">
      <w:pPr>
        <w:pStyle w:val="3-BodyText"/>
        <w:numPr>
          <w:ilvl w:val="0"/>
          <w:numId w:val="5"/>
        </w:numPr>
        <w:ind w:left="1077" w:hanging="357"/>
      </w:pPr>
      <w:r w:rsidRPr="005C333D">
        <w:t>N</w:t>
      </w:r>
      <w:r w:rsidR="002900A7" w:rsidRPr="005C333D">
        <w:t xml:space="preserve">o </w:t>
      </w:r>
      <w:r w:rsidR="00FC135C" w:rsidRPr="005C333D">
        <w:t xml:space="preserve">additional </w:t>
      </w:r>
      <w:r w:rsidR="00D81912" w:rsidRPr="005C333D">
        <w:t>patients would show clinical improvement</w:t>
      </w:r>
      <w:r w:rsidR="002900A7" w:rsidRPr="005C333D">
        <w:t xml:space="preserve"> in terms of </w:t>
      </w:r>
      <w:r w:rsidR="00A917C4" w:rsidRPr="005C333D">
        <w:t xml:space="preserve">(i) corneal fluorescein staining (CFS) score, which measures ocular signs of keratitis, of greater than or equal to </w:t>
      </w:r>
      <w:r w:rsidR="00056CF1" w:rsidRPr="005C333D">
        <w:rPr>
          <w:bCs/>
        </w:rPr>
        <w:t xml:space="preserve">2 grades and </w:t>
      </w:r>
      <w:r w:rsidR="00A917C4" w:rsidRPr="005C333D">
        <w:rPr>
          <w:bCs/>
        </w:rPr>
        <w:t>(ii) ocular surface disease index (</w:t>
      </w:r>
      <w:r w:rsidR="00AB2770" w:rsidRPr="005C333D">
        <w:rPr>
          <w:bCs/>
        </w:rPr>
        <w:t>OSDI</w:t>
      </w:r>
      <w:r w:rsidR="00A917C4" w:rsidRPr="005C333D">
        <w:rPr>
          <w:bCs/>
        </w:rPr>
        <w:t>), which measures the ocular symptoms of keratitis,</w:t>
      </w:r>
      <w:r w:rsidR="00AB2770" w:rsidRPr="005C333D">
        <w:rPr>
          <w:bCs/>
        </w:rPr>
        <w:t xml:space="preserve"> by </w:t>
      </w:r>
      <w:r w:rsidR="00056CF1" w:rsidRPr="005C333D">
        <w:rPr>
          <w:bCs/>
        </w:rPr>
        <w:t>30</w:t>
      </w:r>
      <w:bookmarkEnd w:id="26"/>
      <w:r w:rsidR="00056CF1" w:rsidRPr="005C333D">
        <w:rPr>
          <w:bCs/>
        </w:rPr>
        <w:t>%</w:t>
      </w:r>
      <w:r w:rsidR="004F41E6" w:rsidRPr="005C333D">
        <w:rPr>
          <w:bCs/>
        </w:rPr>
        <w:t>.</w:t>
      </w:r>
    </w:p>
    <w:p w:rsidR="002900A7" w:rsidRPr="005C333D" w:rsidRDefault="002900A7" w:rsidP="00DA5D07">
      <w:pPr>
        <w:pStyle w:val="3-BodyText"/>
        <w:numPr>
          <w:ilvl w:val="0"/>
          <w:numId w:val="5"/>
        </w:numPr>
        <w:ind w:left="1077" w:hanging="357"/>
      </w:pPr>
      <w:r w:rsidRPr="005C333D">
        <w:t xml:space="preserve">Approximately 11 additional patients would show clinical improvement in terms of </w:t>
      </w:r>
      <w:r w:rsidR="00A917C4" w:rsidRPr="005C333D">
        <w:t xml:space="preserve">(i) </w:t>
      </w:r>
      <w:r w:rsidR="00BF4756" w:rsidRPr="005C333D">
        <w:t>CFS</w:t>
      </w:r>
      <w:r w:rsidR="00A917C4" w:rsidRPr="005C333D">
        <w:t xml:space="preserve"> scores, which measures ocular signs of keratitis, of greater than or equal to </w:t>
      </w:r>
      <w:r w:rsidR="00753AE2" w:rsidRPr="005C333D">
        <w:t xml:space="preserve">3 grades and </w:t>
      </w:r>
      <w:r w:rsidR="00A917C4" w:rsidRPr="005C333D">
        <w:t xml:space="preserve">(ii) </w:t>
      </w:r>
      <w:r w:rsidR="00B91FAA" w:rsidRPr="005C333D">
        <w:t>OSDI</w:t>
      </w:r>
      <w:r w:rsidR="00A917C4" w:rsidRPr="005C333D">
        <w:t xml:space="preserve">, which measures the ocular symptoms of keratitis, </w:t>
      </w:r>
      <w:r w:rsidR="00FF74FD" w:rsidRPr="005C333D">
        <w:t xml:space="preserve">by </w:t>
      </w:r>
      <w:r w:rsidR="00753AE2" w:rsidRPr="005C333D">
        <w:t>30%</w:t>
      </w:r>
      <w:r w:rsidR="00B77B18" w:rsidRPr="005C333D">
        <w:t>.</w:t>
      </w:r>
    </w:p>
    <w:p w:rsidR="004E1A27" w:rsidRPr="005C333D" w:rsidRDefault="004E1A27" w:rsidP="00DA5D07">
      <w:pPr>
        <w:pStyle w:val="3-BodyText"/>
        <w:numPr>
          <w:ilvl w:val="0"/>
          <w:numId w:val="5"/>
        </w:numPr>
        <w:ind w:left="1077" w:hanging="357"/>
      </w:pPr>
      <w:r w:rsidRPr="005C333D">
        <w:t>Approximately 21 additional patients would experience instillation-site pain.</w:t>
      </w:r>
    </w:p>
    <w:p w:rsidR="004E1A27" w:rsidRPr="005C333D" w:rsidRDefault="004E1A27" w:rsidP="00DA5D07">
      <w:pPr>
        <w:pStyle w:val="3-BodyText"/>
        <w:numPr>
          <w:ilvl w:val="0"/>
          <w:numId w:val="5"/>
        </w:numPr>
        <w:ind w:left="1077" w:hanging="357"/>
      </w:pPr>
      <w:r w:rsidRPr="005C333D">
        <w:t>No additional patients would experience instillation-site irritation.</w:t>
      </w:r>
    </w:p>
    <w:p w:rsidR="004E1A27" w:rsidRPr="005C333D" w:rsidRDefault="004E1A27" w:rsidP="00B73532">
      <w:pPr>
        <w:pStyle w:val="3-BodyText"/>
      </w:pPr>
      <w:r w:rsidRPr="005C333D">
        <w:t>On the basis of the direct trial evidence (SICCANOVE) presented by the submission, for every 100 patients treated with ciclosporin in comparison to vehicle over a maximum duration of follow-up of 6 months:</w:t>
      </w:r>
    </w:p>
    <w:p w:rsidR="004E1A27" w:rsidRPr="005C333D" w:rsidRDefault="004E1A27" w:rsidP="00DA5D07">
      <w:pPr>
        <w:pStyle w:val="3-BodyText"/>
        <w:numPr>
          <w:ilvl w:val="0"/>
          <w:numId w:val="5"/>
        </w:numPr>
        <w:ind w:left="1077" w:hanging="357"/>
      </w:pPr>
      <w:r w:rsidRPr="005C333D">
        <w:t>No additional patients would experience instillation-site pain.</w:t>
      </w:r>
    </w:p>
    <w:p w:rsidR="004E1A27" w:rsidRPr="005C333D" w:rsidRDefault="004E1A27" w:rsidP="00DA5D07">
      <w:pPr>
        <w:pStyle w:val="3-BodyText"/>
        <w:numPr>
          <w:ilvl w:val="0"/>
          <w:numId w:val="5"/>
        </w:numPr>
        <w:ind w:left="1077" w:hanging="357"/>
      </w:pPr>
      <w:r w:rsidRPr="005C333D">
        <w:t>Approximately 6 additional patients would experience instillation-site irritation.</w:t>
      </w:r>
    </w:p>
    <w:p w:rsidR="001605C9" w:rsidRPr="005C333D" w:rsidRDefault="001605C9" w:rsidP="00B73532">
      <w:pPr>
        <w:pStyle w:val="3-BodyText"/>
      </w:pPr>
      <w:r w:rsidRPr="005C333D">
        <w:t xml:space="preserve">On the basis of the meta-analysis evidence in the </w:t>
      </w:r>
      <w:r w:rsidR="00E86014" w:rsidRPr="005C333D">
        <w:t xml:space="preserve">proposed </w:t>
      </w:r>
      <w:r w:rsidRPr="005C333D">
        <w:t xml:space="preserve">PBS eligible population </w:t>
      </w:r>
      <w:r w:rsidR="008B3928" w:rsidRPr="005C333D">
        <w:t xml:space="preserve">(Leonardi 2019) </w:t>
      </w:r>
      <w:r w:rsidRPr="005C333D">
        <w:t>presented by the submission</w:t>
      </w:r>
      <w:r w:rsidR="00446084" w:rsidRPr="005C333D">
        <w:t>,</w:t>
      </w:r>
      <w:r w:rsidRPr="005C333D">
        <w:t xml:space="preserve"> for every 100 patients treated with ciclosporin in comparison to </w:t>
      </w:r>
      <w:r w:rsidR="00A7180E" w:rsidRPr="005C333D">
        <w:t xml:space="preserve">vehicle </w:t>
      </w:r>
      <w:r w:rsidRPr="005C333D">
        <w:t>over a maximum dur</w:t>
      </w:r>
      <w:r w:rsidR="0034112F" w:rsidRPr="005C333D">
        <w:t>ation</w:t>
      </w:r>
      <w:r w:rsidRPr="005C333D">
        <w:t xml:space="preserve"> of </w:t>
      </w:r>
      <w:r w:rsidR="003F30BC" w:rsidRPr="005C333D">
        <w:t xml:space="preserve">follow-up </w:t>
      </w:r>
      <w:r w:rsidR="0034112F" w:rsidRPr="005C333D">
        <w:t xml:space="preserve">of </w:t>
      </w:r>
      <w:r w:rsidRPr="005C333D">
        <w:t>6 months:</w:t>
      </w:r>
    </w:p>
    <w:p w:rsidR="00756CC5" w:rsidRPr="005C333D" w:rsidRDefault="001F76B0" w:rsidP="00DA5D07">
      <w:pPr>
        <w:pStyle w:val="3-BodyText"/>
        <w:numPr>
          <w:ilvl w:val="0"/>
          <w:numId w:val="5"/>
        </w:numPr>
        <w:ind w:left="1077" w:hanging="357"/>
      </w:pPr>
      <w:r w:rsidRPr="005C333D">
        <w:t>Approximately 11 additional patients would show clinical improvement in terms of</w:t>
      </w:r>
      <w:r w:rsidR="00EC5C4A" w:rsidRPr="005C333D">
        <w:t xml:space="preserve"> (i)</w:t>
      </w:r>
      <w:r w:rsidRPr="005C333D">
        <w:t xml:space="preserve"> </w:t>
      </w:r>
      <w:r w:rsidR="00EC5C4A" w:rsidRPr="005C333D">
        <w:t>corneal fluorescein staining (</w:t>
      </w:r>
      <w:r w:rsidRPr="005C333D">
        <w:t>CFS</w:t>
      </w:r>
      <w:r w:rsidR="00EC5C4A" w:rsidRPr="005C333D">
        <w:t xml:space="preserve">) score, which measures ocular signs of keratitis of greater than or equal to </w:t>
      </w:r>
      <w:r w:rsidRPr="005C333D">
        <w:t xml:space="preserve">2 grades and </w:t>
      </w:r>
      <w:r w:rsidR="00EC5C4A" w:rsidRPr="005C333D">
        <w:t>(ii) ocular surface disease index (</w:t>
      </w:r>
      <w:r w:rsidRPr="005C333D">
        <w:t>OSDI</w:t>
      </w:r>
      <w:r w:rsidR="00EC5C4A" w:rsidRPr="005C333D">
        <w:t>), which measures ocular signs of keratitis,</w:t>
      </w:r>
      <w:r w:rsidRPr="005C333D">
        <w:t xml:space="preserve"> by 30%</w:t>
      </w:r>
      <w:r w:rsidR="00FC2521" w:rsidRPr="005C333D">
        <w:t>, as measured by the composite outcome</w:t>
      </w:r>
      <w:r w:rsidRPr="005C333D">
        <w:t>.</w:t>
      </w:r>
    </w:p>
    <w:p w:rsidR="007C70FF" w:rsidRPr="005C333D" w:rsidRDefault="00B60939" w:rsidP="000C1EF2">
      <w:pPr>
        <w:pStyle w:val="4-SubsectionHeading"/>
      </w:pPr>
      <w:bookmarkStart w:id="27" w:name="_Toc22897644"/>
      <w:bookmarkStart w:id="28" w:name="_Toc62030468"/>
      <w:r w:rsidRPr="005C333D">
        <w:t>Clinical claim</w:t>
      </w:r>
      <w:bookmarkEnd w:id="27"/>
      <w:bookmarkEnd w:id="28"/>
    </w:p>
    <w:p w:rsidR="002900A7" w:rsidRPr="005C333D" w:rsidRDefault="00FC7EB5" w:rsidP="00B73532">
      <w:pPr>
        <w:pStyle w:val="3-BodyText"/>
        <w:rPr>
          <w:rFonts w:eastAsia="Calibri"/>
          <w:i/>
        </w:rPr>
      </w:pPr>
      <w:r w:rsidRPr="005C333D">
        <w:rPr>
          <w:rFonts w:eastAsia="Calibri"/>
        </w:rPr>
        <w:t>The submission described ciclosporin as superior in terms of effectiveness compared with BSC.</w:t>
      </w:r>
      <w:r w:rsidR="00BF2C5E" w:rsidRPr="005C333D">
        <w:rPr>
          <w:rFonts w:eastAsia="Calibri"/>
        </w:rPr>
        <w:t xml:space="preserve"> </w:t>
      </w:r>
    </w:p>
    <w:p w:rsidR="00FC2521" w:rsidRPr="005C333D" w:rsidRDefault="00FC7EB5" w:rsidP="00456EE3">
      <w:pPr>
        <w:pStyle w:val="3-BodyText"/>
        <w:rPr>
          <w:rFonts w:eastAsia="Calibri"/>
        </w:rPr>
      </w:pPr>
      <w:r w:rsidRPr="005C333D">
        <w:rPr>
          <w:rFonts w:eastAsia="Calibri"/>
        </w:rPr>
        <w:t xml:space="preserve">The therapeutic conclusion </w:t>
      </w:r>
      <w:r w:rsidR="007103E8" w:rsidRPr="005C333D">
        <w:rPr>
          <w:rFonts w:eastAsia="Calibri"/>
        </w:rPr>
        <w:t xml:space="preserve">of the effectiveness </w:t>
      </w:r>
      <w:r w:rsidR="00127876" w:rsidRPr="005C333D">
        <w:rPr>
          <w:rFonts w:eastAsia="Calibri"/>
        </w:rPr>
        <w:t xml:space="preserve">based on ocular signs (as measured by CFS score) </w:t>
      </w:r>
      <w:r w:rsidRPr="005C333D">
        <w:rPr>
          <w:rFonts w:eastAsia="Calibri"/>
        </w:rPr>
        <w:t xml:space="preserve">presented in the submission is supported by the </w:t>
      </w:r>
      <w:r w:rsidR="001123B3" w:rsidRPr="005C333D">
        <w:rPr>
          <w:rFonts w:eastAsia="Calibri"/>
        </w:rPr>
        <w:t xml:space="preserve">clinical trial </w:t>
      </w:r>
      <w:r w:rsidRPr="005C333D">
        <w:rPr>
          <w:rFonts w:eastAsia="Calibri"/>
        </w:rPr>
        <w:t>evidence</w:t>
      </w:r>
      <w:r w:rsidR="00974E38" w:rsidRPr="005C333D">
        <w:rPr>
          <w:rFonts w:eastAsia="Calibri"/>
        </w:rPr>
        <w:t>; however, a</w:t>
      </w:r>
      <w:r w:rsidR="00FC2521" w:rsidRPr="005C333D">
        <w:rPr>
          <w:rFonts w:eastAsia="Calibri"/>
        </w:rPr>
        <w:t xml:space="preserve"> benefit in ODSI was not supported when considered on its own (versus as part of the composite outcome). </w:t>
      </w:r>
    </w:p>
    <w:p w:rsidR="00F85551" w:rsidRPr="005C333D" w:rsidRDefault="00FC2521" w:rsidP="00B73532">
      <w:pPr>
        <w:pStyle w:val="3-BodyText"/>
        <w:rPr>
          <w:rFonts w:eastAsia="Calibri"/>
          <w:iCs/>
        </w:rPr>
      </w:pPr>
      <w:r w:rsidRPr="005C333D">
        <w:rPr>
          <w:rFonts w:eastAsia="Calibri"/>
        </w:rPr>
        <w:t xml:space="preserve">The </w:t>
      </w:r>
      <w:r w:rsidR="001123B3" w:rsidRPr="005C333D">
        <w:rPr>
          <w:rFonts w:eastAsia="Calibri"/>
        </w:rPr>
        <w:t xml:space="preserve">ESC noted that the </w:t>
      </w:r>
      <w:r w:rsidRPr="005C333D">
        <w:rPr>
          <w:rFonts w:eastAsia="Calibri"/>
        </w:rPr>
        <w:t>evidence presented in the submission support</w:t>
      </w:r>
      <w:r w:rsidR="001123B3" w:rsidRPr="005C333D">
        <w:rPr>
          <w:rFonts w:eastAsia="Calibri"/>
        </w:rPr>
        <w:t>ed</w:t>
      </w:r>
      <w:r w:rsidRPr="005C333D">
        <w:rPr>
          <w:rFonts w:eastAsia="Calibri"/>
        </w:rPr>
        <w:t xml:space="preserve"> the claim of superior effectiveness in terms of the composite outcome of </w:t>
      </w:r>
      <w:r w:rsidR="00BC59B2" w:rsidRPr="005C333D">
        <w:rPr>
          <w:rFonts w:eastAsia="Calibri"/>
        </w:rPr>
        <w:t>CFS-OSDI response</w:t>
      </w:r>
      <w:r w:rsidR="001123B3" w:rsidRPr="005C333D">
        <w:rPr>
          <w:rFonts w:eastAsia="Calibri"/>
        </w:rPr>
        <w:t>;</w:t>
      </w:r>
      <w:r w:rsidRPr="005C333D">
        <w:rPr>
          <w:rFonts w:eastAsia="Calibri"/>
        </w:rPr>
        <w:t xml:space="preserve"> however</w:t>
      </w:r>
      <w:r w:rsidR="001123B3" w:rsidRPr="005C333D">
        <w:rPr>
          <w:rFonts w:eastAsia="Calibri"/>
        </w:rPr>
        <w:t>,</w:t>
      </w:r>
      <w:r w:rsidRPr="005C333D">
        <w:rPr>
          <w:rFonts w:eastAsia="Calibri"/>
        </w:rPr>
        <w:t xml:space="preserve"> given the uncertainty around the impact on ODSI when considered separately from CFS, </w:t>
      </w:r>
      <w:r w:rsidR="00AF2129" w:rsidRPr="005C333D">
        <w:rPr>
          <w:rFonts w:eastAsia="Calibri"/>
        </w:rPr>
        <w:t xml:space="preserve">and the evidence that suggested that the symptomatic benefit of the product may be due to the cationic lipid based emulsion vehicle, </w:t>
      </w:r>
      <w:r w:rsidRPr="005C333D">
        <w:rPr>
          <w:rFonts w:eastAsia="Calibri"/>
        </w:rPr>
        <w:t>it remain</w:t>
      </w:r>
      <w:r w:rsidR="001123B3" w:rsidRPr="005C333D">
        <w:rPr>
          <w:rFonts w:eastAsia="Calibri"/>
        </w:rPr>
        <w:t>ed</w:t>
      </w:r>
      <w:r w:rsidRPr="005C333D">
        <w:rPr>
          <w:rFonts w:eastAsia="Calibri"/>
        </w:rPr>
        <w:t xml:space="preserve"> unclear whether these results</w:t>
      </w:r>
      <w:r w:rsidR="00BC59B2" w:rsidRPr="005C333D">
        <w:rPr>
          <w:rFonts w:eastAsia="Calibri"/>
        </w:rPr>
        <w:t xml:space="preserve"> </w:t>
      </w:r>
      <w:r w:rsidR="00B17A57" w:rsidRPr="005C333D">
        <w:rPr>
          <w:rFonts w:eastAsia="Calibri"/>
        </w:rPr>
        <w:t>are</w:t>
      </w:r>
      <w:r w:rsidR="00BC59B2" w:rsidRPr="005C333D">
        <w:rPr>
          <w:rFonts w:eastAsia="Calibri"/>
        </w:rPr>
        <w:t xml:space="preserve"> clinic</w:t>
      </w:r>
      <w:r w:rsidR="00F85551" w:rsidRPr="005C333D">
        <w:rPr>
          <w:rFonts w:eastAsia="Calibri"/>
        </w:rPr>
        <w:t xml:space="preserve">ally </w:t>
      </w:r>
      <w:r w:rsidR="00974E38" w:rsidRPr="005C333D">
        <w:rPr>
          <w:rFonts w:eastAsia="Calibri"/>
        </w:rPr>
        <w:t>relevant</w:t>
      </w:r>
      <w:r w:rsidR="00F85551" w:rsidRPr="005C333D">
        <w:rPr>
          <w:rFonts w:eastAsia="Calibri"/>
        </w:rPr>
        <w:t>.</w:t>
      </w:r>
    </w:p>
    <w:p w:rsidR="006C0377" w:rsidRPr="005C333D" w:rsidRDefault="00FC2521" w:rsidP="00B73532">
      <w:pPr>
        <w:pStyle w:val="3-BodyText"/>
        <w:rPr>
          <w:rFonts w:eastAsia="Calibri"/>
          <w:iCs/>
        </w:rPr>
      </w:pPr>
      <w:r w:rsidRPr="005C333D">
        <w:rPr>
          <w:rFonts w:eastAsia="Calibri"/>
        </w:rPr>
        <w:t>Notwithstanding the uncertainty around the appropriateness of the composite outcome, t</w:t>
      </w:r>
      <w:r w:rsidR="007103E8" w:rsidRPr="005C333D">
        <w:rPr>
          <w:rFonts w:eastAsia="Calibri"/>
          <w:iCs/>
        </w:rPr>
        <w:t xml:space="preserve">he </w:t>
      </w:r>
      <w:r w:rsidR="00EB32F2" w:rsidRPr="005C333D">
        <w:rPr>
          <w:rFonts w:eastAsia="Calibri"/>
          <w:iCs/>
        </w:rPr>
        <w:t>ESC considered tha</w:t>
      </w:r>
      <w:r w:rsidR="00EB32F2" w:rsidRPr="005C333D">
        <w:rPr>
          <w:rFonts w:eastAsia="Calibri"/>
          <w:i/>
          <w:iCs/>
        </w:rPr>
        <w:t>t</w:t>
      </w:r>
      <w:r w:rsidR="00EB32F2" w:rsidRPr="005C333D">
        <w:rPr>
          <w:rFonts w:eastAsia="Calibri"/>
          <w:iCs/>
        </w:rPr>
        <w:t xml:space="preserve"> the </w:t>
      </w:r>
      <w:r w:rsidR="007103E8" w:rsidRPr="005C333D">
        <w:rPr>
          <w:rFonts w:eastAsia="Calibri"/>
          <w:iCs/>
        </w:rPr>
        <w:t>magnitude of benefit</w:t>
      </w:r>
      <w:r w:rsidR="00D67E7C" w:rsidRPr="005C333D">
        <w:rPr>
          <w:rFonts w:eastAsia="Calibri"/>
          <w:iCs/>
        </w:rPr>
        <w:t xml:space="preserve"> in terms</w:t>
      </w:r>
      <w:r w:rsidR="007E4248" w:rsidRPr="005C333D">
        <w:rPr>
          <w:rFonts w:eastAsia="Calibri"/>
          <w:iCs/>
        </w:rPr>
        <w:t xml:space="preserve"> </w:t>
      </w:r>
      <w:r w:rsidR="00696041" w:rsidRPr="005C333D">
        <w:rPr>
          <w:rFonts w:eastAsia="Calibri"/>
          <w:iCs/>
        </w:rPr>
        <w:t>of</w:t>
      </w:r>
      <w:r w:rsidR="007E4248" w:rsidRPr="005C333D">
        <w:rPr>
          <w:rFonts w:eastAsia="Calibri"/>
          <w:iCs/>
        </w:rPr>
        <w:t xml:space="preserve"> CFS-OSDI response</w:t>
      </w:r>
      <w:r w:rsidR="007103E8" w:rsidRPr="005C333D">
        <w:rPr>
          <w:rFonts w:eastAsia="Calibri"/>
          <w:iCs/>
        </w:rPr>
        <w:t xml:space="preserve"> </w:t>
      </w:r>
      <w:r w:rsidR="00EB32F2" w:rsidRPr="005C333D">
        <w:rPr>
          <w:rFonts w:eastAsia="Calibri"/>
          <w:iCs/>
        </w:rPr>
        <w:t>wa</w:t>
      </w:r>
      <w:r w:rsidR="007103E8" w:rsidRPr="005C333D">
        <w:rPr>
          <w:rFonts w:eastAsia="Calibri"/>
          <w:iCs/>
        </w:rPr>
        <w:t xml:space="preserve">s </w:t>
      </w:r>
      <w:r w:rsidRPr="005C333D">
        <w:rPr>
          <w:rFonts w:eastAsia="Calibri"/>
          <w:iCs/>
        </w:rPr>
        <w:t xml:space="preserve">also </w:t>
      </w:r>
      <w:r w:rsidR="007103E8" w:rsidRPr="005C333D">
        <w:rPr>
          <w:rFonts w:eastAsia="Calibri"/>
          <w:iCs/>
        </w:rPr>
        <w:t>uncertain</w:t>
      </w:r>
      <w:r w:rsidR="00D85CDA" w:rsidRPr="005C333D">
        <w:rPr>
          <w:rFonts w:eastAsia="Calibri"/>
          <w:iCs/>
        </w:rPr>
        <w:t xml:space="preserve"> because</w:t>
      </w:r>
      <w:r w:rsidR="007103E8" w:rsidRPr="005C333D">
        <w:rPr>
          <w:rFonts w:eastAsia="Calibri"/>
          <w:iCs/>
        </w:rPr>
        <w:t>:</w:t>
      </w:r>
      <w:r w:rsidR="00FC7EB5" w:rsidRPr="005C333D">
        <w:rPr>
          <w:rFonts w:eastAsia="Calibri"/>
          <w:iCs/>
        </w:rPr>
        <w:t xml:space="preserve"> </w:t>
      </w:r>
    </w:p>
    <w:p w:rsidR="00FC2521" w:rsidRPr="005C333D" w:rsidRDefault="00BC59B2" w:rsidP="00E553B9">
      <w:pPr>
        <w:pStyle w:val="3-BodyText"/>
        <w:numPr>
          <w:ilvl w:val="0"/>
          <w:numId w:val="7"/>
        </w:numPr>
        <w:ind w:left="1077" w:hanging="357"/>
        <w:rPr>
          <w:rFonts w:eastAsia="Calibri"/>
        </w:rPr>
      </w:pPr>
      <w:r w:rsidRPr="005C333D">
        <w:rPr>
          <w:rFonts w:eastAsia="Calibri"/>
        </w:rPr>
        <w:t>There was no significant difference in the co-primary responder rates (CFS improvement ≥ 2 and OSDI improvement ≥ 30%) between the ciclosporin group (28.6%) and the vehicle group (23.1%) (p=0.326) in the SANSIKA trial.</w:t>
      </w:r>
    </w:p>
    <w:p w:rsidR="00FC2521" w:rsidRPr="005C333D" w:rsidRDefault="006C0377" w:rsidP="00E553B9">
      <w:pPr>
        <w:pStyle w:val="3-BodyText"/>
        <w:numPr>
          <w:ilvl w:val="0"/>
          <w:numId w:val="7"/>
        </w:numPr>
        <w:ind w:left="1077" w:hanging="357"/>
        <w:rPr>
          <w:rFonts w:eastAsia="Calibri"/>
        </w:rPr>
      </w:pPr>
      <w:r w:rsidRPr="005C333D">
        <w:rPr>
          <w:rFonts w:eastAsia="Calibri"/>
        </w:rPr>
        <w:t xml:space="preserve">Although the meta-analysis (Leonardi, 2019) of </w:t>
      </w:r>
      <w:r w:rsidR="00F92104" w:rsidRPr="005C333D">
        <w:rPr>
          <w:rFonts w:eastAsia="Calibri"/>
        </w:rPr>
        <w:t xml:space="preserve">the key clinical </w:t>
      </w:r>
      <w:r w:rsidRPr="005C333D">
        <w:rPr>
          <w:rFonts w:eastAsia="Calibri"/>
        </w:rPr>
        <w:t xml:space="preserve">trials </w:t>
      </w:r>
      <w:r w:rsidR="00F92104" w:rsidRPr="005C333D">
        <w:rPr>
          <w:rFonts w:eastAsia="Calibri"/>
        </w:rPr>
        <w:t xml:space="preserve">(SANSKIA and SICCANOVE) </w:t>
      </w:r>
      <w:r w:rsidRPr="005C333D">
        <w:rPr>
          <w:rFonts w:eastAsia="Calibri"/>
        </w:rPr>
        <w:t>found a significant difference in its primary outcome of CFS-OSDI response (CFS improvement ≥3 and OSDI improvement ≥30%) in the PBS-eligible population (CFS=4; OSDI ≥ 23), this was based on a post-hoc analysis of the SANSIKA trial and a post-hoc subgroup analysis</w:t>
      </w:r>
      <w:r w:rsidR="00F92104" w:rsidRPr="005C333D">
        <w:rPr>
          <w:rFonts w:eastAsia="Calibri"/>
        </w:rPr>
        <w:t xml:space="preserve"> (15%)</w:t>
      </w:r>
      <w:r w:rsidRPr="005C333D">
        <w:rPr>
          <w:rFonts w:eastAsia="Calibri"/>
        </w:rPr>
        <w:t xml:space="preserve"> of the SICCANOVE trial.</w:t>
      </w:r>
      <w:r w:rsidR="00F73A16" w:rsidRPr="005C333D">
        <w:rPr>
          <w:rFonts w:eastAsia="Calibri"/>
        </w:rPr>
        <w:t xml:space="preserve"> </w:t>
      </w:r>
    </w:p>
    <w:p w:rsidR="00F92104" w:rsidRPr="005C333D" w:rsidRDefault="00F92104" w:rsidP="00E553B9">
      <w:pPr>
        <w:pStyle w:val="3-BodyText"/>
        <w:numPr>
          <w:ilvl w:val="0"/>
          <w:numId w:val="7"/>
        </w:numPr>
        <w:ind w:left="1077" w:hanging="357"/>
        <w:rPr>
          <w:rFonts w:eastAsia="Calibri"/>
        </w:rPr>
      </w:pPr>
      <w:r w:rsidRPr="005C333D">
        <w:rPr>
          <w:rFonts w:eastAsia="Calibri"/>
        </w:rPr>
        <w:t xml:space="preserve">The robustness of pooling and </w:t>
      </w:r>
      <w:r w:rsidR="00395E4E" w:rsidRPr="005C333D">
        <w:rPr>
          <w:rFonts w:eastAsia="Calibri"/>
        </w:rPr>
        <w:t xml:space="preserve">the </w:t>
      </w:r>
      <w:r w:rsidRPr="005C333D">
        <w:rPr>
          <w:rFonts w:eastAsia="Calibri"/>
        </w:rPr>
        <w:t xml:space="preserve">exchangeability of the two trials within the meta-analysis </w:t>
      </w:r>
      <w:r w:rsidR="00EB32F2" w:rsidRPr="005C333D">
        <w:rPr>
          <w:rFonts w:eastAsia="Calibri"/>
        </w:rPr>
        <w:t>wa</w:t>
      </w:r>
      <w:r w:rsidRPr="005C333D">
        <w:rPr>
          <w:rFonts w:eastAsia="Calibri"/>
        </w:rPr>
        <w:t>s uncertain, given the differences in primary outcomes, cationic surfactant,</w:t>
      </w:r>
      <w:r w:rsidR="00931091" w:rsidRPr="005C333D">
        <w:rPr>
          <w:rFonts w:eastAsia="Calibri"/>
        </w:rPr>
        <w:t xml:space="preserve"> treatment exposure,</w:t>
      </w:r>
      <w:r w:rsidRPr="005C333D">
        <w:rPr>
          <w:rFonts w:eastAsia="Calibri"/>
        </w:rPr>
        <w:t xml:space="preserve"> and </w:t>
      </w:r>
      <w:r w:rsidR="008C2BB0" w:rsidRPr="005C333D">
        <w:rPr>
          <w:rFonts w:eastAsia="Calibri"/>
        </w:rPr>
        <w:t xml:space="preserve">use of </w:t>
      </w:r>
      <w:r w:rsidRPr="005C333D">
        <w:rPr>
          <w:rFonts w:eastAsia="Calibri"/>
        </w:rPr>
        <w:t xml:space="preserve">concomitant treatment </w:t>
      </w:r>
      <w:r w:rsidR="00D1309C" w:rsidRPr="005C333D">
        <w:rPr>
          <w:rFonts w:eastAsia="Calibri"/>
        </w:rPr>
        <w:t>with</w:t>
      </w:r>
      <w:r w:rsidRPr="005C333D">
        <w:rPr>
          <w:rFonts w:eastAsia="Calibri"/>
        </w:rPr>
        <w:t xml:space="preserve"> artificial tears across the trials. </w:t>
      </w:r>
    </w:p>
    <w:p w:rsidR="00462DD1" w:rsidRPr="005C333D" w:rsidRDefault="00462DD1" w:rsidP="00E553B9">
      <w:pPr>
        <w:pStyle w:val="ListParagraph"/>
        <w:numPr>
          <w:ilvl w:val="0"/>
          <w:numId w:val="7"/>
        </w:numPr>
        <w:ind w:left="1077" w:hanging="357"/>
        <w:rPr>
          <w:rFonts w:eastAsia="Calibri"/>
          <w:iCs/>
        </w:rPr>
      </w:pPr>
      <w:r w:rsidRPr="005C333D">
        <w:rPr>
          <w:rFonts w:eastAsia="Calibri"/>
          <w:iCs/>
        </w:rPr>
        <w:t>The sample size</w:t>
      </w:r>
      <w:r w:rsidR="00EB32F2" w:rsidRPr="005C333D">
        <w:rPr>
          <w:rFonts w:eastAsia="Calibri"/>
          <w:iCs/>
        </w:rPr>
        <w:t>s</w:t>
      </w:r>
      <w:r w:rsidRPr="005C333D">
        <w:rPr>
          <w:rFonts w:eastAsia="Calibri"/>
          <w:iCs/>
        </w:rPr>
        <w:t xml:space="preserve"> of the subgroup</w:t>
      </w:r>
      <w:r w:rsidR="00EB32F2" w:rsidRPr="005C333D">
        <w:rPr>
          <w:rFonts w:eastAsia="Calibri"/>
          <w:iCs/>
        </w:rPr>
        <w:t>s</w:t>
      </w:r>
      <w:r w:rsidRPr="005C333D">
        <w:rPr>
          <w:rFonts w:eastAsia="Calibri"/>
          <w:iCs/>
        </w:rPr>
        <w:t xml:space="preserve"> </w:t>
      </w:r>
      <w:r w:rsidR="004C3EB7" w:rsidRPr="005C333D">
        <w:rPr>
          <w:rFonts w:eastAsia="Calibri"/>
          <w:iCs/>
        </w:rPr>
        <w:t>in the</w:t>
      </w:r>
      <w:r w:rsidRPr="005C333D">
        <w:rPr>
          <w:rFonts w:eastAsia="Calibri"/>
          <w:iCs/>
        </w:rPr>
        <w:t xml:space="preserve"> SICCANOVE (N=75), SANSIKA (N=245), SANSIKA Part 2 (N=177)</w:t>
      </w:r>
      <w:r w:rsidR="004C3EB7" w:rsidRPr="005C333D">
        <w:rPr>
          <w:rFonts w:eastAsia="Calibri"/>
          <w:iCs/>
        </w:rPr>
        <w:t xml:space="preserve"> trials</w:t>
      </w:r>
      <w:r w:rsidRPr="005C333D">
        <w:rPr>
          <w:rFonts w:eastAsia="Calibri"/>
          <w:iCs/>
        </w:rPr>
        <w:t xml:space="preserve">, and meta-analysis (N=319) </w:t>
      </w:r>
      <w:r w:rsidR="004C3EB7" w:rsidRPr="005C333D">
        <w:rPr>
          <w:rFonts w:eastAsia="Calibri"/>
          <w:iCs/>
        </w:rPr>
        <w:t>were</w:t>
      </w:r>
      <w:r w:rsidRPr="005C333D">
        <w:rPr>
          <w:rFonts w:eastAsia="Calibri"/>
          <w:iCs/>
        </w:rPr>
        <w:t xml:space="preserve"> small. </w:t>
      </w:r>
    </w:p>
    <w:p w:rsidR="000C1EF2" w:rsidRPr="005C333D" w:rsidRDefault="00901717" w:rsidP="00E553B9">
      <w:pPr>
        <w:pStyle w:val="3-BodyText"/>
        <w:numPr>
          <w:ilvl w:val="0"/>
          <w:numId w:val="7"/>
        </w:numPr>
        <w:ind w:left="1077" w:hanging="357"/>
        <w:rPr>
          <w:rFonts w:eastAsia="Calibri"/>
        </w:rPr>
      </w:pPr>
      <w:r w:rsidRPr="005C333D">
        <w:t>The treatment duration (6 months) and f</w:t>
      </w:r>
      <w:r w:rsidR="005B2005" w:rsidRPr="005C333D">
        <w:t xml:space="preserve">ollow-up </w:t>
      </w:r>
      <w:r w:rsidR="00AB160D" w:rsidRPr="005C333D">
        <w:t>duration</w:t>
      </w:r>
      <w:r w:rsidR="00EB32F2" w:rsidRPr="005C333D">
        <w:t>s</w:t>
      </w:r>
      <w:r w:rsidR="00AB160D" w:rsidRPr="005C333D">
        <w:t xml:space="preserve"> </w:t>
      </w:r>
      <w:r w:rsidR="005B2005" w:rsidRPr="005C333D">
        <w:t xml:space="preserve">in the SICCANOVE and SANSIKA </w:t>
      </w:r>
      <w:r w:rsidR="00AB160D" w:rsidRPr="005C333D">
        <w:t xml:space="preserve">trials </w:t>
      </w:r>
      <w:r w:rsidR="005B2005" w:rsidRPr="005C333D">
        <w:rPr>
          <w:iCs/>
        </w:rPr>
        <w:t>(6 months and 12 months respectively)</w:t>
      </w:r>
      <w:r w:rsidRPr="005C333D">
        <w:t xml:space="preserve"> were short</w:t>
      </w:r>
      <w:r w:rsidR="00803EAB" w:rsidRPr="005C333D">
        <w:rPr>
          <w:iCs/>
        </w:rPr>
        <w:t>,</w:t>
      </w:r>
      <w:r w:rsidR="005B2005" w:rsidRPr="005C333D">
        <w:rPr>
          <w:iCs/>
        </w:rPr>
        <w:t xml:space="preserve"> </w:t>
      </w:r>
      <w:r w:rsidR="005B2005" w:rsidRPr="005C333D">
        <w:t xml:space="preserve">given that severe keratitis with DED is a chronic </w:t>
      </w:r>
      <w:r w:rsidR="005B2005" w:rsidRPr="005C333D">
        <w:rPr>
          <w:iCs/>
        </w:rPr>
        <w:t xml:space="preserve">condition </w:t>
      </w:r>
      <w:r w:rsidR="005B2005" w:rsidRPr="005C333D">
        <w:t>and treatment is ongoing.</w:t>
      </w:r>
      <w:r w:rsidR="000C1EF2" w:rsidRPr="005C333D">
        <w:rPr>
          <w:rFonts w:eastAsia="Calibri"/>
          <w:iCs/>
        </w:rPr>
        <w:t xml:space="preserve"> Consequently, the </w:t>
      </w:r>
      <w:r w:rsidR="003E29AB" w:rsidRPr="005C333D">
        <w:rPr>
          <w:rFonts w:eastAsia="Calibri"/>
          <w:iCs/>
        </w:rPr>
        <w:t xml:space="preserve">PBAC considered that the </w:t>
      </w:r>
      <w:r w:rsidR="000C1EF2" w:rsidRPr="005C333D">
        <w:rPr>
          <w:rFonts w:eastAsia="Calibri"/>
          <w:iCs/>
        </w:rPr>
        <w:t xml:space="preserve">long-term effectiveness </w:t>
      </w:r>
      <w:r w:rsidR="00EB32F2" w:rsidRPr="005C333D">
        <w:rPr>
          <w:rFonts w:eastAsia="Calibri"/>
          <w:iCs/>
        </w:rPr>
        <w:t>wa</w:t>
      </w:r>
      <w:r w:rsidR="000C1EF2" w:rsidRPr="005C333D">
        <w:rPr>
          <w:rFonts w:eastAsia="Calibri"/>
          <w:iCs/>
        </w:rPr>
        <w:t>s uncertain. The submission provided an extension study</w:t>
      </w:r>
      <w:r w:rsidR="00803EAB" w:rsidRPr="005C333D">
        <w:rPr>
          <w:rFonts w:eastAsia="Calibri"/>
          <w:iCs/>
        </w:rPr>
        <w:t>, SANSIKA Part 2</w:t>
      </w:r>
      <w:r w:rsidR="000C1EF2" w:rsidRPr="005C333D">
        <w:rPr>
          <w:rFonts w:eastAsia="Calibri"/>
          <w:iCs/>
        </w:rPr>
        <w:t xml:space="preserve"> (N= 177)</w:t>
      </w:r>
      <w:r w:rsidR="002B0928" w:rsidRPr="005C333D">
        <w:rPr>
          <w:rFonts w:eastAsia="Calibri"/>
          <w:iCs/>
        </w:rPr>
        <w:t xml:space="preserve"> </w:t>
      </w:r>
      <w:r w:rsidR="000C1EF2" w:rsidRPr="005C333D">
        <w:rPr>
          <w:rFonts w:eastAsia="Calibri"/>
          <w:iCs/>
        </w:rPr>
        <w:t>(ciclosporin open label). SANSIKA</w:t>
      </w:r>
      <w:r w:rsidR="00A81B97" w:rsidRPr="005C333D">
        <w:rPr>
          <w:rFonts w:eastAsia="Calibri"/>
          <w:iCs/>
        </w:rPr>
        <w:t xml:space="preserve"> Part 2</w:t>
      </w:r>
      <w:r w:rsidR="000C1EF2" w:rsidRPr="005C333D">
        <w:rPr>
          <w:rFonts w:eastAsia="Calibri"/>
          <w:iCs/>
        </w:rPr>
        <w:t xml:space="preserve"> was an open label study </w:t>
      </w:r>
      <w:r w:rsidR="00EB32F2" w:rsidRPr="005C333D">
        <w:rPr>
          <w:rFonts w:eastAsia="Calibri"/>
          <w:iCs/>
        </w:rPr>
        <w:t xml:space="preserve">that also </w:t>
      </w:r>
      <w:r w:rsidR="000C1EF2" w:rsidRPr="005C333D">
        <w:rPr>
          <w:rFonts w:eastAsia="Calibri"/>
          <w:iCs/>
        </w:rPr>
        <w:t>had a small sample size, which increase</w:t>
      </w:r>
      <w:r w:rsidR="00EB32F2" w:rsidRPr="005C333D">
        <w:rPr>
          <w:rFonts w:eastAsia="Calibri"/>
          <w:iCs/>
        </w:rPr>
        <w:t>d</w:t>
      </w:r>
      <w:r w:rsidR="000C1EF2" w:rsidRPr="005C333D">
        <w:rPr>
          <w:rFonts w:eastAsia="Calibri"/>
          <w:iCs/>
        </w:rPr>
        <w:t xml:space="preserve"> </w:t>
      </w:r>
      <w:r w:rsidR="00803EAB" w:rsidRPr="005C333D">
        <w:rPr>
          <w:rFonts w:eastAsia="Calibri"/>
          <w:iCs/>
        </w:rPr>
        <w:t xml:space="preserve">the </w:t>
      </w:r>
      <w:r w:rsidR="000C1EF2" w:rsidRPr="005C333D">
        <w:rPr>
          <w:rFonts w:eastAsia="Calibri"/>
          <w:iCs/>
        </w:rPr>
        <w:t xml:space="preserve">uncertainty </w:t>
      </w:r>
      <w:r w:rsidR="00803EAB" w:rsidRPr="005C333D">
        <w:rPr>
          <w:rFonts w:eastAsia="Calibri"/>
          <w:iCs/>
        </w:rPr>
        <w:t>of</w:t>
      </w:r>
      <w:r w:rsidR="000C1EF2" w:rsidRPr="005C333D">
        <w:rPr>
          <w:rFonts w:eastAsia="Calibri"/>
          <w:iCs/>
        </w:rPr>
        <w:t xml:space="preserve"> the results. </w:t>
      </w:r>
    </w:p>
    <w:p w:rsidR="00B72D07" w:rsidRPr="005C333D" w:rsidRDefault="00B72D07" w:rsidP="00E553B9">
      <w:pPr>
        <w:pStyle w:val="3-BodyText"/>
        <w:numPr>
          <w:ilvl w:val="0"/>
          <w:numId w:val="7"/>
        </w:numPr>
        <w:ind w:left="1077" w:hanging="357"/>
        <w:rPr>
          <w:rFonts w:eastAsia="Calibri"/>
          <w:i/>
        </w:rPr>
      </w:pPr>
      <w:r w:rsidRPr="005C333D">
        <w:rPr>
          <w:rFonts w:eastAsia="Calibri"/>
          <w:iCs/>
        </w:rPr>
        <w:t>The ESC also noted that differences in factors such as the surfactants used, the mean number of days of exposure to treatment and the mean number of drops of artificial tears used between the trials could also affect the exchangeability of the trials</w:t>
      </w:r>
      <w:r w:rsidRPr="005C333D">
        <w:rPr>
          <w:rFonts w:eastAsia="Calibri"/>
          <w:i/>
          <w:iCs/>
        </w:rPr>
        <w:t>.</w:t>
      </w:r>
    </w:p>
    <w:p w:rsidR="000B3D68" w:rsidRPr="005C333D" w:rsidRDefault="00C85AD7" w:rsidP="00B73532">
      <w:pPr>
        <w:pStyle w:val="3-BodyText"/>
        <w:rPr>
          <w:rFonts w:eastAsia="Calibri"/>
        </w:rPr>
      </w:pPr>
      <w:r w:rsidRPr="005C333D">
        <w:rPr>
          <w:rFonts w:eastAsia="Calibri"/>
        </w:rPr>
        <w:t>The submission described ciclosporin as non-inferior in terms of safety compared to BSC</w:t>
      </w:r>
      <w:r w:rsidR="005F7588" w:rsidRPr="005C333D">
        <w:rPr>
          <w:rFonts w:eastAsia="Calibri"/>
        </w:rPr>
        <w:t xml:space="preserve">. </w:t>
      </w:r>
      <w:r w:rsidRPr="005C333D">
        <w:rPr>
          <w:rFonts w:eastAsia="Calibri"/>
        </w:rPr>
        <w:t xml:space="preserve">The </w:t>
      </w:r>
      <w:r w:rsidR="00974E38" w:rsidRPr="005C333D">
        <w:rPr>
          <w:rFonts w:eastAsia="Calibri"/>
        </w:rPr>
        <w:t xml:space="preserve">ESC considered that </w:t>
      </w:r>
      <w:r w:rsidR="00E86014" w:rsidRPr="005C333D">
        <w:rPr>
          <w:rFonts w:eastAsia="Calibri"/>
        </w:rPr>
        <w:t>this claim was</w:t>
      </w:r>
      <w:r w:rsidRPr="005C333D">
        <w:rPr>
          <w:rFonts w:eastAsia="Calibri"/>
        </w:rPr>
        <w:t xml:space="preserve"> adequately supported by the </w:t>
      </w:r>
      <w:r w:rsidR="00EB32F2" w:rsidRPr="005C333D">
        <w:rPr>
          <w:rFonts w:eastAsia="Calibri"/>
        </w:rPr>
        <w:t xml:space="preserve">clinical </w:t>
      </w:r>
      <w:r w:rsidRPr="005C333D">
        <w:rPr>
          <w:rFonts w:eastAsia="Calibri"/>
        </w:rPr>
        <w:t>evidence, although there is some uncertainty</w:t>
      </w:r>
      <w:r w:rsidR="00EB32F2" w:rsidRPr="005C333D">
        <w:rPr>
          <w:rFonts w:eastAsia="Calibri"/>
        </w:rPr>
        <w:t xml:space="preserve"> as:</w:t>
      </w:r>
      <w:r w:rsidR="000B3D68" w:rsidRPr="005C333D">
        <w:rPr>
          <w:rFonts w:eastAsia="Calibri"/>
        </w:rPr>
        <w:t xml:space="preserve"> </w:t>
      </w:r>
    </w:p>
    <w:p w:rsidR="000B3D68" w:rsidRPr="005C333D" w:rsidRDefault="002A0D7D" w:rsidP="005F4553">
      <w:pPr>
        <w:pStyle w:val="3-BodyText"/>
        <w:numPr>
          <w:ilvl w:val="0"/>
          <w:numId w:val="24"/>
        </w:numPr>
        <w:ind w:left="1077" w:hanging="357"/>
        <w:rPr>
          <w:rFonts w:eastAsia="Calibri"/>
        </w:rPr>
      </w:pPr>
      <w:r w:rsidRPr="005C333D">
        <w:rPr>
          <w:rFonts w:eastAsia="Calibri"/>
        </w:rPr>
        <w:t>I</w:t>
      </w:r>
      <w:r w:rsidR="00C85AD7" w:rsidRPr="005C333D">
        <w:rPr>
          <w:rFonts w:eastAsia="Calibri"/>
        </w:rPr>
        <w:t xml:space="preserve">nstallation-site eye pain and eye irritation were </w:t>
      </w:r>
      <w:r w:rsidR="00C317DA" w:rsidRPr="005C333D">
        <w:rPr>
          <w:rFonts w:eastAsia="Calibri"/>
        </w:rPr>
        <w:t>higher</w:t>
      </w:r>
      <w:r w:rsidR="00AB160D" w:rsidRPr="005C333D">
        <w:rPr>
          <w:rFonts w:eastAsia="Calibri"/>
        </w:rPr>
        <w:t xml:space="preserve"> with ciclosporin</w:t>
      </w:r>
      <w:r w:rsidR="00C85AD7" w:rsidRPr="005C333D">
        <w:rPr>
          <w:rFonts w:eastAsia="Calibri"/>
        </w:rPr>
        <w:t>.</w:t>
      </w:r>
      <w:r w:rsidR="00AB0899" w:rsidRPr="005C333D">
        <w:rPr>
          <w:rFonts w:eastAsia="Calibri"/>
        </w:rPr>
        <w:t xml:space="preserve"> </w:t>
      </w:r>
    </w:p>
    <w:p w:rsidR="005E0F47" w:rsidRPr="005C333D" w:rsidRDefault="00C85AD7" w:rsidP="005F4553">
      <w:pPr>
        <w:pStyle w:val="3-BodyText"/>
        <w:numPr>
          <w:ilvl w:val="0"/>
          <w:numId w:val="24"/>
        </w:numPr>
        <w:ind w:left="1077" w:hanging="357"/>
        <w:rPr>
          <w:rFonts w:eastAsia="Calibri"/>
        </w:rPr>
      </w:pPr>
      <w:r w:rsidRPr="005C333D">
        <w:rPr>
          <w:rFonts w:eastAsia="Calibri"/>
        </w:rPr>
        <w:t>The sample size</w:t>
      </w:r>
      <w:r w:rsidR="00EB32F2" w:rsidRPr="005C333D">
        <w:rPr>
          <w:rFonts w:eastAsia="Calibri"/>
        </w:rPr>
        <w:t>s</w:t>
      </w:r>
      <w:r w:rsidRPr="005C333D">
        <w:rPr>
          <w:rFonts w:eastAsia="Calibri"/>
        </w:rPr>
        <w:t xml:space="preserve"> of the subgroup</w:t>
      </w:r>
      <w:r w:rsidR="00EB32F2" w:rsidRPr="005C333D">
        <w:rPr>
          <w:rFonts w:eastAsia="Calibri"/>
        </w:rPr>
        <w:t>s</w:t>
      </w:r>
      <w:r w:rsidRPr="005C333D">
        <w:rPr>
          <w:rFonts w:eastAsia="Calibri"/>
        </w:rPr>
        <w:t xml:space="preserve"> </w:t>
      </w:r>
      <w:r w:rsidR="004C3EB7" w:rsidRPr="005C333D">
        <w:rPr>
          <w:rFonts w:eastAsia="Calibri"/>
        </w:rPr>
        <w:t>in the</w:t>
      </w:r>
      <w:r w:rsidRPr="005C333D">
        <w:rPr>
          <w:rFonts w:eastAsia="Calibri"/>
        </w:rPr>
        <w:t xml:space="preserve"> SICCANOVE (N=75), SANSIKA (N=245), SANSIKA Part 2 (N=177)</w:t>
      </w:r>
      <w:r w:rsidR="004C3EB7" w:rsidRPr="005C333D">
        <w:rPr>
          <w:rFonts w:eastAsia="Calibri"/>
        </w:rPr>
        <w:t xml:space="preserve"> trials</w:t>
      </w:r>
      <w:r w:rsidRPr="005C333D">
        <w:rPr>
          <w:rFonts w:eastAsia="Calibri"/>
        </w:rPr>
        <w:t xml:space="preserve">, and meta-analysis (N=319) </w:t>
      </w:r>
      <w:r w:rsidR="004C3EB7" w:rsidRPr="005C333D">
        <w:rPr>
          <w:rFonts w:eastAsia="Calibri"/>
        </w:rPr>
        <w:t>were</w:t>
      </w:r>
      <w:r w:rsidRPr="005C333D">
        <w:rPr>
          <w:rFonts w:eastAsia="Calibri"/>
        </w:rPr>
        <w:t xml:space="preserve"> small.</w:t>
      </w:r>
    </w:p>
    <w:p w:rsidR="005F7588" w:rsidRPr="005C333D" w:rsidRDefault="00540493" w:rsidP="005F4553">
      <w:pPr>
        <w:pStyle w:val="3-BodyText"/>
        <w:numPr>
          <w:ilvl w:val="0"/>
          <w:numId w:val="24"/>
        </w:numPr>
        <w:ind w:left="1077" w:hanging="357"/>
        <w:rPr>
          <w:rFonts w:eastAsia="Calibri"/>
        </w:rPr>
      </w:pPr>
      <w:r w:rsidRPr="005C333D">
        <w:rPr>
          <w:rFonts w:eastAsia="Calibri"/>
        </w:rPr>
        <w:t>The r</w:t>
      </w:r>
      <w:r w:rsidR="00C85AD7" w:rsidRPr="005C333D">
        <w:rPr>
          <w:rFonts w:eastAsia="Calibri"/>
        </w:rPr>
        <w:t xml:space="preserve">isk of peri-ocular skin cancer </w:t>
      </w:r>
      <w:r w:rsidRPr="005C333D">
        <w:rPr>
          <w:rFonts w:eastAsia="Calibri"/>
        </w:rPr>
        <w:t>was</w:t>
      </w:r>
      <w:r w:rsidR="00C85AD7" w:rsidRPr="005C333D">
        <w:rPr>
          <w:rFonts w:eastAsia="Calibri"/>
        </w:rPr>
        <w:t xml:space="preserve"> noted in literature</w:t>
      </w:r>
      <w:r w:rsidRPr="005C333D">
        <w:rPr>
          <w:rFonts w:eastAsia="Calibri"/>
        </w:rPr>
        <w:t>, as well as</w:t>
      </w:r>
      <w:r w:rsidR="00C85AD7" w:rsidRPr="005C333D">
        <w:rPr>
          <w:rFonts w:eastAsia="Calibri"/>
        </w:rPr>
        <w:t xml:space="preserve"> conjunctival neoplasia </w:t>
      </w:r>
      <w:r w:rsidRPr="005C333D">
        <w:rPr>
          <w:rFonts w:eastAsia="Calibri"/>
        </w:rPr>
        <w:t xml:space="preserve">reported </w:t>
      </w:r>
      <w:r w:rsidR="00C85AD7" w:rsidRPr="005C333D">
        <w:rPr>
          <w:rFonts w:eastAsia="Calibri"/>
        </w:rPr>
        <w:t xml:space="preserve">in </w:t>
      </w:r>
      <w:r w:rsidRPr="005C333D">
        <w:rPr>
          <w:rFonts w:eastAsia="Calibri"/>
        </w:rPr>
        <w:t xml:space="preserve">a </w:t>
      </w:r>
      <w:r w:rsidR="00C85AD7" w:rsidRPr="005C333D">
        <w:rPr>
          <w:rFonts w:eastAsia="Calibri"/>
        </w:rPr>
        <w:t>post-marketing source in France</w:t>
      </w:r>
      <w:r w:rsidR="002B0928" w:rsidRPr="005C333D">
        <w:rPr>
          <w:rFonts w:eastAsia="Calibri"/>
        </w:rPr>
        <w:t>.</w:t>
      </w:r>
    </w:p>
    <w:p w:rsidR="00DA5D07" w:rsidRPr="005C333D" w:rsidRDefault="00782656" w:rsidP="00DA5D07">
      <w:pPr>
        <w:pStyle w:val="3-BodyText"/>
        <w:rPr>
          <w:rFonts w:eastAsia="Calibri"/>
        </w:rPr>
      </w:pPr>
      <w:r w:rsidRPr="005C333D">
        <w:t>The TGA Clinical Evaluation Report stated that “despite the relative safety of the [ciclosporin] in treatment of adults with DED, the product can be unpleasant to use.”</w:t>
      </w:r>
      <w:r w:rsidRPr="005C333D">
        <w:rPr>
          <w:rFonts w:eastAsia="Calibri"/>
        </w:rPr>
        <w:t xml:space="preserve"> (Clinical Evaluation Report, Ciclosporin (2019)). However, the TGA</w:t>
      </w:r>
      <w:r w:rsidRPr="005C333D">
        <w:t xml:space="preserve"> consider</w:t>
      </w:r>
      <w:r w:rsidR="00EB32F2" w:rsidRPr="005C333D">
        <w:t xml:space="preserve">ed </w:t>
      </w:r>
      <w:r w:rsidRPr="005C333D">
        <w:t>while eye irritation and instillation site pain were more frequent with ciclosporin</w:t>
      </w:r>
      <w:r w:rsidR="001C36D8" w:rsidRPr="005C333D">
        <w:t>,</w:t>
      </w:r>
      <w:r w:rsidRPr="005C333D">
        <w:t xml:space="preserve"> </w:t>
      </w:r>
      <w:r w:rsidR="00E86014" w:rsidRPr="005C333D">
        <w:t xml:space="preserve">that </w:t>
      </w:r>
      <w:r w:rsidRPr="005C333D">
        <w:t>these “were mostly mild t</w:t>
      </w:r>
      <w:r w:rsidR="003F0E57">
        <w:t>o moderate and always transient</w:t>
      </w:r>
      <w:r w:rsidRPr="005C333D">
        <w:t>” (</w:t>
      </w:r>
      <w:r w:rsidRPr="005C333D">
        <w:rPr>
          <w:rFonts w:cs="Calibri"/>
          <w:shd w:val="clear" w:color="auto" w:fill="FFFFFF"/>
        </w:rPr>
        <w:t>TGA Delegate’s Overview</w:t>
      </w:r>
      <w:r w:rsidRPr="005C333D">
        <w:t xml:space="preserve">). </w:t>
      </w:r>
    </w:p>
    <w:p w:rsidR="00DA5D07" w:rsidRPr="005C333D" w:rsidRDefault="003E29AB" w:rsidP="00DA5D07">
      <w:pPr>
        <w:pStyle w:val="3-BodyText"/>
        <w:rPr>
          <w:rFonts w:eastAsia="Calibri"/>
        </w:rPr>
      </w:pPr>
      <w:r w:rsidRPr="005C333D">
        <w:rPr>
          <w:lang w:eastAsia="en-US"/>
        </w:rPr>
        <w:t>Overall, t</w:t>
      </w:r>
      <w:r w:rsidR="00DA5D07" w:rsidRPr="005C333D">
        <w:rPr>
          <w:lang w:eastAsia="en-US"/>
        </w:rPr>
        <w:t xml:space="preserve">he PBAC considered that the claim </w:t>
      </w:r>
      <w:r w:rsidRPr="005C333D">
        <w:rPr>
          <w:lang w:eastAsia="en-US"/>
        </w:rPr>
        <w:t>that ciclosporin demonstrated</w:t>
      </w:r>
      <w:r w:rsidR="00DA5D07" w:rsidRPr="005C333D">
        <w:rPr>
          <w:lang w:eastAsia="en-US"/>
        </w:rPr>
        <w:t xml:space="preserve"> superior comparative effectiveness </w:t>
      </w:r>
      <w:r w:rsidRPr="005C333D">
        <w:rPr>
          <w:lang w:eastAsia="en-US"/>
        </w:rPr>
        <w:t xml:space="preserve">and non-inferior comparative safety compared to BSC </w:t>
      </w:r>
      <w:r w:rsidR="00DA5D07" w:rsidRPr="005C333D">
        <w:rPr>
          <w:lang w:eastAsia="en-US"/>
        </w:rPr>
        <w:t>was reasonable.</w:t>
      </w:r>
    </w:p>
    <w:p w:rsidR="00B60939" w:rsidRPr="005C333D" w:rsidRDefault="00B60939" w:rsidP="00E9094A">
      <w:pPr>
        <w:pStyle w:val="4-SubsectionHeading"/>
      </w:pPr>
      <w:bookmarkStart w:id="29" w:name="_Toc22897645"/>
      <w:bookmarkStart w:id="30" w:name="_Toc62030469"/>
      <w:r w:rsidRPr="005C333D">
        <w:t>Economic analysis</w:t>
      </w:r>
      <w:bookmarkEnd w:id="29"/>
      <w:bookmarkEnd w:id="30"/>
      <w:r w:rsidR="00491B3A" w:rsidRPr="005C333D">
        <w:t xml:space="preserve"> </w:t>
      </w:r>
    </w:p>
    <w:p w:rsidR="00275C5A" w:rsidRPr="005C333D" w:rsidRDefault="004E2928" w:rsidP="00B73532">
      <w:pPr>
        <w:pStyle w:val="3-BodyText"/>
        <w:rPr>
          <w:b/>
          <w:bCs/>
        </w:rPr>
      </w:pPr>
      <w:r w:rsidRPr="005C333D">
        <w:t xml:space="preserve">The submission presented a stepped economic evaluation based on direct randomised controlled trials (SICCANOVE and SANSIKA trials), a published meta-analysis (Leonardi 2019) and implemented a modelled evaluation. </w:t>
      </w:r>
    </w:p>
    <w:p w:rsidR="003835C6" w:rsidRPr="005C333D" w:rsidRDefault="005A0B43" w:rsidP="00B73532">
      <w:pPr>
        <w:pStyle w:val="3-BodyText"/>
        <w:rPr>
          <w:color w:val="0066FF"/>
        </w:rPr>
      </w:pPr>
      <w:r w:rsidRPr="005C333D">
        <w:rPr>
          <w:iCs/>
        </w:rPr>
        <w:t xml:space="preserve">The </w:t>
      </w:r>
      <w:r w:rsidR="00247068" w:rsidRPr="005C333D">
        <w:rPr>
          <w:iCs/>
        </w:rPr>
        <w:t xml:space="preserve">nominated </w:t>
      </w:r>
      <w:r w:rsidRPr="005C333D">
        <w:rPr>
          <w:iCs/>
        </w:rPr>
        <w:t xml:space="preserve">comparator was ciclosporin + best supportive care (BSC) vs. BSC alone. BSC consisted of </w:t>
      </w:r>
      <w:r w:rsidRPr="005C333D">
        <w:t xml:space="preserve">supportive care, including </w:t>
      </w:r>
      <w:r w:rsidR="00D92B67" w:rsidRPr="005C333D">
        <w:t>using</w:t>
      </w:r>
      <w:r w:rsidRPr="005C333D">
        <w:t xml:space="preserve"> </w:t>
      </w:r>
      <w:r w:rsidR="00271D6B" w:rsidRPr="005C333D">
        <w:t xml:space="preserve">artificial </w:t>
      </w:r>
      <w:r w:rsidRPr="005C333D">
        <w:t>tear substitutes as required and periodical doctor consultations.</w:t>
      </w:r>
    </w:p>
    <w:p w:rsidR="005A0B43" w:rsidRPr="005C333D" w:rsidRDefault="005A0B43" w:rsidP="00B73532">
      <w:pPr>
        <w:pStyle w:val="3-BodyText"/>
      </w:pPr>
      <w:r w:rsidRPr="005C333D">
        <w:t xml:space="preserve">Table </w:t>
      </w:r>
      <w:r w:rsidR="001F3494" w:rsidRPr="005C333D">
        <w:t>8</w:t>
      </w:r>
      <w:r w:rsidRPr="005C333D">
        <w:t xml:space="preserve"> presents the key components of the economic model.</w:t>
      </w:r>
    </w:p>
    <w:p w:rsidR="001B79C6" w:rsidRPr="005C333D" w:rsidRDefault="001B79C6" w:rsidP="004F70E1">
      <w:pPr>
        <w:pStyle w:val="TableFigureHeading"/>
        <w:rPr>
          <w:rStyle w:val="CommentReference"/>
          <w:b/>
          <w:bCs w:val="0"/>
          <w:szCs w:val="24"/>
        </w:rPr>
      </w:pPr>
      <w:r w:rsidRPr="005C333D">
        <w:rPr>
          <w:rStyle w:val="CommentReference"/>
          <w:b/>
          <w:bCs w:val="0"/>
          <w:szCs w:val="24"/>
        </w:rPr>
        <w:t xml:space="preserve">Table </w:t>
      </w:r>
      <w:r w:rsidR="001F3494" w:rsidRPr="005C333D">
        <w:rPr>
          <w:rStyle w:val="CommentReference"/>
          <w:b/>
          <w:bCs w:val="0"/>
          <w:szCs w:val="24"/>
        </w:rPr>
        <w:t>8</w:t>
      </w:r>
      <w:r w:rsidRPr="005C333D">
        <w:rPr>
          <w:rStyle w:val="CommentReference"/>
          <w:b/>
          <w:bCs w:val="0"/>
          <w:szCs w:val="24"/>
        </w:rPr>
        <w:t>: Summary of model structure, key inputs and rationale</w:t>
      </w:r>
    </w:p>
    <w:tbl>
      <w:tblPr>
        <w:tblStyle w:val="TableGrid"/>
        <w:tblW w:w="0" w:type="auto"/>
        <w:tblLook w:val="04A0" w:firstRow="1" w:lastRow="0" w:firstColumn="1" w:lastColumn="0" w:noHBand="0" w:noVBand="1"/>
        <w:tblCaption w:val="Table 8: Summary of model structure, key inputs and rationale"/>
      </w:tblPr>
      <w:tblGrid>
        <w:gridCol w:w="1438"/>
        <w:gridCol w:w="7579"/>
      </w:tblGrid>
      <w:tr w:rsidR="004F70E1" w:rsidRPr="005C333D" w:rsidTr="004F70E1">
        <w:trPr>
          <w:tblHeader/>
        </w:trPr>
        <w:tc>
          <w:tcPr>
            <w:tcW w:w="0" w:type="auto"/>
            <w:vAlign w:val="center"/>
          </w:tcPr>
          <w:p w:rsidR="004F70E1" w:rsidRPr="005C333D" w:rsidRDefault="004F70E1" w:rsidP="00CD26DE">
            <w:pPr>
              <w:pStyle w:val="In-tableHeading"/>
              <w:jc w:val="center"/>
              <w:rPr>
                <w:szCs w:val="20"/>
                <w:lang w:val="en-AU"/>
              </w:rPr>
            </w:pPr>
            <w:r w:rsidRPr="005C333D">
              <w:rPr>
                <w:szCs w:val="20"/>
                <w:lang w:val="en-AU"/>
              </w:rPr>
              <w:t>Component</w:t>
            </w:r>
          </w:p>
        </w:tc>
        <w:tc>
          <w:tcPr>
            <w:tcW w:w="0" w:type="auto"/>
            <w:vAlign w:val="center"/>
          </w:tcPr>
          <w:p w:rsidR="004F70E1" w:rsidRPr="005C333D" w:rsidRDefault="004F70E1" w:rsidP="00CD26DE">
            <w:pPr>
              <w:pStyle w:val="In-tableHeading"/>
              <w:jc w:val="center"/>
              <w:rPr>
                <w:szCs w:val="20"/>
                <w:lang w:val="en-AU"/>
              </w:rPr>
            </w:pPr>
            <w:r w:rsidRPr="005C333D">
              <w:rPr>
                <w:szCs w:val="20"/>
                <w:lang w:val="en-AU"/>
              </w:rPr>
              <w:t>Summary</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Type of analysis</w:t>
            </w:r>
          </w:p>
        </w:tc>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Cost-utility analysis</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Outcomes</w:t>
            </w:r>
          </w:p>
        </w:tc>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 xml:space="preserve">Quality-adjusted life years </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Time horizon</w:t>
            </w:r>
          </w:p>
        </w:tc>
        <w:tc>
          <w:tcPr>
            <w:tcW w:w="0" w:type="auto"/>
          </w:tcPr>
          <w:p w:rsidR="004F70E1" w:rsidRPr="005C333D" w:rsidRDefault="004F70E1" w:rsidP="00E81B94">
            <w:pPr>
              <w:pStyle w:val="TableText0"/>
              <w:keepNext/>
              <w:widowControl w:val="0"/>
            </w:pPr>
            <w:r w:rsidRPr="005C333D">
              <w:rPr>
                <w:szCs w:val="20"/>
              </w:rPr>
              <w:t>5 years in the model base case vs. 6 months in key trials, plus 6 months, open-label extension follow-up study (Part 2 of SANSIKA trial).</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Methods used to generate results</w:t>
            </w:r>
          </w:p>
        </w:tc>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 xml:space="preserve">Cohort Markov model, which captured patients costs and outcomes over a 5-year time horizon </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Health states</w:t>
            </w:r>
          </w:p>
        </w:tc>
        <w:tc>
          <w:tcPr>
            <w:tcW w:w="0" w:type="auto"/>
          </w:tcPr>
          <w:p w:rsidR="004F70E1" w:rsidRPr="005C333D" w:rsidRDefault="004F70E1" w:rsidP="0081533B">
            <w:pPr>
              <w:keepNext/>
              <w:rPr>
                <w:rFonts w:ascii="Arial Narrow" w:hAnsi="Arial Narrow"/>
                <w:sz w:val="20"/>
                <w:szCs w:val="20"/>
              </w:rPr>
            </w:pPr>
            <w:r w:rsidRPr="005C333D">
              <w:rPr>
                <w:rFonts w:ascii="Arial Narrow" w:hAnsi="Arial Narrow"/>
                <w:sz w:val="20"/>
                <w:szCs w:val="20"/>
              </w:rPr>
              <w:t xml:space="preserve">4 health states (Treatment initiation, In response, Not in response, Dead). </w:t>
            </w:r>
            <w:r w:rsidRPr="005C333D">
              <w:rPr>
                <w:rFonts w:ascii="Arial Narrow" w:hAnsi="Arial Narrow"/>
                <w:iCs/>
                <w:sz w:val="20"/>
                <w:szCs w:val="20"/>
              </w:rPr>
              <w:t xml:space="preserve">The model presented was an adaptation of a model previously assessed by NICE (TA369, 2015) for the same indication ( submission). A similar model was also assessed by SMC (1089/15, 2015). The model NICE &amp; SMC evaluated had 7 health states. The main differences were 3 additional health states related to punctal plugs. The submission noted that use of punctal occlusion is limited in Australia and its effectiveness has yet to be established, therefore these 3 health states </w:t>
            </w:r>
            <w:r w:rsidR="00F16521" w:rsidRPr="005C333D">
              <w:rPr>
                <w:rFonts w:ascii="Arial Narrow" w:hAnsi="Arial Narrow"/>
                <w:iCs/>
                <w:sz w:val="20"/>
                <w:szCs w:val="20"/>
              </w:rPr>
              <w:t>were</w:t>
            </w:r>
            <w:r w:rsidRPr="005C333D">
              <w:rPr>
                <w:rFonts w:ascii="Arial Narrow" w:hAnsi="Arial Narrow"/>
                <w:iCs/>
                <w:sz w:val="20"/>
                <w:szCs w:val="20"/>
              </w:rPr>
              <w:t xml:space="preserve"> excluded.</w:t>
            </w:r>
            <w:r w:rsidR="00F16521" w:rsidRPr="005C333D">
              <w:rPr>
                <w:rFonts w:ascii="Arial Narrow" w:hAnsi="Arial Narrow"/>
                <w:iCs/>
                <w:sz w:val="20"/>
                <w:szCs w:val="20"/>
              </w:rPr>
              <w:t xml:space="preserve"> The impact </w:t>
            </w:r>
            <w:r w:rsidR="00E860B3" w:rsidRPr="005C333D">
              <w:rPr>
                <w:rFonts w:ascii="Arial Narrow" w:hAnsi="Arial Narrow"/>
                <w:iCs/>
                <w:sz w:val="20"/>
                <w:szCs w:val="20"/>
              </w:rPr>
              <w:t xml:space="preserve">of this exclusion </w:t>
            </w:r>
            <w:r w:rsidR="00F16521" w:rsidRPr="005C333D">
              <w:rPr>
                <w:rFonts w:ascii="Arial Narrow" w:hAnsi="Arial Narrow"/>
                <w:iCs/>
                <w:sz w:val="20"/>
                <w:szCs w:val="20"/>
              </w:rPr>
              <w:t>on the ICER is unknown.</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Cycle length</w:t>
            </w:r>
          </w:p>
        </w:tc>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3 months</w:t>
            </w:r>
          </w:p>
        </w:tc>
      </w:tr>
      <w:tr w:rsidR="004F70E1" w:rsidRPr="005C333D" w:rsidTr="004F70E1">
        <w:tc>
          <w:tcPr>
            <w:tcW w:w="0" w:type="auto"/>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Transition probabilities</w:t>
            </w:r>
          </w:p>
        </w:tc>
        <w:tc>
          <w:tcPr>
            <w:tcW w:w="0" w:type="auto"/>
          </w:tcPr>
          <w:p w:rsidR="00E9280D" w:rsidRPr="005C333D" w:rsidRDefault="004F70E1" w:rsidP="00CD26DE">
            <w:pPr>
              <w:pStyle w:val="PBACTableText"/>
              <w:keepNext/>
              <w:rPr>
                <w:i/>
                <w:iCs/>
              </w:rPr>
            </w:pPr>
            <w:r w:rsidRPr="005C333D">
              <w:rPr>
                <w:u w:val="single"/>
              </w:rPr>
              <w:t xml:space="preserve">Response rate at 6 months: </w:t>
            </w:r>
            <w:r w:rsidRPr="005C333D">
              <w:t>Severe keratitis subgroup from meta-analysis (meta-analysis CSR). The response rate applied in the model was based on data from the revised meta-analysis with a response definition of CFS improvement ≥ 3 &amp; OSDI improvement ≥ 30%.</w:t>
            </w:r>
            <w:r w:rsidRPr="005C333D">
              <w:rPr>
                <w:iCs/>
              </w:rPr>
              <w:t xml:space="preserve"> The definition of response differed from the primary outcome (CFS improvement ≥ 2 &amp; OSDI improvement ≥ 30%) of the SANSIKA trial and meta-analysis (Leonardi, 2019). </w:t>
            </w:r>
            <w:r w:rsidR="005F4553" w:rsidRPr="005C333D">
              <w:rPr>
                <w:iCs/>
              </w:rPr>
              <w:t xml:space="preserve">The pre-PBAC response stated that the response definition used in the base case matched </w:t>
            </w:r>
            <w:r w:rsidR="00C035FA" w:rsidRPr="005C333D">
              <w:rPr>
                <w:iCs/>
              </w:rPr>
              <w:t xml:space="preserve">the continuation criteria in the </w:t>
            </w:r>
            <w:r w:rsidR="005F4553" w:rsidRPr="005C333D">
              <w:rPr>
                <w:iCs/>
              </w:rPr>
              <w:t>proposed PBS listing.</w:t>
            </w:r>
          </w:p>
          <w:p w:rsidR="004F70E1" w:rsidRPr="005C333D" w:rsidRDefault="004F70E1" w:rsidP="00CD26DE">
            <w:pPr>
              <w:pStyle w:val="PBACTableText"/>
              <w:keepNext/>
              <w:widowControl w:val="0"/>
            </w:pPr>
          </w:p>
          <w:p w:rsidR="004F70E1" w:rsidRPr="005C333D" w:rsidRDefault="004F70E1" w:rsidP="00CD26DE">
            <w:pPr>
              <w:pStyle w:val="PBACTableText"/>
              <w:keepNext/>
              <w:widowControl w:val="0"/>
              <w:rPr>
                <w:i/>
                <w:vertAlign w:val="superscript"/>
              </w:rPr>
            </w:pPr>
            <w:r w:rsidRPr="005C333D">
              <w:rPr>
                <w:u w:val="single"/>
              </w:rPr>
              <w:t>Treatment discontinuation:</w:t>
            </w:r>
            <w:r w:rsidRPr="005C333D">
              <w:t xml:space="preserve"> SANSIKA trial.</w:t>
            </w:r>
            <w:r w:rsidRPr="005C333D">
              <w:rPr>
                <w:i/>
                <w:iCs/>
              </w:rPr>
              <w:t xml:space="preserve"> </w:t>
            </w:r>
            <w:r w:rsidRPr="005C333D">
              <w:t>A pooled common rate of discontinuation was applied to both treatment and control arms post 90 days. Assumed discontinuations due to severe TRAEs were implicitly captured by the treatment discontinuation rate. Data to demonstrate and calculate these rates (daily discontinuation rate) could not be verified.</w:t>
            </w:r>
            <w:r w:rsidRPr="005C333D">
              <w:rPr>
                <w:i/>
              </w:rPr>
              <w:t xml:space="preserve"> </w:t>
            </w:r>
          </w:p>
          <w:p w:rsidR="004F70E1" w:rsidRPr="005C333D" w:rsidRDefault="004F70E1" w:rsidP="00CD26DE">
            <w:pPr>
              <w:pStyle w:val="PBACTableText"/>
              <w:keepNext/>
              <w:widowControl w:val="0"/>
            </w:pPr>
          </w:p>
          <w:p w:rsidR="004F70E1" w:rsidRPr="005C333D" w:rsidRDefault="004F70E1" w:rsidP="00CD26DE">
            <w:pPr>
              <w:keepNext/>
              <w:rPr>
                <w:rFonts w:ascii="Arial Narrow" w:hAnsi="Arial Narrow"/>
                <w:sz w:val="20"/>
                <w:szCs w:val="20"/>
              </w:rPr>
            </w:pPr>
            <w:r w:rsidRPr="005C333D">
              <w:rPr>
                <w:rFonts w:ascii="Arial Narrow" w:hAnsi="Arial Narrow"/>
                <w:sz w:val="20"/>
                <w:szCs w:val="20"/>
                <w:u w:val="single"/>
              </w:rPr>
              <w:t>Mortality:</w:t>
            </w:r>
            <w:r w:rsidRPr="005C333D">
              <w:rPr>
                <w:rFonts w:ascii="Arial Narrow" w:hAnsi="Arial Narrow"/>
                <w:sz w:val="20"/>
                <w:szCs w:val="20"/>
              </w:rPr>
              <w:t xml:space="preserve"> Australian life table. Independent of treatment response</w:t>
            </w:r>
          </w:p>
        </w:tc>
      </w:tr>
      <w:tr w:rsidR="004F70E1" w:rsidRPr="005C333D" w:rsidTr="004F70E1">
        <w:tc>
          <w:tcPr>
            <w:tcW w:w="0" w:type="auto"/>
            <w:vAlign w:val="center"/>
          </w:tcPr>
          <w:p w:rsidR="004F70E1" w:rsidRPr="005C333D" w:rsidRDefault="004F70E1" w:rsidP="00CD26DE">
            <w:pPr>
              <w:keepNext/>
              <w:rPr>
                <w:rFonts w:ascii="Arial Narrow" w:hAnsi="Arial Narrow"/>
                <w:sz w:val="20"/>
                <w:szCs w:val="20"/>
              </w:rPr>
            </w:pPr>
            <w:r w:rsidRPr="005C333D">
              <w:rPr>
                <w:rFonts w:ascii="Arial Narrow" w:hAnsi="Arial Narrow"/>
                <w:sz w:val="20"/>
                <w:szCs w:val="20"/>
              </w:rPr>
              <w:t>Utilities</w:t>
            </w:r>
          </w:p>
        </w:tc>
        <w:tc>
          <w:tcPr>
            <w:tcW w:w="0" w:type="auto"/>
          </w:tcPr>
          <w:p w:rsidR="004F70E1" w:rsidRPr="005C333D" w:rsidRDefault="004F70E1" w:rsidP="006905DF">
            <w:pPr>
              <w:pStyle w:val="PBACTableText"/>
              <w:keepNext/>
              <w:widowControl w:val="0"/>
              <w:rPr>
                <w:u w:val="single"/>
              </w:rPr>
            </w:pPr>
            <w:r w:rsidRPr="005C333D">
              <w:t xml:space="preserve">Utilities: Sourced from responders (defined as per PBS continuation rule) subgroup from SANSIKA. Same utilities for treatment initiation, responder and non-responder applied to both ciclosporin and BSC arms. </w:t>
            </w:r>
            <w:r w:rsidR="0095365E" w:rsidRPr="005C333D">
              <w:rPr>
                <w:iCs/>
              </w:rPr>
              <w:t xml:space="preserve">The treatment effect (utility change) of 0.104 was based on the </w:t>
            </w:r>
            <w:r w:rsidR="0095365E" w:rsidRPr="009B2A81">
              <w:rPr>
                <w:iCs/>
              </w:rPr>
              <w:t>average pooled responder’s change at 6 months. No adjustment</w:t>
            </w:r>
            <w:r w:rsidR="009B2A81" w:rsidRPr="009B2A81">
              <w:rPr>
                <w:iCs/>
              </w:rPr>
              <w:t xml:space="preserve"> for baseline utility was made.</w:t>
            </w:r>
            <w:r w:rsidR="0095365E" w:rsidRPr="009B2A81">
              <w:rPr>
                <w:iCs/>
                <w:vertAlign w:val="superscript"/>
              </w:rPr>
              <w:t>a</w:t>
            </w:r>
            <w:r w:rsidR="009B2A81" w:rsidRPr="009B2A81">
              <w:rPr>
                <w:iCs/>
                <w:vertAlign w:val="superscript"/>
              </w:rPr>
              <w:t xml:space="preserve"> </w:t>
            </w:r>
            <w:r w:rsidR="0095365E" w:rsidRPr="009B2A81">
              <w:rPr>
                <w:iCs/>
                <w:vertAlign w:val="superscript"/>
              </w:rPr>
              <w:t xml:space="preserve"> </w:t>
            </w:r>
            <w:r w:rsidR="0095365E" w:rsidRPr="009B2A81">
              <w:rPr>
                <w:iCs/>
              </w:rPr>
              <w:t xml:space="preserve">It is likely that utility change was overestimated due to lower baseline value of the responder arm and the large change among responders in the vehicle arm. </w:t>
            </w:r>
            <w:r w:rsidRPr="009B2A81">
              <w:rPr>
                <w:iCs/>
              </w:rPr>
              <w:t>The applied utility increase for treatment response (0.1040) was much larger than the difference in utility values by treatment arms reported in SANSIKA trial</w:t>
            </w:r>
            <w:r w:rsidR="003C618B" w:rsidRPr="009B2A81">
              <w:rPr>
                <w:iCs/>
              </w:rPr>
              <w:t xml:space="preserve"> (0.02 in </w:t>
            </w:r>
            <w:r w:rsidR="006905DF" w:rsidRPr="009B2A81">
              <w:rPr>
                <w:iCs/>
              </w:rPr>
              <w:t xml:space="preserve">the ciclosporin arm and 0.03 in the SOC </w:t>
            </w:r>
            <w:r w:rsidR="003C618B" w:rsidRPr="009B2A81">
              <w:rPr>
                <w:iCs/>
              </w:rPr>
              <w:t>arm)</w:t>
            </w:r>
            <w:r w:rsidRPr="009B2A81">
              <w:rPr>
                <w:iCs/>
              </w:rPr>
              <w:t>.</w:t>
            </w:r>
            <w:r w:rsidRPr="005C333D">
              <w:rPr>
                <w:iCs/>
              </w:rPr>
              <w:t xml:space="preserve"> </w:t>
            </w:r>
          </w:p>
        </w:tc>
      </w:tr>
    </w:tbl>
    <w:p w:rsidR="0095365E" w:rsidRPr="005C333D" w:rsidRDefault="0095365E" w:rsidP="0095365E">
      <w:pPr>
        <w:pStyle w:val="TableFigureFooter"/>
        <w:rPr>
          <w:i/>
          <w:iCs/>
        </w:rPr>
      </w:pPr>
      <w:r w:rsidRPr="005C333D">
        <w:rPr>
          <w:iCs/>
          <w:vertAlign w:val="superscript"/>
        </w:rPr>
        <w:t xml:space="preserve">a </w:t>
      </w:r>
      <w:r w:rsidRPr="005C333D">
        <w:rPr>
          <w:iCs/>
        </w:rPr>
        <w:t>Due to unavailable patient-level data, adjustments could not be made during the evaluation</w:t>
      </w:r>
      <w:r w:rsidRPr="005C333D">
        <w:rPr>
          <w:i/>
          <w:iCs/>
        </w:rPr>
        <w:t>.</w:t>
      </w:r>
    </w:p>
    <w:p w:rsidR="001B79C6" w:rsidRPr="005C333D" w:rsidRDefault="00141938" w:rsidP="004F70E1">
      <w:pPr>
        <w:pStyle w:val="TableFigureFooter"/>
      </w:pPr>
      <w:r w:rsidRPr="005C333D">
        <w:t xml:space="preserve">BSC = best supportive care; </w:t>
      </w:r>
      <w:r w:rsidR="001B79C6" w:rsidRPr="005C333D">
        <w:t>CFS</w:t>
      </w:r>
      <w:r w:rsidRPr="005C333D">
        <w:t xml:space="preserve"> </w:t>
      </w:r>
      <w:r w:rsidR="001B79C6" w:rsidRPr="005C333D">
        <w:t>= corneal fluorescent staining;</w:t>
      </w:r>
      <w:r w:rsidRPr="005C333D">
        <w:t xml:space="preserve"> DED = dry eye disease;</w:t>
      </w:r>
      <w:r w:rsidR="001B79C6" w:rsidRPr="005C333D">
        <w:t xml:space="preserve"> ICER</w:t>
      </w:r>
      <w:r w:rsidRPr="005C333D">
        <w:t xml:space="preserve"> </w:t>
      </w:r>
      <w:r w:rsidR="001B79C6" w:rsidRPr="005C333D">
        <w:t xml:space="preserve">= incremental cost-effectiveness ratio; </w:t>
      </w:r>
      <w:r w:rsidRPr="005C333D">
        <w:t xml:space="preserve">NICE = National Institute for Health and Care Excellence; </w:t>
      </w:r>
      <w:r w:rsidR="001B79C6" w:rsidRPr="005C333D">
        <w:t>OSDI</w:t>
      </w:r>
      <w:r w:rsidRPr="005C333D">
        <w:t xml:space="preserve"> </w:t>
      </w:r>
      <w:r w:rsidR="001B79C6" w:rsidRPr="005C333D">
        <w:t xml:space="preserve">= ocular disease surface index; </w:t>
      </w:r>
      <w:r w:rsidRPr="005C333D">
        <w:t xml:space="preserve">PBS = Pharmaceutical Benefits Scheme; </w:t>
      </w:r>
      <w:r w:rsidR="001B79C6" w:rsidRPr="005C333D">
        <w:t>SMC</w:t>
      </w:r>
      <w:r w:rsidRPr="005C333D">
        <w:t xml:space="preserve"> </w:t>
      </w:r>
      <w:r w:rsidR="001B79C6" w:rsidRPr="005C333D">
        <w:t xml:space="preserve">= Scottish Medicines Consortium; </w:t>
      </w:r>
      <w:r w:rsidR="006905DF" w:rsidRPr="005C333D">
        <w:t xml:space="preserve">SOC = standard of care; </w:t>
      </w:r>
      <w:r w:rsidR="001B79C6" w:rsidRPr="005C333D">
        <w:t>TEAE</w:t>
      </w:r>
      <w:r w:rsidRPr="005C333D">
        <w:t xml:space="preserve"> </w:t>
      </w:r>
      <w:r w:rsidR="001B79C6" w:rsidRPr="005C333D">
        <w:t>= treatment emergent adverse event</w:t>
      </w:r>
      <w:r w:rsidR="00917CA2" w:rsidRPr="005C333D">
        <w:t>; TRAE</w:t>
      </w:r>
      <w:r w:rsidRPr="005C333D">
        <w:t xml:space="preserve"> </w:t>
      </w:r>
      <w:r w:rsidR="00917CA2" w:rsidRPr="005C333D">
        <w:t>= treatment related adverse event</w:t>
      </w:r>
    </w:p>
    <w:p w:rsidR="001B79C6" w:rsidRPr="005C333D" w:rsidRDefault="001B79C6" w:rsidP="004F70E1">
      <w:pPr>
        <w:pStyle w:val="TableFigureFooter"/>
      </w:pPr>
      <w:r w:rsidRPr="005C333D">
        <w:t>Source: Table 3.1.1, p101of the submission and compiled during the evaluation.</w:t>
      </w:r>
    </w:p>
    <w:p w:rsidR="00BD4A1A" w:rsidRPr="005C333D" w:rsidRDefault="00BD4A1A" w:rsidP="00BD4A1A">
      <w:pPr>
        <w:pStyle w:val="TableFigureFooter"/>
        <w:rPr>
          <w:i/>
        </w:rPr>
      </w:pPr>
    </w:p>
    <w:p w:rsidR="003A4463" w:rsidRDefault="003A4463">
      <w:pPr>
        <w:jc w:val="left"/>
        <w:rPr>
          <w:rFonts w:asciiTheme="minorHAnsi" w:hAnsiTheme="minorHAnsi"/>
        </w:rPr>
      </w:pPr>
      <w:r>
        <w:br w:type="page"/>
      </w:r>
    </w:p>
    <w:p w:rsidR="00490B17" w:rsidRPr="005C333D" w:rsidRDefault="00365219" w:rsidP="00B73532">
      <w:pPr>
        <w:pStyle w:val="3-BodyText"/>
      </w:pPr>
      <w:r w:rsidRPr="005C333D">
        <w:rPr>
          <w:snapToGrid/>
        </w:rPr>
        <w:t xml:space="preserve">Table </w:t>
      </w:r>
      <w:r w:rsidR="001F3494" w:rsidRPr="005C333D">
        <w:rPr>
          <w:snapToGrid/>
        </w:rPr>
        <w:t>9</w:t>
      </w:r>
      <w:r w:rsidR="00515DFF" w:rsidRPr="005C333D">
        <w:rPr>
          <w:snapToGrid/>
        </w:rPr>
        <w:t xml:space="preserve"> </w:t>
      </w:r>
      <w:r w:rsidR="009D187E" w:rsidRPr="005C333D">
        <w:rPr>
          <w:snapToGrid/>
        </w:rPr>
        <w:t>summari</w:t>
      </w:r>
      <w:r w:rsidR="0023724E" w:rsidRPr="005C333D">
        <w:rPr>
          <w:snapToGrid/>
        </w:rPr>
        <w:t>s</w:t>
      </w:r>
      <w:r w:rsidR="009D187E" w:rsidRPr="005C333D">
        <w:rPr>
          <w:snapToGrid/>
        </w:rPr>
        <w:t>es</w:t>
      </w:r>
      <w:r w:rsidRPr="005C333D">
        <w:rPr>
          <w:snapToGrid/>
        </w:rPr>
        <w:t xml:space="preserve"> the key drivers of the model. </w:t>
      </w:r>
    </w:p>
    <w:p w:rsidR="00D110BD" w:rsidRPr="005C333D" w:rsidRDefault="00D110BD" w:rsidP="00BB00B3">
      <w:pPr>
        <w:pStyle w:val="TableFigureHeading"/>
        <w:rPr>
          <w:rStyle w:val="CommentReference"/>
          <w:b/>
          <w:szCs w:val="24"/>
        </w:rPr>
      </w:pPr>
      <w:r w:rsidRPr="005C333D">
        <w:rPr>
          <w:rStyle w:val="CommentReference"/>
          <w:b/>
          <w:szCs w:val="24"/>
        </w:rPr>
        <w:t xml:space="preserve">Table </w:t>
      </w:r>
      <w:r w:rsidR="001F3494" w:rsidRPr="005C333D">
        <w:rPr>
          <w:rStyle w:val="CommentReference"/>
          <w:b/>
          <w:szCs w:val="24"/>
        </w:rPr>
        <w:t>9</w:t>
      </w:r>
      <w:r w:rsidRPr="005C333D">
        <w:rPr>
          <w:rStyle w:val="CommentReference"/>
          <w:b/>
          <w:szCs w:val="24"/>
        </w:rPr>
        <w:t>: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5"/>
        <w:gridCol w:w="5605"/>
        <w:gridCol w:w="2387"/>
      </w:tblGrid>
      <w:tr w:rsidR="003D2DED" w:rsidRPr="005C333D" w:rsidTr="00DB3B08">
        <w:trPr>
          <w:tblHeader/>
        </w:trPr>
        <w:tc>
          <w:tcPr>
            <w:tcW w:w="0" w:type="auto"/>
            <w:shd w:val="clear" w:color="auto" w:fill="auto"/>
            <w:vAlign w:val="center"/>
          </w:tcPr>
          <w:p w:rsidR="00D110BD" w:rsidRPr="005C333D" w:rsidRDefault="00D110BD" w:rsidP="00BB00B3">
            <w:pPr>
              <w:pStyle w:val="In-tableHeading"/>
              <w:jc w:val="center"/>
              <w:rPr>
                <w:lang w:val="en-AU"/>
              </w:rPr>
            </w:pPr>
            <w:r w:rsidRPr="005C333D">
              <w:rPr>
                <w:lang w:val="en-AU"/>
              </w:rPr>
              <w:t>Description</w:t>
            </w:r>
          </w:p>
        </w:tc>
        <w:tc>
          <w:tcPr>
            <w:tcW w:w="0" w:type="auto"/>
            <w:shd w:val="clear" w:color="auto" w:fill="auto"/>
            <w:vAlign w:val="center"/>
          </w:tcPr>
          <w:p w:rsidR="00D110BD" w:rsidRPr="005C333D" w:rsidRDefault="00D110BD" w:rsidP="000A7453">
            <w:pPr>
              <w:pStyle w:val="In-tableHeading"/>
              <w:jc w:val="center"/>
              <w:rPr>
                <w:lang w:val="en-AU"/>
              </w:rPr>
            </w:pPr>
            <w:r w:rsidRPr="005C333D">
              <w:rPr>
                <w:lang w:val="en-AU"/>
              </w:rPr>
              <w:t>Method/Value</w:t>
            </w:r>
          </w:p>
        </w:tc>
        <w:tc>
          <w:tcPr>
            <w:tcW w:w="0" w:type="auto"/>
            <w:shd w:val="clear" w:color="auto" w:fill="auto"/>
            <w:vAlign w:val="center"/>
          </w:tcPr>
          <w:p w:rsidR="00B90E7E" w:rsidRPr="005C333D" w:rsidRDefault="00D110BD" w:rsidP="00B90E7E">
            <w:pPr>
              <w:pStyle w:val="In-tableHeading"/>
              <w:jc w:val="center"/>
              <w:rPr>
                <w:rFonts w:cs="Arial"/>
                <w:szCs w:val="20"/>
                <w:lang w:val="en-AU"/>
              </w:rPr>
            </w:pPr>
            <w:r w:rsidRPr="005C333D">
              <w:rPr>
                <w:lang w:val="en-AU"/>
              </w:rPr>
              <w:t>Impact</w:t>
            </w:r>
            <w:r w:rsidR="00354F64" w:rsidRPr="005C333D">
              <w:rPr>
                <w:rFonts w:cs="Arial"/>
                <w:szCs w:val="20"/>
                <w:lang w:val="en-AU"/>
              </w:rPr>
              <w:t xml:space="preserve"> </w:t>
            </w:r>
          </w:p>
          <w:p w:rsidR="00490B17" w:rsidRPr="005C333D" w:rsidRDefault="00490B17" w:rsidP="00141938">
            <w:pPr>
              <w:pStyle w:val="In-tableHeading"/>
              <w:jc w:val="center"/>
              <w:rPr>
                <w:lang w:val="en-AU"/>
              </w:rPr>
            </w:pPr>
            <w:r w:rsidRPr="005C333D">
              <w:rPr>
                <w:rFonts w:cs="Arial"/>
                <w:szCs w:val="20"/>
                <w:lang w:val="en-AU"/>
              </w:rPr>
              <w:t>Base case: $</w:t>
            </w:r>
            <w:r w:rsidR="00CC4A22">
              <w:rPr>
                <w:noProof/>
                <w:color w:val="000000"/>
                <w:highlight w:val="black"/>
                <w:lang w:val="en-AU"/>
              </w:rPr>
              <w:t>''''''''''''''</w:t>
            </w:r>
            <w:r w:rsidR="0067396F">
              <w:rPr>
                <w:vertAlign w:val="superscript"/>
              </w:rPr>
              <w:t>1</w:t>
            </w:r>
            <w:r w:rsidRPr="005C333D">
              <w:rPr>
                <w:rFonts w:cs="Arial"/>
                <w:szCs w:val="20"/>
                <w:lang w:val="en-AU"/>
              </w:rPr>
              <w:t>/QALY gained</w:t>
            </w:r>
          </w:p>
        </w:tc>
      </w:tr>
      <w:tr w:rsidR="003D2DED" w:rsidRPr="005C333D" w:rsidTr="00DB3B08">
        <w:tc>
          <w:tcPr>
            <w:tcW w:w="0" w:type="auto"/>
            <w:shd w:val="clear" w:color="auto" w:fill="auto"/>
            <w:vAlign w:val="center"/>
          </w:tcPr>
          <w:p w:rsidR="00D110BD" w:rsidRPr="005C333D" w:rsidRDefault="00106B80" w:rsidP="00BB00B3">
            <w:pPr>
              <w:pStyle w:val="TableText0"/>
              <w:jc w:val="center"/>
            </w:pPr>
            <w:r w:rsidRPr="005C333D">
              <w:t>Utilities</w:t>
            </w:r>
          </w:p>
        </w:tc>
        <w:tc>
          <w:tcPr>
            <w:tcW w:w="0" w:type="auto"/>
            <w:shd w:val="clear" w:color="auto" w:fill="auto"/>
            <w:vAlign w:val="center"/>
          </w:tcPr>
          <w:p w:rsidR="00D110BD" w:rsidRPr="005C333D" w:rsidRDefault="0089725C" w:rsidP="00BB00B3">
            <w:pPr>
              <w:pStyle w:val="TableText0"/>
              <w:rPr>
                <w:iCs/>
                <w:vertAlign w:val="superscript"/>
              </w:rPr>
            </w:pPr>
            <w:r w:rsidRPr="005C333D">
              <w:t xml:space="preserve">Sourced from SANSIKA trial (based on post-hoc analysis of severe subgroup who responded as per proposed continuation rule). </w:t>
            </w:r>
          </w:p>
          <w:p w:rsidR="0089725C" w:rsidRPr="005C333D" w:rsidRDefault="0089725C" w:rsidP="006905DF">
            <w:pPr>
              <w:pStyle w:val="TableText0"/>
              <w:rPr>
                <w:i/>
                <w:iCs/>
              </w:rPr>
            </w:pPr>
            <w:r w:rsidRPr="005C333D">
              <w:rPr>
                <w:iCs/>
              </w:rPr>
              <w:t>The applied utility increase for treatment response (0.1040) is much larger than the difference in utility values by treatment arms reported in SANSIKA trial</w:t>
            </w:r>
            <w:r w:rsidR="007A32AC" w:rsidRPr="005C333D">
              <w:rPr>
                <w:iCs/>
              </w:rPr>
              <w:t xml:space="preserve"> (0.02 in </w:t>
            </w:r>
            <w:r w:rsidR="006905DF" w:rsidRPr="005C333D">
              <w:rPr>
                <w:iCs/>
              </w:rPr>
              <w:t>in the ciclosporin arm and 0.03 in the BSC arm</w:t>
            </w:r>
            <w:r w:rsidR="007A32AC" w:rsidRPr="005C333D">
              <w:rPr>
                <w:iCs/>
              </w:rPr>
              <w:t>)</w:t>
            </w:r>
            <w:r w:rsidRPr="005C333D">
              <w:rPr>
                <w:iCs/>
              </w:rPr>
              <w:t>.</w:t>
            </w:r>
          </w:p>
        </w:tc>
        <w:tc>
          <w:tcPr>
            <w:tcW w:w="0" w:type="auto"/>
            <w:shd w:val="clear" w:color="auto" w:fill="auto"/>
            <w:vAlign w:val="center"/>
          </w:tcPr>
          <w:p w:rsidR="0089725C" w:rsidRPr="005C333D" w:rsidRDefault="00537182" w:rsidP="008D743C">
            <w:pPr>
              <w:pStyle w:val="TableText0"/>
            </w:pPr>
            <w:r w:rsidRPr="005C333D">
              <w:t xml:space="preserve">High, favours </w:t>
            </w:r>
            <w:r w:rsidR="0089725C" w:rsidRPr="005C333D">
              <w:t xml:space="preserve">ciclosporin. </w:t>
            </w:r>
          </w:p>
          <w:p w:rsidR="0089725C" w:rsidRPr="005C333D" w:rsidRDefault="0089725C" w:rsidP="008D743C">
            <w:pPr>
              <w:pStyle w:val="TableText0"/>
            </w:pPr>
          </w:p>
          <w:p w:rsidR="00D110BD" w:rsidRPr="005C333D" w:rsidRDefault="0089725C" w:rsidP="003C618B">
            <w:pPr>
              <w:pStyle w:val="TableText0"/>
              <w:rPr>
                <w:i/>
              </w:rPr>
            </w:pPr>
            <w:r w:rsidRPr="005C333D">
              <w:rPr>
                <w:iCs/>
              </w:rPr>
              <w:t xml:space="preserve">Applying a much smaller </w:t>
            </w:r>
            <w:r w:rsidR="003C618B" w:rsidRPr="005C333D">
              <w:rPr>
                <w:iCs/>
              </w:rPr>
              <w:t xml:space="preserve">utility </w:t>
            </w:r>
            <w:r w:rsidRPr="005C333D">
              <w:rPr>
                <w:iCs/>
              </w:rPr>
              <w:t xml:space="preserve">gain as reported in the SANSIKA trial </w:t>
            </w:r>
            <w:r w:rsidR="003C618B" w:rsidRPr="005C333D">
              <w:rPr>
                <w:iCs/>
              </w:rPr>
              <w:t xml:space="preserve">increased the </w:t>
            </w:r>
            <w:r w:rsidRPr="005C333D">
              <w:rPr>
                <w:iCs/>
              </w:rPr>
              <w:t>ICER to $</w:t>
            </w:r>
            <w:r w:rsidR="00CC4A22">
              <w:rPr>
                <w:iCs/>
                <w:noProof/>
                <w:color w:val="000000"/>
                <w:highlight w:val="black"/>
              </w:rPr>
              <w:t>'''''''''''''''''''</w:t>
            </w:r>
            <w:r w:rsidR="0067396F">
              <w:rPr>
                <w:vertAlign w:val="superscript"/>
              </w:rPr>
              <w:t>2</w:t>
            </w:r>
            <w:r w:rsidRPr="005C333D">
              <w:rPr>
                <w:iCs/>
              </w:rPr>
              <w:t xml:space="preserve"> per QALY gained</w:t>
            </w:r>
          </w:p>
        </w:tc>
      </w:tr>
      <w:tr w:rsidR="003D2DED" w:rsidRPr="005C333D" w:rsidTr="00DB3B08">
        <w:tc>
          <w:tcPr>
            <w:tcW w:w="0" w:type="auto"/>
            <w:shd w:val="clear" w:color="auto" w:fill="auto"/>
            <w:vAlign w:val="center"/>
          </w:tcPr>
          <w:p w:rsidR="00D110BD" w:rsidRPr="005C333D" w:rsidRDefault="0089725C" w:rsidP="00BB00B3">
            <w:pPr>
              <w:pStyle w:val="TableText0"/>
              <w:jc w:val="center"/>
            </w:pPr>
            <w:r w:rsidRPr="005C333D">
              <w:t>Responder criteria</w:t>
            </w:r>
          </w:p>
        </w:tc>
        <w:tc>
          <w:tcPr>
            <w:tcW w:w="0" w:type="auto"/>
            <w:shd w:val="clear" w:color="auto" w:fill="auto"/>
            <w:vAlign w:val="center"/>
          </w:tcPr>
          <w:p w:rsidR="00D110BD" w:rsidRPr="005C333D" w:rsidRDefault="003D2DED" w:rsidP="003D2DED">
            <w:pPr>
              <w:pStyle w:val="TableText0"/>
            </w:pPr>
            <w:r w:rsidRPr="005C333D">
              <w:rPr>
                <w:iCs/>
              </w:rPr>
              <w:t>B</w:t>
            </w:r>
            <w:r w:rsidR="004C712D" w:rsidRPr="005C333D">
              <w:rPr>
                <w:iCs/>
              </w:rPr>
              <w:t>ased on revised meta-analysis with a response definition of CFS improvement ≥ 3 &amp; OSDI improvement ≥ 30% and subgroup post-hoc analysis</w:t>
            </w:r>
            <w:r w:rsidRPr="005C333D">
              <w:rPr>
                <w:iCs/>
              </w:rPr>
              <w:t xml:space="preserve"> (response rates = 17.6% for the ciclosporin arm and 5.6% for the BSC arm</w:t>
            </w:r>
            <w:r w:rsidR="004C712D" w:rsidRPr="005C333D">
              <w:rPr>
                <w:iCs/>
              </w:rPr>
              <w:t xml:space="preserve">. </w:t>
            </w:r>
            <w:r w:rsidR="00BF7287" w:rsidRPr="005C333D">
              <w:rPr>
                <w:iCs/>
              </w:rPr>
              <w:t xml:space="preserve">The </w:t>
            </w:r>
            <w:r w:rsidRPr="005C333D">
              <w:rPr>
                <w:iCs/>
              </w:rPr>
              <w:t xml:space="preserve">response definition of the </w:t>
            </w:r>
            <w:r w:rsidR="00BF7287" w:rsidRPr="005C333D">
              <w:rPr>
                <w:iCs/>
              </w:rPr>
              <w:t>p</w:t>
            </w:r>
            <w:r w:rsidR="004C712D" w:rsidRPr="005C333D">
              <w:rPr>
                <w:iCs/>
              </w:rPr>
              <w:t xml:space="preserve">rimary outcome of SANSIKA trial was </w:t>
            </w:r>
            <w:r w:rsidRPr="005C333D">
              <w:rPr>
                <w:iCs/>
              </w:rPr>
              <w:t xml:space="preserve">CFS improvement ≥ 2 &amp; OSDI improvement ≥ 30% (response rates = </w:t>
            </w:r>
            <w:r w:rsidR="004C712D" w:rsidRPr="005C333D">
              <w:rPr>
                <w:iCs/>
              </w:rPr>
              <w:t xml:space="preserve">28.60% </w:t>
            </w:r>
            <w:r w:rsidRPr="005C333D">
              <w:rPr>
                <w:iCs/>
              </w:rPr>
              <w:t xml:space="preserve">for the ciclosporin arm and </w:t>
            </w:r>
            <w:r w:rsidR="004C712D" w:rsidRPr="005C333D">
              <w:rPr>
                <w:iCs/>
              </w:rPr>
              <w:t>23.10%</w:t>
            </w:r>
            <w:r w:rsidRPr="005C333D">
              <w:rPr>
                <w:iCs/>
              </w:rPr>
              <w:t xml:space="preserve"> for the BSC arm)</w:t>
            </w:r>
            <w:r w:rsidR="004C712D" w:rsidRPr="005C333D">
              <w:rPr>
                <w:iCs/>
              </w:rPr>
              <w:t>.</w:t>
            </w:r>
          </w:p>
        </w:tc>
        <w:tc>
          <w:tcPr>
            <w:tcW w:w="0" w:type="auto"/>
            <w:shd w:val="clear" w:color="auto" w:fill="auto"/>
            <w:vAlign w:val="center"/>
          </w:tcPr>
          <w:p w:rsidR="00B90E7E" w:rsidRPr="005C333D" w:rsidRDefault="00B90E7E" w:rsidP="00B90E7E">
            <w:pPr>
              <w:pStyle w:val="TableText0"/>
            </w:pPr>
            <w:r w:rsidRPr="005C333D">
              <w:t xml:space="preserve">High, favours ciclosporin. </w:t>
            </w:r>
          </w:p>
          <w:p w:rsidR="0022291C" w:rsidRPr="005C333D" w:rsidRDefault="0022291C" w:rsidP="00B90E7E">
            <w:pPr>
              <w:pStyle w:val="TableText0"/>
            </w:pPr>
          </w:p>
          <w:p w:rsidR="00D110BD" w:rsidRPr="005C333D" w:rsidRDefault="00B90E7E" w:rsidP="00B90E7E">
            <w:pPr>
              <w:pStyle w:val="TableText0"/>
            </w:pPr>
            <w:r w:rsidRPr="005C333D">
              <w:t xml:space="preserve">Applying rate from primary outcome of SANSIKA trial increased </w:t>
            </w:r>
            <w:r w:rsidR="003C618B" w:rsidRPr="005C333D">
              <w:t xml:space="preserve">the </w:t>
            </w:r>
            <w:r w:rsidRPr="005C333D">
              <w:t>I</w:t>
            </w:r>
            <w:r w:rsidRPr="005C333D">
              <w:rPr>
                <w:iCs/>
              </w:rPr>
              <w:t xml:space="preserve">CER </w:t>
            </w:r>
            <w:r w:rsidR="00515DFF" w:rsidRPr="005C333D">
              <w:rPr>
                <w:iCs/>
              </w:rPr>
              <w:t xml:space="preserve">to </w:t>
            </w:r>
            <w:r w:rsidRPr="005C333D">
              <w:rPr>
                <w:iCs/>
              </w:rPr>
              <w:t>$</w:t>
            </w:r>
            <w:r w:rsidR="00CC4A22">
              <w:rPr>
                <w:iCs/>
                <w:noProof/>
                <w:color w:val="000000"/>
                <w:highlight w:val="black"/>
              </w:rPr>
              <w:t>'''''''''''''''</w:t>
            </w:r>
            <w:r w:rsidR="009B1817">
              <w:rPr>
                <w:vertAlign w:val="superscript"/>
              </w:rPr>
              <w:t xml:space="preserve">3 </w:t>
            </w:r>
            <w:r w:rsidRPr="005C333D">
              <w:rPr>
                <w:iCs/>
              </w:rPr>
              <w:t>per QALY gained</w:t>
            </w:r>
            <w:r w:rsidRPr="005C333D">
              <w:rPr>
                <w:i/>
                <w:iCs/>
              </w:rPr>
              <w:t xml:space="preserve"> </w:t>
            </w:r>
          </w:p>
        </w:tc>
      </w:tr>
    </w:tbl>
    <w:p w:rsidR="00141938" w:rsidRPr="005C333D" w:rsidRDefault="00141938" w:rsidP="00BB00B3">
      <w:pPr>
        <w:pStyle w:val="TableFigureFooter"/>
      </w:pPr>
      <w:r w:rsidRPr="005C333D">
        <w:t>BSC = best supportive care; CFS = corneal fluorescent staining; ICER = incremental cost effectiveness ratio; OSDI = ocular surface disease index; QALY = quality adjusted life year</w:t>
      </w:r>
    </w:p>
    <w:p w:rsidR="00D110BD" w:rsidRDefault="009D792E" w:rsidP="00BB00B3">
      <w:pPr>
        <w:pStyle w:val="TableFigureFooter"/>
      </w:pPr>
      <w:r w:rsidRPr="005C333D">
        <w:t xml:space="preserve">Source: </w:t>
      </w:r>
      <w:r w:rsidR="00B90E7E" w:rsidRPr="005C333D">
        <w:t>Compiled during the evaluation</w:t>
      </w:r>
    </w:p>
    <w:p w:rsidR="003A4463" w:rsidRPr="009B1817" w:rsidRDefault="003A4463" w:rsidP="00BB00B3">
      <w:pPr>
        <w:pStyle w:val="TableFigureFooter"/>
        <w:rPr>
          <w:i/>
        </w:rPr>
      </w:pPr>
      <w:r w:rsidRPr="009B1817">
        <w:rPr>
          <w:i/>
        </w:rPr>
        <w:t>The redacted values correspond to the following ranges:</w:t>
      </w:r>
    </w:p>
    <w:p w:rsidR="003A4463" w:rsidRPr="009B1817" w:rsidRDefault="003A4463" w:rsidP="00BB00B3">
      <w:pPr>
        <w:pStyle w:val="TableFigureFooter"/>
        <w:rPr>
          <w:i/>
        </w:rPr>
      </w:pPr>
      <w:r w:rsidRPr="009B1817">
        <w:rPr>
          <w:i/>
          <w:vertAlign w:val="superscript"/>
        </w:rPr>
        <w:t>1</w:t>
      </w:r>
      <w:r w:rsidRPr="009B1817">
        <w:rPr>
          <w:i/>
        </w:rPr>
        <w:t xml:space="preserve"> $15,000 to &lt; $25,000/QALY gained </w:t>
      </w:r>
    </w:p>
    <w:p w:rsidR="003A4463" w:rsidRPr="009B1817" w:rsidRDefault="003A4463" w:rsidP="00BB00B3">
      <w:pPr>
        <w:pStyle w:val="TableFigureFooter"/>
        <w:rPr>
          <w:i/>
        </w:rPr>
      </w:pPr>
      <w:r w:rsidRPr="009B1817">
        <w:rPr>
          <w:i/>
          <w:vertAlign w:val="superscript"/>
        </w:rPr>
        <w:t>2</w:t>
      </w:r>
      <w:r w:rsidRPr="009B1817">
        <w:rPr>
          <w:i/>
        </w:rPr>
        <w:t xml:space="preserve"> </w:t>
      </w:r>
      <w:r w:rsidR="0067396F" w:rsidRPr="009B1817">
        <w:rPr>
          <w:i/>
        </w:rPr>
        <w:t xml:space="preserve">$155,000 to &lt; $255,000/QALY gained </w:t>
      </w:r>
    </w:p>
    <w:p w:rsidR="0067396F" w:rsidRPr="009B1817" w:rsidRDefault="0067396F" w:rsidP="00BB00B3">
      <w:pPr>
        <w:pStyle w:val="TableFigureFooter"/>
        <w:rPr>
          <w:i/>
        </w:rPr>
      </w:pPr>
      <w:r w:rsidRPr="009B1817">
        <w:rPr>
          <w:i/>
          <w:vertAlign w:val="superscript"/>
        </w:rPr>
        <w:t>3</w:t>
      </w:r>
      <w:r w:rsidRPr="009B1817">
        <w:rPr>
          <w:i/>
        </w:rPr>
        <w:t xml:space="preserve"> $75,000 to &lt; $95,000/</w:t>
      </w:r>
      <w:r w:rsidR="009B1817" w:rsidRPr="009B1817">
        <w:rPr>
          <w:i/>
        </w:rPr>
        <w:t xml:space="preserve">QALY gained </w:t>
      </w:r>
    </w:p>
    <w:p w:rsidR="009B1817" w:rsidRPr="0067396F" w:rsidRDefault="009B1817" w:rsidP="00BB00B3">
      <w:pPr>
        <w:pStyle w:val="TableFigureFooter"/>
      </w:pPr>
    </w:p>
    <w:p w:rsidR="00B90E7E" w:rsidRPr="005C333D" w:rsidRDefault="00B90E7E" w:rsidP="00B73532">
      <w:pPr>
        <w:pStyle w:val="3-BodyText"/>
      </w:pPr>
      <w:r w:rsidRPr="005C333D">
        <w:t xml:space="preserve">Table </w:t>
      </w:r>
      <w:r w:rsidR="00193306" w:rsidRPr="005C333D">
        <w:t>1</w:t>
      </w:r>
      <w:r w:rsidR="001F3494" w:rsidRPr="005C333D">
        <w:t>0</w:t>
      </w:r>
      <w:r w:rsidR="00515DFF" w:rsidRPr="005C333D">
        <w:t xml:space="preserve"> </w:t>
      </w:r>
      <w:r w:rsidRPr="005C333D">
        <w:t>presents the results of the stepped economic evaluation.</w:t>
      </w:r>
    </w:p>
    <w:p w:rsidR="00D110BD" w:rsidRPr="005C333D" w:rsidRDefault="005A373D" w:rsidP="00BB00B3">
      <w:pPr>
        <w:pStyle w:val="TableFigureHeading"/>
        <w:rPr>
          <w:rStyle w:val="CommentReference"/>
          <w:b/>
          <w:szCs w:val="24"/>
        </w:rPr>
      </w:pPr>
      <w:r w:rsidRPr="005C333D">
        <w:rPr>
          <w:rStyle w:val="CommentReference"/>
          <w:b/>
          <w:szCs w:val="24"/>
        </w:rPr>
        <w:t xml:space="preserve">Table </w:t>
      </w:r>
      <w:r w:rsidR="00694367" w:rsidRPr="005C333D">
        <w:rPr>
          <w:rStyle w:val="CommentReference"/>
          <w:b/>
          <w:szCs w:val="24"/>
        </w:rPr>
        <w:t>1</w:t>
      </w:r>
      <w:r w:rsidR="001F3494" w:rsidRPr="005C333D">
        <w:rPr>
          <w:rStyle w:val="CommentReference"/>
          <w:b/>
          <w:szCs w:val="24"/>
        </w:rPr>
        <w:t>0</w:t>
      </w:r>
      <w:r w:rsidRPr="005C333D">
        <w:rPr>
          <w:rStyle w:val="CommentReference"/>
          <w:b/>
          <w:szCs w:val="24"/>
        </w:rPr>
        <w:t>: Results of the stepped economic evaluation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341"/>
        <w:gridCol w:w="1986"/>
        <w:gridCol w:w="1933"/>
      </w:tblGrid>
      <w:tr w:rsidR="00B90E7E" w:rsidRPr="005C333D" w:rsidTr="00F1225D">
        <w:trPr>
          <w:tblHeader/>
          <w:jc w:val="center"/>
        </w:trPr>
        <w:tc>
          <w:tcPr>
            <w:tcW w:w="1529" w:type="pct"/>
            <w:vAlign w:val="center"/>
          </w:tcPr>
          <w:p w:rsidR="00B90E7E" w:rsidRPr="005C333D" w:rsidRDefault="00B90E7E" w:rsidP="003D2DED">
            <w:pPr>
              <w:pStyle w:val="TableFigureHeading"/>
            </w:pPr>
            <w:r w:rsidRPr="005C333D">
              <w:t>Step and component</w:t>
            </w:r>
          </w:p>
        </w:tc>
        <w:tc>
          <w:tcPr>
            <w:tcW w:w="1298" w:type="pct"/>
            <w:vAlign w:val="center"/>
          </w:tcPr>
          <w:p w:rsidR="00B90E7E" w:rsidRPr="005C333D" w:rsidRDefault="00B90E7E" w:rsidP="00CD26DE">
            <w:pPr>
              <w:pStyle w:val="TableFigureHeading"/>
              <w:jc w:val="center"/>
            </w:pPr>
            <w:r w:rsidRPr="005C333D">
              <w:t xml:space="preserve">Ciclosporin </w:t>
            </w:r>
            <w:r w:rsidRPr="005C333D">
              <w:rPr>
                <w:iCs/>
              </w:rPr>
              <w:t>+ BSC</w:t>
            </w:r>
          </w:p>
        </w:tc>
        <w:tc>
          <w:tcPr>
            <w:tcW w:w="1101" w:type="pct"/>
            <w:vAlign w:val="center"/>
          </w:tcPr>
          <w:p w:rsidR="00B90E7E" w:rsidRPr="005C333D" w:rsidRDefault="00B90E7E" w:rsidP="00CD26DE">
            <w:pPr>
              <w:pStyle w:val="TableFigureHeading"/>
              <w:jc w:val="center"/>
              <w:rPr>
                <w:iCs/>
              </w:rPr>
            </w:pPr>
            <w:r w:rsidRPr="005C333D">
              <w:rPr>
                <w:iCs/>
              </w:rPr>
              <w:t>BSC</w:t>
            </w:r>
          </w:p>
        </w:tc>
        <w:tc>
          <w:tcPr>
            <w:tcW w:w="1072" w:type="pct"/>
            <w:vAlign w:val="center"/>
          </w:tcPr>
          <w:p w:rsidR="00B90E7E" w:rsidRPr="005C333D" w:rsidRDefault="00B90E7E" w:rsidP="00CD26DE">
            <w:pPr>
              <w:pStyle w:val="TableFigureHeading"/>
              <w:jc w:val="center"/>
            </w:pPr>
            <w:r w:rsidRPr="005C333D">
              <w:t>Increment</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1a:</w:t>
            </w:r>
            <w:r w:rsidR="003D2DED" w:rsidRPr="005C333D">
              <w:t xml:space="preserve"> </w:t>
            </w:r>
            <w:r w:rsidRPr="005C333D">
              <w:t>Trial-based analysis using the 6-month results of the severe keratitis subgroup (CFS=4 OSDI ≥ 23 at baseline) from the meta-analysis (Leonardi 2019).</w:t>
            </w:r>
          </w:p>
          <w:p w:rsidR="00B90E7E" w:rsidRPr="005C333D" w:rsidRDefault="00B90E7E" w:rsidP="00CD26DE">
            <w:pPr>
              <w:pStyle w:val="TableText0"/>
              <w:keepNext/>
            </w:pPr>
          </w:p>
          <w:p w:rsidR="00B90E7E" w:rsidRPr="005C333D" w:rsidRDefault="00B90E7E" w:rsidP="00CD26DE">
            <w:pPr>
              <w:pStyle w:val="TableText0"/>
              <w:keepNext/>
            </w:pPr>
            <w:r w:rsidRPr="005C333D">
              <w:t>Outcome = CFS improvement ≥ 2 &amp; OSDI improvement ≥ 30% (primary endpoint of SANSIKA)</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jc w:val="center"/>
            </w:pPr>
            <w:r w:rsidRPr="005C333D">
              <w:t>$624</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 responder</w:t>
            </w:r>
          </w:p>
        </w:tc>
        <w:tc>
          <w:tcPr>
            <w:tcW w:w="1298" w:type="pct"/>
            <w:vAlign w:val="center"/>
          </w:tcPr>
          <w:p w:rsidR="00B90E7E" w:rsidRPr="005C333D" w:rsidRDefault="00B90E7E" w:rsidP="00CD26DE">
            <w:pPr>
              <w:pStyle w:val="TableText0"/>
              <w:keepNext/>
              <w:jc w:val="center"/>
            </w:pPr>
            <w:r w:rsidRPr="005C333D">
              <w:t>29.5</w:t>
            </w:r>
          </w:p>
        </w:tc>
        <w:tc>
          <w:tcPr>
            <w:tcW w:w="1101" w:type="pct"/>
            <w:vAlign w:val="center"/>
          </w:tcPr>
          <w:p w:rsidR="00B90E7E" w:rsidRPr="005C333D" w:rsidRDefault="00B90E7E" w:rsidP="00CD26DE">
            <w:pPr>
              <w:pStyle w:val="TableText0"/>
              <w:keepNext/>
              <w:jc w:val="center"/>
            </w:pPr>
            <w:r w:rsidRPr="005C333D">
              <w:t>18.3</w:t>
            </w:r>
          </w:p>
        </w:tc>
        <w:tc>
          <w:tcPr>
            <w:tcW w:w="1072" w:type="pct"/>
            <w:vAlign w:val="center"/>
          </w:tcPr>
          <w:p w:rsidR="00B90E7E" w:rsidRPr="005C333D" w:rsidRDefault="00B90E7E" w:rsidP="00CD26DE">
            <w:pPr>
              <w:pStyle w:val="TableText0"/>
              <w:keepNext/>
              <w:jc w:val="center"/>
            </w:pPr>
            <w:r w:rsidRPr="005C333D">
              <w:t>11.2</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pPr>
            <w:r w:rsidRPr="005C333D">
              <w:t>Incremental cost/extra responder at 6 months</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r w:rsidR="009B1817">
              <w:rPr>
                <w:vertAlign w:val="superscript"/>
              </w:rPr>
              <w:t>1</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1b:</w:t>
            </w:r>
            <w:r w:rsidR="003D2DED" w:rsidRPr="005C333D">
              <w:t xml:space="preserve"> </w:t>
            </w:r>
            <w:r w:rsidRPr="005C333D">
              <w:t>Trial-based analysis using the 6-month results of post-hoc analysis of the severe keratitis subgroup (CFS=4 OSDI ≥ 23 at baseline) from the meta-analysis (meta-analysis CSR).</w:t>
            </w:r>
          </w:p>
          <w:p w:rsidR="00B90E7E" w:rsidRPr="005C333D" w:rsidRDefault="00B90E7E" w:rsidP="00CD26DE">
            <w:pPr>
              <w:pStyle w:val="TableText0"/>
              <w:keepNext/>
            </w:pPr>
          </w:p>
          <w:p w:rsidR="00B90E7E" w:rsidRPr="005C333D" w:rsidRDefault="00B90E7E" w:rsidP="00CD26DE">
            <w:pPr>
              <w:pStyle w:val="TableText0"/>
              <w:keepNext/>
            </w:pPr>
            <w:r w:rsidRPr="005C333D">
              <w:t>Outcome = CFS improvement ≥</w:t>
            </w:r>
            <w:r w:rsidR="00141938" w:rsidRPr="005C333D">
              <w:t xml:space="preserve"> </w:t>
            </w:r>
            <w:r w:rsidRPr="005C333D">
              <w:t>3 &amp; OSDI improvement ≥</w:t>
            </w:r>
            <w:r w:rsidR="00141938" w:rsidRPr="005C333D">
              <w:t xml:space="preserve"> </w:t>
            </w:r>
            <w:r w:rsidRPr="005C333D">
              <w:t>30% (proposed response rule)</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jc w:val="center"/>
            </w:pPr>
            <w:r w:rsidRPr="005C333D">
              <w:t>$624</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 responder</w:t>
            </w:r>
          </w:p>
        </w:tc>
        <w:tc>
          <w:tcPr>
            <w:tcW w:w="1298" w:type="pct"/>
            <w:vAlign w:val="center"/>
          </w:tcPr>
          <w:p w:rsidR="00B90E7E" w:rsidRPr="005C333D" w:rsidRDefault="00B90E7E" w:rsidP="00CD26DE">
            <w:pPr>
              <w:pStyle w:val="TableText0"/>
              <w:keepNext/>
              <w:jc w:val="center"/>
            </w:pPr>
            <w:r w:rsidRPr="005C333D">
              <w:t>17.6</w:t>
            </w:r>
          </w:p>
        </w:tc>
        <w:tc>
          <w:tcPr>
            <w:tcW w:w="1101" w:type="pct"/>
            <w:vAlign w:val="center"/>
          </w:tcPr>
          <w:p w:rsidR="00B90E7E" w:rsidRPr="005C333D" w:rsidRDefault="00B90E7E" w:rsidP="00CD26DE">
            <w:pPr>
              <w:pStyle w:val="TableText0"/>
              <w:keepNext/>
              <w:jc w:val="center"/>
            </w:pPr>
            <w:r w:rsidRPr="005C333D">
              <w:t>5.6</w:t>
            </w:r>
          </w:p>
        </w:tc>
        <w:tc>
          <w:tcPr>
            <w:tcW w:w="1072" w:type="pct"/>
            <w:vAlign w:val="center"/>
          </w:tcPr>
          <w:p w:rsidR="00B90E7E" w:rsidRPr="005C333D" w:rsidRDefault="00B90E7E" w:rsidP="00CD26DE">
            <w:pPr>
              <w:pStyle w:val="TableText0"/>
              <w:keepNext/>
              <w:jc w:val="center"/>
            </w:pPr>
            <w:r w:rsidRPr="005C333D">
              <w:t>12.0</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pPr>
            <w:r w:rsidRPr="005C333D">
              <w:t>Incremental cost/extra responder at 6 months</w:t>
            </w:r>
          </w:p>
        </w:tc>
        <w:tc>
          <w:tcPr>
            <w:tcW w:w="1072" w:type="pct"/>
          </w:tcPr>
          <w:p w:rsidR="00B90E7E" w:rsidRPr="005C333D" w:rsidRDefault="00B90E7E" w:rsidP="00CD26DE">
            <w:pPr>
              <w:pStyle w:val="TableText0"/>
              <w:keepNext/>
              <w:jc w:val="center"/>
            </w:pPr>
            <w:r w:rsidRPr="005C333D">
              <w:t>$</w:t>
            </w:r>
            <w:r w:rsidR="00CC4A22">
              <w:rPr>
                <w:noProof/>
                <w:color w:val="000000"/>
                <w:highlight w:val="black"/>
              </w:rPr>
              <w:t>'''''''''''''''''''</w:t>
            </w:r>
            <w:r w:rsidR="009B1817">
              <w:rPr>
                <w:vertAlign w:val="superscript"/>
              </w:rPr>
              <w:t>1</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2a:</w:t>
            </w:r>
            <w:r w:rsidR="003D2DED" w:rsidRPr="005C333D">
              <w:t xml:space="preserve"> </w:t>
            </w:r>
            <w:r w:rsidRPr="005C333D">
              <w:t>Model-based analysis; based on outcome as per Step 1b with application of utilities to yield quality-adjusted life years as an outcome; discounted costs and outcomes at 5% p.a</w:t>
            </w:r>
            <w:r w:rsidR="00F8364B" w:rsidRPr="005C333D">
              <w:t>.</w:t>
            </w:r>
            <w:r w:rsidRPr="005C333D">
              <w:t>; extrapolated to 1-year</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jc w:val="center"/>
            </w:pPr>
            <w:r w:rsidRPr="005C333D">
              <w:t>$1,181</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QALY</w:t>
            </w:r>
          </w:p>
        </w:tc>
        <w:tc>
          <w:tcPr>
            <w:tcW w:w="1298" w:type="pct"/>
            <w:vAlign w:val="center"/>
          </w:tcPr>
          <w:p w:rsidR="00B90E7E" w:rsidRPr="005C333D" w:rsidRDefault="00B90E7E" w:rsidP="00CD26DE">
            <w:pPr>
              <w:pStyle w:val="TableText0"/>
              <w:keepNext/>
              <w:jc w:val="center"/>
            </w:pPr>
            <w:r w:rsidRPr="005C333D">
              <w:t>0.6523</w:t>
            </w:r>
          </w:p>
        </w:tc>
        <w:tc>
          <w:tcPr>
            <w:tcW w:w="1101" w:type="pct"/>
            <w:vAlign w:val="center"/>
          </w:tcPr>
          <w:p w:rsidR="00B90E7E" w:rsidRPr="005C333D" w:rsidRDefault="00B90E7E" w:rsidP="00CD26DE">
            <w:pPr>
              <w:pStyle w:val="TableText0"/>
              <w:keepNext/>
              <w:jc w:val="center"/>
            </w:pPr>
            <w:r w:rsidRPr="005C333D">
              <w:t>0.6429</w:t>
            </w:r>
          </w:p>
        </w:tc>
        <w:tc>
          <w:tcPr>
            <w:tcW w:w="1072" w:type="pct"/>
            <w:vAlign w:val="center"/>
          </w:tcPr>
          <w:p w:rsidR="00B90E7E" w:rsidRPr="005C333D" w:rsidRDefault="00B90E7E" w:rsidP="00CD26DE">
            <w:pPr>
              <w:pStyle w:val="TableText0"/>
              <w:keepNext/>
              <w:jc w:val="center"/>
            </w:pPr>
            <w:r w:rsidRPr="005C333D">
              <w:t>0.0094</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pPr>
            <w:r w:rsidRPr="005C333D">
              <w:t>Incremental cost/extra QALY gained</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r w:rsidR="009B1817">
              <w:rPr>
                <w:vertAlign w:val="superscript"/>
              </w:rPr>
              <w:t>2</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2b:</w:t>
            </w:r>
            <w:r w:rsidR="003D2DED" w:rsidRPr="005C333D">
              <w:t xml:space="preserve"> </w:t>
            </w:r>
            <w:r w:rsidRPr="005C333D">
              <w:t>Model-based analysis; Step 2a; extrapolated to 2-year</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pPr>
            <w:r w:rsidRPr="005C333D">
              <w:t>$2,298</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QALY</w:t>
            </w:r>
          </w:p>
        </w:tc>
        <w:tc>
          <w:tcPr>
            <w:tcW w:w="1298" w:type="pct"/>
            <w:vAlign w:val="center"/>
          </w:tcPr>
          <w:p w:rsidR="00B90E7E" w:rsidRPr="005C333D" w:rsidRDefault="00B90E7E" w:rsidP="00CD26DE">
            <w:pPr>
              <w:pStyle w:val="TableText0"/>
              <w:keepNext/>
              <w:jc w:val="center"/>
            </w:pPr>
            <w:r w:rsidRPr="005C333D">
              <w:t>1.2711</w:t>
            </w:r>
          </w:p>
        </w:tc>
        <w:tc>
          <w:tcPr>
            <w:tcW w:w="1101" w:type="pct"/>
            <w:vAlign w:val="center"/>
          </w:tcPr>
          <w:p w:rsidR="00B90E7E" w:rsidRPr="005C333D" w:rsidRDefault="00B90E7E" w:rsidP="00CD26DE">
            <w:pPr>
              <w:pStyle w:val="TableText0"/>
              <w:keepNext/>
              <w:jc w:val="center"/>
            </w:pPr>
            <w:r w:rsidRPr="005C333D">
              <w:t>1.2526</w:t>
            </w:r>
          </w:p>
        </w:tc>
        <w:tc>
          <w:tcPr>
            <w:tcW w:w="1072" w:type="pct"/>
            <w:vAlign w:val="center"/>
          </w:tcPr>
          <w:p w:rsidR="00B90E7E" w:rsidRPr="005C333D" w:rsidRDefault="00B90E7E" w:rsidP="00CD26DE">
            <w:pPr>
              <w:pStyle w:val="TableText0"/>
              <w:keepNext/>
              <w:jc w:val="center"/>
            </w:pPr>
            <w:r w:rsidRPr="005C333D">
              <w:t>0.0185</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pPr>
            <w:r w:rsidRPr="005C333D">
              <w:t>Incremental cost/extra QALY gained</w:t>
            </w:r>
          </w:p>
        </w:tc>
        <w:tc>
          <w:tcPr>
            <w:tcW w:w="1072" w:type="pct"/>
          </w:tcPr>
          <w:p w:rsidR="00B90E7E" w:rsidRPr="005C333D" w:rsidRDefault="00B90E7E" w:rsidP="00CD26DE">
            <w:pPr>
              <w:pStyle w:val="TableText0"/>
              <w:keepNext/>
              <w:jc w:val="center"/>
            </w:pPr>
            <w:r w:rsidRPr="005C333D">
              <w:t>$</w:t>
            </w:r>
            <w:r w:rsidR="00CC4A22">
              <w:rPr>
                <w:noProof/>
                <w:color w:val="000000"/>
                <w:highlight w:val="black"/>
              </w:rPr>
              <w:t>''''''''''''''''</w:t>
            </w:r>
            <w:r w:rsidR="009B1817" w:rsidRPr="009B1817">
              <w:rPr>
                <w:rFonts w:cs="Times New Roman"/>
                <w:sz w:val="18"/>
                <w:szCs w:val="20"/>
                <w:vertAlign w:val="superscript"/>
              </w:rPr>
              <w:t>3</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2c:</w:t>
            </w:r>
            <w:r w:rsidR="003D2DED" w:rsidRPr="005C333D">
              <w:t xml:space="preserve"> </w:t>
            </w:r>
            <w:r w:rsidRPr="005C333D">
              <w:t>Model-based analysis; Step 2a; extrapolated to 3-year</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jc w:val="center"/>
            </w:pPr>
            <w:r w:rsidRPr="005C333D">
              <w:t>$3,363</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QALY</w:t>
            </w:r>
          </w:p>
        </w:tc>
        <w:tc>
          <w:tcPr>
            <w:tcW w:w="1298" w:type="pct"/>
            <w:vAlign w:val="center"/>
          </w:tcPr>
          <w:p w:rsidR="00B90E7E" w:rsidRPr="005C333D" w:rsidRDefault="00B90E7E" w:rsidP="00CD26DE">
            <w:pPr>
              <w:pStyle w:val="TableText0"/>
              <w:keepNext/>
              <w:jc w:val="center"/>
            </w:pPr>
            <w:r w:rsidRPr="005C333D">
              <w:t>1.8546</w:t>
            </w:r>
          </w:p>
        </w:tc>
        <w:tc>
          <w:tcPr>
            <w:tcW w:w="1101" w:type="pct"/>
            <w:vAlign w:val="center"/>
          </w:tcPr>
          <w:p w:rsidR="00B90E7E" w:rsidRPr="005C333D" w:rsidRDefault="00B90E7E" w:rsidP="00CD26DE">
            <w:pPr>
              <w:pStyle w:val="TableText0"/>
              <w:keepNext/>
              <w:jc w:val="center"/>
            </w:pPr>
            <w:r w:rsidRPr="005C333D">
              <w:t>1.8294</w:t>
            </w:r>
          </w:p>
        </w:tc>
        <w:tc>
          <w:tcPr>
            <w:tcW w:w="1072" w:type="pct"/>
            <w:vAlign w:val="center"/>
          </w:tcPr>
          <w:p w:rsidR="00B90E7E" w:rsidRPr="005C333D" w:rsidRDefault="00B90E7E" w:rsidP="00CD26DE">
            <w:pPr>
              <w:pStyle w:val="TableText0"/>
              <w:keepNext/>
              <w:jc w:val="center"/>
            </w:pPr>
            <w:r w:rsidRPr="005C333D">
              <w:t>0.0253</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pPr>
            <w:r w:rsidRPr="005C333D">
              <w:t xml:space="preserve">Incremental cost/extra QALY gained </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r w:rsidR="009B1817" w:rsidRPr="009B1817">
              <w:rPr>
                <w:rFonts w:cs="Times New Roman"/>
                <w:sz w:val="18"/>
                <w:szCs w:val="20"/>
                <w:vertAlign w:val="superscript"/>
              </w:rPr>
              <w:t>3</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2d:</w:t>
            </w:r>
            <w:r w:rsidR="003D2DED" w:rsidRPr="005C333D">
              <w:t xml:space="preserve"> </w:t>
            </w:r>
            <w:r w:rsidRPr="005C333D">
              <w:t>Model-based analysis; Step 2a; extrapolated to 4-year</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jc w:val="center"/>
            </w:pPr>
            <w:r w:rsidRPr="005C333D">
              <w:t>$4,375</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QALY</w:t>
            </w:r>
          </w:p>
        </w:tc>
        <w:tc>
          <w:tcPr>
            <w:tcW w:w="1298" w:type="pct"/>
            <w:vAlign w:val="center"/>
          </w:tcPr>
          <w:p w:rsidR="00B90E7E" w:rsidRPr="005C333D" w:rsidRDefault="00B90E7E" w:rsidP="00CD26DE">
            <w:pPr>
              <w:pStyle w:val="TableText0"/>
              <w:keepNext/>
              <w:jc w:val="center"/>
            </w:pPr>
            <w:r w:rsidRPr="005C333D">
              <w:t>2.4054</w:t>
            </w:r>
          </w:p>
        </w:tc>
        <w:tc>
          <w:tcPr>
            <w:tcW w:w="1101" w:type="pct"/>
            <w:vAlign w:val="center"/>
          </w:tcPr>
          <w:p w:rsidR="00B90E7E" w:rsidRPr="005C333D" w:rsidRDefault="00B90E7E" w:rsidP="00CD26DE">
            <w:pPr>
              <w:pStyle w:val="TableText0"/>
              <w:keepNext/>
              <w:jc w:val="center"/>
            </w:pPr>
            <w:r w:rsidRPr="005C333D">
              <w:t>2.3750</w:t>
            </w:r>
          </w:p>
        </w:tc>
        <w:tc>
          <w:tcPr>
            <w:tcW w:w="1072" w:type="pct"/>
            <w:vAlign w:val="center"/>
          </w:tcPr>
          <w:p w:rsidR="00B90E7E" w:rsidRPr="005C333D" w:rsidRDefault="00B90E7E" w:rsidP="00CD26DE">
            <w:pPr>
              <w:pStyle w:val="TableText0"/>
              <w:keepNext/>
              <w:jc w:val="center"/>
            </w:pPr>
            <w:r w:rsidRPr="005C333D">
              <w:t>0.0304</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pPr>
            <w:r w:rsidRPr="005C333D">
              <w:t>Incremental cost/extra QALY gained</w:t>
            </w:r>
          </w:p>
        </w:tc>
        <w:tc>
          <w:tcPr>
            <w:tcW w:w="1072" w:type="pct"/>
          </w:tcPr>
          <w:p w:rsidR="00B90E7E" w:rsidRPr="005C333D" w:rsidRDefault="00B90E7E" w:rsidP="00CD26DE">
            <w:pPr>
              <w:pStyle w:val="TableText0"/>
              <w:keepNext/>
              <w:jc w:val="center"/>
            </w:pPr>
            <w:r w:rsidRPr="005C333D">
              <w:t>$</w:t>
            </w:r>
            <w:r w:rsidR="00CC4A22">
              <w:rPr>
                <w:noProof/>
                <w:color w:val="000000"/>
                <w:highlight w:val="black"/>
              </w:rPr>
              <w:t>'''''''''''''''</w:t>
            </w:r>
            <w:r w:rsidR="009B1817" w:rsidRPr="009B1817">
              <w:rPr>
                <w:rFonts w:cs="Times New Roman"/>
                <w:sz w:val="18"/>
                <w:szCs w:val="20"/>
                <w:vertAlign w:val="superscript"/>
              </w:rPr>
              <w:t>3</w:t>
            </w:r>
          </w:p>
        </w:tc>
      </w:tr>
      <w:tr w:rsidR="00B90E7E" w:rsidRPr="005C333D" w:rsidTr="00B35578">
        <w:trPr>
          <w:jc w:val="center"/>
        </w:trPr>
        <w:tc>
          <w:tcPr>
            <w:tcW w:w="5000" w:type="pct"/>
            <w:gridSpan w:val="4"/>
            <w:vAlign w:val="center"/>
          </w:tcPr>
          <w:p w:rsidR="00B90E7E" w:rsidRPr="005C333D" w:rsidRDefault="00B90E7E" w:rsidP="00CD26DE">
            <w:pPr>
              <w:pStyle w:val="TableText0"/>
              <w:keepNext/>
            </w:pPr>
            <w:r w:rsidRPr="005C333D">
              <w:t>Step 2e:</w:t>
            </w:r>
            <w:r w:rsidR="003D2DED" w:rsidRPr="005C333D">
              <w:t xml:space="preserve"> </w:t>
            </w:r>
            <w:r w:rsidRPr="005C333D">
              <w:t>Model-based analysis; Step 2a; extrapolated to 5-year (base case)</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Costs</w:t>
            </w:r>
          </w:p>
        </w:tc>
        <w:tc>
          <w:tcPr>
            <w:tcW w:w="1298"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c>
          <w:tcPr>
            <w:tcW w:w="1101" w:type="pct"/>
            <w:vAlign w:val="center"/>
          </w:tcPr>
          <w:p w:rsidR="00B90E7E" w:rsidRPr="005C333D" w:rsidRDefault="00B90E7E" w:rsidP="00CD26DE">
            <w:pPr>
              <w:pStyle w:val="TableText0"/>
              <w:keepNext/>
              <w:jc w:val="center"/>
            </w:pPr>
            <w:r w:rsidRPr="005C333D">
              <w:t>$5,336</w:t>
            </w:r>
          </w:p>
        </w:tc>
        <w:tc>
          <w:tcPr>
            <w:tcW w:w="1072" w:type="pct"/>
            <w:vAlign w:val="center"/>
          </w:tcPr>
          <w:p w:rsidR="00B90E7E" w:rsidRPr="005C333D" w:rsidRDefault="00B90E7E" w:rsidP="00CD26DE">
            <w:pPr>
              <w:pStyle w:val="TableText0"/>
              <w:keepNext/>
              <w:jc w:val="center"/>
            </w:pPr>
            <w:r w:rsidRPr="005C333D">
              <w:t>$</w:t>
            </w:r>
            <w:r w:rsidR="00CC4A22">
              <w:rPr>
                <w:noProof/>
                <w:color w:val="000000"/>
                <w:highlight w:val="black"/>
              </w:rPr>
              <w:t>'''''''''</w:t>
            </w:r>
          </w:p>
        </w:tc>
      </w:tr>
      <w:tr w:rsidR="00B90E7E" w:rsidRPr="005C333D" w:rsidTr="00F1225D">
        <w:trPr>
          <w:jc w:val="center"/>
        </w:trPr>
        <w:tc>
          <w:tcPr>
            <w:tcW w:w="1529" w:type="pct"/>
            <w:vAlign w:val="center"/>
          </w:tcPr>
          <w:p w:rsidR="00B90E7E" w:rsidRPr="005C333D" w:rsidRDefault="00B90E7E" w:rsidP="00CD26DE">
            <w:pPr>
              <w:pStyle w:val="TableText0"/>
              <w:keepNext/>
            </w:pPr>
            <w:r w:rsidRPr="005C333D">
              <w:t>QALYs</w:t>
            </w:r>
          </w:p>
        </w:tc>
        <w:tc>
          <w:tcPr>
            <w:tcW w:w="1298" w:type="pct"/>
            <w:vAlign w:val="center"/>
          </w:tcPr>
          <w:p w:rsidR="00B90E7E" w:rsidRPr="005C333D" w:rsidRDefault="00B90E7E" w:rsidP="00CD26DE">
            <w:pPr>
              <w:pStyle w:val="TableText0"/>
              <w:keepNext/>
              <w:jc w:val="center"/>
            </w:pPr>
            <w:r w:rsidRPr="005C333D">
              <w:t>2.9252</w:t>
            </w:r>
          </w:p>
        </w:tc>
        <w:tc>
          <w:tcPr>
            <w:tcW w:w="1101" w:type="pct"/>
            <w:vAlign w:val="center"/>
          </w:tcPr>
          <w:p w:rsidR="00B90E7E" w:rsidRPr="005C333D" w:rsidRDefault="00B90E7E" w:rsidP="00CD26DE">
            <w:pPr>
              <w:pStyle w:val="TableText0"/>
              <w:keepNext/>
              <w:jc w:val="center"/>
            </w:pPr>
            <w:r w:rsidRPr="005C333D">
              <w:t>2.8911</w:t>
            </w:r>
          </w:p>
        </w:tc>
        <w:tc>
          <w:tcPr>
            <w:tcW w:w="1072" w:type="pct"/>
            <w:vAlign w:val="center"/>
          </w:tcPr>
          <w:p w:rsidR="00B90E7E" w:rsidRPr="005C333D" w:rsidRDefault="00B90E7E" w:rsidP="00CD26DE">
            <w:pPr>
              <w:pStyle w:val="TableText0"/>
              <w:keepNext/>
              <w:jc w:val="center"/>
            </w:pPr>
            <w:r w:rsidRPr="005C333D">
              <w:t>0.0341</w:t>
            </w:r>
          </w:p>
        </w:tc>
      </w:tr>
      <w:tr w:rsidR="00B90E7E" w:rsidRPr="005C333D" w:rsidTr="00F1225D">
        <w:trPr>
          <w:jc w:val="center"/>
        </w:trPr>
        <w:tc>
          <w:tcPr>
            <w:tcW w:w="3928" w:type="pct"/>
            <w:gridSpan w:val="3"/>
            <w:vAlign w:val="center"/>
          </w:tcPr>
          <w:p w:rsidR="00B90E7E" w:rsidRPr="005C333D" w:rsidRDefault="00B90E7E" w:rsidP="00CD26DE">
            <w:pPr>
              <w:pStyle w:val="TableText0"/>
              <w:keepNext/>
              <w:jc w:val="right"/>
              <w:rPr>
                <w:b/>
                <w:bCs w:val="0"/>
              </w:rPr>
            </w:pPr>
            <w:r w:rsidRPr="005C333D">
              <w:rPr>
                <w:b/>
                <w:bCs w:val="0"/>
              </w:rPr>
              <w:t>Incremental cost/extra QALY gained (base case)</w:t>
            </w:r>
          </w:p>
        </w:tc>
        <w:tc>
          <w:tcPr>
            <w:tcW w:w="1072" w:type="pct"/>
            <w:vAlign w:val="center"/>
          </w:tcPr>
          <w:p w:rsidR="00B90E7E" w:rsidRPr="005C333D" w:rsidRDefault="00B90E7E" w:rsidP="00CD26DE">
            <w:pPr>
              <w:pStyle w:val="TableText0"/>
              <w:keepNext/>
              <w:jc w:val="center"/>
              <w:rPr>
                <w:b/>
                <w:bCs w:val="0"/>
              </w:rPr>
            </w:pPr>
            <w:r w:rsidRPr="005C333D">
              <w:rPr>
                <w:b/>
                <w:bCs w:val="0"/>
              </w:rPr>
              <w:t>$</w:t>
            </w:r>
            <w:r w:rsidR="00CC4A22">
              <w:rPr>
                <w:b/>
                <w:bCs w:val="0"/>
                <w:noProof/>
                <w:color w:val="000000"/>
                <w:highlight w:val="black"/>
              </w:rPr>
              <w:t>'''''''''''''''</w:t>
            </w:r>
            <w:r w:rsidR="009B1817">
              <w:rPr>
                <w:rFonts w:cs="Times New Roman"/>
                <w:szCs w:val="20"/>
                <w:vertAlign w:val="superscript"/>
              </w:rPr>
              <w:t>4</w:t>
            </w:r>
          </w:p>
        </w:tc>
      </w:tr>
      <w:tr w:rsidR="009D65B7" w:rsidRPr="005C333D" w:rsidTr="00417613">
        <w:trPr>
          <w:jc w:val="center"/>
        </w:trPr>
        <w:tc>
          <w:tcPr>
            <w:tcW w:w="5000" w:type="pct"/>
            <w:gridSpan w:val="4"/>
            <w:vAlign w:val="center"/>
          </w:tcPr>
          <w:p w:rsidR="009D65B7" w:rsidRPr="005C333D" w:rsidRDefault="009D65B7" w:rsidP="00417613">
            <w:pPr>
              <w:pStyle w:val="TableText0"/>
              <w:keepNext/>
              <w:rPr>
                <w:b/>
              </w:rPr>
            </w:pPr>
            <w:bookmarkStart w:id="31" w:name="_Hlk56075247"/>
            <w:r w:rsidRPr="005C333D">
              <w:rPr>
                <w:b/>
              </w:rPr>
              <w:t>Pre-PBAC response – DPMQ reduced from $108.79 to $81.90</w:t>
            </w:r>
            <w:r w:rsidR="00F9288A" w:rsidRPr="005C333D">
              <w:rPr>
                <w:b/>
              </w:rPr>
              <w:t>; utility gain for responders reduced from 0.104 to 0.078</w:t>
            </w:r>
          </w:p>
        </w:tc>
      </w:tr>
      <w:tr w:rsidR="009D65B7" w:rsidRPr="005C333D" w:rsidTr="00417613">
        <w:trPr>
          <w:jc w:val="center"/>
        </w:trPr>
        <w:tc>
          <w:tcPr>
            <w:tcW w:w="1529" w:type="pct"/>
            <w:vAlign w:val="center"/>
          </w:tcPr>
          <w:p w:rsidR="009D65B7" w:rsidRPr="005C333D" w:rsidRDefault="009D65B7" w:rsidP="00417613">
            <w:pPr>
              <w:pStyle w:val="TableText0"/>
              <w:keepNext/>
            </w:pPr>
            <w:r w:rsidRPr="005C333D">
              <w:t>Costs</w:t>
            </w:r>
          </w:p>
        </w:tc>
        <w:tc>
          <w:tcPr>
            <w:tcW w:w="1298" w:type="pct"/>
            <w:vAlign w:val="center"/>
          </w:tcPr>
          <w:p w:rsidR="009D65B7" w:rsidRPr="005C333D" w:rsidRDefault="009D65B7" w:rsidP="006651A3">
            <w:pPr>
              <w:pStyle w:val="TableText0"/>
              <w:keepNext/>
              <w:jc w:val="center"/>
            </w:pPr>
            <w:r w:rsidRPr="005C333D">
              <w:t>$</w:t>
            </w:r>
            <w:r w:rsidR="00CC4A22">
              <w:rPr>
                <w:noProof/>
                <w:color w:val="000000"/>
                <w:highlight w:val="black"/>
              </w:rPr>
              <w:t>'''''''''''''</w:t>
            </w:r>
          </w:p>
        </w:tc>
        <w:tc>
          <w:tcPr>
            <w:tcW w:w="1101" w:type="pct"/>
            <w:vAlign w:val="center"/>
          </w:tcPr>
          <w:p w:rsidR="009D65B7" w:rsidRPr="005C333D" w:rsidRDefault="009D65B7" w:rsidP="00417613">
            <w:pPr>
              <w:pStyle w:val="TableText0"/>
              <w:keepNext/>
              <w:jc w:val="center"/>
            </w:pPr>
            <w:r w:rsidRPr="005C333D">
              <w:t>$5,336</w:t>
            </w:r>
          </w:p>
        </w:tc>
        <w:tc>
          <w:tcPr>
            <w:tcW w:w="1072" w:type="pct"/>
            <w:vAlign w:val="center"/>
          </w:tcPr>
          <w:p w:rsidR="009D65B7" w:rsidRPr="005C333D" w:rsidRDefault="006651A3" w:rsidP="00417613">
            <w:pPr>
              <w:pStyle w:val="TableText0"/>
              <w:keepNext/>
              <w:jc w:val="center"/>
            </w:pPr>
            <w:r w:rsidRPr="005C333D">
              <w:t>$</w:t>
            </w:r>
            <w:r w:rsidR="00CC4A22">
              <w:rPr>
                <w:noProof/>
                <w:color w:val="000000"/>
                <w:highlight w:val="black"/>
              </w:rPr>
              <w:t>''''''''''</w:t>
            </w:r>
          </w:p>
        </w:tc>
      </w:tr>
      <w:tr w:rsidR="009D65B7" w:rsidRPr="005C333D" w:rsidTr="00417613">
        <w:trPr>
          <w:jc w:val="center"/>
        </w:trPr>
        <w:tc>
          <w:tcPr>
            <w:tcW w:w="1529" w:type="pct"/>
            <w:vAlign w:val="center"/>
          </w:tcPr>
          <w:p w:rsidR="009D65B7" w:rsidRPr="005C333D" w:rsidRDefault="009D65B7" w:rsidP="00417613">
            <w:pPr>
              <w:pStyle w:val="TableText0"/>
              <w:keepNext/>
            </w:pPr>
            <w:r w:rsidRPr="005C333D">
              <w:t>QALYs</w:t>
            </w:r>
          </w:p>
        </w:tc>
        <w:tc>
          <w:tcPr>
            <w:tcW w:w="1298" w:type="pct"/>
            <w:vAlign w:val="center"/>
          </w:tcPr>
          <w:p w:rsidR="009D65B7" w:rsidRPr="005C333D" w:rsidRDefault="006651A3" w:rsidP="00417613">
            <w:pPr>
              <w:pStyle w:val="TableText0"/>
              <w:keepNext/>
              <w:jc w:val="center"/>
            </w:pPr>
            <w:r w:rsidRPr="005C333D">
              <w:t>2.9126</w:t>
            </w:r>
          </w:p>
        </w:tc>
        <w:tc>
          <w:tcPr>
            <w:tcW w:w="1101" w:type="pct"/>
            <w:vAlign w:val="center"/>
          </w:tcPr>
          <w:p w:rsidR="009D65B7" w:rsidRPr="005C333D" w:rsidRDefault="006651A3" w:rsidP="00417613">
            <w:pPr>
              <w:pStyle w:val="TableText0"/>
              <w:keepNext/>
              <w:jc w:val="center"/>
            </w:pPr>
            <w:r w:rsidRPr="005C333D">
              <w:t>2.8871</w:t>
            </w:r>
          </w:p>
        </w:tc>
        <w:tc>
          <w:tcPr>
            <w:tcW w:w="1072" w:type="pct"/>
            <w:vAlign w:val="center"/>
          </w:tcPr>
          <w:p w:rsidR="009D65B7" w:rsidRPr="005C333D" w:rsidRDefault="006651A3" w:rsidP="00417613">
            <w:pPr>
              <w:pStyle w:val="TableText0"/>
              <w:keepNext/>
              <w:jc w:val="center"/>
            </w:pPr>
            <w:r w:rsidRPr="005C333D">
              <w:t>0.0.255</w:t>
            </w:r>
          </w:p>
        </w:tc>
      </w:tr>
      <w:tr w:rsidR="009D65B7" w:rsidRPr="005C333D" w:rsidTr="00417613">
        <w:trPr>
          <w:jc w:val="center"/>
        </w:trPr>
        <w:tc>
          <w:tcPr>
            <w:tcW w:w="3928" w:type="pct"/>
            <w:gridSpan w:val="3"/>
            <w:vAlign w:val="center"/>
          </w:tcPr>
          <w:p w:rsidR="009D65B7" w:rsidRPr="005C333D" w:rsidRDefault="009D65B7" w:rsidP="00417613">
            <w:pPr>
              <w:pStyle w:val="TableText0"/>
              <w:keepNext/>
              <w:jc w:val="right"/>
              <w:rPr>
                <w:b/>
                <w:bCs w:val="0"/>
              </w:rPr>
            </w:pPr>
            <w:r w:rsidRPr="005C333D">
              <w:rPr>
                <w:b/>
                <w:bCs w:val="0"/>
              </w:rPr>
              <w:t>Incremental cost/extra QALY gained (base case)</w:t>
            </w:r>
          </w:p>
        </w:tc>
        <w:tc>
          <w:tcPr>
            <w:tcW w:w="1072" w:type="pct"/>
            <w:vAlign w:val="center"/>
          </w:tcPr>
          <w:p w:rsidR="009D65B7" w:rsidRPr="005C333D" w:rsidRDefault="006651A3" w:rsidP="00417613">
            <w:pPr>
              <w:pStyle w:val="TableText0"/>
              <w:keepNext/>
              <w:jc w:val="center"/>
              <w:rPr>
                <w:b/>
                <w:bCs w:val="0"/>
              </w:rPr>
            </w:pPr>
            <w:r w:rsidRPr="005C333D">
              <w:rPr>
                <w:b/>
                <w:bCs w:val="0"/>
              </w:rPr>
              <w:t>$</w:t>
            </w:r>
            <w:r w:rsidR="00CC4A22">
              <w:rPr>
                <w:b/>
                <w:bCs w:val="0"/>
                <w:noProof/>
                <w:color w:val="000000"/>
                <w:highlight w:val="black"/>
              </w:rPr>
              <w:t>''''''''''''</w:t>
            </w:r>
            <w:r w:rsidR="009B1817">
              <w:rPr>
                <w:rFonts w:cs="Times New Roman"/>
                <w:szCs w:val="20"/>
                <w:vertAlign w:val="superscript"/>
              </w:rPr>
              <w:t>4</w:t>
            </w:r>
          </w:p>
        </w:tc>
      </w:tr>
    </w:tbl>
    <w:p w:rsidR="00B90E7E" w:rsidRPr="005C333D" w:rsidRDefault="00B90E7E" w:rsidP="00B90E7E">
      <w:pPr>
        <w:pStyle w:val="TableFigureFooter"/>
      </w:pPr>
      <w:r w:rsidRPr="005C333D">
        <w:t>BSC</w:t>
      </w:r>
      <w:r w:rsidR="00141938" w:rsidRPr="005C333D">
        <w:t xml:space="preserve"> </w:t>
      </w:r>
      <w:r w:rsidR="00EF447D" w:rsidRPr="005C333D">
        <w:t>=</w:t>
      </w:r>
      <w:r w:rsidRPr="005C333D">
        <w:t xml:space="preserve"> best supportive care; </w:t>
      </w:r>
      <w:r w:rsidR="00141938" w:rsidRPr="005C333D">
        <w:t xml:space="preserve">CFS = corneal fluorescent staining; OSDI – ocular surface disease index; </w:t>
      </w:r>
      <w:r w:rsidRPr="005C333D">
        <w:t>QALY</w:t>
      </w:r>
      <w:r w:rsidR="00141938" w:rsidRPr="005C333D">
        <w:t xml:space="preserve"> </w:t>
      </w:r>
      <w:r w:rsidR="00EF447D" w:rsidRPr="005C333D">
        <w:t>=</w:t>
      </w:r>
      <w:r w:rsidRPr="005C333D">
        <w:t xml:space="preserve"> quality adjusted life year</w:t>
      </w:r>
      <w:bookmarkEnd w:id="31"/>
      <w:r w:rsidRPr="005C333D">
        <w:t xml:space="preserve"> </w:t>
      </w:r>
    </w:p>
    <w:p w:rsidR="00B90E7E" w:rsidRDefault="00B90E7E" w:rsidP="00B90E7E">
      <w:pPr>
        <w:pStyle w:val="TableFigureFooter"/>
      </w:pPr>
      <w:r w:rsidRPr="005C333D">
        <w:t xml:space="preserve">Source: Table 3.8.1, p121; Table 3.8.4, p122 of the submission </w:t>
      </w:r>
      <w:r w:rsidRPr="005C333D">
        <w:rPr>
          <w:iCs/>
        </w:rPr>
        <w:t xml:space="preserve">and compiled during the evaluation using estimates from </w:t>
      </w:r>
      <w:r w:rsidRPr="005C333D">
        <w:t xml:space="preserve">Section 3 excel model (Ikervis PBAC Nov2020 – Section 3.xlsx). </w:t>
      </w:r>
    </w:p>
    <w:p w:rsidR="009B1817" w:rsidRPr="009B1817" w:rsidRDefault="009B1817" w:rsidP="00B90E7E">
      <w:pPr>
        <w:pStyle w:val="TableFigureFooter"/>
        <w:rPr>
          <w:i/>
        </w:rPr>
      </w:pPr>
      <w:r w:rsidRPr="009B1817">
        <w:rPr>
          <w:i/>
        </w:rPr>
        <w:t>The redacted values correspond to the following ranges:</w:t>
      </w:r>
    </w:p>
    <w:p w:rsidR="009B1817" w:rsidRPr="009B1817" w:rsidRDefault="009B1817" w:rsidP="00B90E7E">
      <w:pPr>
        <w:pStyle w:val="TableFigureFooter"/>
        <w:rPr>
          <w:i/>
        </w:rPr>
      </w:pPr>
      <w:r w:rsidRPr="009B1817">
        <w:rPr>
          <w:i/>
          <w:vertAlign w:val="superscript"/>
        </w:rPr>
        <w:t>1</w:t>
      </w:r>
      <w:r w:rsidRPr="009B1817">
        <w:rPr>
          <w:i/>
        </w:rPr>
        <w:t xml:space="preserve"> $5,000 to &lt; $15,000/QALY gained</w:t>
      </w:r>
    </w:p>
    <w:p w:rsidR="009B1817" w:rsidRPr="009B1817" w:rsidRDefault="009B1817" w:rsidP="00B90E7E">
      <w:pPr>
        <w:pStyle w:val="TableFigureFooter"/>
        <w:rPr>
          <w:i/>
        </w:rPr>
      </w:pPr>
      <w:r w:rsidRPr="009B1817">
        <w:rPr>
          <w:i/>
          <w:vertAlign w:val="superscript"/>
        </w:rPr>
        <w:t>2</w:t>
      </w:r>
      <w:r w:rsidRPr="009B1817">
        <w:rPr>
          <w:i/>
        </w:rPr>
        <w:t xml:space="preserve"> $55,000 to &lt;$75,000/QALY gained</w:t>
      </w:r>
    </w:p>
    <w:p w:rsidR="009B1817" w:rsidRPr="009B1817" w:rsidRDefault="009B1817" w:rsidP="00B90E7E">
      <w:pPr>
        <w:pStyle w:val="TableFigureFooter"/>
        <w:rPr>
          <w:rFonts w:cs="Times New Roman"/>
          <w:i/>
          <w:szCs w:val="20"/>
        </w:rPr>
      </w:pPr>
      <w:r w:rsidRPr="009B1817">
        <w:rPr>
          <w:rFonts w:cs="Times New Roman"/>
          <w:i/>
          <w:szCs w:val="20"/>
          <w:vertAlign w:val="superscript"/>
        </w:rPr>
        <w:t>3</w:t>
      </w:r>
      <w:r w:rsidRPr="009B1817">
        <w:rPr>
          <w:rFonts w:cs="Times New Roman"/>
          <w:i/>
          <w:szCs w:val="20"/>
        </w:rPr>
        <w:t xml:space="preserve"> $25,000 to &lt; $35,000/QALY gained</w:t>
      </w:r>
    </w:p>
    <w:p w:rsidR="009B1817" w:rsidRPr="009B1817" w:rsidRDefault="009B1817" w:rsidP="00B90E7E">
      <w:pPr>
        <w:pStyle w:val="TableFigureFooter"/>
        <w:rPr>
          <w:rFonts w:cs="Times New Roman"/>
          <w:i/>
          <w:szCs w:val="20"/>
        </w:rPr>
      </w:pPr>
      <w:r w:rsidRPr="009B1817">
        <w:rPr>
          <w:rFonts w:cs="Times New Roman"/>
          <w:i/>
          <w:szCs w:val="20"/>
          <w:vertAlign w:val="superscript"/>
        </w:rPr>
        <w:t>4</w:t>
      </w:r>
      <w:r w:rsidRPr="009B1817">
        <w:rPr>
          <w:rFonts w:cs="Times New Roman"/>
          <w:i/>
          <w:szCs w:val="20"/>
        </w:rPr>
        <w:t xml:space="preserve"> $15,000 to &lt; $25,000/QALY gained</w:t>
      </w:r>
    </w:p>
    <w:p w:rsidR="00B90E7E" w:rsidRPr="005C333D" w:rsidRDefault="007A32AC" w:rsidP="00B73532">
      <w:pPr>
        <w:pStyle w:val="3-BodyText"/>
      </w:pPr>
      <w:r w:rsidRPr="005C333D">
        <w:t xml:space="preserve">The ESC considered that the results of the economic evaluation </w:t>
      </w:r>
      <w:r w:rsidR="00B90E7E" w:rsidRPr="005C333D">
        <w:t>should be considered with caution because:</w:t>
      </w:r>
    </w:p>
    <w:p w:rsidR="00A37177" w:rsidRPr="005C333D" w:rsidRDefault="00A37177" w:rsidP="00DA5D07">
      <w:pPr>
        <w:pStyle w:val="3-BodyText"/>
        <w:numPr>
          <w:ilvl w:val="0"/>
          <w:numId w:val="2"/>
        </w:numPr>
        <w:ind w:left="1077" w:hanging="357"/>
      </w:pPr>
      <w:r w:rsidRPr="005C333D">
        <w:t xml:space="preserve">The response rate was informed from the revised meta-analysis with a response definition of CFS improvement ≥ 3 &amp; OSDI improvement ≥ 30%, which </w:t>
      </w:r>
      <w:r w:rsidR="002C2057" w:rsidRPr="005C333D">
        <w:t>differed</w:t>
      </w:r>
      <w:r w:rsidRPr="005C333D">
        <w:t xml:space="preserve"> from the primary outcome of the SANSIKA trial and meta-analysis (Leonardi, 2019). </w:t>
      </w:r>
      <w:r w:rsidR="004E32AD" w:rsidRPr="005C333D">
        <w:t>I</w:t>
      </w:r>
      <w:r w:rsidRPr="005C333D">
        <w:t>t was also based on a subgroup of severe DED identified for post-hoc analyses.</w:t>
      </w:r>
      <w:r w:rsidR="002E0522" w:rsidRPr="005C333D">
        <w:t xml:space="preserve"> </w:t>
      </w:r>
      <w:r w:rsidR="005F4553" w:rsidRPr="005C333D">
        <w:t>The pre-PBAC response stated that the response definition applied in the model matched that in the proposed PBS listing.</w:t>
      </w:r>
    </w:p>
    <w:p w:rsidR="00A37177" w:rsidRPr="005C333D" w:rsidRDefault="0095365E" w:rsidP="00DA5D07">
      <w:pPr>
        <w:pStyle w:val="3-BodyText"/>
        <w:numPr>
          <w:ilvl w:val="0"/>
          <w:numId w:val="2"/>
        </w:numPr>
        <w:ind w:left="1077" w:hanging="357"/>
      </w:pPr>
      <w:r w:rsidRPr="005C333D">
        <w:t xml:space="preserve">The applied utility </w:t>
      </w:r>
      <w:r w:rsidR="008E5C82" w:rsidRPr="005C333D">
        <w:t>gain</w:t>
      </w:r>
      <w:r w:rsidRPr="005C333D">
        <w:t xml:space="preserve"> for treatment response (0.1040) </w:t>
      </w:r>
      <w:r w:rsidR="007A32AC" w:rsidRPr="005C333D">
        <w:t>wa</w:t>
      </w:r>
      <w:r w:rsidRPr="005C333D">
        <w:t xml:space="preserve">s larger than the difference in utility values by treatment arms reported in SANSIKA trial. </w:t>
      </w:r>
      <w:r w:rsidR="0045272B" w:rsidRPr="005C333D">
        <w:t>Overall, utilities for patients in both the arms of the SANSIKA trial improved after 6 months by 0.02 (95% CI, -0.03</w:t>
      </w:r>
      <w:r w:rsidR="007A32AC" w:rsidRPr="005C333D">
        <w:t xml:space="preserve">; </w:t>
      </w:r>
      <w:r w:rsidR="0045272B" w:rsidRPr="005C333D">
        <w:t>0.06) in the ciclosporin arm and 0.02 (95% CI, -0.03</w:t>
      </w:r>
      <w:r w:rsidR="007A32AC" w:rsidRPr="005C333D">
        <w:t xml:space="preserve">; </w:t>
      </w:r>
      <w:r w:rsidR="0045272B" w:rsidRPr="005C333D">
        <w:t xml:space="preserve">0.07) in the BSC arm. The change from baseline at 6 months was not statistically significant in either arms and was not statistically significant different between the two arms (p=0.808) (412 of the SANSIKA CSR). </w:t>
      </w:r>
      <w:r w:rsidRPr="005C333D">
        <w:t>No adjustment for baseline utility was made</w:t>
      </w:r>
      <w:r w:rsidR="0051595E" w:rsidRPr="005C333D">
        <w:t xml:space="preserve"> to the value applied in the model and i</w:t>
      </w:r>
      <w:r w:rsidRPr="005C333D">
        <w:t>t is likely that</w:t>
      </w:r>
      <w:r w:rsidR="0051595E" w:rsidRPr="005C333D">
        <w:t xml:space="preserve"> the</w:t>
      </w:r>
      <w:r w:rsidRPr="005C333D">
        <w:t xml:space="preserve"> utility </w:t>
      </w:r>
      <w:r w:rsidR="008E5C82" w:rsidRPr="005C333D">
        <w:t>gain</w:t>
      </w:r>
      <w:r w:rsidRPr="005C333D">
        <w:t xml:space="preserve"> was overestimated due to </w:t>
      </w:r>
      <w:r w:rsidR="0051595E" w:rsidRPr="005C333D">
        <w:t xml:space="preserve">the </w:t>
      </w:r>
      <w:r w:rsidRPr="005C333D">
        <w:t xml:space="preserve">lower baseline value </w:t>
      </w:r>
      <w:r w:rsidR="0051595E" w:rsidRPr="005C333D">
        <w:t xml:space="preserve">in </w:t>
      </w:r>
      <w:r w:rsidRPr="005C333D">
        <w:t>the responder arm</w:t>
      </w:r>
      <w:r w:rsidR="00456EE3" w:rsidRPr="005C333D">
        <w:t xml:space="preserve"> (0.624 compared to 0.673 in the non-responder arm)</w:t>
      </w:r>
      <w:r w:rsidRPr="005C333D">
        <w:t xml:space="preserve"> and the large change among responders in the vehicle arm. </w:t>
      </w:r>
      <w:r w:rsidR="00F1225D" w:rsidRPr="005C333D">
        <w:t xml:space="preserve">The PSCR </w:t>
      </w:r>
      <w:r w:rsidR="001E5786" w:rsidRPr="005C333D">
        <w:t>acknowledged that the utility inputs were the key driver of the economic model, but considered</w:t>
      </w:r>
      <w:r w:rsidR="00F1225D" w:rsidRPr="005C333D">
        <w:t xml:space="preserve"> that the application of the treatment arm utilities reported in the SANSIKA trial w</w:t>
      </w:r>
      <w:r w:rsidR="001E5786" w:rsidRPr="005C333D">
        <w:t>ere</w:t>
      </w:r>
      <w:r w:rsidR="00F1225D" w:rsidRPr="005C333D">
        <w:t xml:space="preserve"> not appropriate as they did not take into account the six month stopping rule for non-responders; rather, the relevant utility difference was between responders and non-responders.</w:t>
      </w:r>
      <w:r w:rsidR="00456EE3" w:rsidRPr="005C333D">
        <w:t xml:space="preserve"> </w:t>
      </w:r>
      <w:r w:rsidR="00456EE3" w:rsidRPr="005C333D">
        <w:rPr>
          <w:iCs/>
        </w:rPr>
        <w:t>However, the ESC noted that this assertion did not take into account the issue of baseline correction nor adequately take into the account the likely range of disutility as informed by the literature. The ESC considered that, for the reasons outlined above, a utility gain of 0.104 likely represented a best-case or upper limit value, rather than an average</w:t>
      </w:r>
      <w:r w:rsidR="001E5786" w:rsidRPr="005C333D">
        <w:rPr>
          <w:iCs/>
        </w:rPr>
        <w:t xml:space="preserve">, noting that the model submitted to NICE applied a utility gain of 0.08 </w:t>
      </w:r>
      <w:r w:rsidR="007264EE" w:rsidRPr="005C333D">
        <w:rPr>
          <w:iCs/>
        </w:rPr>
        <w:t>to</w:t>
      </w:r>
      <w:r w:rsidR="001E5786" w:rsidRPr="005C333D">
        <w:rPr>
          <w:iCs/>
        </w:rPr>
        <w:t xml:space="preserve"> responders</w:t>
      </w:r>
      <w:r w:rsidR="008A53F7" w:rsidRPr="005C333D">
        <w:rPr>
          <w:iCs/>
        </w:rPr>
        <w:t xml:space="preserve"> (see paragraph </w:t>
      </w:r>
      <w:r w:rsidR="008A53F7" w:rsidRPr="006D3503">
        <w:rPr>
          <w:iCs/>
        </w:rPr>
        <w:t>6.4</w:t>
      </w:r>
      <w:r w:rsidR="00E81B94" w:rsidRPr="006D3503">
        <w:rPr>
          <w:iCs/>
        </w:rPr>
        <w:t>3</w:t>
      </w:r>
      <w:r w:rsidR="008A53F7" w:rsidRPr="005C333D">
        <w:rPr>
          <w:iCs/>
        </w:rPr>
        <w:t>)</w:t>
      </w:r>
      <w:r w:rsidR="001E5786" w:rsidRPr="005C333D">
        <w:rPr>
          <w:iCs/>
        </w:rPr>
        <w:t>.</w:t>
      </w:r>
    </w:p>
    <w:p w:rsidR="009D187E" w:rsidRPr="005C333D" w:rsidRDefault="009D187E" w:rsidP="00B73532">
      <w:pPr>
        <w:pStyle w:val="3-BodyText"/>
      </w:pPr>
      <w:r w:rsidRPr="005C333D">
        <w:t>Table 1</w:t>
      </w:r>
      <w:r w:rsidR="001F3494" w:rsidRPr="005C333D">
        <w:t>1</w:t>
      </w:r>
      <w:r w:rsidRPr="005C333D">
        <w:t xml:space="preserve"> presents the disaggregated health outcomes (QALYs) by health states</w:t>
      </w:r>
      <w:r w:rsidR="00555AE0" w:rsidRPr="005C333D">
        <w:t>,</w:t>
      </w:r>
      <w:r w:rsidRPr="005C333D">
        <w:t xml:space="preserve"> demonstrating the impact of utility inputs.</w:t>
      </w:r>
    </w:p>
    <w:p w:rsidR="009D187E" w:rsidRPr="005C333D" w:rsidRDefault="009D187E" w:rsidP="009D187E">
      <w:pPr>
        <w:pStyle w:val="TableFigureHeading"/>
        <w:rPr>
          <w:rStyle w:val="CommentReference"/>
          <w:b/>
        </w:rPr>
      </w:pPr>
      <w:r w:rsidRPr="005C333D">
        <w:rPr>
          <w:rStyle w:val="CommentReference"/>
          <w:b/>
          <w:szCs w:val="24"/>
        </w:rPr>
        <w:t>Table 1</w:t>
      </w:r>
      <w:r w:rsidR="001F3494" w:rsidRPr="005C333D">
        <w:rPr>
          <w:rStyle w:val="CommentReference"/>
          <w:b/>
          <w:szCs w:val="24"/>
        </w:rPr>
        <w:t>1</w:t>
      </w:r>
      <w:r w:rsidRPr="005C333D">
        <w:rPr>
          <w:rStyle w:val="CommentReference"/>
          <w:b/>
          <w:szCs w:val="24"/>
        </w:rPr>
        <w:t xml:space="preserve">: Summary </w:t>
      </w:r>
      <w:r w:rsidRPr="005C333D">
        <w:rPr>
          <w:rStyle w:val="CommentReference"/>
          <w:b/>
        </w:rPr>
        <w:t>of health outcomes included in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759"/>
        <w:gridCol w:w="1761"/>
        <w:gridCol w:w="1584"/>
        <w:gridCol w:w="1934"/>
      </w:tblGrid>
      <w:tr w:rsidR="009D187E" w:rsidRPr="005C333D" w:rsidTr="00F36D13">
        <w:trPr>
          <w:cantSplit/>
        </w:trPr>
        <w:tc>
          <w:tcPr>
            <w:tcW w:w="109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rPr>
                <w:lang w:val="en-AU"/>
              </w:rPr>
            </w:pPr>
            <w:r w:rsidRPr="005C333D">
              <w:rPr>
                <w:lang w:val="en-AU"/>
              </w:rPr>
              <w:t>Health state</w:t>
            </w:r>
          </w:p>
        </w:tc>
        <w:tc>
          <w:tcPr>
            <w:tcW w:w="975" w:type="pct"/>
            <w:tcBorders>
              <w:top w:val="single" w:sz="4" w:space="0" w:color="auto"/>
              <w:left w:val="single" w:sz="4" w:space="0" w:color="auto"/>
              <w:bottom w:val="single" w:sz="4" w:space="0" w:color="auto"/>
              <w:right w:val="single" w:sz="4" w:space="0" w:color="auto"/>
            </w:tcBorders>
            <w:vAlign w:val="center"/>
          </w:tcPr>
          <w:p w:rsidR="009D187E" w:rsidRPr="005C333D" w:rsidRDefault="009D187E" w:rsidP="00141938">
            <w:pPr>
              <w:pStyle w:val="In-tableHeading"/>
              <w:jc w:val="center"/>
              <w:rPr>
                <w:lang w:val="en-AU"/>
              </w:rPr>
            </w:pPr>
            <w:r w:rsidRPr="005C333D">
              <w:rPr>
                <w:lang w:val="en-AU"/>
              </w:rPr>
              <w:t xml:space="preserve">Ciclosporin + </w:t>
            </w:r>
            <w:r w:rsidRPr="005C333D">
              <w:rPr>
                <w:iCs/>
                <w:lang w:val="en-AU"/>
              </w:rPr>
              <w:t>BSC</w:t>
            </w:r>
            <w:r w:rsidRPr="005C333D">
              <w:rPr>
                <w:lang w:val="en-AU"/>
              </w:rPr>
              <w:t xml:space="preserve"> </w:t>
            </w:r>
          </w:p>
        </w:tc>
        <w:tc>
          <w:tcPr>
            <w:tcW w:w="976" w:type="pct"/>
            <w:tcBorders>
              <w:top w:val="single" w:sz="4" w:space="0" w:color="auto"/>
              <w:left w:val="single" w:sz="4" w:space="0" w:color="auto"/>
              <w:bottom w:val="single" w:sz="4" w:space="0" w:color="auto"/>
              <w:right w:val="single" w:sz="4" w:space="0" w:color="auto"/>
            </w:tcBorders>
            <w:vAlign w:val="center"/>
          </w:tcPr>
          <w:p w:rsidR="009D187E" w:rsidRPr="005C333D" w:rsidRDefault="009D187E" w:rsidP="00141938">
            <w:pPr>
              <w:pStyle w:val="In-tableHeading"/>
              <w:jc w:val="center"/>
              <w:rPr>
                <w:lang w:val="en-AU"/>
              </w:rPr>
            </w:pPr>
            <w:r w:rsidRPr="005C333D">
              <w:rPr>
                <w:iCs/>
                <w:lang w:val="en-AU"/>
              </w:rPr>
              <w:t xml:space="preserve">BSC </w:t>
            </w:r>
          </w:p>
        </w:tc>
        <w:tc>
          <w:tcPr>
            <w:tcW w:w="87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lang w:val="en-AU"/>
              </w:rPr>
            </w:pPr>
            <w:r w:rsidRPr="005C333D">
              <w:rPr>
                <w:lang w:val="en-AU"/>
              </w:rPr>
              <w:t>Incremental outcome</w:t>
            </w:r>
          </w:p>
        </w:tc>
        <w:tc>
          <w:tcPr>
            <w:tcW w:w="107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lang w:val="en-AU"/>
              </w:rPr>
            </w:pPr>
            <w:r w:rsidRPr="005C333D">
              <w:rPr>
                <w:lang w:val="en-AU"/>
              </w:rPr>
              <w:t>% of total incremental outcome</w:t>
            </w:r>
          </w:p>
        </w:tc>
      </w:tr>
      <w:tr w:rsidR="009D187E" w:rsidRPr="005C333D" w:rsidTr="00F36D13">
        <w:trPr>
          <w:cantSplit/>
        </w:trPr>
        <w:tc>
          <w:tcPr>
            <w:tcW w:w="109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TableText0"/>
            </w:pPr>
            <w:r w:rsidRPr="005C333D">
              <w:t>Treatment initiation</w:t>
            </w:r>
          </w:p>
        </w:tc>
        <w:tc>
          <w:tcPr>
            <w:tcW w:w="975"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0.329</w:t>
            </w:r>
          </w:p>
        </w:tc>
        <w:tc>
          <w:tcPr>
            <w:tcW w:w="976"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0.325</w:t>
            </w:r>
          </w:p>
        </w:tc>
        <w:tc>
          <w:tcPr>
            <w:tcW w:w="87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0.004</w:t>
            </w:r>
          </w:p>
        </w:tc>
        <w:tc>
          <w:tcPr>
            <w:tcW w:w="107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12%</w:t>
            </w:r>
          </w:p>
        </w:tc>
      </w:tr>
      <w:tr w:rsidR="009D187E" w:rsidRPr="005C333D" w:rsidTr="00F36D13">
        <w:trPr>
          <w:cantSplit/>
        </w:trPr>
        <w:tc>
          <w:tcPr>
            <w:tcW w:w="109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TableText0"/>
            </w:pPr>
            <w:r w:rsidRPr="005C333D">
              <w:t>In response</w:t>
            </w:r>
          </w:p>
        </w:tc>
        <w:tc>
          <w:tcPr>
            <w:tcW w:w="975"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0.327</w:t>
            </w:r>
          </w:p>
        </w:tc>
        <w:tc>
          <w:tcPr>
            <w:tcW w:w="976"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0.104</w:t>
            </w:r>
          </w:p>
        </w:tc>
        <w:tc>
          <w:tcPr>
            <w:tcW w:w="87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0.223</w:t>
            </w:r>
          </w:p>
        </w:tc>
        <w:tc>
          <w:tcPr>
            <w:tcW w:w="107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656%</w:t>
            </w:r>
          </w:p>
        </w:tc>
      </w:tr>
      <w:tr w:rsidR="009D187E" w:rsidRPr="005C333D" w:rsidTr="00F36D13">
        <w:trPr>
          <w:cantSplit/>
        </w:trPr>
        <w:tc>
          <w:tcPr>
            <w:tcW w:w="109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TableText0"/>
            </w:pPr>
            <w:r w:rsidRPr="005C333D">
              <w:t>Not in response</w:t>
            </w:r>
          </w:p>
        </w:tc>
        <w:tc>
          <w:tcPr>
            <w:tcW w:w="975"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2.270</w:t>
            </w:r>
          </w:p>
        </w:tc>
        <w:tc>
          <w:tcPr>
            <w:tcW w:w="976"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2.462</w:t>
            </w:r>
          </w:p>
        </w:tc>
        <w:tc>
          <w:tcPr>
            <w:tcW w:w="87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-0.192</w:t>
            </w:r>
          </w:p>
        </w:tc>
        <w:tc>
          <w:tcPr>
            <w:tcW w:w="107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-565%</w:t>
            </w:r>
          </w:p>
        </w:tc>
      </w:tr>
      <w:tr w:rsidR="009D187E" w:rsidRPr="005C333D" w:rsidTr="00F36D13">
        <w:trPr>
          <w:cantSplit/>
        </w:trPr>
        <w:tc>
          <w:tcPr>
            <w:tcW w:w="109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TableText0"/>
            </w:pPr>
            <w:r w:rsidRPr="005C333D">
              <w:t>Total</w:t>
            </w:r>
          </w:p>
        </w:tc>
        <w:tc>
          <w:tcPr>
            <w:tcW w:w="975"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2.925</w:t>
            </w:r>
          </w:p>
        </w:tc>
        <w:tc>
          <w:tcPr>
            <w:tcW w:w="976" w:type="pct"/>
            <w:tcBorders>
              <w:top w:val="single" w:sz="4" w:space="0" w:color="auto"/>
              <w:left w:val="single" w:sz="4" w:space="0" w:color="auto"/>
              <w:bottom w:val="single" w:sz="4" w:space="0" w:color="auto"/>
              <w:right w:val="single" w:sz="4" w:space="0" w:color="auto"/>
            </w:tcBorders>
            <w:vAlign w:val="bottom"/>
          </w:tcPr>
          <w:p w:rsidR="009D187E" w:rsidRPr="005C333D" w:rsidRDefault="009D187E" w:rsidP="009D187E">
            <w:pPr>
              <w:pStyle w:val="In-tableHeading"/>
              <w:jc w:val="center"/>
              <w:rPr>
                <w:b w:val="0"/>
                <w:bCs/>
                <w:iCs/>
                <w:lang w:val="en-AU"/>
              </w:rPr>
            </w:pPr>
            <w:r w:rsidRPr="005C333D">
              <w:rPr>
                <w:b w:val="0"/>
                <w:bCs/>
                <w:iCs/>
                <w:lang w:val="en-AU"/>
              </w:rPr>
              <w:t>2.891</w:t>
            </w:r>
          </w:p>
        </w:tc>
        <w:tc>
          <w:tcPr>
            <w:tcW w:w="87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0.034</w:t>
            </w:r>
          </w:p>
        </w:tc>
        <w:tc>
          <w:tcPr>
            <w:tcW w:w="107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187E" w:rsidRPr="005C333D" w:rsidRDefault="009D187E" w:rsidP="009D187E">
            <w:pPr>
              <w:pStyle w:val="In-tableHeading"/>
              <w:jc w:val="center"/>
              <w:rPr>
                <w:b w:val="0"/>
                <w:bCs/>
                <w:iCs/>
                <w:lang w:val="en-AU"/>
              </w:rPr>
            </w:pPr>
            <w:r w:rsidRPr="005C333D">
              <w:rPr>
                <w:b w:val="0"/>
                <w:bCs/>
                <w:iCs/>
                <w:lang w:val="en-AU"/>
              </w:rPr>
              <w:t>100%</w:t>
            </w:r>
          </w:p>
        </w:tc>
      </w:tr>
    </w:tbl>
    <w:p w:rsidR="00EF447D" w:rsidRPr="005C333D" w:rsidRDefault="00EF447D" w:rsidP="009D187E">
      <w:pPr>
        <w:pStyle w:val="TableFigureFooter"/>
      </w:pPr>
      <w:r w:rsidRPr="005C333D">
        <w:t xml:space="preserve">BSC = </w:t>
      </w:r>
      <w:r w:rsidR="00141938" w:rsidRPr="005C333D">
        <w:t>b</w:t>
      </w:r>
      <w:r w:rsidRPr="005C333D">
        <w:t>est supportive care</w:t>
      </w:r>
    </w:p>
    <w:p w:rsidR="009D187E" w:rsidRPr="005C333D" w:rsidRDefault="009D187E" w:rsidP="009D187E">
      <w:pPr>
        <w:pStyle w:val="TableFigureFooter"/>
        <w:rPr>
          <w:rFonts w:ascii="Calibri" w:hAnsi="Calibri" w:cs="Times New Roman"/>
          <w:sz w:val="16"/>
          <w:szCs w:val="20"/>
        </w:rPr>
      </w:pPr>
      <w:r w:rsidRPr="005C333D">
        <w:t xml:space="preserve">Source: </w:t>
      </w:r>
      <w:r w:rsidRPr="005C333D">
        <w:rPr>
          <w:iCs/>
        </w:rPr>
        <w:t xml:space="preserve">Calculated and compiled during the evaluation using estimates from </w:t>
      </w:r>
      <w:r w:rsidRPr="005C333D">
        <w:t xml:space="preserve">Section 3 excel model (Ikervis PBAC Nov2020 – Section 3.xlsx). </w:t>
      </w:r>
    </w:p>
    <w:p w:rsidR="009D187E" w:rsidRPr="005C333D" w:rsidRDefault="009D187E" w:rsidP="00B73532">
      <w:pPr>
        <w:pStyle w:val="3-BodyText"/>
      </w:pPr>
      <w:r w:rsidRPr="005C333D">
        <w:t xml:space="preserve">The ‘In response’ health state contributed the greatest proportion of incremental outcome observed. </w:t>
      </w:r>
    </w:p>
    <w:p w:rsidR="00A86E8B" w:rsidRPr="005C333D" w:rsidRDefault="00D23D11" w:rsidP="00B73532">
      <w:pPr>
        <w:pStyle w:val="3-BodyText"/>
      </w:pPr>
      <w:r w:rsidRPr="005C333D">
        <w:t xml:space="preserve">The results of key univariate sensitivity analyses are summarised </w:t>
      </w:r>
      <w:r w:rsidR="00380D04" w:rsidRPr="005C333D">
        <w:t xml:space="preserve">in Table </w:t>
      </w:r>
      <w:r w:rsidR="00515DFF" w:rsidRPr="005C333D">
        <w:t>1</w:t>
      </w:r>
      <w:r w:rsidR="001F3494" w:rsidRPr="005C333D">
        <w:t>2</w:t>
      </w:r>
      <w:r w:rsidRPr="005C333D">
        <w:t>.</w:t>
      </w:r>
    </w:p>
    <w:p w:rsidR="00D23D11" w:rsidRPr="005C333D" w:rsidRDefault="00D23D11" w:rsidP="00BB732D">
      <w:pPr>
        <w:pStyle w:val="TableFigureHeading"/>
        <w:rPr>
          <w:rStyle w:val="CommentReference"/>
          <w:b/>
          <w:szCs w:val="24"/>
        </w:rPr>
      </w:pPr>
      <w:r w:rsidRPr="005C333D">
        <w:rPr>
          <w:rStyle w:val="CommentReference"/>
          <w:b/>
          <w:szCs w:val="24"/>
        </w:rPr>
        <w:t xml:space="preserve">Table </w:t>
      </w:r>
      <w:r w:rsidR="00515DFF" w:rsidRPr="005C333D">
        <w:rPr>
          <w:rStyle w:val="CommentReference"/>
          <w:b/>
          <w:szCs w:val="24"/>
        </w:rPr>
        <w:t>1</w:t>
      </w:r>
      <w:r w:rsidR="001F3494" w:rsidRPr="005C333D">
        <w:rPr>
          <w:rStyle w:val="CommentReference"/>
          <w:b/>
          <w:szCs w:val="24"/>
        </w:rPr>
        <w:t>2</w:t>
      </w:r>
      <w:r w:rsidR="009978D7" w:rsidRPr="005C333D">
        <w:rPr>
          <w:rStyle w:val="CommentReference"/>
          <w:b/>
          <w:szCs w:val="24"/>
        </w:rPr>
        <w:t>:</w:t>
      </w:r>
      <w:r w:rsidR="00354F64" w:rsidRPr="005C333D">
        <w:rPr>
          <w:rStyle w:val="CommentReference"/>
          <w:b/>
          <w:szCs w:val="24"/>
        </w:rPr>
        <w:t xml:space="preserve"> </w:t>
      </w:r>
      <w:r w:rsidR="00D15314" w:rsidRPr="005C333D">
        <w:rPr>
          <w:rStyle w:val="CommentReference"/>
          <w:b/>
          <w:szCs w:val="24"/>
        </w:rPr>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1"/>
        <w:gridCol w:w="1277"/>
        <w:gridCol w:w="1275"/>
        <w:gridCol w:w="1084"/>
      </w:tblGrid>
      <w:tr w:rsidR="00D23D11" w:rsidRPr="005C333D" w:rsidTr="0051595E">
        <w:trPr>
          <w:cantSplit/>
          <w:tblHeader/>
        </w:trPr>
        <w:tc>
          <w:tcPr>
            <w:tcW w:w="2984" w:type="pct"/>
            <w:vAlign w:val="center"/>
          </w:tcPr>
          <w:p w:rsidR="00D23D11" w:rsidRPr="005C333D" w:rsidRDefault="00D23D11" w:rsidP="00CD26DE">
            <w:pPr>
              <w:pStyle w:val="In-tableHeading"/>
              <w:rPr>
                <w:lang w:val="en-AU"/>
              </w:rPr>
            </w:pPr>
            <w:r w:rsidRPr="005C333D">
              <w:rPr>
                <w:lang w:val="en-AU"/>
              </w:rPr>
              <w:t>Analyses</w:t>
            </w:r>
          </w:p>
        </w:tc>
        <w:tc>
          <w:tcPr>
            <w:tcW w:w="708" w:type="pct"/>
            <w:vAlign w:val="center"/>
          </w:tcPr>
          <w:p w:rsidR="00D23D11" w:rsidRPr="005C333D" w:rsidRDefault="00D23D11" w:rsidP="00CD26DE">
            <w:pPr>
              <w:pStyle w:val="In-tableHeading"/>
              <w:jc w:val="center"/>
              <w:rPr>
                <w:lang w:val="en-AU"/>
              </w:rPr>
            </w:pPr>
            <w:r w:rsidRPr="005C333D">
              <w:rPr>
                <w:lang w:val="en-AU"/>
              </w:rPr>
              <w:t>Incremental cost</w:t>
            </w:r>
          </w:p>
        </w:tc>
        <w:tc>
          <w:tcPr>
            <w:tcW w:w="707" w:type="pct"/>
            <w:vAlign w:val="center"/>
          </w:tcPr>
          <w:p w:rsidR="00D23D11" w:rsidRPr="005C333D" w:rsidRDefault="00D23D11" w:rsidP="00CD26DE">
            <w:pPr>
              <w:pStyle w:val="In-tableHeading"/>
              <w:jc w:val="center"/>
              <w:rPr>
                <w:lang w:val="en-AU"/>
              </w:rPr>
            </w:pPr>
            <w:r w:rsidRPr="005C333D">
              <w:rPr>
                <w:lang w:val="en-AU"/>
              </w:rPr>
              <w:t>Incremental QALY</w:t>
            </w:r>
          </w:p>
        </w:tc>
        <w:tc>
          <w:tcPr>
            <w:tcW w:w="601" w:type="pct"/>
            <w:vAlign w:val="center"/>
          </w:tcPr>
          <w:p w:rsidR="00D23D11" w:rsidRPr="005C333D" w:rsidRDefault="00D23D11" w:rsidP="00CD26DE">
            <w:pPr>
              <w:pStyle w:val="In-tableHeading"/>
              <w:jc w:val="center"/>
              <w:rPr>
                <w:lang w:val="en-AU"/>
              </w:rPr>
            </w:pPr>
            <w:r w:rsidRPr="005C333D">
              <w:rPr>
                <w:lang w:val="en-AU"/>
              </w:rPr>
              <w:t>ICER</w:t>
            </w:r>
          </w:p>
        </w:tc>
      </w:tr>
      <w:tr w:rsidR="00A37177" w:rsidRPr="005C333D" w:rsidTr="0051595E">
        <w:trPr>
          <w:cantSplit/>
        </w:trPr>
        <w:tc>
          <w:tcPr>
            <w:tcW w:w="2984" w:type="pct"/>
            <w:vAlign w:val="center"/>
          </w:tcPr>
          <w:p w:rsidR="00A37177" w:rsidRPr="005C333D" w:rsidRDefault="00A37177" w:rsidP="00CD26DE">
            <w:pPr>
              <w:pStyle w:val="TableText0"/>
              <w:keepNext/>
              <w:rPr>
                <w:b/>
              </w:rPr>
            </w:pPr>
            <w:r w:rsidRPr="005C333D">
              <w:rPr>
                <w:b/>
              </w:rPr>
              <w:t>Base case</w:t>
            </w:r>
          </w:p>
        </w:tc>
        <w:tc>
          <w:tcPr>
            <w:tcW w:w="708" w:type="pct"/>
            <w:vAlign w:val="center"/>
          </w:tcPr>
          <w:p w:rsidR="00A37177" w:rsidRPr="005C333D" w:rsidRDefault="00A37177" w:rsidP="00CD26DE">
            <w:pPr>
              <w:pStyle w:val="TableText0"/>
              <w:keepNext/>
              <w:jc w:val="center"/>
              <w:rPr>
                <w:b/>
                <w:highlight w:val="black"/>
              </w:rPr>
            </w:pPr>
            <w:r w:rsidRPr="005C333D">
              <w:rPr>
                <w:b/>
              </w:rPr>
              <w:t>$</w:t>
            </w:r>
            <w:r w:rsidR="00CC4A22">
              <w:rPr>
                <w:b/>
                <w:noProof/>
                <w:color w:val="000000"/>
                <w:highlight w:val="black"/>
              </w:rPr>
              <w:t>'''''''</w:t>
            </w:r>
          </w:p>
        </w:tc>
        <w:tc>
          <w:tcPr>
            <w:tcW w:w="707" w:type="pct"/>
            <w:vAlign w:val="center"/>
          </w:tcPr>
          <w:p w:rsidR="00A37177" w:rsidRPr="005C333D" w:rsidRDefault="00A37177" w:rsidP="00CD26DE">
            <w:pPr>
              <w:pStyle w:val="TableText0"/>
              <w:keepNext/>
              <w:jc w:val="center"/>
              <w:rPr>
                <w:b/>
              </w:rPr>
            </w:pPr>
            <w:r w:rsidRPr="005C333D">
              <w:rPr>
                <w:b/>
              </w:rPr>
              <w:t>0.0341</w:t>
            </w:r>
          </w:p>
        </w:tc>
        <w:tc>
          <w:tcPr>
            <w:tcW w:w="601" w:type="pct"/>
            <w:vAlign w:val="center"/>
          </w:tcPr>
          <w:p w:rsidR="00A37177" w:rsidRPr="005C333D" w:rsidRDefault="00A37177" w:rsidP="00CD26DE">
            <w:pPr>
              <w:pStyle w:val="TableText0"/>
              <w:keepNext/>
              <w:jc w:val="center"/>
              <w:rPr>
                <w:b/>
                <w:highlight w:val="black"/>
              </w:rPr>
            </w:pPr>
            <w:r w:rsidRPr="005C333D">
              <w:rPr>
                <w:b/>
              </w:rPr>
              <w:t>$</w:t>
            </w:r>
            <w:r w:rsidR="00CC4A22">
              <w:rPr>
                <w:b/>
                <w:noProof/>
                <w:color w:val="000000"/>
                <w:highlight w:val="black"/>
              </w:rPr>
              <w:t>''''''''''''''</w:t>
            </w:r>
            <w:r w:rsidR="006D0F91">
              <w:rPr>
                <w:iCs/>
                <w:vertAlign w:val="superscript"/>
              </w:rPr>
              <w:t>1</w:t>
            </w:r>
          </w:p>
        </w:tc>
      </w:tr>
      <w:tr w:rsidR="00A37177" w:rsidRPr="005C333D" w:rsidTr="00A37177">
        <w:trPr>
          <w:cantSplit/>
        </w:trPr>
        <w:tc>
          <w:tcPr>
            <w:tcW w:w="5000" w:type="pct"/>
            <w:gridSpan w:val="4"/>
            <w:vAlign w:val="center"/>
          </w:tcPr>
          <w:p w:rsidR="00A37177" w:rsidRPr="005C333D" w:rsidRDefault="00A37177" w:rsidP="00CD26DE">
            <w:pPr>
              <w:pStyle w:val="TableText0"/>
              <w:keepNext/>
              <w:rPr>
                <w:b/>
              </w:rPr>
            </w:pPr>
            <w:r w:rsidRPr="005C333D">
              <w:rPr>
                <w:b/>
              </w:rPr>
              <w:t>Utility inputs</w:t>
            </w:r>
          </w:p>
        </w:tc>
      </w:tr>
      <w:tr w:rsidR="00A37177" w:rsidRPr="005C333D" w:rsidTr="0051595E">
        <w:trPr>
          <w:cantSplit/>
        </w:trPr>
        <w:tc>
          <w:tcPr>
            <w:tcW w:w="2984" w:type="pct"/>
            <w:vAlign w:val="center"/>
          </w:tcPr>
          <w:p w:rsidR="00A37177" w:rsidRPr="005C333D" w:rsidRDefault="00A37177" w:rsidP="006651A3">
            <w:pPr>
              <w:pStyle w:val="TableText0"/>
              <w:keepNext/>
              <w:rPr>
                <w:b/>
              </w:rPr>
            </w:pPr>
            <w:r w:rsidRPr="005C333D">
              <w:t xml:space="preserve">SANSIKA, less stringent response criteria </w:t>
            </w:r>
            <w:r w:rsidR="006651A3" w:rsidRPr="005C333D">
              <w:t>(0.738</w:t>
            </w:r>
            <w:r w:rsidR="00F8364B" w:rsidRPr="005C333D">
              <w:t xml:space="preserve"> </w:t>
            </w:r>
            <w:r w:rsidR="006651A3" w:rsidRPr="005C333D">
              <w:t>and 0.660 for responder and non-responder)</w:t>
            </w:r>
          </w:p>
        </w:tc>
        <w:tc>
          <w:tcPr>
            <w:tcW w:w="708" w:type="pct"/>
            <w:vAlign w:val="center"/>
          </w:tcPr>
          <w:p w:rsidR="00A37177" w:rsidRPr="005C333D" w:rsidRDefault="00A37177" w:rsidP="00CD26DE">
            <w:pPr>
              <w:pStyle w:val="TableText0"/>
              <w:keepNext/>
              <w:jc w:val="center"/>
              <w:rPr>
                <w:b/>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b/>
              </w:rPr>
            </w:pPr>
            <w:r w:rsidRPr="005C333D">
              <w:t>0.0255</w:t>
            </w:r>
          </w:p>
        </w:tc>
        <w:tc>
          <w:tcPr>
            <w:tcW w:w="601" w:type="pct"/>
            <w:vAlign w:val="center"/>
          </w:tcPr>
          <w:p w:rsidR="00A37177" w:rsidRPr="005C333D" w:rsidRDefault="00A37177" w:rsidP="00CD26DE">
            <w:pPr>
              <w:pStyle w:val="TableText0"/>
              <w:keepNext/>
              <w:jc w:val="center"/>
              <w:rPr>
                <w:b/>
              </w:rPr>
            </w:pPr>
            <w:r w:rsidRPr="005C333D">
              <w:t>$</w:t>
            </w:r>
            <w:r w:rsidR="00CC4A22">
              <w:rPr>
                <w:noProof/>
                <w:color w:val="000000"/>
                <w:highlight w:val="black"/>
              </w:rPr>
              <w:t>'''''''''''''''</w:t>
            </w:r>
            <w:r w:rsidR="006D0F91">
              <w:rPr>
                <w:iCs/>
                <w:vertAlign w:val="superscript"/>
              </w:rPr>
              <w:t>2</w:t>
            </w:r>
          </w:p>
        </w:tc>
      </w:tr>
      <w:tr w:rsidR="00A37177" w:rsidRPr="005C333D" w:rsidTr="0051595E">
        <w:trPr>
          <w:cantSplit/>
        </w:trPr>
        <w:tc>
          <w:tcPr>
            <w:tcW w:w="2984" w:type="pct"/>
            <w:vAlign w:val="center"/>
          </w:tcPr>
          <w:p w:rsidR="00A37177" w:rsidRPr="005C333D" w:rsidRDefault="00A37177" w:rsidP="00CD26DE">
            <w:pPr>
              <w:pStyle w:val="TableText0"/>
              <w:keepNext/>
              <w:rPr>
                <w:b/>
              </w:rPr>
            </w:pPr>
            <w:r w:rsidRPr="005C333D">
              <w:t>Messmer 2019 (0.759 and 0.638 for responder and non-responder)</w:t>
            </w:r>
          </w:p>
        </w:tc>
        <w:tc>
          <w:tcPr>
            <w:tcW w:w="708" w:type="pct"/>
            <w:vAlign w:val="center"/>
          </w:tcPr>
          <w:p w:rsidR="00A37177" w:rsidRPr="005C333D" w:rsidRDefault="00A37177" w:rsidP="00CD26DE">
            <w:pPr>
              <w:pStyle w:val="TableText0"/>
              <w:keepNext/>
              <w:jc w:val="center"/>
              <w:rPr>
                <w:b/>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b/>
              </w:rPr>
            </w:pPr>
            <w:r w:rsidRPr="005C333D">
              <w:t>0.0397</w:t>
            </w:r>
          </w:p>
        </w:tc>
        <w:tc>
          <w:tcPr>
            <w:tcW w:w="601" w:type="pct"/>
            <w:vAlign w:val="center"/>
          </w:tcPr>
          <w:p w:rsidR="00A37177" w:rsidRPr="005C333D" w:rsidRDefault="00A37177" w:rsidP="00CD26DE">
            <w:pPr>
              <w:pStyle w:val="TableText0"/>
              <w:keepNext/>
              <w:jc w:val="center"/>
              <w:rPr>
                <w:b/>
              </w:rPr>
            </w:pPr>
            <w:r w:rsidRPr="005C333D">
              <w:t>$</w:t>
            </w:r>
            <w:r w:rsidR="00CC4A22">
              <w:rPr>
                <w:noProof/>
                <w:color w:val="000000"/>
                <w:highlight w:val="black"/>
              </w:rPr>
              <w:t>'''''''''''''''</w:t>
            </w:r>
            <w:r w:rsidR="006D0F91">
              <w:rPr>
                <w:iCs/>
                <w:vertAlign w:val="superscript"/>
              </w:rPr>
              <w:t>1</w:t>
            </w:r>
          </w:p>
        </w:tc>
      </w:tr>
      <w:tr w:rsidR="00A37177" w:rsidRPr="005C333D" w:rsidTr="0051595E">
        <w:trPr>
          <w:cantSplit/>
        </w:trPr>
        <w:tc>
          <w:tcPr>
            <w:tcW w:w="2984" w:type="pct"/>
            <w:vAlign w:val="center"/>
          </w:tcPr>
          <w:p w:rsidR="00A37177" w:rsidRPr="005C333D" w:rsidRDefault="00A37177" w:rsidP="00CD26DE">
            <w:pPr>
              <w:pStyle w:val="TableText0"/>
              <w:keepNext/>
              <w:rPr>
                <w:b/>
              </w:rPr>
            </w:pPr>
            <w:r w:rsidRPr="005C333D">
              <w:t>Schiffman 2003 (0.78 and 0.72 for responder and non-responder)</w:t>
            </w:r>
          </w:p>
        </w:tc>
        <w:tc>
          <w:tcPr>
            <w:tcW w:w="708" w:type="pct"/>
            <w:vAlign w:val="center"/>
          </w:tcPr>
          <w:p w:rsidR="00A37177" w:rsidRPr="005C333D" w:rsidRDefault="00A37177" w:rsidP="00CD26DE">
            <w:pPr>
              <w:pStyle w:val="TableText0"/>
              <w:keepNext/>
              <w:jc w:val="center"/>
              <w:rPr>
                <w:b/>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b/>
              </w:rPr>
            </w:pPr>
            <w:r w:rsidRPr="005C333D">
              <w:t>0.0197</w:t>
            </w:r>
          </w:p>
        </w:tc>
        <w:tc>
          <w:tcPr>
            <w:tcW w:w="601" w:type="pct"/>
            <w:vAlign w:val="center"/>
          </w:tcPr>
          <w:p w:rsidR="00A37177" w:rsidRPr="005C333D" w:rsidRDefault="00A37177" w:rsidP="00CD26DE">
            <w:pPr>
              <w:pStyle w:val="TableText0"/>
              <w:keepNext/>
              <w:jc w:val="center"/>
              <w:rPr>
                <w:b/>
              </w:rPr>
            </w:pPr>
            <w:r w:rsidRPr="005C333D">
              <w:t>$</w:t>
            </w:r>
            <w:r w:rsidR="00CC4A22">
              <w:rPr>
                <w:noProof/>
                <w:color w:val="000000"/>
                <w:highlight w:val="black"/>
              </w:rPr>
              <w:t>''''''''''''''''</w:t>
            </w:r>
            <w:r w:rsidR="000D4093">
              <w:rPr>
                <w:iCs/>
                <w:vertAlign w:val="superscript"/>
              </w:rPr>
              <w:t>3</w:t>
            </w:r>
          </w:p>
        </w:tc>
      </w:tr>
      <w:tr w:rsidR="00A37177" w:rsidRPr="005C333D" w:rsidTr="0051595E">
        <w:trPr>
          <w:cantSplit/>
        </w:trPr>
        <w:tc>
          <w:tcPr>
            <w:tcW w:w="2984" w:type="pct"/>
            <w:vAlign w:val="center"/>
          </w:tcPr>
          <w:p w:rsidR="00A37177" w:rsidRPr="005C333D" w:rsidRDefault="00A37177" w:rsidP="00CD26DE">
            <w:pPr>
              <w:pStyle w:val="TableText0"/>
              <w:keepNext/>
              <w:rPr>
                <w:iCs/>
              </w:rPr>
            </w:pPr>
            <w:r w:rsidRPr="005C333D">
              <w:rPr>
                <w:iCs/>
              </w:rPr>
              <w:t>Applying utility from SANSIKA part 1a</w:t>
            </w:r>
          </w:p>
          <w:p w:rsidR="00A37177" w:rsidRPr="005C333D" w:rsidRDefault="00A37177" w:rsidP="00CD26DE">
            <w:pPr>
              <w:pStyle w:val="TableText0"/>
              <w:keepNext/>
              <w:rPr>
                <w:iCs/>
              </w:rPr>
            </w:pPr>
            <w:r w:rsidRPr="005C333D">
              <w:rPr>
                <w:iCs/>
              </w:rPr>
              <w:t>Ciclosporin - response utility (0.68), no response (0.66)</w:t>
            </w:r>
          </w:p>
          <w:p w:rsidR="00A37177" w:rsidRPr="005C333D" w:rsidRDefault="00A37177" w:rsidP="00CD26DE">
            <w:pPr>
              <w:pStyle w:val="TableText0"/>
              <w:keepNext/>
            </w:pPr>
            <w:r w:rsidRPr="005C333D">
              <w:rPr>
                <w:iCs/>
              </w:rPr>
              <w:t>BSC - response utility (0.69), no response (0.66)</w:t>
            </w:r>
          </w:p>
        </w:tc>
        <w:tc>
          <w:tcPr>
            <w:tcW w:w="708" w:type="pct"/>
            <w:vAlign w:val="center"/>
          </w:tcPr>
          <w:p w:rsidR="00A37177" w:rsidRPr="005C333D" w:rsidRDefault="00A37177" w:rsidP="00CD26DE">
            <w:pPr>
              <w:pStyle w:val="TableText0"/>
              <w:keepNext/>
              <w:jc w:val="center"/>
            </w:pPr>
            <w:r w:rsidRPr="005C333D">
              <w:rPr>
                <w:iCs/>
              </w:rPr>
              <w:t>$</w:t>
            </w:r>
            <w:r w:rsidR="00CC4A22">
              <w:rPr>
                <w:iCs/>
                <w:noProof/>
                <w:color w:val="000000"/>
                <w:highlight w:val="black"/>
              </w:rPr>
              <w:t>''''''''''</w:t>
            </w:r>
          </w:p>
        </w:tc>
        <w:tc>
          <w:tcPr>
            <w:tcW w:w="707" w:type="pct"/>
            <w:vAlign w:val="center"/>
          </w:tcPr>
          <w:p w:rsidR="00A37177" w:rsidRPr="005C333D" w:rsidRDefault="00A37177" w:rsidP="00CD26DE">
            <w:pPr>
              <w:pStyle w:val="TableText0"/>
              <w:keepNext/>
              <w:jc w:val="center"/>
            </w:pPr>
            <w:r w:rsidRPr="005C333D">
              <w:rPr>
                <w:iCs/>
              </w:rPr>
              <w:t>0.0051</w:t>
            </w:r>
          </w:p>
        </w:tc>
        <w:tc>
          <w:tcPr>
            <w:tcW w:w="601" w:type="pct"/>
            <w:vAlign w:val="center"/>
          </w:tcPr>
          <w:p w:rsidR="00A37177" w:rsidRPr="005C333D" w:rsidRDefault="00A37177" w:rsidP="00CD26DE">
            <w:pPr>
              <w:pStyle w:val="TableText0"/>
              <w:keepNext/>
              <w:jc w:val="center"/>
            </w:pPr>
            <w:r w:rsidRPr="005C333D">
              <w:rPr>
                <w:iCs/>
              </w:rPr>
              <w:t>$</w:t>
            </w:r>
            <w:r w:rsidR="00CC4A22">
              <w:rPr>
                <w:iCs/>
                <w:noProof/>
                <w:color w:val="000000"/>
                <w:highlight w:val="black"/>
              </w:rPr>
              <w:t>'''''''''''''''''''</w:t>
            </w:r>
            <w:r w:rsidR="000D4093">
              <w:rPr>
                <w:iCs/>
                <w:vertAlign w:val="superscript"/>
              </w:rPr>
              <w:t>4</w:t>
            </w:r>
          </w:p>
        </w:tc>
      </w:tr>
      <w:tr w:rsidR="00A37177" w:rsidRPr="005C333D" w:rsidTr="0051595E">
        <w:trPr>
          <w:cantSplit/>
          <w:trHeight w:val="283"/>
        </w:trPr>
        <w:tc>
          <w:tcPr>
            <w:tcW w:w="2984" w:type="pct"/>
            <w:vAlign w:val="center"/>
          </w:tcPr>
          <w:p w:rsidR="00A37177" w:rsidRPr="005C333D" w:rsidRDefault="00A37177" w:rsidP="00CD26DE">
            <w:pPr>
              <w:pStyle w:val="TableText0"/>
              <w:keepNext/>
              <w:rPr>
                <w:iCs/>
              </w:rPr>
            </w:pPr>
            <w:r w:rsidRPr="005C333D">
              <w:rPr>
                <w:iCs/>
              </w:rPr>
              <w:t>Applying utility from SANSIKA part 2b</w:t>
            </w:r>
          </w:p>
          <w:p w:rsidR="00A37177" w:rsidRPr="005C333D" w:rsidRDefault="00A37177" w:rsidP="00CD26DE">
            <w:pPr>
              <w:pStyle w:val="TableText0"/>
              <w:keepNext/>
              <w:rPr>
                <w:iCs/>
              </w:rPr>
            </w:pPr>
            <w:r w:rsidRPr="005C333D">
              <w:rPr>
                <w:iCs/>
              </w:rPr>
              <w:t>Ciclosporin - no response (0.66), utility gain 0.05</w:t>
            </w:r>
          </w:p>
          <w:p w:rsidR="00A37177" w:rsidRPr="005C333D" w:rsidRDefault="00A37177" w:rsidP="00CD26DE">
            <w:pPr>
              <w:pStyle w:val="TableText0"/>
              <w:keepNext/>
            </w:pPr>
            <w:r w:rsidRPr="005C333D">
              <w:rPr>
                <w:iCs/>
              </w:rPr>
              <w:t>BSC - no response (0.66), utility gain 0.01</w:t>
            </w:r>
          </w:p>
        </w:tc>
        <w:tc>
          <w:tcPr>
            <w:tcW w:w="708" w:type="pct"/>
            <w:vAlign w:val="center"/>
          </w:tcPr>
          <w:p w:rsidR="00A37177" w:rsidRPr="005C333D" w:rsidRDefault="00A37177" w:rsidP="00CD26DE">
            <w:pPr>
              <w:pStyle w:val="TableText0"/>
              <w:keepNext/>
              <w:jc w:val="center"/>
              <w:rPr>
                <w:highlight w:val="black"/>
              </w:rPr>
            </w:pPr>
            <w:r w:rsidRPr="005C333D">
              <w:rPr>
                <w:iCs/>
              </w:rPr>
              <w:t>$</w:t>
            </w:r>
            <w:r w:rsidR="00CC4A22">
              <w:rPr>
                <w:iCs/>
                <w:noProof/>
                <w:color w:val="000000"/>
                <w:highlight w:val="black"/>
              </w:rPr>
              <w:t>''''''''''</w:t>
            </w:r>
          </w:p>
        </w:tc>
        <w:tc>
          <w:tcPr>
            <w:tcW w:w="707" w:type="pct"/>
            <w:vAlign w:val="center"/>
          </w:tcPr>
          <w:p w:rsidR="00A37177" w:rsidRPr="005C333D" w:rsidRDefault="00A37177" w:rsidP="00CD26DE">
            <w:pPr>
              <w:pStyle w:val="TableText0"/>
              <w:keepNext/>
              <w:jc w:val="center"/>
            </w:pPr>
            <w:r w:rsidRPr="005C333D">
              <w:rPr>
                <w:iCs/>
              </w:rPr>
              <w:t>0.0224</w:t>
            </w:r>
          </w:p>
        </w:tc>
        <w:tc>
          <w:tcPr>
            <w:tcW w:w="601" w:type="pct"/>
            <w:vAlign w:val="center"/>
          </w:tcPr>
          <w:p w:rsidR="00A37177" w:rsidRPr="005C333D" w:rsidRDefault="00A37177" w:rsidP="00CD26DE">
            <w:pPr>
              <w:pStyle w:val="TableText0"/>
              <w:keepNext/>
              <w:jc w:val="center"/>
              <w:rPr>
                <w:highlight w:val="black"/>
              </w:rPr>
            </w:pPr>
            <w:r w:rsidRPr="005C333D">
              <w:rPr>
                <w:iCs/>
              </w:rPr>
              <w:t>$</w:t>
            </w:r>
            <w:r w:rsidR="00CC4A22">
              <w:rPr>
                <w:iCs/>
                <w:noProof/>
                <w:color w:val="000000"/>
                <w:highlight w:val="black"/>
              </w:rPr>
              <w:t>''''''''''''''''</w:t>
            </w:r>
            <w:r w:rsidR="000D4093">
              <w:rPr>
                <w:iCs/>
                <w:vertAlign w:val="superscript"/>
              </w:rPr>
              <w:t>3</w:t>
            </w:r>
          </w:p>
        </w:tc>
      </w:tr>
      <w:tr w:rsidR="00A37177" w:rsidRPr="005C333D" w:rsidTr="0051595E">
        <w:trPr>
          <w:cantSplit/>
          <w:trHeight w:val="211"/>
        </w:trPr>
        <w:tc>
          <w:tcPr>
            <w:tcW w:w="5000" w:type="pct"/>
            <w:gridSpan w:val="4"/>
            <w:vAlign w:val="center"/>
          </w:tcPr>
          <w:p w:rsidR="00A37177" w:rsidRPr="005C333D" w:rsidRDefault="00A37177" w:rsidP="00CD26DE">
            <w:pPr>
              <w:pStyle w:val="TableText0"/>
              <w:keepNext/>
              <w:rPr>
                <w:rFonts w:eastAsia="Calibri"/>
                <w:szCs w:val="20"/>
              </w:rPr>
            </w:pPr>
            <w:r w:rsidRPr="005C333D">
              <w:rPr>
                <w:b/>
              </w:rPr>
              <w:t>Response rates at 6 months</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Meta-analysis severe subgroup, CFS </w:t>
            </w:r>
            <w:r w:rsidR="0093696D" w:rsidRPr="005C333D">
              <w:t>improvement ≥</w:t>
            </w:r>
            <w:r w:rsidRPr="005C333D">
              <w:t xml:space="preserve"> 2 &amp; OSDI improvement </w:t>
            </w:r>
            <w:r w:rsidR="0093696D" w:rsidRPr="005C333D">
              <w:t xml:space="preserve">≥ </w:t>
            </w:r>
            <w:r w:rsidRPr="005C333D">
              <w:t>30% (29.50% vs 18.30%)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0.0323</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3</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Meta-analysis severe Sjögren subgroup, CFS improvement </w:t>
            </w:r>
            <w:r w:rsidR="0093696D" w:rsidRPr="005C333D">
              <w:t>≥ 3 &amp; OSDI improvement ≥ 30%</w:t>
            </w:r>
            <w:r w:rsidR="00BF2C5E" w:rsidRPr="005C333D">
              <w:t xml:space="preserve"> </w:t>
            </w:r>
            <w:r w:rsidRPr="005C333D">
              <w:t>(14.30% vs 3.80%)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0.0298</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1</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Meta-analysis severe Sjögren subgroup, CFS improvement </w:t>
            </w:r>
            <w:r w:rsidR="0093696D" w:rsidRPr="005C333D">
              <w:t>≥ 2 &amp; OSDI improvement ≥ 30%</w:t>
            </w:r>
            <w:r w:rsidR="00BF2C5E" w:rsidRPr="005C333D">
              <w:t xml:space="preserve"> </w:t>
            </w:r>
            <w:r w:rsidRPr="005C333D">
              <w:t>(23.40% vs 9.40%)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0.0399</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1</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Meta-analysis all patients, CFS improvement </w:t>
            </w:r>
            <w:r w:rsidR="0093696D" w:rsidRPr="005C333D">
              <w:t xml:space="preserve">≥ 2 &amp; OSDI improvement ≥ 30% </w:t>
            </w:r>
            <w:r w:rsidRPr="005C333D">
              <w:t>(21.60% vs 13.10%)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0.0245</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3</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SANSIKA all patients, CFS improvement</w:t>
            </w:r>
            <w:r w:rsidR="0093696D" w:rsidRPr="005C333D">
              <w:t xml:space="preserve"> ≥ 3 &amp; OSDI improvement ≥ 30% </w:t>
            </w:r>
            <w:r w:rsidRPr="005C333D">
              <w:t>(18.80% vs 7.80%)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0.0314</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2</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SANSIKA all patients, CFS improvement </w:t>
            </w:r>
            <w:r w:rsidR="0093696D" w:rsidRPr="005C333D">
              <w:t>≥ 2 &amp; OSDI improvement ≥ 30%</w:t>
            </w:r>
            <w:r w:rsidR="00BF2C5E" w:rsidRPr="005C333D">
              <w:t xml:space="preserve"> </w:t>
            </w:r>
            <w:r w:rsidRPr="005C333D">
              <w:t>(28.60% vs 23.10%)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0.0163</w:t>
            </w:r>
          </w:p>
        </w:tc>
        <w:tc>
          <w:tcPr>
            <w:tcW w:w="601" w:type="pct"/>
            <w:vAlign w:val="center"/>
          </w:tcPr>
          <w:p w:rsidR="00A37177" w:rsidRPr="00442474" w:rsidRDefault="00A37177" w:rsidP="00CD26DE">
            <w:pPr>
              <w:pStyle w:val="TableText0"/>
              <w:keepNext/>
              <w:jc w:val="center"/>
              <w:rPr>
                <w:rFonts w:eastAsia="Calibri"/>
                <w:szCs w:val="20"/>
                <w:vertAlign w:val="superscript"/>
              </w:rPr>
            </w:pPr>
            <w:r w:rsidRPr="005C333D">
              <w:t>$</w:t>
            </w:r>
            <w:r w:rsidR="00CC4A22">
              <w:rPr>
                <w:noProof/>
                <w:color w:val="000000"/>
                <w:highlight w:val="black"/>
              </w:rPr>
              <w:t>'''''''''''''''''</w:t>
            </w:r>
            <w:r w:rsidR="00442474">
              <w:rPr>
                <w:noProof/>
                <w:color w:val="000000"/>
                <w:vertAlign w:val="superscript"/>
              </w:rPr>
              <w:t>6</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SICCANOVE mod to severe subgroup, CFS improvement </w:t>
            </w:r>
            <w:r w:rsidR="0093696D" w:rsidRPr="005C333D">
              <w:t>≥ 2 &amp; OSDI improvement ≥ 30%</w:t>
            </w:r>
            <w:r w:rsidR="00BF2C5E" w:rsidRPr="005C333D">
              <w:t xml:space="preserve"> </w:t>
            </w:r>
            <w:r w:rsidRPr="005C333D">
              <w:t>(19.50% vs 10.20%)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0.0267</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2</w:t>
            </w:r>
          </w:p>
        </w:tc>
      </w:tr>
      <w:tr w:rsidR="00A37177" w:rsidRPr="005C333D" w:rsidTr="0051595E">
        <w:trPr>
          <w:cantSplit/>
          <w:trHeight w:val="283"/>
        </w:trPr>
        <w:tc>
          <w:tcPr>
            <w:tcW w:w="2984" w:type="pct"/>
            <w:vAlign w:val="center"/>
          </w:tcPr>
          <w:p w:rsidR="00A37177" w:rsidRPr="005C333D" w:rsidRDefault="00A37177" w:rsidP="00CD26DE">
            <w:pPr>
              <w:pStyle w:val="TableText0"/>
              <w:keepNext/>
            </w:pPr>
            <w:r w:rsidRPr="005C333D">
              <w:t xml:space="preserve">SICCANOVE severe subgroup, CFS improvement </w:t>
            </w:r>
            <w:r w:rsidR="0093696D" w:rsidRPr="005C333D">
              <w:t>≥ 2 &amp; OSDI improvement ≥ 30%</w:t>
            </w:r>
            <w:r w:rsidR="00BF2C5E" w:rsidRPr="005C333D">
              <w:t xml:space="preserve"> </w:t>
            </w:r>
            <w:r w:rsidRPr="005C333D">
              <w:t>(30.80% vs 5.60%)</w:t>
            </w:r>
          </w:p>
        </w:tc>
        <w:tc>
          <w:tcPr>
            <w:tcW w:w="708"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p>
        </w:tc>
        <w:tc>
          <w:tcPr>
            <w:tcW w:w="707" w:type="pct"/>
            <w:vAlign w:val="center"/>
          </w:tcPr>
          <w:p w:rsidR="00A37177" w:rsidRPr="005C333D" w:rsidRDefault="00A37177" w:rsidP="00CD26DE">
            <w:pPr>
              <w:pStyle w:val="TableText0"/>
              <w:keepNext/>
              <w:jc w:val="center"/>
              <w:rPr>
                <w:rFonts w:eastAsia="Calibri"/>
                <w:szCs w:val="20"/>
              </w:rPr>
            </w:pPr>
            <w:r w:rsidRPr="005C333D">
              <w:t>0.0715</w:t>
            </w:r>
          </w:p>
        </w:tc>
        <w:tc>
          <w:tcPr>
            <w:tcW w:w="601" w:type="pct"/>
            <w:vAlign w:val="center"/>
          </w:tcPr>
          <w:p w:rsidR="00A37177" w:rsidRPr="005C333D" w:rsidRDefault="00A37177" w:rsidP="00CD26DE">
            <w:pPr>
              <w:pStyle w:val="TableText0"/>
              <w:keepNext/>
              <w:jc w:val="center"/>
              <w:rPr>
                <w:rFonts w:eastAsia="Calibri"/>
                <w:szCs w:val="20"/>
              </w:rPr>
            </w:pPr>
            <w:r w:rsidRPr="005C333D">
              <w:t>$</w:t>
            </w:r>
            <w:r w:rsidR="00CC4A22">
              <w:rPr>
                <w:noProof/>
                <w:color w:val="000000"/>
                <w:highlight w:val="black"/>
              </w:rPr>
              <w:t>'''''''''''''''''</w:t>
            </w:r>
            <w:r w:rsidR="000D4093">
              <w:rPr>
                <w:iCs/>
                <w:vertAlign w:val="superscript"/>
              </w:rPr>
              <w:t>5</w:t>
            </w:r>
          </w:p>
        </w:tc>
      </w:tr>
    </w:tbl>
    <w:p w:rsidR="00EF447D" w:rsidRPr="005C333D" w:rsidRDefault="00EF447D" w:rsidP="00AF12C1">
      <w:pPr>
        <w:pStyle w:val="TableFigureFooter"/>
        <w:jc w:val="left"/>
        <w:rPr>
          <w:rFonts w:eastAsiaTheme="majorEastAsia"/>
          <w:snapToGrid/>
        </w:rPr>
      </w:pPr>
      <w:r w:rsidRPr="005C333D">
        <w:rPr>
          <w:rFonts w:eastAsia="Calibri"/>
          <w:szCs w:val="20"/>
        </w:rPr>
        <w:t xml:space="preserve">BSC = best supportive care; </w:t>
      </w:r>
      <w:r w:rsidR="00AF12C1" w:rsidRPr="005C333D">
        <w:rPr>
          <w:rStyle w:val="TableFigureFooterChar"/>
          <w:rFonts w:eastAsiaTheme="majorEastAsia"/>
        </w:rPr>
        <w:t xml:space="preserve">CFS = </w:t>
      </w:r>
      <w:r w:rsidR="009B3F75" w:rsidRPr="005C333D">
        <w:rPr>
          <w:rStyle w:val="TableFigureFooterChar"/>
          <w:rFonts w:eastAsiaTheme="majorEastAsia"/>
        </w:rPr>
        <w:t>c</w:t>
      </w:r>
      <w:r w:rsidR="00AF12C1" w:rsidRPr="005C333D">
        <w:rPr>
          <w:rStyle w:val="TableFigureFooterChar"/>
          <w:rFonts w:eastAsiaTheme="majorEastAsia"/>
        </w:rPr>
        <w:t xml:space="preserve">orneal fluorescent staining; </w:t>
      </w:r>
      <w:r w:rsidR="009B3F75" w:rsidRPr="005C333D">
        <w:rPr>
          <w:rStyle w:val="TableFigureFooterChar"/>
          <w:rFonts w:eastAsiaTheme="majorEastAsia"/>
        </w:rPr>
        <w:t xml:space="preserve">ICER = incremental cost effectiveness ratio; </w:t>
      </w:r>
      <w:r w:rsidR="00AF12C1" w:rsidRPr="005C333D">
        <w:rPr>
          <w:rStyle w:val="TableFigureFooterChar"/>
          <w:rFonts w:eastAsiaTheme="majorEastAsia"/>
        </w:rPr>
        <w:t xml:space="preserve">OSDI = </w:t>
      </w:r>
      <w:r w:rsidR="009B3F75" w:rsidRPr="005C333D">
        <w:rPr>
          <w:rStyle w:val="TableFigureFooterChar"/>
          <w:rFonts w:eastAsiaTheme="majorEastAsia"/>
        </w:rPr>
        <w:t>o</w:t>
      </w:r>
      <w:r w:rsidR="00AF12C1" w:rsidRPr="005C333D">
        <w:rPr>
          <w:rStyle w:val="TableFigureFooterChar"/>
          <w:rFonts w:eastAsiaTheme="majorEastAsia"/>
        </w:rPr>
        <w:t xml:space="preserve">cular </w:t>
      </w:r>
      <w:r w:rsidR="009B3F75" w:rsidRPr="005C333D">
        <w:rPr>
          <w:rStyle w:val="TableFigureFooterChar"/>
          <w:rFonts w:eastAsiaTheme="majorEastAsia"/>
        </w:rPr>
        <w:t>s</w:t>
      </w:r>
      <w:r w:rsidR="00AF12C1" w:rsidRPr="005C333D">
        <w:rPr>
          <w:rStyle w:val="TableFigureFooterChar"/>
          <w:rFonts w:eastAsiaTheme="majorEastAsia"/>
        </w:rPr>
        <w:t xml:space="preserve">urface </w:t>
      </w:r>
      <w:r w:rsidR="009B3F75" w:rsidRPr="005C333D">
        <w:rPr>
          <w:rStyle w:val="TableFigureFooterChar"/>
          <w:rFonts w:eastAsiaTheme="majorEastAsia"/>
        </w:rPr>
        <w:t>d</w:t>
      </w:r>
      <w:r w:rsidR="00AF12C1" w:rsidRPr="005C333D">
        <w:rPr>
          <w:rStyle w:val="TableFigureFooterChar"/>
          <w:rFonts w:eastAsiaTheme="majorEastAsia"/>
        </w:rPr>
        <w:t>isease</w:t>
      </w:r>
      <w:r w:rsidR="003F0E57">
        <w:rPr>
          <w:rStyle w:val="TableFigureFooterChar"/>
          <w:rFonts w:eastAsiaTheme="majorEastAsia"/>
        </w:rPr>
        <w:t xml:space="preserve"> </w:t>
      </w:r>
      <w:r w:rsidR="009B3F75" w:rsidRPr="005C333D">
        <w:rPr>
          <w:rStyle w:val="TableFigureFooterChar"/>
          <w:rFonts w:eastAsiaTheme="majorEastAsia"/>
        </w:rPr>
        <w:t>i</w:t>
      </w:r>
      <w:r w:rsidR="00AF12C1" w:rsidRPr="005C333D">
        <w:rPr>
          <w:rStyle w:val="TableFigureFooterChar"/>
          <w:rFonts w:eastAsiaTheme="majorEastAsia"/>
        </w:rPr>
        <w:t xml:space="preserve">ndex; </w:t>
      </w:r>
      <w:r w:rsidRPr="005C333D">
        <w:rPr>
          <w:rFonts w:eastAsia="Calibri"/>
          <w:szCs w:val="20"/>
        </w:rPr>
        <w:t>QALY = quality adjusted life year.</w:t>
      </w:r>
    </w:p>
    <w:p w:rsidR="00A37177" w:rsidRDefault="00A37177" w:rsidP="00A37177">
      <w:pPr>
        <w:pStyle w:val="TableFigureFooter"/>
        <w:rPr>
          <w:iCs/>
        </w:rPr>
      </w:pPr>
      <w:r w:rsidRPr="005C333D">
        <w:t xml:space="preserve">Source: Table 3.9.1, p122; Table 3.9.2, p123; Table 3.9.3, p124 of the submission </w:t>
      </w:r>
      <w:r w:rsidRPr="005C333D">
        <w:rPr>
          <w:iCs/>
        </w:rPr>
        <w:t>and compiled during the evaluation</w:t>
      </w:r>
    </w:p>
    <w:p w:rsidR="006D0F91" w:rsidRPr="000D4093" w:rsidRDefault="006D0F91" w:rsidP="00A37177">
      <w:pPr>
        <w:pStyle w:val="TableFigureFooter"/>
        <w:rPr>
          <w:i/>
          <w:iCs/>
        </w:rPr>
      </w:pPr>
      <w:r w:rsidRPr="000D4093">
        <w:rPr>
          <w:i/>
          <w:iCs/>
        </w:rPr>
        <w:t>The redacted values correspond to the following ranges:</w:t>
      </w:r>
    </w:p>
    <w:p w:rsidR="006D0F91" w:rsidRPr="000D4093" w:rsidRDefault="006D0F91" w:rsidP="00A37177">
      <w:pPr>
        <w:pStyle w:val="TableFigureFooter"/>
        <w:rPr>
          <w:i/>
          <w:iCs/>
        </w:rPr>
      </w:pPr>
      <w:r w:rsidRPr="000D4093">
        <w:rPr>
          <w:i/>
          <w:iCs/>
          <w:vertAlign w:val="superscript"/>
        </w:rPr>
        <w:t>1</w:t>
      </w:r>
      <w:r w:rsidRPr="000D4093">
        <w:rPr>
          <w:i/>
          <w:iCs/>
        </w:rPr>
        <w:t xml:space="preserve"> $15,000 to &lt; $25,000/QALY gained</w:t>
      </w:r>
    </w:p>
    <w:p w:rsidR="000D4093" w:rsidRPr="000D4093" w:rsidRDefault="006D0F91" w:rsidP="00A37177">
      <w:pPr>
        <w:pStyle w:val="TableFigureFooter"/>
        <w:rPr>
          <w:i/>
          <w:iCs/>
        </w:rPr>
      </w:pPr>
      <w:r w:rsidRPr="000D4093">
        <w:rPr>
          <w:i/>
          <w:iCs/>
          <w:vertAlign w:val="superscript"/>
        </w:rPr>
        <w:t>2</w:t>
      </w:r>
      <w:r w:rsidRPr="000D4093">
        <w:rPr>
          <w:i/>
          <w:iCs/>
        </w:rPr>
        <w:t xml:space="preserve"> $25,000 to &lt; $35,000/QALY gained</w:t>
      </w:r>
    </w:p>
    <w:p w:rsidR="000D4093" w:rsidRPr="000D4093" w:rsidRDefault="000D4093" w:rsidP="00A37177">
      <w:pPr>
        <w:pStyle w:val="TableFigureFooter"/>
        <w:rPr>
          <w:i/>
          <w:iCs/>
        </w:rPr>
      </w:pPr>
      <w:r w:rsidRPr="000D4093">
        <w:rPr>
          <w:i/>
          <w:iCs/>
          <w:vertAlign w:val="superscript"/>
        </w:rPr>
        <w:t>3</w:t>
      </w:r>
      <w:r w:rsidRPr="000D4093">
        <w:rPr>
          <w:i/>
          <w:iCs/>
        </w:rPr>
        <w:t xml:space="preserve"> $35,000 to &lt; $45,000/QALY gained</w:t>
      </w:r>
    </w:p>
    <w:p w:rsidR="000D4093" w:rsidRPr="000D4093" w:rsidRDefault="000D4093" w:rsidP="00A37177">
      <w:pPr>
        <w:pStyle w:val="TableFigureFooter"/>
        <w:rPr>
          <w:i/>
          <w:iCs/>
        </w:rPr>
      </w:pPr>
      <w:r w:rsidRPr="000D4093">
        <w:rPr>
          <w:i/>
          <w:iCs/>
          <w:vertAlign w:val="superscript"/>
        </w:rPr>
        <w:t>4</w:t>
      </w:r>
      <w:r w:rsidRPr="000D4093">
        <w:rPr>
          <w:i/>
          <w:iCs/>
        </w:rPr>
        <w:t xml:space="preserve"> $155,000 to &lt; $255,000/QALY gained</w:t>
      </w:r>
    </w:p>
    <w:p w:rsidR="000D4093" w:rsidRDefault="000D4093" w:rsidP="00A37177">
      <w:pPr>
        <w:pStyle w:val="TableFigureFooter"/>
        <w:rPr>
          <w:i/>
          <w:iCs/>
        </w:rPr>
      </w:pPr>
      <w:r w:rsidRPr="000D4093">
        <w:rPr>
          <w:i/>
          <w:iCs/>
          <w:vertAlign w:val="superscript"/>
        </w:rPr>
        <w:t>5</w:t>
      </w:r>
      <w:r w:rsidRPr="000D4093">
        <w:rPr>
          <w:i/>
          <w:iCs/>
        </w:rPr>
        <w:t xml:space="preserve"> $5,000 to &lt; $15,000/QALY gained</w:t>
      </w:r>
    </w:p>
    <w:p w:rsidR="00442474" w:rsidRPr="009D138C" w:rsidRDefault="00442474" w:rsidP="00442474">
      <w:pPr>
        <w:pStyle w:val="TableFigureFooter"/>
        <w:rPr>
          <w:i/>
          <w:iCs/>
        </w:rPr>
      </w:pPr>
      <w:r>
        <w:rPr>
          <w:i/>
          <w:iCs/>
          <w:vertAlign w:val="superscript"/>
        </w:rPr>
        <w:t>6</w:t>
      </w:r>
      <w:r>
        <w:rPr>
          <w:i/>
          <w:iCs/>
        </w:rPr>
        <w:t xml:space="preserve"> $75,000 to &lt; $95,000/QALY gained </w:t>
      </w:r>
    </w:p>
    <w:p w:rsidR="00442474" w:rsidRPr="000D4093" w:rsidRDefault="00442474" w:rsidP="00A37177">
      <w:pPr>
        <w:pStyle w:val="TableFigureFooter"/>
        <w:rPr>
          <w:i/>
          <w:iCs/>
        </w:rPr>
      </w:pPr>
    </w:p>
    <w:p w:rsidR="006651A3" w:rsidRPr="005C333D" w:rsidRDefault="006651A3" w:rsidP="00B73532">
      <w:pPr>
        <w:pStyle w:val="3-BodyText"/>
      </w:pPr>
      <w:r w:rsidRPr="005C333D">
        <w:t xml:space="preserve">The pre-PBAC response noted that the utility gain applied to responders in the model submitted to NICE of 0.08 was similar to the utility gain of 0.078 </w:t>
      </w:r>
      <w:r w:rsidR="000F1E41" w:rsidRPr="005C333D">
        <w:t>applied in the ‘SANSIKA, less stringent response criteria’ sensitivity analysis presented above. This analysis resulted in an ICER of $</w:t>
      </w:r>
      <w:r w:rsidR="00971F54">
        <w:t>25,000 to &lt; $35,000</w:t>
      </w:r>
      <w:r w:rsidR="000F1E41" w:rsidRPr="005C333D">
        <w:t xml:space="preserve"> per QALY. Acknowledging the price reduction required to achieve the base case ICER of $</w:t>
      </w:r>
      <w:r w:rsidR="00971F54">
        <w:t>15,000 to &lt; $25,000</w:t>
      </w:r>
      <w:r w:rsidR="000F1E41" w:rsidRPr="005C333D">
        <w:t xml:space="preserve"> per QALY when a utility gain of 0.078 was applied and </w:t>
      </w:r>
      <w:r w:rsidR="00F9288A" w:rsidRPr="005C333D">
        <w:t xml:space="preserve">noting </w:t>
      </w:r>
      <w:r w:rsidR="000F1E41" w:rsidRPr="005C333D">
        <w:t>the presence of other potential uncertainties</w:t>
      </w:r>
      <w:r w:rsidR="00F9288A" w:rsidRPr="005C333D">
        <w:t xml:space="preserve"> in the model</w:t>
      </w:r>
      <w:r w:rsidR="000F1E41" w:rsidRPr="005C333D">
        <w:t>, the Sponsor offered a 28% price reduction to the AEMP of ciclosporin. This resulted in an AEMP of $</w:t>
      </w:r>
      <w:r w:rsidR="00CC4A22">
        <w:rPr>
          <w:noProof/>
          <w:color w:val="000000"/>
          <w:highlight w:val="black"/>
        </w:rPr>
        <w:t>''''''''''''</w:t>
      </w:r>
      <w:r w:rsidR="000F1E41" w:rsidRPr="005C333D">
        <w:t xml:space="preserve"> (DPMQ = $</w:t>
      </w:r>
      <w:r w:rsidR="00CC4A22">
        <w:rPr>
          <w:noProof/>
          <w:color w:val="000000"/>
          <w:highlight w:val="black"/>
        </w:rPr>
        <w:t>'''''''''''</w:t>
      </w:r>
      <w:r w:rsidR="000F1E41" w:rsidRPr="005C333D">
        <w:t>) and an ICER of $</w:t>
      </w:r>
      <w:r w:rsidR="00971F54">
        <w:t>15,000 to &lt; $25,000</w:t>
      </w:r>
      <w:r w:rsidR="000F1E41" w:rsidRPr="005C333D">
        <w:t xml:space="preserve"> per QALY.</w:t>
      </w:r>
    </w:p>
    <w:p w:rsidR="000F1E41" w:rsidRPr="005C333D" w:rsidRDefault="000F1E41" w:rsidP="000F1E41">
      <w:pPr>
        <w:pStyle w:val="4-SubsectionHeading"/>
      </w:pPr>
      <w:r w:rsidRPr="005C333D">
        <w:t>Drug cost/patient/year</w:t>
      </w:r>
    </w:p>
    <w:p w:rsidR="00B871A5" w:rsidRPr="005C333D" w:rsidRDefault="00B871A5" w:rsidP="00B73532">
      <w:pPr>
        <w:pStyle w:val="3-BodyText"/>
      </w:pPr>
      <w:r w:rsidRPr="005C333D">
        <w:t xml:space="preserve">The drug cost per patient is presented in Table </w:t>
      </w:r>
      <w:r w:rsidR="00515DFF" w:rsidRPr="005C333D">
        <w:t>1</w:t>
      </w:r>
      <w:r w:rsidR="001F3494" w:rsidRPr="005C333D">
        <w:t>3</w:t>
      </w:r>
      <w:r w:rsidRPr="005C333D">
        <w:t xml:space="preserve">. </w:t>
      </w:r>
      <w:r w:rsidR="00B33495" w:rsidRPr="005C333D">
        <w:t>The expected cost per year of therapy with ciclosporin was estimated to be $</w:t>
      </w:r>
      <w:r w:rsidR="00CC4A22">
        <w:rPr>
          <w:noProof/>
          <w:color w:val="000000"/>
          <w:highlight w:val="black"/>
        </w:rPr>
        <w:t>'''''''''''''''</w:t>
      </w:r>
      <w:r w:rsidR="00B33495" w:rsidRPr="005C333D">
        <w:t xml:space="preserve"> (calculated using the DPMQ).</w:t>
      </w:r>
    </w:p>
    <w:p w:rsidR="00494207" w:rsidRPr="005C333D" w:rsidRDefault="00494207" w:rsidP="009067B5">
      <w:pPr>
        <w:keepNext/>
        <w:jc w:val="left"/>
        <w:rPr>
          <w:rStyle w:val="CommentReference"/>
          <w:szCs w:val="24"/>
        </w:rPr>
      </w:pPr>
      <w:r w:rsidRPr="005C333D">
        <w:rPr>
          <w:rStyle w:val="CommentReference"/>
          <w:szCs w:val="24"/>
        </w:rPr>
        <w:t xml:space="preserve">Table </w:t>
      </w:r>
      <w:r w:rsidR="00515DFF" w:rsidRPr="005C333D">
        <w:rPr>
          <w:rStyle w:val="CommentReference"/>
          <w:szCs w:val="24"/>
        </w:rPr>
        <w:t>1</w:t>
      </w:r>
      <w:r w:rsidR="001F3494" w:rsidRPr="005C333D">
        <w:rPr>
          <w:rStyle w:val="CommentReference"/>
          <w:szCs w:val="24"/>
        </w:rPr>
        <w:t>3</w:t>
      </w:r>
      <w:r w:rsidRPr="005C333D">
        <w:rPr>
          <w:rStyle w:val="CommentReference"/>
          <w:szCs w:val="24"/>
        </w:rPr>
        <w:t xml:space="preserve">: Drug cost per patient for </w:t>
      </w:r>
      <w:r w:rsidR="00A600F8" w:rsidRPr="005C333D">
        <w:rPr>
          <w:rStyle w:val="CommentReference"/>
          <w:szCs w:val="24"/>
        </w:rPr>
        <w:t>ciclosporin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4"/>
        <w:gridCol w:w="2269"/>
        <w:gridCol w:w="2550"/>
        <w:gridCol w:w="2644"/>
      </w:tblGrid>
      <w:tr w:rsidR="00A600F8" w:rsidRPr="005C333D" w:rsidTr="009067B5">
        <w:trPr>
          <w:cantSplit/>
          <w:tblHeader/>
          <w:jc w:val="center"/>
        </w:trPr>
        <w:tc>
          <w:tcPr>
            <w:tcW w:w="862" w:type="pct"/>
            <w:shd w:val="clear" w:color="auto" w:fill="auto"/>
            <w:vAlign w:val="center"/>
          </w:tcPr>
          <w:p w:rsidR="00A600F8" w:rsidRPr="005C333D" w:rsidRDefault="00A600F8" w:rsidP="009067B5">
            <w:pPr>
              <w:pStyle w:val="In-tableHeading"/>
              <w:jc w:val="center"/>
              <w:rPr>
                <w:lang w:val="en-AU"/>
              </w:rPr>
            </w:pPr>
          </w:p>
        </w:tc>
        <w:tc>
          <w:tcPr>
            <w:tcW w:w="1258" w:type="pct"/>
            <w:shd w:val="clear" w:color="auto" w:fill="auto"/>
            <w:vAlign w:val="center"/>
          </w:tcPr>
          <w:p w:rsidR="00A600F8" w:rsidRPr="005C333D" w:rsidRDefault="00A600F8" w:rsidP="009067B5">
            <w:pPr>
              <w:pStyle w:val="In-tableHeading"/>
              <w:jc w:val="center"/>
              <w:rPr>
                <w:lang w:val="en-AU"/>
              </w:rPr>
            </w:pPr>
            <w:r w:rsidRPr="005C333D">
              <w:rPr>
                <w:lang w:val="en-AU"/>
              </w:rPr>
              <w:t>Trial dose and duration</w:t>
            </w:r>
          </w:p>
        </w:tc>
        <w:tc>
          <w:tcPr>
            <w:tcW w:w="1414" w:type="pct"/>
            <w:shd w:val="clear" w:color="auto" w:fill="auto"/>
            <w:vAlign w:val="center"/>
          </w:tcPr>
          <w:p w:rsidR="00A600F8" w:rsidRPr="005C333D" w:rsidRDefault="00A600F8" w:rsidP="009067B5">
            <w:pPr>
              <w:pStyle w:val="In-tableHeading"/>
              <w:jc w:val="center"/>
              <w:rPr>
                <w:lang w:val="en-AU"/>
              </w:rPr>
            </w:pPr>
            <w:r w:rsidRPr="005C333D">
              <w:rPr>
                <w:lang w:val="en-AU"/>
              </w:rPr>
              <w:t>Model</w:t>
            </w:r>
          </w:p>
        </w:tc>
        <w:tc>
          <w:tcPr>
            <w:tcW w:w="1466" w:type="pct"/>
            <w:shd w:val="clear" w:color="auto" w:fill="auto"/>
            <w:vAlign w:val="center"/>
          </w:tcPr>
          <w:p w:rsidR="00A600F8" w:rsidRPr="005C333D" w:rsidRDefault="00A600F8" w:rsidP="009067B5">
            <w:pPr>
              <w:pStyle w:val="In-tableHeading"/>
              <w:jc w:val="center"/>
              <w:rPr>
                <w:lang w:val="en-AU"/>
              </w:rPr>
            </w:pPr>
            <w:r w:rsidRPr="005C333D">
              <w:rPr>
                <w:lang w:val="en-AU"/>
              </w:rPr>
              <w:t>Financial estimates</w:t>
            </w:r>
          </w:p>
        </w:tc>
      </w:tr>
      <w:tr w:rsidR="00A600F8" w:rsidRPr="005C333D" w:rsidTr="009067B5">
        <w:trPr>
          <w:cantSplit/>
          <w:jc w:val="center"/>
        </w:trPr>
        <w:tc>
          <w:tcPr>
            <w:tcW w:w="862" w:type="pct"/>
            <w:shd w:val="clear" w:color="auto" w:fill="auto"/>
            <w:vAlign w:val="center"/>
          </w:tcPr>
          <w:p w:rsidR="00A600F8" w:rsidRPr="005C333D" w:rsidRDefault="00A600F8" w:rsidP="009067B5">
            <w:pPr>
              <w:pStyle w:val="TableText0"/>
              <w:keepNext/>
            </w:pPr>
            <w:r w:rsidRPr="005C333D">
              <w:t>Mean dose</w:t>
            </w:r>
          </w:p>
        </w:tc>
        <w:tc>
          <w:tcPr>
            <w:tcW w:w="1258" w:type="pct"/>
            <w:shd w:val="clear" w:color="auto" w:fill="auto"/>
            <w:vAlign w:val="center"/>
          </w:tcPr>
          <w:p w:rsidR="00A600F8" w:rsidRPr="005C333D" w:rsidRDefault="00A600F8" w:rsidP="009067B5">
            <w:pPr>
              <w:pStyle w:val="TableText0"/>
              <w:keepNext/>
              <w:jc w:val="center"/>
            </w:pPr>
            <w:r w:rsidRPr="005C333D">
              <w:t xml:space="preserve">1 drop once daily at night </w:t>
            </w:r>
            <w:r w:rsidR="009B3F75" w:rsidRPr="005C333D">
              <w:br/>
            </w:r>
            <w:r w:rsidRPr="005C333D">
              <w:t>(1 single-use container)</w:t>
            </w:r>
          </w:p>
        </w:tc>
        <w:tc>
          <w:tcPr>
            <w:tcW w:w="1414" w:type="pct"/>
            <w:shd w:val="clear" w:color="auto" w:fill="auto"/>
            <w:vAlign w:val="center"/>
          </w:tcPr>
          <w:p w:rsidR="00A600F8" w:rsidRPr="005C333D" w:rsidRDefault="00A600F8" w:rsidP="009067B5">
            <w:pPr>
              <w:pStyle w:val="TableText0"/>
              <w:keepNext/>
              <w:jc w:val="center"/>
            </w:pPr>
            <w:r w:rsidRPr="005C333D">
              <w:t>1 single-use container</w:t>
            </w:r>
          </w:p>
        </w:tc>
        <w:tc>
          <w:tcPr>
            <w:tcW w:w="1466" w:type="pct"/>
            <w:shd w:val="clear" w:color="auto" w:fill="auto"/>
            <w:vAlign w:val="center"/>
          </w:tcPr>
          <w:p w:rsidR="00A600F8" w:rsidRPr="005C333D" w:rsidRDefault="00A600F8" w:rsidP="009067B5">
            <w:pPr>
              <w:pStyle w:val="TableText0"/>
              <w:keepNext/>
              <w:jc w:val="center"/>
              <w:rPr>
                <w:b/>
              </w:rPr>
            </w:pPr>
            <w:r w:rsidRPr="005C333D">
              <w:t>1 single-use container</w:t>
            </w:r>
          </w:p>
        </w:tc>
      </w:tr>
      <w:tr w:rsidR="00A600F8" w:rsidRPr="005C333D" w:rsidTr="009067B5">
        <w:trPr>
          <w:cantSplit/>
          <w:jc w:val="center"/>
        </w:trPr>
        <w:tc>
          <w:tcPr>
            <w:tcW w:w="862" w:type="pct"/>
            <w:shd w:val="clear" w:color="auto" w:fill="auto"/>
            <w:vAlign w:val="center"/>
          </w:tcPr>
          <w:p w:rsidR="00A600F8" w:rsidRPr="005C333D" w:rsidRDefault="00A600F8" w:rsidP="009067B5">
            <w:pPr>
              <w:pStyle w:val="TableText0"/>
              <w:keepNext/>
            </w:pPr>
            <w:r w:rsidRPr="005C333D">
              <w:t>Mean duration</w:t>
            </w:r>
          </w:p>
        </w:tc>
        <w:tc>
          <w:tcPr>
            <w:tcW w:w="1258" w:type="pct"/>
            <w:shd w:val="clear" w:color="auto" w:fill="auto"/>
            <w:vAlign w:val="center"/>
          </w:tcPr>
          <w:p w:rsidR="00A600F8" w:rsidRPr="005C333D" w:rsidRDefault="00C037F0" w:rsidP="009067B5">
            <w:pPr>
              <w:pStyle w:val="TableTextcentred"/>
              <w:keepNext/>
              <w:rPr>
                <w:bCs/>
              </w:rPr>
            </w:pPr>
            <w:r w:rsidRPr="005C333D">
              <w:rPr>
                <w:rFonts w:ascii="Arial Narrow" w:hAnsi="Arial Narrow"/>
                <w:sz w:val="20"/>
                <w:szCs w:val="20"/>
              </w:rPr>
              <w:t xml:space="preserve">202.8 days </w:t>
            </w:r>
            <w:r w:rsidR="009067B5">
              <w:rPr>
                <w:rFonts w:ascii="Arial Narrow" w:hAnsi="Arial Narrow"/>
                <w:sz w:val="20"/>
                <w:szCs w:val="20"/>
              </w:rPr>
              <w:br/>
            </w:r>
            <w:r w:rsidRPr="005C333D">
              <w:rPr>
                <w:rFonts w:ascii="Arial Narrow" w:hAnsi="Arial Narrow"/>
                <w:sz w:val="20"/>
                <w:szCs w:val="20"/>
              </w:rPr>
              <w:t>(POST-SANSIKA study)</w:t>
            </w:r>
          </w:p>
        </w:tc>
        <w:tc>
          <w:tcPr>
            <w:tcW w:w="1414" w:type="pct"/>
            <w:shd w:val="clear" w:color="auto" w:fill="auto"/>
            <w:vAlign w:val="center"/>
          </w:tcPr>
          <w:p w:rsidR="00A600F8" w:rsidRPr="005C333D" w:rsidRDefault="00A600F8" w:rsidP="009067B5">
            <w:pPr>
              <w:pStyle w:val="TableText0"/>
              <w:keepNext/>
              <w:jc w:val="center"/>
              <w:rPr>
                <w:bCs w:val="0"/>
              </w:rPr>
            </w:pPr>
            <w:r w:rsidRPr="005C333D">
              <w:rPr>
                <w:bCs w:val="0"/>
              </w:rPr>
              <w:t xml:space="preserve">365 days per year. </w:t>
            </w:r>
            <w:r w:rsidR="009067B5">
              <w:rPr>
                <w:bCs w:val="0"/>
              </w:rPr>
              <w:br/>
            </w:r>
            <w:r w:rsidRPr="005C333D">
              <w:rPr>
                <w:bCs w:val="0"/>
              </w:rPr>
              <w:t xml:space="preserve">17.6% continue after 6 months + discontinuation rate of </w:t>
            </w:r>
            <w:r w:rsidR="00C037F0" w:rsidRPr="005C333D">
              <w:rPr>
                <w:bCs w:val="0"/>
              </w:rPr>
              <w:t>5.736% after day 90</w:t>
            </w:r>
          </w:p>
        </w:tc>
        <w:tc>
          <w:tcPr>
            <w:tcW w:w="1466" w:type="pct"/>
            <w:shd w:val="clear" w:color="auto" w:fill="auto"/>
            <w:vAlign w:val="center"/>
          </w:tcPr>
          <w:p w:rsidR="00A600F8" w:rsidRPr="005C333D" w:rsidRDefault="00A600F8" w:rsidP="009067B5">
            <w:pPr>
              <w:pStyle w:val="TableText0"/>
              <w:keepNext/>
              <w:jc w:val="center"/>
              <w:rPr>
                <w:bCs w:val="0"/>
              </w:rPr>
            </w:pPr>
            <w:r w:rsidRPr="005C333D">
              <w:rPr>
                <w:bCs w:val="0"/>
              </w:rPr>
              <w:t xml:space="preserve">365 days per year. </w:t>
            </w:r>
            <w:r w:rsidR="009067B5">
              <w:rPr>
                <w:bCs w:val="0"/>
              </w:rPr>
              <w:br/>
            </w:r>
            <w:r w:rsidRPr="005C333D">
              <w:rPr>
                <w:bCs w:val="0"/>
              </w:rPr>
              <w:t>17.6% continue after 6 months + discontinuation rate of 11</w:t>
            </w:r>
            <w:r w:rsidR="009067B5">
              <w:rPr>
                <w:bCs w:val="0"/>
              </w:rPr>
              <w:t>.19% end of Y</w:t>
            </w:r>
            <w:r w:rsidRPr="005C333D">
              <w:rPr>
                <w:bCs w:val="0"/>
              </w:rPr>
              <w:t xml:space="preserve">ear 1 and 21.13% after </w:t>
            </w:r>
            <w:r w:rsidR="009067B5">
              <w:rPr>
                <w:bCs w:val="0"/>
              </w:rPr>
              <w:t>Y</w:t>
            </w:r>
            <w:r w:rsidRPr="005C333D">
              <w:rPr>
                <w:bCs w:val="0"/>
              </w:rPr>
              <w:t>ear 2</w:t>
            </w:r>
          </w:p>
        </w:tc>
      </w:tr>
      <w:tr w:rsidR="00A600F8" w:rsidRPr="005C333D" w:rsidTr="009067B5">
        <w:trPr>
          <w:cantSplit/>
          <w:jc w:val="center"/>
        </w:trPr>
        <w:tc>
          <w:tcPr>
            <w:tcW w:w="862" w:type="pct"/>
            <w:shd w:val="clear" w:color="auto" w:fill="auto"/>
            <w:vAlign w:val="center"/>
          </w:tcPr>
          <w:p w:rsidR="00D30BCC" w:rsidRPr="005C333D" w:rsidRDefault="00A600F8" w:rsidP="00B33495">
            <w:pPr>
              <w:pStyle w:val="TableText0"/>
            </w:pPr>
            <w:r w:rsidRPr="005C333D">
              <w:t>Cost/patient/month</w:t>
            </w:r>
          </w:p>
        </w:tc>
        <w:tc>
          <w:tcPr>
            <w:tcW w:w="1258" w:type="pct"/>
            <w:shd w:val="clear" w:color="auto" w:fill="auto"/>
            <w:vAlign w:val="center"/>
          </w:tcPr>
          <w:p w:rsidR="00A600F8" w:rsidRPr="005C333D" w:rsidRDefault="00B33495" w:rsidP="00C037F0">
            <w:pPr>
              <w:pStyle w:val="TableText0"/>
              <w:jc w:val="center"/>
              <w:rPr>
                <w:bCs w:val="0"/>
              </w:rPr>
            </w:pPr>
            <w:r w:rsidRPr="005C333D">
              <w:rPr>
                <w:bCs w:val="0"/>
              </w:rPr>
              <w:t>$</w:t>
            </w:r>
            <w:r w:rsidR="00CC4A22">
              <w:rPr>
                <w:bCs w:val="0"/>
                <w:noProof/>
                <w:color w:val="000000"/>
                <w:highlight w:val="black"/>
              </w:rPr>
              <w:t>''''''''''''''''</w:t>
            </w:r>
          </w:p>
        </w:tc>
        <w:tc>
          <w:tcPr>
            <w:tcW w:w="1414" w:type="pct"/>
            <w:shd w:val="clear" w:color="auto" w:fill="auto"/>
            <w:vAlign w:val="center"/>
          </w:tcPr>
          <w:p w:rsidR="00A600F8" w:rsidRPr="005C333D" w:rsidRDefault="00B33495" w:rsidP="00BB732D">
            <w:pPr>
              <w:pStyle w:val="TableText0"/>
              <w:jc w:val="center"/>
              <w:rPr>
                <w:bCs w:val="0"/>
              </w:rPr>
            </w:pPr>
            <w:r w:rsidRPr="005C333D">
              <w:rPr>
                <w:bCs w:val="0"/>
              </w:rPr>
              <w:t>$</w:t>
            </w:r>
            <w:r w:rsidR="00CC4A22">
              <w:rPr>
                <w:bCs w:val="0"/>
                <w:noProof/>
                <w:color w:val="000000"/>
                <w:highlight w:val="black"/>
              </w:rPr>
              <w:t>'''''''''''''''</w:t>
            </w:r>
          </w:p>
        </w:tc>
        <w:tc>
          <w:tcPr>
            <w:tcW w:w="1466" w:type="pct"/>
            <w:shd w:val="clear" w:color="auto" w:fill="auto"/>
            <w:vAlign w:val="center"/>
          </w:tcPr>
          <w:p w:rsidR="00A600F8" w:rsidRPr="005C333D" w:rsidRDefault="00B33495" w:rsidP="00BB732D">
            <w:pPr>
              <w:pStyle w:val="TableText0"/>
              <w:jc w:val="center"/>
              <w:rPr>
                <w:bCs w:val="0"/>
              </w:rPr>
            </w:pPr>
            <w:r w:rsidRPr="005C333D">
              <w:rPr>
                <w:bCs w:val="0"/>
              </w:rPr>
              <w:t>$</w:t>
            </w:r>
            <w:r w:rsidR="00CC4A22">
              <w:rPr>
                <w:bCs w:val="0"/>
                <w:noProof/>
                <w:color w:val="000000"/>
                <w:highlight w:val="black"/>
              </w:rPr>
              <w:t>'''''''''''''''''</w:t>
            </w:r>
          </w:p>
        </w:tc>
      </w:tr>
      <w:tr w:rsidR="005B51E6" w:rsidRPr="005C333D" w:rsidTr="009067B5">
        <w:trPr>
          <w:cantSplit/>
          <w:jc w:val="center"/>
        </w:trPr>
        <w:tc>
          <w:tcPr>
            <w:tcW w:w="862" w:type="pct"/>
            <w:shd w:val="clear" w:color="auto" w:fill="auto"/>
            <w:vAlign w:val="center"/>
          </w:tcPr>
          <w:p w:rsidR="005B51E6" w:rsidRPr="005C333D" w:rsidRDefault="005B51E6" w:rsidP="005B51E6">
            <w:pPr>
              <w:pStyle w:val="TableText0"/>
            </w:pPr>
            <w:r w:rsidRPr="005C333D">
              <w:t>Cost/patient/year</w:t>
            </w:r>
          </w:p>
        </w:tc>
        <w:tc>
          <w:tcPr>
            <w:tcW w:w="1258" w:type="pct"/>
            <w:shd w:val="clear" w:color="auto" w:fill="auto"/>
            <w:vAlign w:val="center"/>
          </w:tcPr>
          <w:p w:rsidR="008664DF" w:rsidRPr="005C333D" w:rsidRDefault="008664DF" w:rsidP="008664DF">
            <w:pPr>
              <w:pStyle w:val="TableText0"/>
              <w:jc w:val="center"/>
              <w:rPr>
                <w:bCs w:val="0"/>
                <w:iCs/>
              </w:rPr>
            </w:pPr>
            <w:r w:rsidRPr="005C333D">
              <w:rPr>
                <w:bCs w:val="0"/>
                <w:iCs/>
              </w:rPr>
              <w:t>Responders:</w:t>
            </w:r>
          </w:p>
          <w:p w:rsidR="005B51E6" w:rsidRPr="005C333D" w:rsidRDefault="008664DF" w:rsidP="00FF602E">
            <w:pPr>
              <w:pStyle w:val="TableText0"/>
              <w:jc w:val="center"/>
              <w:rPr>
                <w:bCs w:val="0"/>
                <w:iCs/>
              </w:rPr>
            </w:pPr>
            <w:r w:rsidRPr="005C333D">
              <w:rPr>
                <w:bCs w:val="0"/>
                <w:iCs/>
              </w:rPr>
              <w:t>$</w:t>
            </w:r>
            <w:r w:rsidR="00CC4A22">
              <w:rPr>
                <w:bCs w:val="0"/>
                <w:iCs/>
                <w:noProof/>
                <w:color w:val="000000"/>
                <w:highlight w:val="black"/>
              </w:rPr>
              <w:t>'''''''''''''''</w:t>
            </w:r>
            <w:r w:rsidRPr="005C333D">
              <w:rPr>
                <w:bCs w:val="0"/>
                <w:iCs/>
              </w:rPr>
              <w:t xml:space="preserve"> </w:t>
            </w:r>
            <w:r w:rsidRPr="005C333D">
              <w:rPr>
                <w:bCs w:val="0"/>
                <w:iCs/>
                <w:vertAlign w:val="superscript"/>
              </w:rPr>
              <w:t>a b</w:t>
            </w:r>
          </w:p>
        </w:tc>
        <w:tc>
          <w:tcPr>
            <w:tcW w:w="1414" w:type="pct"/>
            <w:shd w:val="clear" w:color="auto" w:fill="auto"/>
            <w:vAlign w:val="center"/>
          </w:tcPr>
          <w:p w:rsidR="005B51E6" w:rsidRPr="005C333D" w:rsidRDefault="005B51E6" w:rsidP="005B51E6">
            <w:pPr>
              <w:pStyle w:val="TableText0"/>
              <w:jc w:val="center"/>
              <w:rPr>
                <w:bCs w:val="0"/>
                <w:iCs/>
                <w:u w:val="single"/>
              </w:rPr>
            </w:pPr>
            <w:r w:rsidRPr="005C333D">
              <w:rPr>
                <w:bCs w:val="0"/>
                <w:iCs/>
                <w:u w:val="single"/>
              </w:rPr>
              <w:t>Year 1</w:t>
            </w:r>
          </w:p>
          <w:p w:rsidR="005B51E6" w:rsidRPr="005C333D" w:rsidRDefault="005B51E6" w:rsidP="005B51E6">
            <w:pPr>
              <w:pStyle w:val="TableText0"/>
              <w:jc w:val="center"/>
              <w:rPr>
                <w:iCs/>
              </w:rPr>
            </w:pPr>
            <w:r w:rsidRPr="005C333D">
              <w:rPr>
                <w:bCs w:val="0"/>
                <w:iCs/>
              </w:rPr>
              <w:t xml:space="preserve">Responders: </w:t>
            </w:r>
            <w:r w:rsidRPr="005C333D">
              <w:rPr>
                <w:iCs/>
              </w:rPr>
              <w:t>$</w:t>
            </w:r>
            <w:r w:rsidR="00CC4A22">
              <w:rPr>
                <w:iCs/>
                <w:noProof/>
                <w:color w:val="000000"/>
                <w:highlight w:val="black"/>
              </w:rPr>
              <w:t>'''''''''''''''''''''</w:t>
            </w:r>
          </w:p>
          <w:p w:rsidR="005B51E6" w:rsidRPr="005C333D" w:rsidRDefault="005B51E6" w:rsidP="005B51E6">
            <w:pPr>
              <w:pStyle w:val="TableText0"/>
              <w:jc w:val="center"/>
              <w:rPr>
                <w:iCs/>
              </w:rPr>
            </w:pPr>
            <w:r w:rsidRPr="005C333D">
              <w:rPr>
                <w:bCs w:val="0"/>
                <w:iCs/>
              </w:rPr>
              <w:t xml:space="preserve">Non-responders: </w:t>
            </w:r>
            <w:r w:rsidRPr="005C333D">
              <w:rPr>
                <w:iCs/>
              </w:rPr>
              <w:t>$</w:t>
            </w:r>
            <w:r w:rsidR="00CC4A22">
              <w:rPr>
                <w:iCs/>
                <w:noProof/>
                <w:color w:val="000000"/>
                <w:highlight w:val="black"/>
              </w:rPr>
              <w:t>'''''''''''''''</w:t>
            </w:r>
          </w:p>
          <w:p w:rsidR="005B51E6" w:rsidRPr="005C333D" w:rsidRDefault="005B51E6" w:rsidP="005B51E6">
            <w:pPr>
              <w:pStyle w:val="TableText0"/>
              <w:jc w:val="center"/>
              <w:rPr>
                <w:bCs w:val="0"/>
                <w:iCs/>
                <w:u w:val="single"/>
              </w:rPr>
            </w:pPr>
            <w:r w:rsidRPr="005C333D">
              <w:rPr>
                <w:bCs w:val="0"/>
                <w:iCs/>
                <w:u w:val="single"/>
              </w:rPr>
              <w:t>Subsequent years</w:t>
            </w:r>
          </w:p>
          <w:p w:rsidR="005B51E6" w:rsidRPr="005C333D" w:rsidRDefault="005B51E6" w:rsidP="005B51E6">
            <w:pPr>
              <w:pStyle w:val="TableText0"/>
              <w:jc w:val="center"/>
              <w:rPr>
                <w:bCs w:val="0"/>
                <w:iCs/>
              </w:rPr>
            </w:pPr>
            <w:r w:rsidRPr="005C333D">
              <w:rPr>
                <w:bCs w:val="0"/>
                <w:iCs/>
              </w:rPr>
              <w:t xml:space="preserve">Responders: </w:t>
            </w:r>
            <w:r w:rsidRPr="005C333D">
              <w:rPr>
                <w:iCs/>
              </w:rPr>
              <w:t>$</w:t>
            </w:r>
            <w:r w:rsidR="00CC4A22">
              <w:rPr>
                <w:iCs/>
                <w:noProof/>
                <w:color w:val="000000"/>
                <w:highlight w:val="black"/>
              </w:rPr>
              <w:t>'''''''''''''''''''</w:t>
            </w:r>
          </w:p>
        </w:tc>
        <w:tc>
          <w:tcPr>
            <w:tcW w:w="1466" w:type="pct"/>
            <w:shd w:val="clear" w:color="auto" w:fill="auto"/>
            <w:vAlign w:val="center"/>
          </w:tcPr>
          <w:p w:rsidR="005B51E6" w:rsidRPr="005C333D" w:rsidRDefault="005B51E6" w:rsidP="005B51E6">
            <w:pPr>
              <w:pStyle w:val="TableText0"/>
              <w:jc w:val="center"/>
              <w:rPr>
                <w:bCs w:val="0"/>
                <w:iCs/>
                <w:u w:val="single"/>
              </w:rPr>
            </w:pPr>
            <w:r w:rsidRPr="005C333D">
              <w:rPr>
                <w:bCs w:val="0"/>
                <w:iCs/>
                <w:u w:val="single"/>
              </w:rPr>
              <w:t>Year 1</w:t>
            </w:r>
          </w:p>
          <w:p w:rsidR="005B51E6" w:rsidRPr="005C333D" w:rsidRDefault="005B51E6" w:rsidP="005B51E6">
            <w:pPr>
              <w:pStyle w:val="TableText0"/>
              <w:jc w:val="center"/>
              <w:rPr>
                <w:iCs/>
              </w:rPr>
            </w:pPr>
            <w:r w:rsidRPr="005C333D">
              <w:rPr>
                <w:bCs w:val="0"/>
                <w:iCs/>
              </w:rPr>
              <w:t xml:space="preserve">Responders: </w:t>
            </w:r>
            <w:r w:rsidRPr="005C333D">
              <w:rPr>
                <w:iCs/>
              </w:rPr>
              <w:t>$</w:t>
            </w:r>
            <w:r w:rsidR="00CC4A22">
              <w:rPr>
                <w:iCs/>
                <w:noProof/>
                <w:color w:val="000000"/>
                <w:highlight w:val="black"/>
              </w:rPr>
              <w:t>''''''''''''''''''''''</w:t>
            </w:r>
          </w:p>
          <w:p w:rsidR="005B51E6" w:rsidRPr="005C333D" w:rsidRDefault="005B51E6" w:rsidP="005B51E6">
            <w:pPr>
              <w:pStyle w:val="TableText0"/>
              <w:jc w:val="center"/>
              <w:rPr>
                <w:iCs/>
              </w:rPr>
            </w:pPr>
            <w:r w:rsidRPr="005C333D">
              <w:rPr>
                <w:bCs w:val="0"/>
                <w:iCs/>
              </w:rPr>
              <w:t xml:space="preserve">Non-responders: </w:t>
            </w:r>
            <w:r w:rsidRPr="005C333D">
              <w:rPr>
                <w:iCs/>
              </w:rPr>
              <w:t>$</w:t>
            </w:r>
            <w:r w:rsidR="00CC4A22">
              <w:rPr>
                <w:iCs/>
                <w:noProof/>
                <w:color w:val="000000"/>
                <w:highlight w:val="black"/>
              </w:rPr>
              <w:t>''''''''''''''''</w:t>
            </w:r>
          </w:p>
          <w:p w:rsidR="005B51E6" w:rsidRPr="005C333D" w:rsidRDefault="005B51E6" w:rsidP="005B51E6">
            <w:pPr>
              <w:pStyle w:val="TableText0"/>
              <w:jc w:val="center"/>
              <w:rPr>
                <w:bCs w:val="0"/>
                <w:iCs/>
                <w:u w:val="single"/>
              </w:rPr>
            </w:pPr>
            <w:r w:rsidRPr="005C333D">
              <w:rPr>
                <w:bCs w:val="0"/>
                <w:iCs/>
                <w:u w:val="single"/>
              </w:rPr>
              <w:t>Subsequent years</w:t>
            </w:r>
          </w:p>
          <w:p w:rsidR="005B51E6" w:rsidRPr="005C333D" w:rsidRDefault="005B51E6" w:rsidP="005B51E6">
            <w:pPr>
              <w:pStyle w:val="TableText0"/>
              <w:jc w:val="center"/>
              <w:rPr>
                <w:bCs w:val="0"/>
                <w:iCs/>
              </w:rPr>
            </w:pPr>
            <w:r w:rsidRPr="005C333D">
              <w:rPr>
                <w:bCs w:val="0"/>
                <w:iCs/>
              </w:rPr>
              <w:t xml:space="preserve">Responders: </w:t>
            </w:r>
            <w:r w:rsidRPr="005C333D">
              <w:rPr>
                <w:iCs/>
              </w:rPr>
              <w:t>$</w:t>
            </w:r>
            <w:r w:rsidR="00CC4A22">
              <w:rPr>
                <w:iCs/>
                <w:noProof/>
                <w:color w:val="000000"/>
                <w:highlight w:val="black"/>
              </w:rPr>
              <w:t>'''''''''''''''''''</w:t>
            </w:r>
          </w:p>
        </w:tc>
      </w:tr>
    </w:tbl>
    <w:p w:rsidR="00CD3A09" w:rsidRPr="005C333D" w:rsidRDefault="00CD3A09" w:rsidP="00CD3A09">
      <w:pPr>
        <w:pStyle w:val="TableFigureFooter"/>
        <w:rPr>
          <w:iCs/>
        </w:rPr>
      </w:pPr>
      <w:r w:rsidRPr="005C333D">
        <w:rPr>
          <w:iCs/>
          <w:vertAlign w:val="superscript"/>
        </w:rPr>
        <w:t xml:space="preserve">a </w:t>
      </w:r>
      <w:r w:rsidRPr="005C333D">
        <w:rPr>
          <w:iCs/>
        </w:rPr>
        <w:t>Assuming 30.4 days in a month</w:t>
      </w:r>
    </w:p>
    <w:p w:rsidR="00CD3A09" w:rsidRPr="005C333D" w:rsidRDefault="00CD3A09" w:rsidP="00CD3A09">
      <w:pPr>
        <w:pStyle w:val="TableFigureFooter"/>
        <w:rPr>
          <w:iCs/>
        </w:rPr>
      </w:pPr>
      <w:r w:rsidRPr="005C333D">
        <w:rPr>
          <w:iCs/>
          <w:vertAlign w:val="superscript"/>
        </w:rPr>
        <w:t xml:space="preserve">b </w:t>
      </w:r>
      <w:r w:rsidRPr="005C333D">
        <w:rPr>
          <w:iCs/>
        </w:rPr>
        <w:t>Assuming responders stay on treatment for 202.8 days (approximately 6.67 months)</w:t>
      </w:r>
    </w:p>
    <w:p w:rsidR="00CD3A09" w:rsidRPr="005C333D" w:rsidRDefault="00CD3A09" w:rsidP="00CD3A09">
      <w:pPr>
        <w:pStyle w:val="TableFigureFooter"/>
        <w:rPr>
          <w:iCs/>
        </w:rPr>
      </w:pPr>
      <w:r w:rsidRPr="005C333D">
        <w:rPr>
          <w:iCs/>
        </w:rPr>
        <w:t>Source: Compiled during the evaluation</w:t>
      </w:r>
    </w:p>
    <w:p w:rsidR="00B60939" w:rsidRPr="005C333D" w:rsidRDefault="00B60939" w:rsidP="002B05A1">
      <w:pPr>
        <w:pStyle w:val="4-SubsectionHeading"/>
      </w:pPr>
      <w:bookmarkStart w:id="32" w:name="_Toc22897647"/>
      <w:bookmarkStart w:id="33" w:name="_Toc62030471"/>
      <w:r w:rsidRPr="005C333D">
        <w:t>Estimated PBS usage &amp; financial implications</w:t>
      </w:r>
      <w:bookmarkEnd w:id="32"/>
      <w:bookmarkEnd w:id="33"/>
    </w:p>
    <w:p w:rsidR="00A600F8" w:rsidRPr="005C333D" w:rsidRDefault="00C25D9C" w:rsidP="00B73532">
      <w:pPr>
        <w:pStyle w:val="3-BodyText"/>
        <w:rPr>
          <w:color w:val="0066FF"/>
        </w:rPr>
      </w:pPr>
      <w:r w:rsidRPr="005C333D">
        <w:t xml:space="preserve">This submission </w:t>
      </w:r>
      <w:r w:rsidR="00122AA1" w:rsidRPr="005C333D">
        <w:t>was not</w:t>
      </w:r>
      <w:r w:rsidR="00D23D11" w:rsidRPr="005C333D">
        <w:t xml:space="preserve"> </w:t>
      </w:r>
      <w:r w:rsidRPr="005C333D">
        <w:t>considered by DUSC.</w:t>
      </w:r>
      <w:r w:rsidR="00BC591F" w:rsidRPr="005C333D">
        <w:t xml:space="preserve"> </w:t>
      </w:r>
      <w:r w:rsidR="00D30BCC" w:rsidRPr="005C333D">
        <w:t xml:space="preserve">The submission used an epidemiological approach to estimate the financial impact of listing ciclosporin on the PBS and RPBS for the treatment of severe keratitis with </w:t>
      </w:r>
      <w:r w:rsidR="00816216" w:rsidRPr="005C333D">
        <w:t>DED</w:t>
      </w:r>
      <w:r w:rsidR="00D30BCC" w:rsidRPr="005C333D">
        <w:t xml:space="preserve">. </w:t>
      </w:r>
    </w:p>
    <w:p w:rsidR="00155E06" w:rsidRPr="005C333D" w:rsidRDefault="00155E06" w:rsidP="00B73532">
      <w:pPr>
        <w:pStyle w:val="3-BodyText"/>
        <w:rPr>
          <w:i/>
          <w:iCs/>
        </w:rPr>
      </w:pPr>
      <w:r w:rsidRPr="005C333D">
        <w:t xml:space="preserve">The submission assumed a prevalence of patients with CFS +4 of 0.75% (age 40+) and 0.06% (age 18-39) based on a linear extrapolation by age from the Melbourne Vision Impairment Project (McCarty, 1998) and </w:t>
      </w:r>
      <w:r w:rsidR="00720574" w:rsidRPr="005C333D">
        <w:t xml:space="preserve">made </w:t>
      </w:r>
      <w:r w:rsidRPr="005C333D">
        <w:t xml:space="preserve">assumptions regarding </w:t>
      </w:r>
      <w:r w:rsidR="00720574" w:rsidRPr="005C333D">
        <w:t xml:space="preserve">the </w:t>
      </w:r>
      <w:r w:rsidRPr="005C333D">
        <w:t xml:space="preserve">translation of CFS staining coverage to the modified Oxford scale. </w:t>
      </w:r>
      <w:r w:rsidRPr="005C333D">
        <w:rPr>
          <w:iCs/>
        </w:rPr>
        <w:t xml:space="preserve">It was difficult to </w:t>
      </w:r>
      <w:r w:rsidR="00E52B0A" w:rsidRPr="005C333D">
        <w:rPr>
          <w:iCs/>
        </w:rPr>
        <w:t xml:space="preserve">verify </w:t>
      </w:r>
      <w:r w:rsidRPr="005C333D">
        <w:rPr>
          <w:iCs/>
        </w:rPr>
        <w:t>these estimates due to the ambiguity in DED and/or severe DED reported in</w:t>
      </w:r>
      <w:r w:rsidR="00F16521" w:rsidRPr="005C333D">
        <w:rPr>
          <w:iCs/>
        </w:rPr>
        <w:t xml:space="preserve"> the</w:t>
      </w:r>
      <w:r w:rsidRPr="005C333D">
        <w:rPr>
          <w:iCs/>
        </w:rPr>
        <w:t xml:space="preserve"> available literature.</w:t>
      </w:r>
    </w:p>
    <w:p w:rsidR="004D4C6F" w:rsidRPr="005C333D" w:rsidRDefault="00155E06" w:rsidP="00B73532">
      <w:pPr>
        <w:pStyle w:val="3-BodyText"/>
        <w:rPr>
          <w:color w:val="0066FF"/>
        </w:rPr>
      </w:pPr>
      <w:r w:rsidRPr="005C333D">
        <w:t xml:space="preserve">Table </w:t>
      </w:r>
      <w:r w:rsidR="00F500FC" w:rsidRPr="005C333D">
        <w:t>1</w:t>
      </w:r>
      <w:r w:rsidR="001F3494" w:rsidRPr="005C333D">
        <w:t>4</w:t>
      </w:r>
      <w:r w:rsidR="00F500FC" w:rsidRPr="005C333D">
        <w:t xml:space="preserve"> </w:t>
      </w:r>
      <w:r w:rsidRPr="005C333D">
        <w:t>presents the key inputs for financial estimates</w:t>
      </w:r>
      <w:r w:rsidR="004D4C6F" w:rsidRPr="005C333D">
        <w:t>.</w:t>
      </w:r>
    </w:p>
    <w:p w:rsidR="00E42F73" w:rsidRPr="005C333D" w:rsidRDefault="00E42F73" w:rsidP="007925DF">
      <w:pPr>
        <w:pStyle w:val="TableFigureHeading"/>
        <w:rPr>
          <w:rStyle w:val="CommentReference"/>
          <w:b/>
          <w:szCs w:val="24"/>
        </w:rPr>
      </w:pPr>
      <w:r w:rsidRPr="005C333D">
        <w:rPr>
          <w:rStyle w:val="CommentReference"/>
          <w:b/>
          <w:szCs w:val="24"/>
        </w:rPr>
        <w:t xml:space="preserve">Table </w:t>
      </w:r>
      <w:r w:rsidR="00F500FC" w:rsidRPr="005C333D">
        <w:rPr>
          <w:rStyle w:val="CommentReference"/>
          <w:b/>
          <w:szCs w:val="24"/>
        </w:rPr>
        <w:t>1</w:t>
      </w:r>
      <w:r w:rsidR="001F3494" w:rsidRPr="005C333D">
        <w:rPr>
          <w:rStyle w:val="CommentReference"/>
          <w:b/>
          <w:szCs w:val="24"/>
        </w:rPr>
        <w:t>4</w:t>
      </w:r>
      <w:r w:rsidRPr="005C333D">
        <w:rPr>
          <w:rStyle w:val="CommentReference"/>
          <w:b/>
          <w:szCs w:val="24"/>
        </w:rPr>
        <w:t>: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0"/>
        <w:gridCol w:w="2728"/>
        <w:gridCol w:w="4059"/>
      </w:tblGrid>
      <w:tr w:rsidR="00E42F73" w:rsidRPr="005C333D" w:rsidTr="00E11CAF">
        <w:trPr>
          <w:tblHeader/>
        </w:trPr>
        <w:tc>
          <w:tcPr>
            <w:tcW w:w="0" w:type="auto"/>
            <w:shd w:val="clear" w:color="auto" w:fill="auto"/>
            <w:vAlign w:val="center"/>
          </w:tcPr>
          <w:p w:rsidR="00E42F73" w:rsidRPr="005C333D" w:rsidRDefault="004658B5" w:rsidP="00CD26DE">
            <w:pPr>
              <w:pStyle w:val="In-tableHeading"/>
              <w:rPr>
                <w:lang w:val="en-AU"/>
              </w:rPr>
            </w:pPr>
            <w:r w:rsidRPr="005C333D">
              <w:rPr>
                <w:lang w:val="en-AU"/>
              </w:rPr>
              <w:t>Parameter</w:t>
            </w:r>
          </w:p>
        </w:tc>
        <w:tc>
          <w:tcPr>
            <w:tcW w:w="0" w:type="auto"/>
            <w:shd w:val="clear" w:color="auto" w:fill="auto"/>
            <w:vAlign w:val="center"/>
          </w:tcPr>
          <w:p w:rsidR="00E42F73" w:rsidRPr="005C333D" w:rsidRDefault="004658B5" w:rsidP="00CD26DE">
            <w:pPr>
              <w:pStyle w:val="In-tableHeading"/>
              <w:rPr>
                <w:lang w:val="en-AU"/>
              </w:rPr>
            </w:pPr>
            <w:r w:rsidRPr="005C333D">
              <w:rPr>
                <w:lang w:val="en-AU"/>
              </w:rPr>
              <w:t>Value applied and source</w:t>
            </w:r>
          </w:p>
        </w:tc>
        <w:tc>
          <w:tcPr>
            <w:tcW w:w="0" w:type="auto"/>
            <w:shd w:val="clear" w:color="auto" w:fill="auto"/>
            <w:vAlign w:val="center"/>
          </w:tcPr>
          <w:p w:rsidR="00E42F73" w:rsidRPr="005C333D" w:rsidRDefault="004658B5" w:rsidP="00CD26DE">
            <w:pPr>
              <w:pStyle w:val="In-tableHeading"/>
              <w:rPr>
                <w:lang w:val="en-AU"/>
              </w:rPr>
            </w:pPr>
            <w:r w:rsidRPr="005C333D">
              <w:rPr>
                <w:lang w:val="en-AU"/>
              </w:rPr>
              <w:t>Comment</w:t>
            </w:r>
          </w:p>
        </w:tc>
      </w:tr>
      <w:tr w:rsidR="00E42F73" w:rsidRPr="005C333D" w:rsidTr="00E11CAF">
        <w:tc>
          <w:tcPr>
            <w:tcW w:w="0" w:type="auto"/>
            <w:shd w:val="clear" w:color="auto" w:fill="auto"/>
            <w:vAlign w:val="center"/>
          </w:tcPr>
          <w:p w:rsidR="00E42F73" w:rsidRPr="005C333D" w:rsidRDefault="004D1F24" w:rsidP="00CD26DE">
            <w:pPr>
              <w:pStyle w:val="TableText0"/>
              <w:keepNext/>
            </w:pPr>
            <w:r w:rsidRPr="005C333D">
              <w:t xml:space="preserve">Estimated prevalence of patients with CFS </w:t>
            </w:r>
            <w:r w:rsidR="00333C38" w:rsidRPr="005C333D">
              <w:t>=</w:t>
            </w:r>
            <w:r w:rsidRPr="005C333D">
              <w:t>4 &amp; OSDI ≥ 23 and refractory on conventional care (artificial tears)</w:t>
            </w:r>
          </w:p>
        </w:tc>
        <w:tc>
          <w:tcPr>
            <w:tcW w:w="0" w:type="auto"/>
            <w:shd w:val="clear" w:color="auto" w:fill="auto"/>
            <w:vAlign w:val="center"/>
          </w:tcPr>
          <w:p w:rsidR="00E42F73" w:rsidRPr="005C333D" w:rsidRDefault="00A05C32" w:rsidP="00CD26DE">
            <w:pPr>
              <w:pStyle w:val="TableText0"/>
              <w:keepNext/>
            </w:pPr>
            <w:r w:rsidRPr="005C333D">
              <w:t xml:space="preserve">Prevalence of </w:t>
            </w:r>
            <w:r w:rsidR="004D1F24" w:rsidRPr="005C333D">
              <w:t>0.06</w:t>
            </w:r>
            <w:r w:rsidR="004658B5" w:rsidRPr="005C333D">
              <w:t xml:space="preserve">% </w:t>
            </w:r>
            <w:r w:rsidR="004D1F24" w:rsidRPr="005C333D">
              <w:t xml:space="preserve">(18-39 years) and 0.75% (40+ years) </w:t>
            </w:r>
            <w:r w:rsidR="004658B5" w:rsidRPr="005C333D">
              <w:t xml:space="preserve">based on </w:t>
            </w:r>
            <w:r w:rsidR="004D1F24" w:rsidRPr="005C333D">
              <w:t>McCarty (1998).</w:t>
            </w:r>
          </w:p>
        </w:tc>
        <w:tc>
          <w:tcPr>
            <w:tcW w:w="0" w:type="auto"/>
            <w:shd w:val="clear" w:color="auto" w:fill="auto"/>
            <w:vAlign w:val="center"/>
          </w:tcPr>
          <w:p w:rsidR="00E42F73" w:rsidRPr="005C333D" w:rsidRDefault="004D1F24" w:rsidP="00CD26DE">
            <w:pPr>
              <w:pStyle w:val="TableText0"/>
              <w:keepNext/>
            </w:pPr>
            <w:r w:rsidRPr="005C333D">
              <w:rPr>
                <w:iCs/>
              </w:rPr>
              <w:t>Highly uncertain because of the age of the data</w:t>
            </w:r>
            <w:r w:rsidR="00155E06" w:rsidRPr="005C333D">
              <w:rPr>
                <w:iCs/>
              </w:rPr>
              <w:t xml:space="preserve"> and possible increasing prevalence of dry eye disease (Dana, 2019)</w:t>
            </w:r>
            <w:r w:rsidRPr="005C333D">
              <w:rPr>
                <w:iCs/>
              </w:rPr>
              <w:t>. Likely underestimated compared to estimates calculated from Farrand (2017):</w:t>
            </w:r>
            <w:r w:rsidR="009B3F75" w:rsidRPr="005C333D">
              <w:rPr>
                <w:iCs/>
              </w:rPr>
              <w:t xml:space="preserve"> </w:t>
            </w:r>
            <w:r w:rsidRPr="005C333D">
              <w:rPr>
                <w:iCs/>
              </w:rPr>
              <w:t>0.27% (18-49 years) and 0.90% (50+ years).</w:t>
            </w:r>
          </w:p>
        </w:tc>
      </w:tr>
      <w:tr w:rsidR="004D1F24" w:rsidRPr="005C333D" w:rsidTr="00E11CAF">
        <w:tc>
          <w:tcPr>
            <w:tcW w:w="0" w:type="auto"/>
            <w:shd w:val="clear" w:color="auto" w:fill="auto"/>
          </w:tcPr>
          <w:p w:rsidR="004D1F24" w:rsidRPr="005C333D" w:rsidRDefault="004D1F24" w:rsidP="00CD26DE">
            <w:pPr>
              <w:pStyle w:val="TableText0"/>
              <w:keepNext/>
            </w:pPr>
            <w:r w:rsidRPr="005C333D">
              <w:t>Proportion of patients actively seeking medical care</w:t>
            </w:r>
          </w:p>
        </w:tc>
        <w:tc>
          <w:tcPr>
            <w:tcW w:w="0" w:type="auto"/>
            <w:shd w:val="clear" w:color="auto" w:fill="auto"/>
          </w:tcPr>
          <w:p w:rsidR="004D1F24" w:rsidRPr="005C333D" w:rsidRDefault="004D1F24" w:rsidP="00CD26DE">
            <w:pPr>
              <w:pStyle w:val="TableText0"/>
              <w:keepNext/>
            </w:pPr>
            <w:r w:rsidRPr="005C333D">
              <w:t>60%</w:t>
            </w:r>
            <w:r w:rsidR="00155E06" w:rsidRPr="005C333D">
              <w:t xml:space="preserve"> based on Schaumberg (2003, 2009)</w:t>
            </w:r>
          </w:p>
        </w:tc>
        <w:tc>
          <w:tcPr>
            <w:tcW w:w="0" w:type="auto"/>
            <w:shd w:val="clear" w:color="auto" w:fill="auto"/>
            <w:vAlign w:val="center"/>
          </w:tcPr>
          <w:p w:rsidR="004D1F24" w:rsidRPr="005C333D" w:rsidRDefault="004D1F24" w:rsidP="00CD26DE">
            <w:pPr>
              <w:pStyle w:val="TableText0"/>
              <w:keepNext/>
              <w:rPr>
                <w:iCs/>
              </w:rPr>
            </w:pPr>
            <w:r w:rsidRPr="005C333D">
              <w:rPr>
                <w:iCs/>
              </w:rPr>
              <w:t xml:space="preserve">Likely underestimated because estimate </w:t>
            </w:r>
            <w:r w:rsidR="00F16521" w:rsidRPr="005C333D">
              <w:rPr>
                <w:iCs/>
              </w:rPr>
              <w:t xml:space="preserve">was </w:t>
            </w:r>
            <w:r w:rsidRPr="005C333D">
              <w:rPr>
                <w:iCs/>
              </w:rPr>
              <w:t xml:space="preserve">based on </w:t>
            </w:r>
            <w:r w:rsidR="00F16521" w:rsidRPr="005C333D">
              <w:rPr>
                <w:iCs/>
              </w:rPr>
              <w:t xml:space="preserve">a </w:t>
            </w:r>
            <w:r w:rsidRPr="005C333D">
              <w:rPr>
                <w:iCs/>
              </w:rPr>
              <w:t xml:space="preserve">study </w:t>
            </w:r>
            <w:r w:rsidR="00F16521" w:rsidRPr="005C333D">
              <w:rPr>
                <w:iCs/>
              </w:rPr>
              <w:t>in the</w:t>
            </w:r>
            <w:r w:rsidRPr="005C333D">
              <w:rPr>
                <w:iCs/>
              </w:rPr>
              <w:t xml:space="preserve"> US</w:t>
            </w:r>
            <w:r w:rsidR="009B3F75" w:rsidRPr="005C333D">
              <w:rPr>
                <w:iCs/>
              </w:rPr>
              <w:t>A</w:t>
            </w:r>
            <w:r w:rsidRPr="005C333D">
              <w:rPr>
                <w:iCs/>
              </w:rPr>
              <w:t xml:space="preserve"> where clinical practice may vary</w:t>
            </w:r>
            <w:r w:rsidR="00F16521" w:rsidRPr="005C333D">
              <w:rPr>
                <w:iCs/>
              </w:rPr>
              <w:t xml:space="preserve">. The </w:t>
            </w:r>
            <w:r w:rsidRPr="005C333D">
              <w:rPr>
                <w:iCs/>
              </w:rPr>
              <w:t xml:space="preserve">study was </w:t>
            </w:r>
            <w:r w:rsidR="00F16521" w:rsidRPr="005C333D">
              <w:rPr>
                <w:iCs/>
              </w:rPr>
              <w:t xml:space="preserve">also </w:t>
            </w:r>
            <w:r w:rsidRPr="005C333D">
              <w:rPr>
                <w:iCs/>
              </w:rPr>
              <w:t>conducted before treatment was available.</w:t>
            </w:r>
          </w:p>
        </w:tc>
      </w:tr>
      <w:tr w:rsidR="004D1F24" w:rsidRPr="005C333D" w:rsidTr="00E11CAF">
        <w:tc>
          <w:tcPr>
            <w:tcW w:w="0" w:type="auto"/>
            <w:shd w:val="clear" w:color="auto" w:fill="auto"/>
          </w:tcPr>
          <w:p w:rsidR="004D1F24" w:rsidRPr="005C333D" w:rsidRDefault="004D1F24" w:rsidP="00CD26DE">
            <w:pPr>
              <w:pStyle w:val="TableText0"/>
              <w:keepNext/>
            </w:pPr>
            <w:r w:rsidRPr="005C333D">
              <w:t>Annual u</w:t>
            </w:r>
            <w:r w:rsidR="00F16521" w:rsidRPr="005C333D">
              <w:t>ptak</w:t>
            </w:r>
            <w:r w:rsidRPr="005C333D">
              <w:t>e rate</w:t>
            </w:r>
          </w:p>
        </w:tc>
        <w:tc>
          <w:tcPr>
            <w:tcW w:w="0" w:type="auto"/>
            <w:shd w:val="clear" w:color="auto" w:fill="auto"/>
          </w:tcPr>
          <w:p w:rsidR="004D1F24" w:rsidRPr="005C333D" w:rsidRDefault="004D1F24" w:rsidP="00CD26DE">
            <w:pPr>
              <w:pStyle w:val="TableText0"/>
              <w:keepNext/>
            </w:pPr>
            <w:r w:rsidRPr="005C333D">
              <w:t>10%</w:t>
            </w:r>
            <w:r w:rsidR="00155E06" w:rsidRPr="005C333D">
              <w:t xml:space="preserve"> (assumption)</w:t>
            </w:r>
          </w:p>
        </w:tc>
        <w:tc>
          <w:tcPr>
            <w:tcW w:w="0" w:type="auto"/>
            <w:shd w:val="clear" w:color="auto" w:fill="auto"/>
            <w:vAlign w:val="center"/>
          </w:tcPr>
          <w:p w:rsidR="004D1F24" w:rsidRPr="005C333D" w:rsidRDefault="004D1F24" w:rsidP="00CD26DE">
            <w:pPr>
              <w:pStyle w:val="TableText0"/>
              <w:keepNext/>
              <w:rPr>
                <w:iCs/>
              </w:rPr>
            </w:pPr>
            <w:r w:rsidRPr="005C333D">
              <w:rPr>
                <w:iCs/>
              </w:rPr>
              <w:t xml:space="preserve">Likely underestimated based on </w:t>
            </w:r>
            <w:r w:rsidR="00155E06" w:rsidRPr="005C333D">
              <w:rPr>
                <w:iCs/>
              </w:rPr>
              <w:t xml:space="preserve">growth from </w:t>
            </w:r>
            <w:r w:rsidRPr="005C333D">
              <w:rPr>
                <w:iCs/>
              </w:rPr>
              <w:t>historical trends of artificial tears use on the PBS.</w:t>
            </w:r>
          </w:p>
        </w:tc>
      </w:tr>
      <w:tr w:rsidR="004D1F24" w:rsidRPr="005C333D" w:rsidTr="00E11CAF">
        <w:tc>
          <w:tcPr>
            <w:tcW w:w="0" w:type="auto"/>
            <w:shd w:val="clear" w:color="auto" w:fill="auto"/>
          </w:tcPr>
          <w:p w:rsidR="004D1F24" w:rsidRPr="005C333D" w:rsidRDefault="004D1F24" w:rsidP="00CD26DE">
            <w:pPr>
              <w:pStyle w:val="TableText0"/>
              <w:keepNext/>
            </w:pPr>
            <w:r w:rsidRPr="005C333D">
              <w:t>% responding to treatment at 6 months</w:t>
            </w:r>
          </w:p>
        </w:tc>
        <w:tc>
          <w:tcPr>
            <w:tcW w:w="0" w:type="auto"/>
            <w:shd w:val="clear" w:color="auto" w:fill="auto"/>
          </w:tcPr>
          <w:p w:rsidR="004D1F24" w:rsidRPr="005C333D" w:rsidRDefault="004D1F24" w:rsidP="00CD26DE">
            <w:pPr>
              <w:pStyle w:val="TableText0"/>
              <w:keepNext/>
            </w:pPr>
            <w:r w:rsidRPr="005C333D">
              <w:t>17.6% based on severe subgroup from meta-analysis (Leonardi, 2019)</w:t>
            </w:r>
            <w:r w:rsidR="0093696D" w:rsidRPr="005C333D">
              <w:t xml:space="preserve"> with responder definition CFS improvement ≥ 3 &amp; OSDI improvement ≥ 30%</w:t>
            </w:r>
          </w:p>
        </w:tc>
        <w:tc>
          <w:tcPr>
            <w:tcW w:w="0" w:type="auto"/>
            <w:shd w:val="clear" w:color="auto" w:fill="auto"/>
            <w:vAlign w:val="center"/>
          </w:tcPr>
          <w:p w:rsidR="004D1F24" w:rsidRPr="005C333D" w:rsidRDefault="0095365E" w:rsidP="00CD26DE">
            <w:pPr>
              <w:pStyle w:val="TableText0"/>
              <w:keepNext/>
              <w:rPr>
                <w:iCs/>
              </w:rPr>
            </w:pPr>
            <w:r w:rsidRPr="005C333D">
              <w:rPr>
                <w:iCs/>
              </w:rPr>
              <w:t xml:space="preserve">Proportion applied as observed in key trials. However, </w:t>
            </w:r>
            <w:r w:rsidR="00371552" w:rsidRPr="005C333D">
              <w:rPr>
                <w:iCs/>
              </w:rPr>
              <w:t>the proportion</w:t>
            </w:r>
            <w:r w:rsidRPr="005C333D">
              <w:rPr>
                <w:iCs/>
              </w:rPr>
              <w:t xml:space="preserve"> likely to continue treatment may be underestimated </w:t>
            </w:r>
            <w:r w:rsidR="00064568" w:rsidRPr="005C333D">
              <w:rPr>
                <w:iCs/>
              </w:rPr>
              <w:t xml:space="preserve">because of leakage </w:t>
            </w:r>
            <w:r w:rsidR="00F16521" w:rsidRPr="005C333D">
              <w:rPr>
                <w:iCs/>
              </w:rPr>
              <w:t xml:space="preserve">from use of </w:t>
            </w:r>
            <w:r w:rsidR="00064568" w:rsidRPr="005C333D">
              <w:rPr>
                <w:iCs/>
              </w:rPr>
              <w:t xml:space="preserve">CFS grading using modified Oxford scale </w:t>
            </w:r>
            <w:r w:rsidR="00F16521" w:rsidRPr="005C333D">
              <w:rPr>
                <w:iCs/>
              </w:rPr>
              <w:t>by unfamiliar practitioners</w:t>
            </w:r>
            <w:r w:rsidR="00064568" w:rsidRPr="005C333D">
              <w:rPr>
                <w:iCs/>
              </w:rPr>
              <w:t>.</w:t>
            </w:r>
          </w:p>
        </w:tc>
      </w:tr>
      <w:tr w:rsidR="004D1F24" w:rsidRPr="005C333D" w:rsidTr="00E11CAF">
        <w:tc>
          <w:tcPr>
            <w:tcW w:w="0" w:type="auto"/>
            <w:shd w:val="clear" w:color="auto" w:fill="auto"/>
          </w:tcPr>
          <w:p w:rsidR="004D1F24" w:rsidRPr="005C333D" w:rsidRDefault="00155E06" w:rsidP="00CD26DE">
            <w:pPr>
              <w:pStyle w:val="TableText0"/>
              <w:keepNext/>
            </w:pPr>
            <w:r w:rsidRPr="005C333D">
              <w:t>% discontinue treatment (due to any cause)</w:t>
            </w:r>
          </w:p>
        </w:tc>
        <w:tc>
          <w:tcPr>
            <w:tcW w:w="0" w:type="auto"/>
            <w:shd w:val="clear" w:color="auto" w:fill="auto"/>
          </w:tcPr>
          <w:p w:rsidR="004D1F24" w:rsidRPr="005C333D" w:rsidRDefault="00155E06" w:rsidP="00CD26DE">
            <w:pPr>
              <w:pStyle w:val="TableText0"/>
              <w:keepNext/>
            </w:pPr>
            <w:r w:rsidRPr="005C333D">
              <w:t>11.19% at end of first year; 21.13% in subsequent years</w:t>
            </w:r>
          </w:p>
        </w:tc>
        <w:tc>
          <w:tcPr>
            <w:tcW w:w="0" w:type="auto"/>
            <w:shd w:val="clear" w:color="auto" w:fill="auto"/>
            <w:vAlign w:val="center"/>
          </w:tcPr>
          <w:p w:rsidR="004D1F24" w:rsidRPr="005C333D" w:rsidRDefault="00155E06" w:rsidP="00CD26DE">
            <w:pPr>
              <w:pStyle w:val="TableText0"/>
              <w:keepNext/>
              <w:rPr>
                <w:iCs/>
              </w:rPr>
            </w:pPr>
            <w:r w:rsidRPr="005C333D">
              <w:t>Uncertain as data used to demonstrate and calculate discontinuation rates could not be verified based on informat</w:t>
            </w:r>
            <w:r w:rsidR="009B2A81">
              <w:t>ion provided in the submission.</w:t>
            </w:r>
            <w:r w:rsidRPr="005C333D">
              <w:rPr>
                <w:vertAlign w:val="superscript"/>
              </w:rPr>
              <w:t>a</w:t>
            </w:r>
          </w:p>
        </w:tc>
      </w:tr>
      <w:tr w:rsidR="004D1F24" w:rsidRPr="005C333D" w:rsidTr="00E11CAF">
        <w:tc>
          <w:tcPr>
            <w:tcW w:w="0" w:type="auto"/>
            <w:shd w:val="clear" w:color="auto" w:fill="auto"/>
          </w:tcPr>
          <w:p w:rsidR="004D1F24" w:rsidRPr="005C333D" w:rsidRDefault="004D1F24" w:rsidP="00CD26DE">
            <w:pPr>
              <w:pStyle w:val="TableText0"/>
              <w:keepNext/>
            </w:pPr>
            <w:r w:rsidRPr="005C333D">
              <w:t>Artificial tear usage offset</w:t>
            </w:r>
          </w:p>
        </w:tc>
        <w:tc>
          <w:tcPr>
            <w:tcW w:w="0" w:type="auto"/>
            <w:shd w:val="clear" w:color="auto" w:fill="auto"/>
          </w:tcPr>
          <w:p w:rsidR="004D1F24" w:rsidRPr="005C333D" w:rsidRDefault="0078428F" w:rsidP="00CD26DE">
            <w:pPr>
              <w:pStyle w:val="TableText0"/>
              <w:keepNext/>
            </w:pPr>
            <w:r w:rsidRPr="005C333D">
              <w:t>19.53 prescriptions per patient per year</w:t>
            </w:r>
          </w:p>
        </w:tc>
        <w:tc>
          <w:tcPr>
            <w:tcW w:w="0" w:type="auto"/>
            <w:shd w:val="clear" w:color="auto" w:fill="auto"/>
            <w:vAlign w:val="center"/>
          </w:tcPr>
          <w:p w:rsidR="004D1F24" w:rsidRPr="005C333D" w:rsidRDefault="0095365E" w:rsidP="001E5786">
            <w:pPr>
              <w:pStyle w:val="TableText0"/>
              <w:keepNext/>
              <w:rPr>
                <w:iCs/>
              </w:rPr>
            </w:pPr>
            <w:r w:rsidRPr="005C333D">
              <w:rPr>
                <w:iCs/>
              </w:rPr>
              <w:t xml:space="preserve">Likely overestimated as it is unclear if usage in a trial setting is applicable in a real-world setting. It was also assumed that artificial tears were applied to both eyes regardless if one or both eyes were treated with ciclosporin. </w:t>
            </w:r>
          </w:p>
        </w:tc>
      </w:tr>
    </w:tbl>
    <w:p w:rsidR="00155E06" w:rsidRPr="005C333D" w:rsidRDefault="00155E06" w:rsidP="00155E06">
      <w:pPr>
        <w:pStyle w:val="TableFigureFooter"/>
        <w:jc w:val="left"/>
        <w:rPr>
          <w:rStyle w:val="TableFigureFooterChar"/>
          <w:rFonts w:eastAsiaTheme="majorEastAsia"/>
          <w:i/>
          <w:iCs/>
        </w:rPr>
      </w:pPr>
      <w:r w:rsidRPr="00FD5945">
        <w:rPr>
          <w:iCs/>
          <w:vertAlign w:val="superscript"/>
        </w:rPr>
        <w:t xml:space="preserve">a </w:t>
      </w:r>
      <w:r w:rsidRPr="005C333D">
        <w:rPr>
          <w:rStyle w:val="TableFigureFooterChar"/>
          <w:rFonts w:eastAsiaTheme="majorEastAsia"/>
          <w:iCs/>
        </w:rPr>
        <w:t xml:space="preserve">Verification of sources was requested during the evaluation. However, </w:t>
      </w:r>
      <w:r w:rsidR="00F16521" w:rsidRPr="005C333D">
        <w:rPr>
          <w:rStyle w:val="TableFigureFooterChar"/>
          <w:rFonts w:eastAsiaTheme="majorEastAsia"/>
          <w:iCs/>
        </w:rPr>
        <w:t>the explanation of the data source</w:t>
      </w:r>
      <w:r w:rsidRPr="005C333D">
        <w:rPr>
          <w:rStyle w:val="TableFigureFooterChar"/>
          <w:rFonts w:eastAsiaTheme="majorEastAsia"/>
          <w:iCs/>
        </w:rPr>
        <w:t xml:space="preserve"> was not sufficient for adequate verification.</w:t>
      </w:r>
    </w:p>
    <w:p w:rsidR="00EF447D" w:rsidRPr="005C333D" w:rsidRDefault="00EF447D" w:rsidP="00C05A85">
      <w:pPr>
        <w:pStyle w:val="TableFigureFooter"/>
        <w:jc w:val="left"/>
        <w:rPr>
          <w:rStyle w:val="TableFigureFooterChar"/>
          <w:rFonts w:eastAsiaTheme="majorEastAsia"/>
        </w:rPr>
      </w:pPr>
      <w:r w:rsidRPr="005C333D">
        <w:rPr>
          <w:rStyle w:val="TableFigureFooterChar"/>
          <w:rFonts w:eastAsiaTheme="majorEastAsia"/>
        </w:rPr>
        <w:t xml:space="preserve">CFS = </w:t>
      </w:r>
      <w:r w:rsidR="009B3F75" w:rsidRPr="005C333D">
        <w:rPr>
          <w:rStyle w:val="TableFigureFooterChar"/>
          <w:rFonts w:eastAsiaTheme="majorEastAsia"/>
        </w:rPr>
        <w:t>c</w:t>
      </w:r>
      <w:r w:rsidR="00C05A85" w:rsidRPr="005C333D">
        <w:rPr>
          <w:rStyle w:val="TableFigureFooterChar"/>
          <w:rFonts w:eastAsiaTheme="majorEastAsia"/>
        </w:rPr>
        <w:t xml:space="preserve">orneal fluorescent staining; OSDI = </w:t>
      </w:r>
      <w:r w:rsidR="009B3F75" w:rsidRPr="005C333D">
        <w:rPr>
          <w:rStyle w:val="TableFigureFooterChar"/>
          <w:rFonts w:eastAsiaTheme="majorEastAsia"/>
        </w:rPr>
        <w:t>o</w:t>
      </w:r>
      <w:r w:rsidR="00C05A85" w:rsidRPr="005C333D">
        <w:rPr>
          <w:rStyle w:val="TableFigureFooterChar"/>
          <w:rFonts w:eastAsiaTheme="majorEastAsia"/>
        </w:rPr>
        <w:t xml:space="preserve">cular </w:t>
      </w:r>
      <w:r w:rsidR="009B3F75" w:rsidRPr="005C333D">
        <w:rPr>
          <w:rStyle w:val="TableFigureFooterChar"/>
          <w:rFonts w:eastAsiaTheme="majorEastAsia"/>
        </w:rPr>
        <w:t>s</w:t>
      </w:r>
      <w:r w:rsidR="00C05A85" w:rsidRPr="005C333D">
        <w:rPr>
          <w:rStyle w:val="TableFigureFooterChar"/>
          <w:rFonts w:eastAsiaTheme="majorEastAsia"/>
        </w:rPr>
        <w:t xml:space="preserve">urface </w:t>
      </w:r>
      <w:r w:rsidR="009B3F75" w:rsidRPr="005C333D">
        <w:rPr>
          <w:rStyle w:val="TableFigureFooterChar"/>
          <w:rFonts w:eastAsiaTheme="majorEastAsia"/>
        </w:rPr>
        <w:t>d</w:t>
      </w:r>
      <w:r w:rsidR="00C05A85" w:rsidRPr="005C333D">
        <w:rPr>
          <w:rStyle w:val="TableFigureFooterChar"/>
          <w:rFonts w:eastAsiaTheme="majorEastAsia"/>
        </w:rPr>
        <w:t xml:space="preserve">isease </w:t>
      </w:r>
      <w:r w:rsidR="009B3F75" w:rsidRPr="005C333D">
        <w:rPr>
          <w:rStyle w:val="TableFigureFooterChar"/>
          <w:rFonts w:eastAsiaTheme="majorEastAsia"/>
        </w:rPr>
        <w:t>i</w:t>
      </w:r>
      <w:r w:rsidR="00C05A85" w:rsidRPr="005C333D">
        <w:rPr>
          <w:rStyle w:val="TableFigureFooterChar"/>
          <w:rFonts w:eastAsiaTheme="majorEastAsia"/>
        </w:rPr>
        <w:t xml:space="preserve">ndex </w:t>
      </w:r>
      <w:r w:rsidR="009B3F75" w:rsidRPr="005C333D">
        <w:rPr>
          <w:rStyle w:val="TableFigureFooterChar"/>
          <w:rFonts w:eastAsiaTheme="majorEastAsia"/>
        </w:rPr>
        <w:t>; PBS = Pharmaceutical Benefits Scheme</w:t>
      </w:r>
    </w:p>
    <w:p w:rsidR="004D4C6F" w:rsidRPr="005C333D" w:rsidRDefault="004D4C6F" w:rsidP="004D4C6F">
      <w:pPr>
        <w:pStyle w:val="TableFigureFooter"/>
        <w:jc w:val="left"/>
      </w:pPr>
      <w:r w:rsidRPr="005C333D">
        <w:t xml:space="preserve">Source: Table 4.1.6, p132; Table 4.1.8, p134; Table 4.1.9; Table 4.1.10, p135; Table 4.1.13, p139 of the submission and Section 4 Excel workbook Tab Seqirus. </w:t>
      </w:r>
    </w:p>
    <w:p w:rsidR="004D4C6F" w:rsidRPr="005C333D" w:rsidRDefault="004D4C6F" w:rsidP="00B73532">
      <w:pPr>
        <w:pStyle w:val="3-BodyText"/>
        <w:rPr>
          <w:b/>
          <w:bCs/>
        </w:rPr>
      </w:pPr>
      <w:r w:rsidRPr="005C333D">
        <w:t xml:space="preserve">Table </w:t>
      </w:r>
      <w:r w:rsidR="00B108F3" w:rsidRPr="005C333D">
        <w:t>1</w:t>
      </w:r>
      <w:r w:rsidR="001F3494" w:rsidRPr="005C333D">
        <w:t>5</w:t>
      </w:r>
      <w:r w:rsidR="00B108F3" w:rsidRPr="005C333D">
        <w:t xml:space="preserve"> </w:t>
      </w:r>
      <w:r w:rsidRPr="005C333D">
        <w:t>presents the estimated use and financial implications.</w:t>
      </w:r>
      <w:r w:rsidR="00FF5168" w:rsidRPr="005C333D">
        <w:t xml:space="preserve"> Updated financial implications </w:t>
      </w:r>
      <w:r w:rsidR="003C4417" w:rsidRPr="005C333D">
        <w:t>accounting for the reduced price</w:t>
      </w:r>
      <w:r w:rsidR="00FF5168" w:rsidRPr="005C333D">
        <w:t xml:space="preserve"> </w:t>
      </w:r>
      <w:r w:rsidR="003C4417" w:rsidRPr="005C333D">
        <w:t xml:space="preserve">proposed in </w:t>
      </w:r>
      <w:r w:rsidR="00FF5168" w:rsidRPr="005C333D">
        <w:t>the pre-PBAC response are also presented</w:t>
      </w:r>
      <w:r w:rsidR="003E29AB" w:rsidRPr="005C333D">
        <w:t>.</w:t>
      </w:r>
    </w:p>
    <w:p w:rsidR="00C25D9C" w:rsidRPr="005C333D" w:rsidRDefault="002A2F50" w:rsidP="005A496B">
      <w:pPr>
        <w:pStyle w:val="TableFigureHeading"/>
        <w:keepLines/>
      </w:pPr>
      <w:r w:rsidRPr="005C333D">
        <w:rPr>
          <w:rStyle w:val="CommentReference"/>
          <w:b/>
          <w:szCs w:val="24"/>
        </w:rPr>
        <w:t xml:space="preserve">Table </w:t>
      </w:r>
      <w:r w:rsidR="00B108F3" w:rsidRPr="005C333D">
        <w:rPr>
          <w:rStyle w:val="CommentReference"/>
          <w:b/>
          <w:szCs w:val="24"/>
        </w:rPr>
        <w:t>1</w:t>
      </w:r>
      <w:r w:rsidR="001F3494" w:rsidRPr="005C333D">
        <w:rPr>
          <w:rStyle w:val="CommentReference"/>
          <w:b/>
          <w:szCs w:val="24"/>
        </w:rPr>
        <w:t>5</w:t>
      </w:r>
      <w:r w:rsidRPr="005C333D">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994"/>
        <w:gridCol w:w="1134"/>
        <w:gridCol w:w="1134"/>
        <w:gridCol w:w="1134"/>
        <w:gridCol w:w="1134"/>
        <w:gridCol w:w="1077"/>
      </w:tblGrid>
      <w:tr w:rsidR="00385A9D" w:rsidRPr="005C333D" w:rsidTr="0002791A">
        <w:trPr>
          <w:tblHeader/>
        </w:trPr>
        <w:tc>
          <w:tcPr>
            <w:tcW w:w="1336" w:type="pct"/>
            <w:shd w:val="clear" w:color="auto" w:fill="auto"/>
            <w:vAlign w:val="center"/>
          </w:tcPr>
          <w:p w:rsidR="00385A9D" w:rsidRPr="005C333D" w:rsidRDefault="00385A9D" w:rsidP="005A496B">
            <w:pPr>
              <w:pStyle w:val="In-tableHeading"/>
              <w:keepLines/>
              <w:jc w:val="center"/>
              <w:rPr>
                <w:lang w:val="en-AU"/>
              </w:rPr>
            </w:pPr>
          </w:p>
        </w:tc>
        <w:tc>
          <w:tcPr>
            <w:tcW w:w="551" w:type="pct"/>
            <w:shd w:val="clear" w:color="auto" w:fill="auto"/>
            <w:vAlign w:val="center"/>
          </w:tcPr>
          <w:p w:rsidR="00385A9D" w:rsidRPr="005C333D" w:rsidRDefault="00385A9D" w:rsidP="005A496B">
            <w:pPr>
              <w:pStyle w:val="In-tableHeading"/>
              <w:keepLines/>
              <w:jc w:val="center"/>
              <w:rPr>
                <w:lang w:val="en-AU"/>
              </w:rPr>
            </w:pPr>
            <w:r w:rsidRPr="005C333D">
              <w:rPr>
                <w:lang w:val="en-AU"/>
              </w:rPr>
              <w:t>Year 1</w:t>
            </w:r>
          </w:p>
        </w:tc>
        <w:tc>
          <w:tcPr>
            <w:tcW w:w="629" w:type="pct"/>
            <w:shd w:val="clear" w:color="auto" w:fill="auto"/>
            <w:vAlign w:val="center"/>
          </w:tcPr>
          <w:p w:rsidR="00385A9D" w:rsidRPr="005C333D" w:rsidRDefault="00385A9D" w:rsidP="005A496B">
            <w:pPr>
              <w:pStyle w:val="In-tableHeading"/>
              <w:keepLines/>
              <w:jc w:val="center"/>
              <w:rPr>
                <w:lang w:val="en-AU"/>
              </w:rPr>
            </w:pPr>
            <w:r w:rsidRPr="005C333D">
              <w:rPr>
                <w:lang w:val="en-AU"/>
              </w:rPr>
              <w:t>Year 2</w:t>
            </w:r>
          </w:p>
        </w:tc>
        <w:tc>
          <w:tcPr>
            <w:tcW w:w="629" w:type="pct"/>
            <w:shd w:val="clear" w:color="auto" w:fill="auto"/>
            <w:vAlign w:val="center"/>
          </w:tcPr>
          <w:p w:rsidR="00385A9D" w:rsidRPr="005C333D" w:rsidRDefault="00385A9D" w:rsidP="005A496B">
            <w:pPr>
              <w:pStyle w:val="In-tableHeading"/>
              <w:keepLines/>
              <w:jc w:val="center"/>
              <w:rPr>
                <w:lang w:val="en-AU"/>
              </w:rPr>
            </w:pPr>
            <w:r w:rsidRPr="005C333D">
              <w:rPr>
                <w:lang w:val="en-AU"/>
              </w:rPr>
              <w:t>Year 3</w:t>
            </w:r>
          </w:p>
        </w:tc>
        <w:tc>
          <w:tcPr>
            <w:tcW w:w="629" w:type="pct"/>
            <w:shd w:val="clear" w:color="auto" w:fill="auto"/>
            <w:vAlign w:val="center"/>
          </w:tcPr>
          <w:p w:rsidR="00385A9D" w:rsidRPr="005C333D" w:rsidRDefault="00385A9D" w:rsidP="005A496B">
            <w:pPr>
              <w:pStyle w:val="In-tableHeading"/>
              <w:keepLines/>
              <w:jc w:val="center"/>
              <w:rPr>
                <w:lang w:val="en-AU"/>
              </w:rPr>
            </w:pPr>
            <w:r w:rsidRPr="005C333D">
              <w:rPr>
                <w:lang w:val="en-AU"/>
              </w:rPr>
              <w:t>Year 4</w:t>
            </w:r>
          </w:p>
        </w:tc>
        <w:tc>
          <w:tcPr>
            <w:tcW w:w="629" w:type="pct"/>
            <w:shd w:val="clear" w:color="auto" w:fill="auto"/>
            <w:vAlign w:val="center"/>
          </w:tcPr>
          <w:p w:rsidR="00385A9D" w:rsidRPr="005C333D" w:rsidRDefault="00385A9D" w:rsidP="005A496B">
            <w:pPr>
              <w:pStyle w:val="In-tableHeading"/>
              <w:keepLines/>
              <w:jc w:val="center"/>
              <w:rPr>
                <w:lang w:val="en-AU"/>
              </w:rPr>
            </w:pPr>
            <w:r w:rsidRPr="005C333D">
              <w:rPr>
                <w:lang w:val="en-AU"/>
              </w:rPr>
              <w:t>Year 5</w:t>
            </w:r>
          </w:p>
        </w:tc>
        <w:tc>
          <w:tcPr>
            <w:tcW w:w="598" w:type="pct"/>
          </w:tcPr>
          <w:p w:rsidR="00385A9D" w:rsidRPr="005C333D" w:rsidRDefault="00385A9D" w:rsidP="005A496B">
            <w:pPr>
              <w:pStyle w:val="In-tableHeading"/>
              <w:keepLines/>
              <w:jc w:val="center"/>
              <w:rPr>
                <w:lang w:val="en-AU"/>
              </w:rPr>
            </w:pPr>
            <w:r w:rsidRPr="005C333D">
              <w:rPr>
                <w:lang w:val="en-AU"/>
              </w:rPr>
              <w:t>Year 6</w:t>
            </w:r>
          </w:p>
        </w:tc>
      </w:tr>
      <w:tr w:rsidR="00385A9D" w:rsidRPr="005C333D" w:rsidTr="009C3A3A">
        <w:tc>
          <w:tcPr>
            <w:tcW w:w="5000" w:type="pct"/>
            <w:gridSpan w:val="7"/>
            <w:shd w:val="clear" w:color="auto" w:fill="auto"/>
            <w:vAlign w:val="center"/>
          </w:tcPr>
          <w:p w:rsidR="00385A9D" w:rsidRPr="005C333D" w:rsidRDefault="00385A9D" w:rsidP="005A496B">
            <w:pPr>
              <w:pStyle w:val="In-tableHeading"/>
              <w:keepLines/>
              <w:rPr>
                <w:bCs/>
                <w:color w:val="000000"/>
                <w:lang w:val="en-AU"/>
              </w:rPr>
            </w:pPr>
            <w:r w:rsidRPr="005C333D">
              <w:rPr>
                <w:bCs/>
                <w:color w:val="000000"/>
                <w:lang w:val="en-AU"/>
              </w:rPr>
              <w:t>Estimated extent of use</w:t>
            </w:r>
          </w:p>
        </w:tc>
      </w:tr>
      <w:tr w:rsidR="004D4C6F" w:rsidRPr="005C333D" w:rsidTr="0002791A">
        <w:tc>
          <w:tcPr>
            <w:tcW w:w="1336" w:type="pct"/>
            <w:shd w:val="clear" w:color="auto" w:fill="auto"/>
            <w:vAlign w:val="center"/>
          </w:tcPr>
          <w:p w:rsidR="004D4C6F" w:rsidRPr="005C333D" w:rsidRDefault="004D4C6F" w:rsidP="005A496B">
            <w:pPr>
              <w:pStyle w:val="TableText0"/>
              <w:keepNext/>
              <w:keepLines/>
              <w:rPr>
                <w:rFonts w:ascii="Times" w:hAnsi="Times"/>
              </w:rPr>
            </w:pPr>
            <w:r w:rsidRPr="005C333D">
              <w:t>Number of patients treated</w:t>
            </w:r>
          </w:p>
        </w:tc>
        <w:tc>
          <w:tcPr>
            <w:tcW w:w="551"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1</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1</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1</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1</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1</w:t>
            </w:r>
          </w:p>
        </w:tc>
        <w:tc>
          <w:tcPr>
            <w:tcW w:w="598" w:type="pct"/>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1</w:t>
            </w:r>
          </w:p>
        </w:tc>
      </w:tr>
      <w:tr w:rsidR="004D4C6F" w:rsidRPr="005C333D" w:rsidTr="0002791A">
        <w:tc>
          <w:tcPr>
            <w:tcW w:w="1336" w:type="pct"/>
            <w:shd w:val="clear" w:color="auto" w:fill="auto"/>
            <w:vAlign w:val="center"/>
          </w:tcPr>
          <w:p w:rsidR="004D4C6F" w:rsidRPr="005C333D" w:rsidRDefault="004D4C6F" w:rsidP="005A496B">
            <w:pPr>
              <w:pStyle w:val="TableText0"/>
              <w:keepNext/>
              <w:keepLines/>
              <w:rPr>
                <w:rFonts w:ascii="Times" w:hAnsi="Times"/>
              </w:rPr>
            </w:pPr>
            <w:r w:rsidRPr="005C333D">
              <w:t>Number of scripts dispensed</w:t>
            </w:r>
            <w:r w:rsidRPr="005C333D">
              <w:rPr>
                <w:vertAlign w:val="superscript"/>
              </w:rPr>
              <w:t>a</w:t>
            </w:r>
          </w:p>
        </w:tc>
        <w:tc>
          <w:tcPr>
            <w:tcW w:w="551"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971F54">
              <w:rPr>
                <w:vertAlign w:val="superscript"/>
              </w:rPr>
              <w:t>2</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BB5088">
              <w:rPr>
                <w:vertAlign w:val="superscript"/>
              </w:rPr>
              <w:t>3</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BB5088">
              <w:rPr>
                <w:vertAlign w:val="superscript"/>
              </w:rPr>
              <w:t>4</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BB5088">
              <w:rPr>
                <w:vertAlign w:val="superscript"/>
              </w:rPr>
              <w:t>5</w:t>
            </w:r>
          </w:p>
        </w:tc>
        <w:tc>
          <w:tcPr>
            <w:tcW w:w="629" w:type="pct"/>
            <w:shd w:val="clear" w:color="auto" w:fill="auto"/>
          </w:tcPr>
          <w:p w:rsidR="004D4C6F" w:rsidRPr="00CC4A22" w:rsidRDefault="00CC4A22" w:rsidP="005A496B">
            <w:pPr>
              <w:pStyle w:val="TableText0"/>
              <w:keepNext/>
              <w:keepLines/>
              <w:jc w:val="center"/>
              <w:rPr>
                <w:color w:val="000000"/>
              </w:rPr>
            </w:pPr>
            <w:r>
              <w:rPr>
                <w:noProof/>
                <w:color w:val="000000"/>
                <w:highlight w:val="black"/>
              </w:rPr>
              <w:t>''''''''''''''''</w:t>
            </w:r>
            <w:r w:rsidR="00BB5088">
              <w:rPr>
                <w:vertAlign w:val="superscript"/>
              </w:rPr>
              <w:t>5</w:t>
            </w:r>
          </w:p>
        </w:tc>
        <w:tc>
          <w:tcPr>
            <w:tcW w:w="598" w:type="pct"/>
          </w:tcPr>
          <w:p w:rsidR="004D4C6F" w:rsidRPr="00CC4A22" w:rsidRDefault="00CC4A22" w:rsidP="005A496B">
            <w:pPr>
              <w:pStyle w:val="TableText0"/>
              <w:keepNext/>
              <w:keepLines/>
              <w:jc w:val="center"/>
              <w:rPr>
                <w:color w:val="000000"/>
              </w:rPr>
            </w:pPr>
            <w:r>
              <w:rPr>
                <w:noProof/>
                <w:color w:val="000000"/>
                <w:highlight w:val="black"/>
              </w:rPr>
              <w:t>'''''''''''''''''</w:t>
            </w:r>
            <w:r w:rsidR="00BB5088">
              <w:rPr>
                <w:vertAlign w:val="superscript"/>
              </w:rPr>
              <w:t>6</w:t>
            </w:r>
          </w:p>
        </w:tc>
      </w:tr>
      <w:tr w:rsidR="00385A9D" w:rsidRPr="005C333D" w:rsidTr="009C3A3A">
        <w:tc>
          <w:tcPr>
            <w:tcW w:w="5000" w:type="pct"/>
            <w:gridSpan w:val="7"/>
            <w:shd w:val="clear" w:color="auto" w:fill="auto"/>
            <w:vAlign w:val="center"/>
          </w:tcPr>
          <w:p w:rsidR="00385A9D" w:rsidRPr="005C333D" w:rsidRDefault="00385A9D" w:rsidP="005A496B">
            <w:pPr>
              <w:pStyle w:val="In-tableHeading"/>
              <w:keepLines/>
              <w:rPr>
                <w:lang w:val="en-AU"/>
              </w:rPr>
            </w:pPr>
            <w:r w:rsidRPr="005C333D">
              <w:rPr>
                <w:lang w:val="en-AU"/>
              </w:rPr>
              <w:t xml:space="preserve">Estimated financial implications of </w:t>
            </w:r>
            <w:r w:rsidR="0093696D" w:rsidRPr="005C333D">
              <w:rPr>
                <w:lang w:val="en-AU"/>
              </w:rPr>
              <w:t>ciclosporin</w:t>
            </w:r>
          </w:p>
        </w:tc>
      </w:tr>
      <w:tr w:rsidR="001E79A5" w:rsidRPr="005C333D" w:rsidTr="0002791A">
        <w:tc>
          <w:tcPr>
            <w:tcW w:w="1336" w:type="pct"/>
            <w:shd w:val="clear" w:color="auto" w:fill="auto"/>
            <w:vAlign w:val="center"/>
          </w:tcPr>
          <w:p w:rsidR="001E79A5" w:rsidRPr="005C333D" w:rsidRDefault="001E79A5" w:rsidP="005A496B">
            <w:pPr>
              <w:pStyle w:val="TableText0"/>
              <w:keepNext/>
              <w:keepLines/>
              <w:rPr>
                <w:sz w:val="19"/>
                <w:szCs w:val="19"/>
              </w:rPr>
            </w:pPr>
            <w:r w:rsidRPr="005C333D">
              <w:rPr>
                <w:sz w:val="19"/>
                <w:szCs w:val="19"/>
              </w:rPr>
              <w:t>Cost to PBS/RPBS less copayments</w:t>
            </w:r>
          </w:p>
        </w:tc>
        <w:tc>
          <w:tcPr>
            <w:tcW w:w="551"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598" w:type="pct"/>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r>
      <w:tr w:rsidR="00385A9D" w:rsidRPr="005C333D" w:rsidTr="009C3A3A">
        <w:tc>
          <w:tcPr>
            <w:tcW w:w="5000" w:type="pct"/>
            <w:gridSpan w:val="7"/>
            <w:shd w:val="clear" w:color="auto" w:fill="auto"/>
            <w:vAlign w:val="center"/>
          </w:tcPr>
          <w:p w:rsidR="00385A9D" w:rsidRPr="005C333D" w:rsidRDefault="00385A9D" w:rsidP="005A496B">
            <w:pPr>
              <w:pStyle w:val="TableText0"/>
              <w:keepNext/>
              <w:keepLines/>
              <w:rPr>
                <w:b/>
                <w:bCs w:val="0"/>
              </w:rPr>
            </w:pPr>
            <w:r w:rsidRPr="005C333D">
              <w:rPr>
                <w:b/>
                <w:bCs w:val="0"/>
              </w:rPr>
              <w:t xml:space="preserve">Estimated financial implications for </w:t>
            </w:r>
            <w:r w:rsidR="0093696D" w:rsidRPr="005C333D">
              <w:rPr>
                <w:b/>
                <w:bCs w:val="0"/>
              </w:rPr>
              <w:t>artificial tears</w:t>
            </w:r>
          </w:p>
        </w:tc>
      </w:tr>
      <w:tr w:rsidR="001E79A5" w:rsidRPr="005C333D" w:rsidTr="0002791A">
        <w:tc>
          <w:tcPr>
            <w:tcW w:w="1336" w:type="pct"/>
            <w:shd w:val="clear" w:color="auto" w:fill="auto"/>
            <w:vAlign w:val="center"/>
          </w:tcPr>
          <w:p w:rsidR="001E79A5" w:rsidRPr="005C333D" w:rsidRDefault="001E79A5" w:rsidP="005A496B">
            <w:pPr>
              <w:pStyle w:val="TableText0"/>
              <w:keepNext/>
              <w:keepLines/>
              <w:rPr>
                <w:sz w:val="19"/>
                <w:szCs w:val="19"/>
              </w:rPr>
            </w:pPr>
            <w:r w:rsidRPr="005C333D">
              <w:rPr>
                <w:sz w:val="19"/>
                <w:szCs w:val="19"/>
              </w:rPr>
              <w:t>Cost to PBS/RPBS less copayments</w:t>
            </w:r>
          </w:p>
        </w:tc>
        <w:tc>
          <w:tcPr>
            <w:tcW w:w="551"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598" w:type="pct"/>
            <w:vAlign w:val="center"/>
          </w:tcPr>
          <w:p w:rsidR="001E79A5" w:rsidRPr="005C333D" w:rsidRDefault="001E79A5"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r>
      <w:tr w:rsidR="00385A9D" w:rsidRPr="005C333D" w:rsidTr="009C3A3A">
        <w:tc>
          <w:tcPr>
            <w:tcW w:w="5000" w:type="pct"/>
            <w:gridSpan w:val="7"/>
            <w:shd w:val="clear" w:color="auto" w:fill="auto"/>
            <w:vAlign w:val="center"/>
          </w:tcPr>
          <w:p w:rsidR="00385A9D" w:rsidRPr="005C333D" w:rsidRDefault="00385A9D" w:rsidP="005A496B">
            <w:pPr>
              <w:pStyle w:val="In-tableHeading"/>
              <w:keepLines/>
              <w:rPr>
                <w:lang w:val="en-AU"/>
              </w:rPr>
            </w:pPr>
            <w:r w:rsidRPr="005C333D">
              <w:rPr>
                <w:lang w:val="en-AU"/>
              </w:rPr>
              <w:t>Net financial implications</w:t>
            </w:r>
          </w:p>
        </w:tc>
      </w:tr>
      <w:tr w:rsidR="001E79A5" w:rsidRPr="005C333D" w:rsidTr="0002791A">
        <w:tc>
          <w:tcPr>
            <w:tcW w:w="1336" w:type="pct"/>
            <w:shd w:val="clear" w:color="auto" w:fill="auto"/>
            <w:vAlign w:val="center"/>
          </w:tcPr>
          <w:p w:rsidR="001E79A5" w:rsidRPr="005C333D" w:rsidRDefault="001E79A5" w:rsidP="005A496B">
            <w:pPr>
              <w:pStyle w:val="TableText0"/>
              <w:keepNext/>
              <w:keepLines/>
              <w:rPr>
                <w:b/>
                <w:sz w:val="19"/>
                <w:szCs w:val="19"/>
              </w:rPr>
            </w:pPr>
            <w:r w:rsidRPr="005C333D">
              <w:rPr>
                <w:b/>
                <w:sz w:val="19"/>
                <w:szCs w:val="19"/>
              </w:rPr>
              <w:t>Net cost to PBS/RPBS</w:t>
            </w:r>
          </w:p>
        </w:tc>
        <w:tc>
          <w:tcPr>
            <w:tcW w:w="551" w:type="pct"/>
            <w:shd w:val="clear" w:color="auto" w:fill="auto"/>
          </w:tcPr>
          <w:p w:rsidR="001E79A5" w:rsidRPr="005C333D" w:rsidRDefault="001E79A5"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1E79A5" w:rsidRPr="005C333D" w:rsidRDefault="001E79A5"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1E79A5" w:rsidRPr="005C333D" w:rsidRDefault="001E79A5"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1E79A5" w:rsidRPr="005C333D" w:rsidRDefault="001E79A5"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1E79A5" w:rsidRPr="005C333D" w:rsidRDefault="001E79A5"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598" w:type="pct"/>
          </w:tcPr>
          <w:p w:rsidR="001E79A5" w:rsidRPr="005C333D" w:rsidRDefault="001E79A5"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r>
      <w:tr w:rsidR="00172B54" w:rsidRPr="005C333D" w:rsidTr="0002791A">
        <w:tc>
          <w:tcPr>
            <w:tcW w:w="5000" w:type="pct"/>
            <w:gridSpan w:val="7"/>
            <w:shd w:val="clear" w:color="auto" w:fill="auto"/>
            <w:vAlign w:val="center"/>
          </w:tcPr>
          <w:p w:rsidR="00172B54" w:rsidRPr="005C333D" w:rsidRDefault="00172B54" w:rsidP="005A496B">
            <w:pPr>
              <w:pStyle w:val="TableText0"/>
              <w:keepNext/>
              <w:keepLines/>
              <w:rPr>
                <w:b/>
              </w:rPr>
            </w:pPr>
            <w:r w:rsidRPr="005C333D">
              <w:rPr>
                <w:b/>
              </w:rPr>
              <w:t>Pre-PBAC response</w:t>
            </w:r>
            <w:r w:rsidR="0002791A" w:rsidRPr="005C333D">
              <w:rPr>
                <w:b/>
              </w:rPr>
              <w:t xml:space="preserve"> (DPMQ reduced from $</w:t>
            </w:r>
            <w:r w:rsidR="00CC4A22">
              <w:rPr>
                <w:b/>
                <w:noProof/>
                <w:color w:val="000000"/>
                <w:highlight w:val="black"/>
              </w:rPr>
              <w:t>''''''''''''''</w:t>
            </w:r>
            <w:r w:rsidR="0002791A" w:rsidRPr="005C333D">
              <w:rPr>
                <w:b/>
              </w:rPr>
              <w:t xml:space="preserve"> to $</w:t>
            </w:r>
            <w:r w:rsidR="00CC4A22">
              <w:rPr>
                <w:b/>
                <w:noProof/>
                <w:color w:val="000000"/>
                <w:highlight w:val="black"/>
              </w:rPr>
              <w:t>''''''''''''</w:t>
            </w:r>
            <w:r w:rsidR="0002791A" w:rsidRPr="005C333D">
              <w:rPr>
                <w:b/>
              </w:rPr>
              <w:t>)</w:t>
            </w:r>
          </w:p>
        </w:tc>
      </w:tr>
      <w:tr w:rsidR="0002791A" w:rsidRPr="005C333D" w:rsidTr="0002791A">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2791A" w:rsidRPr="005C333D" w:rsidRDefault="0002791A" w:rsidP="005A496B">
            <w:pPr>
              <w:pStyle w:val="TableText0"/>
              <w:keepNext/>
              <w:keepLines/>
              <w:rPr>
                <w:b/>
              </w:rPr>
            </w:pPr>
            <w:r w:rsidRPr="005C333D">
              <w:rPr>
                <w:b/>
              </w:rPr>
              <w:t>Estimated financial implications of ciclosporin</w:t>
            </w:r>
          </w:p>
        </w:tc>
      </w:tr>
      <w:tr w:rsidR="0002791A" w:rsidRPr="005C333D" w:rsidTr="0002791A">
        <w:tc>
          <w:tcPr>
            <w:tcW w:w="1336" w:type="pct"/>
            <w:shd w:val="clear" w:color="auto" w:fill="auto"/>
            <w:vAlign w:val="center"/>
          </w:tcPr>
          <w:p w:rsidR="0002791A" w:rsidRPr="005C333D" w:rsidRDefault="0002791A" w:rsidP="005A496B">
            <w:pPr>
              <w:pStyle w:val="TableText0"/>
              <w:keepNext/>
              <w:keepLines/>
              <w:rPr>
                <w:sz w:val="19"/>
                <w:szCs w:val="19"/>
              </w:rPr>
            </w:pPr>
            <w:r w:rsidRPr="005C333D">
              <w:rPr>
                <w:sz w:val="19"/>
                <w:szCs w:val="19"/>
              </w:rPr>
              <w:t>Cost to PBS/RPBS less copayments</w:t>
            </w:r>
          </w:p>
        </w:tc>
        <w:tc>
          <w:tcPr>
            <w:tcW w:w="550" w:type="pct"/>
            <w:shd w:val="clear" w:color="auto" w:fill="auto"/>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599" w:type="pct"/>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r>
      <w:tr w:rsidR="0002791A" w:rsidRPr="005C333D" w:rsidTr="00417613">
        <w:tc>
          <w:tcPr>
            <w:tcW w:w="5000" w:type="pct"/>
            <w:gridSpan w:val="7"/>
            <w:shd w:val="clear" w:color="auto" w:fill="auto"/>
            <w:vAlign w:val="center"/>
          </w:tcPr>
          <w:p w:rsidR="0002791A" w:rsidRPr="005C333D" w:rsidRDefault="0002791A" w:rsidP="005A496B">
            <w:pPr>
              <w:pStyle w:val="TableText0"/>
              <w:keepNext/>
              <w:keepLines/>
              <w:rPr>
                <w:b/>
                <w:bCs w:val="0"/>
              </w:rPr>
            </w:pPr>
            <w:r w:rsidRPr="005C333D">
              <w:rPr>
                <w:b/>
                <w:bCs w:val="0"/>
              </w:rPr>
              <w:t>Estimated financial implications for artificial tears</w:t>
            </w:r>
          </w:p>
        </w:tc>
      </w:tr>
      <w:tr w:rsidR="0002791A" w:rsidRPr="005C333D" w:rsidTr="0002791A">
        <w:tc>
          <w:tcPr>
            <w:tcW w:w="1336" w:type="pct"/>
            <w:shd w:val="clear" w:color="auto" w:fill="auto"/>
            <w:vAlign w:val="center"/>
          </w:tcPr>
          <w:p w:rsidR="0002791A" w:rsidRPr="005C333D" w:rsidRDefault="0002791A" w:rsidP="005A496B">
            <w:pPr>
              <w:pStyle w:val="TableText0"/>
              <w:keepNext/>
              <w:keepLines/>
              <w:rPr>
                <w:sz w:val="19"/>
                <w:szCs w:val="19"/>
              </w:rPr>
            </w:pPr>
            <w:r w:rsidRPr="005C333D">
              <w:rPr>
                <w:sz w:val="19"/>
                <w:szCs w:val="19"/>
              </w:rPr>
              <w:t>Cost to PBS/RPBS less copayments</w:t>
            </w:r>
          </w:p>
        </w:tc>
        <w:tc>
          <w:tcPr>
            <w:tcW w:w="550" w:type="pct"/>
            <w:shd w:val="clear" w:color="auto" w:fill="auto"/>
            <w:vAlign w:val="center"/>
          </w:tcPr>
          <w:p w:rsidR="0002791A" w:rsidRPr="005C333D" w:rsidRDefault="0002791A"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FF5168" w:rsidP="005A496B">
            <w:pPr>
              <w:pStyle w:val="TableText0"/>
              <w:keepNext/>
              <w:keepLines/>
              <w:jc w:val="center"/>
            </w:pPr>
            <w:r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3C4417" w:rsidP="005A496B">
            <w:pPr>
              <w:pStyle w:val="TableText0"/>
              <w:keepNext/>
              <w:keepLines/>
              <w:jc w:val="center"/>
            </w:pPr>
            <w:r w:rsidRPr="005C333D">
              <w:t>-</w:t>
            </w:r>
            <w:r w:rsidR="00FF5168"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3C4417" w:rsidP="005A496B">
            <w:pPr>
              <w:pStyle w:val="TableText0"/>
              <w:keepNext/>
              <w:keepLines/>
              <w:jc w:val="center"/>
            </w:pPr>
            <w:r w:rsidRPr="005C333D">
              <w:t>-</w:t>
            </w:r>
            <w:r w:rsidR="00FF5168" w:rsidRPr="005C333D">
              <w:t>$</w:t>
            </w:r>
            <w:r w:rsidR="00CC4A22">
              <w:rPr>
                <w:noProof/>
                <w:color w:val="000000"/>
                <w:highlight w:val="black"/>
              </w:rPr>
              <w:t>'''''''''''''''''''''''''</w:t>
            </w:r>
            <w:r w:rsidR="00BB5088">
              <w:rPr>
                <w:szCs w:val="18"/>
                <w:vertAlign w:val="superscript"/>
              </w:rPr>
              <w:t>7</w:t>
            </w:r>
          </w:p>
        </w:tc>
        <w:tc>
          <w:tcPr>
            <w:tcW w:w="629" w:type="pct"/>
            <w:shd w:val="clear" w:color="auto" w:fill="auto"/>
            <w:vAlign w:val="center"/>
          </w:tcPr>
          <w:p w:rsidR="0002791A" w:rsidRPr="005C333D" w:rsidRDefault="003C4417" w:rsidP="005A496B">
            <w:pPr>
              <w:pStyle w:val="TableText0"/>
              <w:keepNext/>
              <w:keepLines/>
              <w:jc w:val="center"/>
            </w:pPr>
            <w:r w:rsidRPr="005C333D">
              <w:t>-</w:t>
            </w:r>
            <w:r w:rsidR="00FF5168" w:rsidRPr="005C333D">
              <w:t>$</w:t>
            </w:r>
            <w:r w:rsidR="00CC4A22">
              <w:rPr>
                <w:noProof/>
                <w:color w:val="000000"/>
                <w:highlight w:val="black"/>
              </w:rPr>
              <w:t>''''''''''''''''''''''</w:t>
            </w:r>
            <w:r w:rsidR="00BB5088">
              <w:rPr>
                <w:szCs w:val="18"/>
                <w:vertAlign w:val="superscript"/>
              </w:rPr>
              <w:t>7</w:t>
            </w:r>
          </w:p>
        </w:tc>
        <w:tc>
          <w:tcPr>
            <w:tcW w:w="599" w:type="pct"/>
            <w:vAlign w:val="center"/>
          </w:tcPr>
          <w:p w:rsidR="0002791A" w:rsidRPr="005C333D" w:rsidRDefault="003C4417" w:rsidP="005A496B">
            <w:pPr>
              <w:pStyle w:val="TableText0"/>
              <w:keepNext/>
              <w:keepLines/>
              <w:jc w:val="center"/>
            </w:pPr>
            <w:r w:rsidRPr="005C333D">
              <w:t>-</w:t>
            </w:r>
            <w:r w:rsidR="00FF5168" w:rsidRPr="005C333D">
              <w:t>$</w:t>
            </w:r>
            <w:r w:rsidR="00CC4A22">
              <w:rPr>
                <w:noProof/>
                <w:color w:val="000000"/>
                <w:highlight w:val="black"/>
              </w:rPr>
              <w:t>''''''''''''''''''''''''</w:t>
            </w:r>
            <w:r w:rsidR="00BB5088">
              <w:rPr>
                <w:szCs w:val="18"/>
                <w:vertAlign w:val="superscript"/>
              </w:rPr>
              <w:t>7</w:t>
            </w:r>
          </w:p>
        </w:tc>
      </w:tr>
      <w:tr w:rsidR="0002791A" w:rsidRPr="005C333D" w:rsidTr="00417613">
        <w:tc>
          <w:tcPr>
            <w:tcW w:w="5000" w:type="pct"/>
            <w:gridSpan w:val="7"/>
            <w:shd w:val="clear" w:color="auto" w:fill="auto"/>
            <w:vAlign w:val="center"/>
          </w:tcPr>
          <w:p w:rsidR="0002791A" w:rsidRPr="005C333D" w:rsidRDefault="0002791A" w:rsidP="005A496B">
            <w:pPr>
              <w:pStyle w:val="In-tableHeading"/>
              <w:keepLines/>
              <w:rPr>
                <w:lang w:val="en-AU"/>
              </w:rPr>
            </w:pPr>
            <w:r w:rsidRPr="005C333D">
              <w:rPr>
                <w:lang w:val="en-AU"/>
              </w:rPr>
              <w:t>Net financial implications</w:t>
            </w:r>
          </w:p>
        </w:tc>
      </w:tr>
      <w:tr w:rsidR="0002791A" w:rsidRPr="005C333D" w:rsidTr="0002791A">
        <w:tc>
          <w:tcPr>
            <w:tcW w:w="1336" w:type="pct"/>
            <w:shd w:val="clear" w:color="auto" w:fill="auto"/>
            <w:vAlign w:val="center"/>
          </w:tcPr>
          <w:p w:rsidR="0002791A" w:rsidRPr="005C333D" w:rsidRDefault="0002791A" w:rsidP="005A496B">
            <w:pPr>
              <w:pStyle w:val="TableText0"/>
              <w:keepNext/>
              <w:keepLines/>
              <w:rPr>
                <w:b/>
                <w:sz w:val="19"/>
                <w:szCs w:val="19"/>
              </w:rPr>
            </w:pPr>
            <w:r w:rsidRPr="005C333D">
              <w:rPr>
                <w:b/>
                <w:sz w:val="19"/>
                <w:szCs w:val="19"/>
              </w:rPr>
              <w:t>Net cost to PBS/RPBS</w:t>
            </w:r>
          </w:p>
        </w:tc>
        <w:tc>
          <w:tcPr>
            <w:tcW w:w="550" w:type="pct"/>
            <w:shd w:val="clear" w:color="auto" w:fill="auto"/>
          </w:tcPr>
          <w:p w:rsidR="0002791A" w:rsidRPr="005C333D" w:rsidRDefault="00FF5168"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02791A" w:rsidRPr="005C333D" w:rsidRDefault="00FF5168"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02791A" w:rsidRPr="005C333D" w:rsidRDefault="00FF5168"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02791A" w:rsidRPr="005C333D" w:rsidRDefault="00FF5168"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629" w:type="pct"/>
            <w:shd w:val="clear" w:color="auto" w:fill="auto"/>
          </w:tcPr>
          <w:p w:rsidR="0002791A" w:rsidRPr="005C333D" w:rsidRDefault="00FF5168"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c>
          <w:tcPr>
            <w:tcW w:w="599" w:type="pct"/>
          </w:tcPr>
          <w:p w:rsidR="0002791A" w:rsidRPr="005C333D" w:rsidRDefault="00FF5168" w:rsidP="005A496B">
            <w:pPr>
              <w:pStyle w:val="TableText0"/>
              <w:keepNext/>
              <w:keepLines/>
              <w:jc w:val="center"/>
              <w:rPr>
                <w:b/>
              </w:rPr>
            </w:pPr>
            <w:r w:rsidRPr="005C333D">
              <w:rPr>
                <w:b/>
              </w:rPr>
              <w:t>$</w:t>
            </w:r>
            <w:r w:rsidR="00CC4A22">
              <w:rPr>
                <w:b/>
                <w:noProof/>
                <w:color w:val="000000"/>
                <w:highlight w:val="black"/>
              </w:rPr>
              <w:t>''''''''''''''''''''</w:t>
            </w:r>
            <w:r w:rsidR="00BB5088">
              <w:rPr>
                <w:szCs w:val="18"/>
                <w:vertAlign w:val="superscript"/>
              </w:rPr>
              <w:t>7</w:t>
            </w:r>
          </w:p>
        </w:tc>
      </w:tr>
    </w:tbl>
    <w:p w:rsidR="00E466F3" w:rsidRPr="005C333D" w:rsidRDefault="00E466F3" w:rsidP="005A496B">
      <w:pPr>
        <w:pStyle w:val="TableFigureFooter"/>
        <w:keepNext/>
        <w:keepLines/>
      </w:pPr>
      <w:r w:rsidRPr="005C333D">
        <w:rPr>
          <w:vertAlign w:val="superscript"/>
        </w:rPr>
        <w:t>a</w:t>
      </w:r>
      <w:r w:rsidR="00606FBA" w:rsidRPr="005C333D">
        <w:t xml:space="preserve"> </w:t>
      </w:r>
      <w:r w:rsidRPr="005C333D">
        <w:t xml:space="preserve">Assuming </w:t>
      </w:r>
      <w:r w:rsidR="004D4C6F" w:rsidRPr="005C333D">
        <w:t>12.17 prescriptio</w:t>
      </w:r>
      <w:r w:rsidR="00C05A85" w:rsidRPr="005C333D">
        <w:t>n</w:t>
      </w:r>
      <w:r w:rsidR="004D4C6F" w:rsidRPr="005C333D">
        <w:t>s</w:t>
      </w:r>
      <w:r w:rsidRPr="005C333D">
        <w:t xml:space="preserve"> per year as estimated by the submission.</w:t>
      </w:r>
    </w:p>
    <w:p w:rsidR="009B3F75" w:rsidRPr="005C333D" w:rsidRDefault="009B3F75" w:rsidP="005A496B">
      <w:pPr>
        <w:pStyle w:val="TableFigureFooter"/>
        <w:keepNext/>
        <w:keepLines/>
      </w:pPr>
      <w:r w:rsidRPr="005C333D">
        <w:t>PBS = Pharmaceutical Benefits Scheme; RPBS = Repatriation Pharmaceutical Benefits Scheme</w:t>
      </w:r>
    </w:p>
    <w:p w:rsidR="00F16521" w:rsidRDefault="00F16521" w:rsidP="005A496B">
      <w:pPr>
        <w:pStyle w:val="TableFigureFooter"/>
        <w:keepNext/>
        <w:keepLines/>
      </w:pPr>
      <w:r w:rsidRPr="005C333D">
        <w:t>Source: Table 4.4.1. p142 of the submission</w:t>
      </w:r>
      <w:r w:rsidR="00FF5168" w:rsidRPr="005C333D">
        <w:t xml:space="preserve"> and Table 1, p4 of the pre-PBAC response</w:t>
      </w:r>
    </w:p>
    <w:p w:rsidR="00971F54" w:rsidRPr="00BB5088" w:rsidRDefault="00971F54" w:rsidP="005A496B">
      <w:pPr>
        <w:pStyle w:val="TableFigureFooter"/>
        <w:keepNext/>
        <w:keepLines/>
        <w:rPr>
          <w:i/>
        </w:rPr>
      </w:pPr>
      <w:r w:rsidRPr="00BB5088">
        <w:rPr>
          <w:i/>
        </w:rPr>
        <w:t>The redacted values correspond to the following ranges:</w:t>
      </w:r>
    </w:p>
    <w:p w:rsidR="00971F54" w:rsidRPr="00BB5088" w:rsidRDefault="00971F54" w:rsidP="005A496B">
      <w:pPr>
        <w:pStyle w:val="TableFigureFooter"/>
        <w:keepNext/>
        <w:keepLines/>
        <w:rPr>
          <w:i/>
        </w:rPr>
      </w:pPr>
      <w:r w:rsidRPr="00BB5088">
        <w:rPr>
          <w:i/>
          <w:vertAlign w:val="superscript"/>
        </w:rPr>
        <w:t>1</w:t>
      </w:r>
      <w:r w:rsidRPr="00BB5088">
        <w:rPr>
          <w:i/>
        </w:rPr>
        <w:t xml:space="preserve"> 5,000 to &lt; 10,000</w:t>
      </w:r>
    </w:p>
    <w:p w:rsidR="00971F54" w:rsidRPr="00BB5088" w:rsidRDefault="00971F54" w:rsidP="005A496B">
      <w:pPr>
        <w:pStyle w:val="TableFigureFooter"/>
        <w:keepNext/>
        <w:keepLines/>
        <w:rPr>
          <w:i/>
          <w:szCs w:val="18"/>
        </w:rPr>
      </w:pPr>
      <w:r w:rsidRPr="00BB5088">
        <w:rPr>
          <w:i/>
          <w:szCs w:val="18"/>
          <w:vertAlign w:val="superscript"/>
        </w:rPr>
        <w:t>2</w:t>
      </w:r>
      <w:r w:rsidRPr="00BB5088">
        <w:rPr>
          <w:i/>
          <w:szCs w:val="18"/>
        </w:rPr>
        <w:t xml:space="preserve"> 40,000 to &lt; 50,000</w:t>
      </w:r>
    </w:p>
    <w:p w:rsidR="00971F54" w:rsidRPr="00BB5088" w:rsidRDefault="00971F54" w:rsidP="005A496B">
      <w:pPr>
        <w:pStyle w:val="TableFigureFooter"/>
        <w:keepNext/>
        <w:keepLines/>
        <w:rPr>
          <w:i/>
          <w:szCs w:val="18"/>
        </w:rPr>
      </w:pPr>
      <w:r w:rsidRPr="00BB5088">
        <w:rPr>
          <w:i/>
          <w:szCs w:val="18"/>
          <w:vertAlign w:val="superscript"/>
        </w:rPr>
        <w:t>3</w:t>
      </w:r>
      <w:r w:rsidRPr="00BB5088">
        <w:rPr>
          <w:i/>
          <w:szCs w:val="18"/>
        </w:rPr>
        <w:t xml:space="preserve"> 50,000 to &lt; 60,000</w:t>
      </w:r>
    </w:p>
    <w:p w:rsidR="00BB5088" w:rsidRPr="00BB5088" w:rsidRDefault="00BB5088" w:rsidP="005A496B">
      <w:pPr>
        <w:pStyle w:val="TableFigureFooter"/>
        <w:keepNext/>
        <w:keepLines/>
        <w:rPr>
          <w:i/>
          <w:szCs w:val="18"/>
        </w:rPr>
      </w:pPr>
      <w:r w:rsidRPr="00BB5088">
        <w:rPr>
          <w:i/>
          <w:szCs w:val="18"/>
          <w:vertAlign w:val="superscript"/>
        </w:rPr>
        <w:t>4</w:t>
      </w:r>
      <w:r w:rsidRPr="00BB5088">
        <w:rPr>
          <w:i/>
          <w:szCs w:val="18"/>
        </w:rPr>
        <w:t xml:space="preserve"> 60,000 to &lt; 70,000</w:t>
      </w:r>
    </w:p>
    <w:p w:rsidR="00BB5088" w:rsidRPr="00BB5088" w:rsidRDefault="00BB5088" w:rsidP="005A496B">
      <w:pPr>
        <w:pStyle w:val="TableFigureFooter"/>
        <w:keepNext/>
        <w:keepLines/>
        <w:rPr>
          <w:i/>
          <w:szCs w:val="18"/>
        </w:rPr>
      </w:pPr>
      <w:r w:rsidRPr="00BB5088">
        <w:rPr>
          <w:i/>
          <w:szCs w:val="18"/>
          <w:vertAlign w:val="superscript"/>
        </w:rPr>
        <w:t>5</w:t>
      </w:r>
      <w:r w:rsidRPr="00BB5088">
        <w:rPr>
          <w:i/>
          <w:szCs w:val="18"/>
        </w:rPr>
        <w:t xml:space="preserve"> 70,000 to &lt; 80,000</w:t>
      </w:r>
    </w:p>
    <w:p w:rsidR="00BB5088" w:rsidRPr="00BB5088" w:rsidRDefault="00BB5088" w:rsidP="005A496B">
      <w:pPr>
        <w:pStyle w:val="TableFigureFooter"/>
        <w:keepNext/>
        <w:keepLines/>
        <w:rPr>
          <w:i/>
          <w:szCs w:val="18"/>
        </w:rPr>
      </w:pPr>
      <w:r w:rsidRPr="00BB5088">
        <w:rPr>
          <w:i/>
          <w:szCs w:val="18"/>
          <w:vertAlign w:val="superscript"/>
        </w:rPr>
        <w:t>6</w:t>
      </w:r>
      <w:r w:rsidRPr="00BB5088">
        <w:rPr>
          <w:i/>
          <w:szCs w:val="18"/>
        </w:rPr>
        <w:t xml:space="preserve"> 80,000 to &lt; 90,000</w:t>
      </w:r>
    </w:p>
    <w:p w:rsidR="00BB5088" w:rsidRPr="00BB5088" w:rsidRDefault="00BB5088" w:rsidP="005A496B">
      <w:pPr>
        <w:pStyle w:val="TableFigureFooter"/>
        <w:keepNext/>
        <w:keepLines/>
        <w:rPr>
          <w:i/>
          <w:szCs w:val="18"/>
        </w:rPr>
      </w:pPr>
      <w:r w:rsidRPr="00BB5088">
        <w:rPr>
          <w:i/>
          <w:szCs w:val="18"/>
          <w:vertAlign w:val="superscript"/>
        </w:rPr>
        <w:t>7</w:t>
      </w:r>
      <w:r w:rsidRPr="00BB5088">
        <w:rPr>
          <w:i/>
          <w:szCs w:val="18"/>
        </w:rPr>
        <w:t xml:space="preserve"> $0 to &lt; $10 million</w:t>
      </w:r>
    </w:p>
    <w:p w:rsidR="000902D9" w:rsidRPr="005C333D" w:rsidRDefault="000902D9" w:rsidP="00B73532">
      <w:pPr>
        <w:pStyle w:val="3-BodyText"/>
      </w:pPr>
      <w:r w:rsidRPr="005C333D">
        <w:t xml:space="preserve">The total cost to the PBS/RPBS of listing </w:t>
      </w:r>
      <w:r w:rsidR="0093696D" w:rsidRPr="005C333D">
        <w:t>ciclosporin</w:t>
      </w:r>
      <w:r w:rsidRPr="005C333D">
        <w:t xml:space="preserve"> was estimated </w:t>
      </w:r>
      <w:r w:rsidR="00A05C32" w:rsidRPr="005C333D">
        <w:t>to be</w:t>
      </w:r>
      <w:r w:rsidRPr="005C333D">
        <w:t xml:space="preserve"> </w:t>
      </w:r>
      <w:r w:rsidR="0093696D" w:rsidRPr="005C333D">
        <w:t>$</w:t>
      </w:r>
      <w:r w:rsidR="007656B8">
        <w:t>0 to &lt; $10</w:t>
      </w:r>
      <w:r w:rsidR="0093696D" w:rsidRPr="005C333D">
        <w:t xml:space="preserve"> </w:t>
      </w:r>
      <w:r w:rsidRPr="005C333D">
        <w:t xml:space="preserve">million in Year 6, and a total of </w:t>
      </w:r>
      <w:r w:rsidR="0093696D" w:rsidRPr="005C333D">
        <w:t>$</w:t>
      </w:r>
      <w:r w:rsidR="0081533B">
        <w:t>30 million to &lt; $40</w:t>
      </w:r>
      <w:r w:rsidR="0093696D" w:rsidRPr="005C333D">
        <w:t xml:space="preserve"> million</w:t>
      </w:r>
      <w:r w:rsidRPr="005C333D">
        <w:t xml:space="preserve"> </w:t>
      </w:r>
      <w:r w:rsidR="003E29AB" w:rsidRPr="005C333D">
        <w:t xml:space="preserve">over </w:t>
      </w:r>
      <w:r w:rsidRPr="005C333D">
        <w:t>the first 6 years of listing.</w:t>
      </w:r>
      <w:r w:rsidR="003E29AB" w:rsidRPr="005C333D">
        <w:t xml:space="preserve"> Applying the new DPMQ proposed in the pre-PBAC response resulted in a total cost of listing ciclosporin to the PBS/RPBS of $</w:t>
      </w:r>
      <w:r w:rsidR="0081533B">
        <w:t>0 to &lt; $10</w:t>
      </w:r>
      <w:r w:rsidR="003E29AB" w:rsidRPr="005C333D">
        <w:t xml:space="preserve"> million in Year 6, and a total of $</w:t>
      </w:r>
      <w:r w:rsidR="0081533B">
        <w:t>20</w:t>
      </w:r>
      <w:r w:rsidR="00C23249">
        <w:t xml:space="preserve"> million</w:t>
      </w:r>
      <w:r w:rsidR="0081533B">
        <w:t xml:space="preserve"> to &lt; $30</w:t>
      </w:r>
      <w:r w:rsidR="003E29AB" w:rsidRPr="005C333D">
        <w:t xml:space="preserve"> million over the first six years of listing.</w:t>
      </w:r>
    </w:p>
    <w:p w:rsidR="007C3E59" w:rsidRPr="005C333D" w:rsidRDefault="0093696D" w:rsidP="007C3E59">
      <w:pPr>
        <w:pStyle w:val="3-BodyText"/>
      </w:pPr>
      <w:r w:rsidRPr="005C333D">
        <w:t>The net cost to the PBS/</w:t>
      </w:r>
      <w:r w:rsidR="003D2DED" w:rsidRPr="005C333D">
        <w:t xml:space="preserve">RPBS </w:t>
      </w:r>
      <w:r w:rsidRPr="005C333D">
        <w:t xml:space="preserve">may be underestimated due to </w:t>
      </w:r>
      <w:r w:rsidR="00F16521" w:rsidRPr="005C333D">
        <w:t xml:space="preserve">uncertainty in </w:t>
      </w:r>
      <w:r w:rsidRPr="005C333D">
        <w:t xml:space="preserve">the estimates of the prevalence of eligible patients, the proportion of patients seeking medical treatment, the </w:t>
      </w:r>
      <w:r w:rsidR="00AA6DA3" w:rsidRPr="005C333D">
        <w:t xml:space="preserve">assumed </w:t>
      </w:r>
      <w:r w:rsidRPr="005C333D">
        <w:t xml:space="preserve">(constant) </w:t>
      </w:r>
      <w:r w:rsidR="00AA6DA3" w:rsidRPr="005C333D">
        <w:t xml:space="preserve">rate of </w:t>
      </w:r>
      <w:r w:rsidRPr="005C333D">
        <w:t>uptake of ciclosporin</w:t>
      </w:r>
      <w:r w:rsidR="0095365E" w:rsidRPr="005C333D">
        <w:t>, assumed (overestimated) reduction in usage of artificial tears</w:t>
      </w:r>
      <w:r w:rsidRPr="005C333D">
        <w:t xml:space="preserve"> and the potential for leakage relating to subjective assessments for continuing treatment. </w:t>
      </w:r>
      <w:r w:rsidR="00E860B3" w:rsidRPr="005C333D">
        <w:t xml:space="preserve">The PSCR </w:t>
      </w:r>
      <w:r w:rsidR="007C3E59" w:rsidRPr="005C333D">
        <w:t>and pre-</w:t>
      </w:r>
      <w:r w:rsidR="005C333D" w:rsidRPr="005C333D">
        <w:t>PBAC</w:t>
      </w:r>
      <w:r w:rsidR="007C3E59" w:rsidRPr="005C333D">
        <w:t xml:space="preserve"> response </w:t>
      </w:r>
      <w:r w:rsidR="00E860B3" w:rsidRPr="005C333D">
        <w:t>stated that the Sponsor would be willing to consider a risk sharing arrangement to assist in managing any financial uncertainty.</w:t>
      </w:r>
    </w:p>
    <w:p w:rsidR="00DA5D07" w:rsidRPr="005C333D" w:rsidRDefault="00DA5D07" w:rsidP="00DA5D07">
      <w:pPr>
        <w:pStyle w:val="3-BodyText"/>
        <w:numPr>
          <w:ilvl w:val="0"/>
          <w:numId w:val="0"/>
        </w:numPr>
        <w:ind w:left="720"/>
        <w:rPr>
          <w:i/>
        </w:rPr>
      </w:pPr>
      <w:r w:rsidRPr="005C333D">
        <w:rPr>
          <w:i/>
        </w:rPr>
        <w:t>For more detail on PBAC’s view, see section 7 PBAC outcome.</w:t>
      </w:r>
    </w:p>
    <w:p w:rsidR="00DA5D07" w:rsidRPr="005C333D" w:rsidRDefault="00DA5D07" w:rsidP="00DA5D07">
      <w:pPr>
        <w:pStyle w:val="2-SectionHeading"/>
      </w:pPr>
      <w:bookmarkStart w:id="34" w:name="_Toc22897649"/>
      <w:r w:rsidRPr="005C333D">
        <w:t>PBAC Outcome</w:t>
      </w:r>
    </w:p>
    <w:p w:rsidR="00DA5D07" w:rsidRPr="005C333D" w:rsidRDefault="00DA5D07" w:rsidP="00417613">
      <w:pPr>
        <w:pStyle w:val="3-BodyText"/>
        <w:rPr>
          <w:bCs/>
        </w:rPr>
      </w:pPr>
      <w:r w:rsidRPr="005C333D">
        <w:rPr>
          <w:bCs/>
        </w:rPr>
        <w:t xml:space="preserve">The PBAC recommended the listing of </w:t>
      </w:r>
      <w:r w:rsidR="003E29AB" w:rsidRPr="005C333D">
        <w:rPr>
          <w:bCs/>
        </w:rPr>
        <w:t>ciclosporin</w:t>
      </w:r>
      <w:r w:rsidR="00893FDA" w:rsidRPr="005C333D">
        <w:rPr>
          <w:bCs/>
        </w:rPr>
        <w:t xml:space="preserve"> </w:t>
      </w:r>
      <w:r w:rsidR="003E29AB" w:rsidRPr="005C333D">
        <w:rPr>
          <w:bCs/>
        </w:rPr>
        <w:t>for the treatment of severe keratitis with dry eye disease</w:t>
      </w:r>
      <w:r w:rsidR="00535A01" w:rsidRPr="005C333D">
        <w:rPr>
          <w:bCs/>
        </w:rPr>
        <w:t>.</w:t>
      </w:r>
      <w:r w:rsidR="00893FDA" w:rsidRPr="005C333D">
        <w:rPr>
          <w:bCs/>
        </w:rPr>
        <w:t xml:space="preserve"> </w:t>
      </w:r>
      <w:r w:rsidRPr="005C333D">
        <w:rPr>
          <w:bCs/>
        </w:rPr>
        <w:t xml:space="preserve">The PBAC </w:t>
      </w:r>
      <w:r w:rsidR="00535A01" w:rsidRPr="005C333D">
        <w:rPr>
          <w:bCs/>
        </w:rPr>
        <w:t>wa</w:t>
      </w:r>
      <w:r w:rsidRPr="005C333D">
        <w:rPr>
          <w:bCs/>
        </w:rPr>
        <w:t xml:space="preserve">s satisfied that </w:t>
      </w:r>
      <w:r w:rsidR="00893FDA" w:rsidRPr="005C333D">
        <w:rPr>
          <w:bCs/>
        </w:rPr>
        <w:t>ciclosporin</w:t>
      </w:r>
      <w:r w:rsidRPr="005C333D">
        <w:rPr>
          <w:bCs/>
        </w:rPr>
        <w:t xml:space="preserve"> provides, for some patients, a significant improvement in efficacy over </w:t>
      </w:r>
      <w:r w:rsidR="00893FDA" w:rsidRPr="005C333D">
        <w:rPr>
          <w:bCs/>
        </w:rPr>
        <w:t>best supportive care (BSC)</w:t>
      </w:r>
      <w:r w:rsidRPr="005C333D">
        <w:rPr>
          <w:bCs/>
        </w:rPr>
        <w:t>.</w:t>
      </w:r>
      <w:r w:rsidR="00893FDA" w:rsidRPr="005C333D">
        <w:rPr>
          <w:bCs/>
        </w:rPr>
        <w:t xml:space="preserve"> The PBAC considered that ciclosporin was cost effective at the price offered</w:t>
      </w:r>
      <w:r w:rsidR="007C3E59" w:rsidRPr="005C333D">
        <w:rPr>
          <w:bCs/>
        </w:rPr>
        <w:t xml:space="preserve"> in the pre-PBAC response</w:t>
      </w:r>
      <w:r w:rsidR="00893FDA" w:rsidRPr="005C333D">
        <w:rPr>
          <w:bCs/>
        </w:rPr>
        <w:t>. The PBAC considered that the financial implication estimates were uncertain and recommended that a risk sharing arrangement (RSA) be implemented.</w:t>
      </w:r>
    </w:p>
    <w:p w:rsidR="00417613" w:rsidRPr="005C333D" w:rsidRDefault="00417613" w:rsidP="00417613">
      <w:pPr>
        <w:pStyle w:val="3-BodyText"/>
        <w:rPr>
          <w:bCs/>
        </w:rPr>
      </w:pPr>
      <w:r w:rsidRPr="005C333D">
        <w:rPr>
          <w:bCs/>
        </w:rPr>
        <w:t xml:space="preserve">The PBAC </w:t>
      </w:r>
      <w:r w:rsidR="006104A6" w:rsidRPr="005C333D">
        <w:rPr>
          <w:bCs/>
        </w:rPr>
        <w:t xml:space="preserve">considered there was a clinical need for treatments for severe keratitis with dry eye disease, </w:t>
      </w:r>
      <w:r w:rsidRPr="005C333D">
        <w:rPr>
          <w:bCs/>
        </w:rPr>
        <w:t>not</w:t>
      </w:r>
      <w:r w:rsidR="006104A6" w:rsidRPr="005C333D">
        <w:rPr>
          <w:bCs/>
        </w:rPr>
        <w:t>ing</w:t>
      </w:r>
      <w:r w:rsidRPr="005C333D">
        <w:rPr>
          <w:bCs/>
        </w:rPr>
        <w:t xml:space="preserve"> the comments provided by one health professional and one organisation which were supportive of the evidence provided in the submission.</w:t>
      </w:r>
    </w:p>
    <w:p w:rsidR="00417613" w:rsidRPr="005C333D" w:rsidRDefault="006104A6" w:rsidP="00417613">
      <w:pPr>
        <w:pStyle w:val="3-BodyText"/>
        <w:rPr>
          <w:bCs/>
        </w:rPr>
      </w:pPr>
      <w:r w:rsidRPr="005C333D">
        <w:rPr>
          <w:bCs/>
        </w:rPr>
        <w:t xml:space="preserve">The PBAC noted that there are no Australian guidelines for the management of </w:t>
      </w:r>
      <w:r w:rsidR="00267E90" w:rsidRPr="005C333D">
        <w:rPr>
          <w:bCs/>
        </w:rPr>
        <w:t xml:space="preserve">severe keratitis with </w:t>
      </w:r>
      <w:r w:rsidRPr="005C333D">
        <w:rPr>
          <w:bCs/>
        </w:rPr>
        <w:t xml:space="preserve">dry eye disease, but that the treatment algorithm provided, which positioned ciclosporin eye drops in combination with preservative free artificial tears </w:t>
      </w:r>
      <w:r w:rsidR="00F72E47" w:rsidRPr="005C333D">
        <w:rPr>
          <w:bCs/>
        </w:rPr>
        <w:t xml:space="preserve">as a second line treatment </w:t>
      </w:r>
      <w:r w:rsidRPr="005C333D">
        <w:rPr>
          <w:bCs/>
        </w:rPr>
        <w:t>after preservative free artificial tears as monotherapy was appropriate.</w:t>
      </w:r>
    </w:p>
    <w:p w:rsidR="00267E90" w:rsidRPr="005C333D" w:rsidRDefault="00267E90" w:rsidP="00417613">
      <w:pPr>
        <w:pStyle w:val="3-BodyText"/>
        <w:rPr>
          <w:bCs/>
        </w:rPr>
      </w:pPr>
      <w:r w:rsidRPr="005C333D">
        <w:rPr>
          <w:bCs/>
        </w:rPr>
        <w:t>The PBAC considered that the proposed definition of severe keratitis with dry eye disease, which was based on ocular signs of keratitis (i.e. a corneal fluorescein staining (CFS) grade of 4) and ocular symptoms (i.e. an ocular surface disease index (OSDI) of greater than or equal to 23), was appropriate.</w:t>
      </w:r>
    </w:p>
    <w:p w:rsidR="006104A6" w:rsidRPr="005C333D" w:rsidRDefault="006104A6" w:rsidP="00417613">
      <w:pPr>
        <w:pStyle w:val="3-BodyText"/>
        <w:rPr>
          <w:bCs/>
        </w:rPr>
      </w:pPr>
      <w:r w:rsidRPr="005C333D">
        <w:rPr>
          <w:bCs/>
        </w:rPr>
        <w:t xml:space="preserve">The PBAC considered that the nominated comparator of BSC, which included preservative free artificial tears as needed, was appropriate. </w:t>
      </w:r>
      <w:r w:rsidR="00C90320" w:rsidRPr="005C333D">
        <w:rPr>
          <w:bCs/>
        </w:rPr>
        <w:t>The PBAC considered that the comparator in the clinical trials, which was a vehicle of cationic emulsion with no ciclosporin, would likely bias the results against ciclosporin.</w:t>
      </w:r>
    </w:p>
    <w:p w:rsidR="00C90320" w:rsidRPr="005C333D" w:rsidRDefault="00C90320" w:rsidP="00417613">
      <w:pPr>
        <w:pStyle w:val="3-BodyText"/>
        <w:rPr>
          <w:bCs/>
        </w:rPr>
      </w:pPr>
      <w:r w:rsidRPr="005C333D">
        <w:rPr>
          <w:bCs/>
        </w:rPr>
        <w:t xml:space="preserve">The PBAC noted that the clinical evidence presented in the submission consisted of two randomised controlled trials comparing ciclosporin with the cationic emulsion, (i) SANSIKA, which enrolled patients with severe keratitis with dry eye disease (a </w:t>
      </w:r>
      <w:r w:rsidR="00267E90" w:rsidRPr="005C333D">
        <w:rPr>
          <w:bCs/>
        </w:rPr>
        <w:t>CFS grade</w:t>
      </w:r>
      <w:r w:rsidRPr="005C333D">
        <w:rPr>
          <w:bCs/>
        </w:rPr>
        <w:t xml:space="preserve"> of 4); and (ii) SICCANOVE which enrolled patients with moderate to severe kera</w:t>
      </w:r>
      <w:r w:rsidR="00267E90" w:rsidRPr="005C333D">
        <w:rPr>
          <w:bCs/>
        </w:rPr>
        <w:t>titis and dry eye disease (CFS grade</w:t>
      </w:r>
      <w:r w:rsidRPr="005C333D">
        <w:rPr>
          <w:bCs/>
        </w:rPr>
        <w:t xml:space="preserve"> of 2-4)</w:t>
      </w:r>
      <w:r w:rsidR="005C333D">
        <w:rPr>
          <w:bCs/>
        </w:rPr>
        <w:t xml:space="preserve">. </w:t>
      </w:r>
      <w:r w:rsidRPr="005C333D">
        <w:rPr>
          <w:bCs/>
        </w:rPr>
        <w:t>The PBAC noted that patients in the SANSIKA trial could use preservative free artificial tears when required, but the patients in the SICCANOVE trial were allowed to use preservative free artificial tears up to six times a day only.</w:t>
      </w:r>
    </w:p>
    <w:p w:rsidR="00C90320" w:rsidRPr="005C333D" w:rsidRDefault="00267E90" w:rsidP="00417613">
      <w:pPr>
        <w:pStyle w:val="3-BodyText"/>
        <w:rPr>
          <w:bCs/>
        </w:rPr>
      </w:pPr>
      <w:r w:rsidRPr="005C333D">
        <w:rPr>
          <w:bCs/>
        </w:rPr>
        <w:t xml:space="preserve">The PBAC noted that </w:t>
      </w:r>
      <w:r w:rsidR="00EB24B4" w:rsidRPr="005C333D">
        <w:rPr>
          <w:bCs/>
        </w:rPr>
        <w:t xml:space="preserve">for the PBS eligible population, (i.e. those with a CFS grade  = 4 and an OSDI </w:t>
      </w:r>
      <w:r w:rsidR="00EB24B4" w:rsidRPr="005C333D">
        <w:rPr>
          <w:rFonts w:cstheme="minorHAnsi"/>
          <w:bCs/>
        </w:rPr>
        <w:t>≥</w:t>
      </w:r>
      <w:r w:rsidR="00EB24B4" w:rsidRPr="005C333D">
        <w:rPr>
          <w:bCs/>
        </w:rPr>
        <w:t xml:space="preserve"> 23 at baseline) </w:t>
      </w:r>
      <w:r w:rsidRPr="005C333D">
        <w:rPr>
          <w:bCs/>
        </w:rPr>
        <w:t xml:space="preserve">there was </w:t>
      </w:r>
      <w:r w:rsidR="00EB24B4" w:rsidRPr="005C333D">
        <w:rPr>
          <w:bCs/>
        </w:rPr>
        <w:t xml:space="preserve">a statistically significant </w:t>
      </w:r>
      <w:r w:rsidRPr="005C333D">
        <w:rPr>
          <w:bCs/>
        </w:rPr>
        <w:t xml:space="preserve">improvement in </w:t>
      </w:r>
      <w:r w:rsidR="00EB24B4" w:rsidRPr="005C333D">
        <w:rPr>
          <w:bCs/>
        </w:rPr>
        <w:t>ocular signs</w:t>
      </w:r>
      <w:r w:rsidR="00AA75D5" w:rsidRPr="005C333D">
        <w:rPr>
          <w:bCs/>
        </w:rPr>
        <w:t>, as measured by change in CFS grade from baseline to six months,</w:t>
      </w:r>
      <w:r w:rsidRPr="005C333D">
        <w:rPr>
          <w:bCs/>
        </w:rPr>
        <w:t xml:space="preserve"> between the ciclosporin and cationic emulsion arms </w:t>
      </w:r>
      <w:r w:rsidR="00AA75D5" w:rsidRPr="005C333D">
        <w:rPr>
          <w:bCs/>
        </w:rPr>
        <w:t>in both trials.</w:t>
      </w:r>
      <w:r w:rsidRPr="005C333D">
        <w:rPr>
          <w:bCs/>
        </w:rPr>
        <w:t xml:space="preserve"> </w:t>
      </w:r>
      <w:r w:rsidR="00EB24B4" w:rsidRPr="005C333D">
        <w:rPr>
          <w:bCs/>
        </w:rPr>
        <w:t>The PBAC noted that neither trial demonstrated a benefit in terms of ocular symptoms, as measured by the OSDI.</w:t>
      </w:r>
    </w:p>
    <w:p w:rsidR="00AA75D5" w:rsidRPr="005C333D" w:rsidRDefault="00EB24B4" w:rsidP="00417613">
      <w:pPr>
        <w:pStyle w:val="3-BodyText"/>
        <w:rPr>
          <w:bCs/>
        </w:rPr>
      </w:pPr>
      <w:r w:rsidRPr="005C333D">
        <w:rPr>
          <w:bCs/>
        </w:rPr>
        <w:t>In terms of the composite outcome</w:t>
      </w:r>
      <w:r w:rsidR="008B5BDB" w:rsidRPr="005C333D">
        <w:rPr>
          <w:bCs/>
        </w:rPr>
        <w:t xml:space="preserve"> of</w:t>
      </w:r>
      <w:r w:rsidRPr="005C333D">
        <w:rPr>
          <w:bCs/>
        </w:rPr>
        <w:t xml:space="preserve"> CFS improvement of </w:t>
      </w:r>
      <w:r w:rsidRPr="005C333D">
        <w:rPr>
          <w:rFonts w:cstheme="minorHAnsi"/>
          <w:bCs/>
        </w:rPr>
        <w:t>≥</w:t>
      </w:r>
      <w:r w:rsidRPr="005C333D">
        <w:rPr>
          <w:bCs/>
        </w:rPr>
        <w:t xml:space="preserve"> 3 grades and a 30% improvement in OSDI (which matched the continuation criteria in the proposed PBS restriction), t</w:t>
      </w:r>
      <w:r w:rsidR="00AA75D5" w:rsidRPr="005C333D">
        <w:rPr>
          <w:bCs/>
        </w:rPr>
        <w:t xml:space="preserve">he PBAC noted the </w:t>
      </w:r>
      <w:r w:rsidR="00C035FA" w:rsidRPr="005C333D">
        <w:rPr>
          <w:bCs/>
        </w:rPr>
        <w:t xml:space="preserve">results from a post hoc analysis </w:t>
      </w:r>
      <w:r w:rsidR="00AA75D5" w:rsidRPr="005C333D">
        <w:rPr>
          <w:bCs/>
        </w:rPr>
        <w:t xml:space="preserve">of the </w:t>
      </w:r>
      <w:r w:rsidR="00612B77" w:rsidRPr="005C333D">
        <w:rPr>
          <w:bCs/>
        </w:rPr>
        <w:t>SANSIKA trial were</w:t>
      </w:r>
      <w:r w:rsidR="00C035FA" w:rsidRPr="005C333D">
        <w:rPr>
          <w:bCs/>
        </w:rPr>
        <w:t xml:space="preserve"> statistically significant (RD = 0.11; 95% CI: 0.03, 0.19). Results for the </w:t>
      </w:r>
      <w:r w:rsidR="00AB4F56" w:rsidRPr="005C333D">
        <w:rPr>
          <w:bCs/>
        </w:rPr>
        <w:t>PBS eligible subgroup</w:t>
      </w:r>
      <w:r w:rsidR="00C035FA" w:rsidRPr="005C333D">
        <w:rPr>
          <w:bCs/>
        </w:rPr>
        <w:t xml:space="preserve"> </w:t>
      </w:r>
      <w:r w:rsidR="00AB4F56" w:rsidRPr="005C333D">
        <w:rPr>
          <w:bCs/>
        </w:rPr>
        <w:t>from</w:t>
      </w:r>
      <w:r w:rsidR="00C035FA" w:rsidRPr="005C333D">
        <w:rPr>
          <w:bCs/>
        </w:rPr>
        <w:t xml:space="preserve"> the SICCANOVE trial were not reported, but a meta-analysis of both trials also resulted in a statistically significant outcome (RD = 0.12; 95% CI: 0.05, 0.19).</w:t>
      </w:r>
    </w:p>
    <w:p w:rsidR="00A01DCF" w:rsidRPr="005C333D" w:rsidRDefault="00A01DCF" w:rsidP="00417613">
      <w:pPr>
        <w:pStyle w:val="3-BodyText"/>
        <w:rPr>
          <w:bCs/>
        </w:rPr>
      </w:pPr>
      <w:r w:rsidRPr="005C333D">
        <w:rPr>
          <w:bCs/>
        </w:rPr>
        <w:t>In terms of safety, the PBAC noted that the most commonly reported adverse events in both trials were eye irritation and installation pain, but that these were mostly mild to moderate and transient.</w:t>
      </w:r>
    </w:p>
    <w:p w:rsidR="00F8364B" w:rsidRPr="005C333D" w:rsidRDefault="00F8364B" w:rsidP="00417613">
      <w:pPr>
        <w:pStyle w:val="3-BodyText"/>
        <w:rPr>
          <w:bCs/>
        </w:rPr>
      </w:pPr>
      <w:r w:rsidRPr="005C333D">
        <w:rPr>
          <w:bCs/>
        </w:rPr>
        <w:t xml:space="preserve">The PBAC noted that the efficacy and safety data were limited to 6 months in the randomised trials, with the SANSIKA trial including an open label extension to 12 months. The PBAC considered that the impact of long term </w:t>
      </w:r>
      <w:r w:rsidR="00AB4F56" w:rsidRPr="005C333D">
        <w:rPr>
          <w:bCs/>
        </w:rPr>
        <w:t xml:space="preserve">ciclosporin </w:t>
      </w:r>
      <w:r w:rsidRPr="005C333D">
        <w:rPr>
          <w:bCs/>
        </w:rPr>
        <w:t xml:space="preserve">use was </w:t>
      </w:r>
      <w:r w:rsidR="009F3805" w:rsidRPr="005C333D">
        <w:rPr>
          <w:bCs/>
        </w:rPr>
        <w:t>unknown</w:t>
      </w:r>
      <w:r w:rsidRPr="005C333D">
        <w:rPr>
          <w:bCs/>
        </w:rPr>
        <w:t>.</w:t>
      </w:r>
    </w:p>
    <w:p w:rsidR="00A01DCF" w:rsidRPr="005C333D" w:rsidRDefault="00A01DCF" w:rsidP="00417613">
      <w:pPr>
        <w:pStyle w:val="3-BodyText"/>
        <w:rPr>
          <w:bCs/>
        </w:rPr>
      </w:pPr>
      <w:r w:rsidRPr="005C333D">
        <w:rPr>
          <w:bCs/>
        </w:rPr>
        <w:t>Overall, the PBAC considered that the claim that ciclosporin demonstrated superior comparative effectiveness and non-inferior comparative safety compared to BSC was reasonable.</w:t>
      </w:r>
    </w:p>
    <w:p w:rsidR="00F8364B" w:rsidRPr="005C333D" w:rsidRDefault="00F8364B" w:rsidP="00DA5D07">
      <w:pPr>
        <w:pStyle w:val="3-BodyText"/>
        <w:rPr>
          <w:bCs/>
        </w:rPr>
      </w:pPr>
      <w:r w:rsidRPr="005C333D">
        <w:rPr>
          <w:bCs/>
        </w:rPr>
        <w:t>The PBAC noted that the economic evaluation consisted of a cost utility analysis comparing ciclosporin with BSC.</w:t>
      </w:r>
    </w:p>
    <w:p w:rsidR="00F8364B" w:rsidRPr="005C333D" w:rsidRDefault="00F8364B" w:rsidP="00DA5D07">
      <w:pPr>
        <w:pStyle w:val="3-BodyText"/>
        <w:rPr>
          <w:bCs/>
        </w:rPr>
      </w:pPr>
      <w:r w:rsidRPr="005C333D">
        <w:rPr>
          <w:bCs/>
        </w:rPr>
        <w:t>The PBAC noted that the pre-PBAC response included a revised base case incremental cost effectiveness ratio (ICER) of $</w:t>
      </w:r>
      <w:r w:rsidR="0081533B">
        <w:rPr>
          <w:bCs/>
        </w:rPr>
        <w:t>15,000 to &lt; $25,000</w:t>
      </w:r>
      <w:r w:rsidRPr="005C333D">
        <w:rPr>
          <w:bCs/>
        </w:rPr>
        <w:t xml:space="preserve"> per quality adjusted life year (QALY) which incorporated a reduced price for ciclosporin and a reduced utility gain for responders. The PBAC considered ciclosporin was cost-effective </w:t>
      </w:r>
      <w:r w:rsidR="007C3E59" w:rsidRPr="005C333D">
        <w:rPr>
          <w:bCs/>
        </w:rPr>
        <w:t>when these model inputs were applied.</w:t>
      </w:r>
    </w:p>
    <w:p w:rsidR="007C3E59" w:rsidRPr="005C333D" w:rsidRDefault="007C3E59" w:rsidP="00DA5D07">
      <w:pPr>
        <w:pStyle w:val="3-BodyText"/>
        <w:rPr>
          <w:bCs/>
        </w:rPr>
      </w:pPr>
      <w:r w:rsidRPr="005C333D">
        <w:rPr>
          <w:bCs/>
        </w:rPr>
        <w:t xml:space="preserve">The PBAC noted that the estimated financial impact of listing ciclosporin was uncertain due to </w:t>
      </w:r>
      <w:r w:rsidR="008A53F7" w:rsidRPr="005C333D">
        <w:rPr>
          <w:bCs/>
        </w:rPr>
        <w:t xml:space="preserve">the assumptions applied relating to </w:t>
      </w:r>
      <w:r w:rsidRPr="005C333D">
        <w:rPr>
          <w:bCs/>
        </w:rPr>
        <w:t>the prevalence of eligible patients</w:t>
      </w:r>
      <w:r w:rsidR="00B64714" w:rsidRPr="005C333D">
        <w:rPr>
          <w:bCs/>
        </w:rPr>
        <w:t>,</w:t>
      </w:r>
      <w:r w:rsidR="008A53F7" w:rsidRPr="005C333D">
        <w:rPr>
          <w:bCs/>
        </w:rPr>
        <w:t xml:space="preserve"> </w:t>
      </w:r>
      <w:r w:rsidRPr="005C333D">
        <w:rPr>
          <w:bCs/>
        </w:rPr>
        <w:t>the uptake rate of ciclosporin and</w:t>
      </w:r>
      <w:r w:rsidR="00AB4F56" w:rsidRPr="005C333D">
        <w:rPr>
          <w:bCs/>
        </w:rPr>
        <w:t xml:space="preserve"> the</w:t>
      </w:r>
      <w:r w:rsidRPr="005C333D">
        <w:rPr>
          <w:bCs/>
        </w:rPr>
        <w:t xml:space="preserve"> potential for </w:t>
      </w:r>
      <w:r w:rsidR="00E81B94" w:rsidRPr="005C333D">
        <w:rPr>
          <w:bCs/>
        </w:rPr>
        <w:t>continued use in patients who do not meet the continuation criteria or in patients with less severe disease</w:t>
      </w:r>
      <w:r w:rsidRPr="005C333D">
        <w:rPr>
          <w:bCs/>
        </w:rPr>
        <w:t xml:space="preserve">. </w:t>
      </w:r>
      <w:r w:rsidR="00844459" w:rsidRPr="005C333D">
        <w:rPr>
          <w:bCs/>
        </w:rPr>
        <w:t xml:space="preserve">The PBAC </w:t>
      </w:r>
      <w:r w:rsidR="00AB4F56" w:rsidRPr="005C333D">
        <w:rPr>
          <w:bCs/>
        </w:rPr>
        <w:t xml:space="preserve">also </w:t>
      </w:r>
      <w:r w:rsidR="00844459" w:rsidRPr="005C333D">
        <w:rPr>
          <w:bCs/>
        </w:rPr>
        <w:t>considered that the cost offsets due to an assumed reduction in preservative free artificial tear use would not be realised as patients would continue to use these products in combination with ciclosporin.</w:t>
      </w:r>
    </w:p>
    <w:p w:rsidR="00844459" w:rsidRPr="005C333D" w:rsidRDefault="00E81B94" w:rsidP="00DA5D07">
      <w:pPr>
        <w:pStyle w:val="3-BodyText"/>
        <w:rPr>
          <w:bCs/>
        </w:rPr>
      </w:pPr>
      <w:r w:rsidRPr="005C333D">
        <w:rPr>
          <w:bCs/>
        </w:rPr>
        <w:t>The PBAC considered that a RSA was appropriate to manage the risks of continued use in patients who do not meet the continuation criteria or use in patients with less severe disease</w:t>
      </w:r>
      <w:r w:rsidR="002D10BE" w:rsidRPr="005C333D">
        <w:rPr>
          <w:bCs/>
        </w:rPr>
        <w:t>. The PBAC advised that the financial estimates for ciclosporin, as presented in the pre-PBAC response (i.e. including the proposed price reduction) could be used as a basis for expenditure caps. The PBAC further advised that a rebate of 100% would be applicable for use beyond the expenditure caps.</w:t>
      </w:r>
    </w:p>
    <w:p w:rsidR="002A20C0" w:rsidRPr="005C333D" w:rsidRDefault="00EB1F41" w:rsidP="00DA5D07">
      <w:pPr>
        <w:pStyle w:val="3-BodyText"/>
        <w:rPr>
          <w:bCs/>
        </w:rPr>
      </w:pPr>
      <w:r w:rsidRPr="005C333D">
        <w:rPr>
          <w:bCs/>
        </w:rPr>
        <w:t>In terms of the restriction, the PBAC:</w:t>
      </w:r>
    </w:p>
    <w:p w:rsidR="00F72E47" w:rsidRPr="005C333D" w:rsidRDefault="00F72E47" w:rsidP="00F72E47">
      <w:pPr>
        <w:pStyle w:val="3-BodyText"/>
        <w:numPr>
          <w:ilvl w:val="1"/>
          <w:numId w:val="27"/>
        </w:numPr>
        <w:ind w:left="1077" w:hanging="357"/>
        <w:rPr>
          <w:bCs/>
        </w:rPr>
      </w:pPr>
      <w:r w:rsidRPr="005C333D">
        <w:rPr>
          <w:bCs/>
        </w:rPr>
        <w:t xml:space="preserve">considered that the initial </w:t>
      </w:r>
      <w:r w:rsidR="009F2746">
        <w:rPr>
          <w:bCs/>
        </w:rPr>
        <w:t>and continuing treatment restrictions</w:t>
      </w:r>
      <w:r w:rsidRPr="005C333D">
        <w:rPr>
          <w:bCs/>
        </w:rPr>
        <w:t xml:space="preserve"> should be  Authority Required </w:t>
      </w:r>
      <w:r w:rsidR="00322378" w:rsidRPr="005C333D">
        <w:rPr>
          <w:bCs/>
        </w:rPr>
        <w:t>–</w:t>
      </w:r>
      <w:r w:rsidRPr="005C333D">
        <w:rPr>
          <w:bCs/>
        </w:rPr>
        <w:t xml:space="preserve"> immediate</w:t>
      </w:r>
      <w:r w:rsidR="00322378" w:rsidRPr="005C333D">
        <w:rPr>
          <w:bCs/>
        </w:rPr>
        <w:t>/real time</w:t>
      </w:r>
      <w:r w:rsidRPr="005C333D">
        <w:rPr>
          <w:bCs/>
        </w:rPr>
        <w:t xml:space="preserve"> assessment (</w:t>
      </w:r>
      <w:r w:rsidR="00322378" w:rsidRPr="005C333D">
        <w:rPr>
          <w:bCs/>
        </w:rPr>
        <w:t>telephone/</w:t>
      </w:r>
      <w:r w:rsidRPr="005C333D">
        <w:rPr>
          <w:bCs/>
        </w:rPr>
        <w:t>online)</w:t>
      </w:r>
      <w:r w:rsidR="00322378" w:rsidRPr="005C333D">
        <w:rPr>
          <w:bCs/>
        </w:rPr>
        <w:t xml:space="preserve"> to ensure use is in the intended severe keratitis patient population</w:t>
      </w:r>
      <w:r w:rsidRPr="005C333D">
        <w:rPr>
          <w:bCs/>
        </w:rPr>
        <w:t>;</w:t>
      </w:r>
    </w:p>
    <w:p w:rsidR="007F3658" w:rsidRPr="005C333D" w:rsidRDefault="00F72E47" w:rsidP="00F72E47">
      <w:pPr>
        <w:pStyle w:val="3-BodyText"/>
        <w:numPr>
          <w:ilvl w:val="1"/>
          <w:numId w:val="27"/>
        </w:numPr>
        <w:ind w:left="1077" w:hanging="357"/>
        <w:rPr>
          <w:bCs/>
        </w:rPr>
      </w:pPr>
      <w:r w:rsidRPr="005C333D">
        <w:rPr>
          <w:bCs/>
        </w:rPr>
        <w:t>c</w:t>
      </w:r>
      <w:r w:rsidR="00EB1F41" w:rsidRPr="005C333D">
        <w:rPr>
          <w:bCs/>
        </w:rPr>
        <w:t xml:space="preserve">onsidered that the initial </w:t>
      </w:r>
      <w:r w:rsidR="009F2746">
        <w:rPr>
          <w:bCs/>
        </w:rPr>
        <w:t>treatment restriction</w:t>
      </w:r>
      <w:r w:rsidR="00EB1F41" w:rsidRPr="005C333D">
        <w:rPr>
          <w:bCs/>
        </w:rPr>
        <w:t xml:space="preserve"> should be limited to 3 repeats, as the treatment algorithm states that monitoring should occur at 3 months after initiation;</w:t>
      </w:r>
      <w:r w:rsidRPr="005C333D">
        <w:rPr>
          <w:bCs/>
        </w:rPr>
        <w:t xml:space="preserve"> </w:t>
      </w:r>
    </w:p>
    <w:p w:rsidR="00EB1F41" w:rsidRPr="005C333D" w:rsidRDefault="00F72E47" w:rsidP="00F72E47">
      <w:pPr>
        <w:pStyle w:val="3-BodyText"/>
        <w:numPr>
          <w:ilvl w:val="1"/>
          <w:numId w:val="27"/>
        </w:numPr>
        <w:ind w:left="1077" w:hanging="357"/>
        <w:rPr>
          <w:bCs/>
        </w:rPr>
      </w:pPr>
      <w:r w:rsidRPr="005C333D">
        <w:rPr>
          <w:iCs/>
        </w:rPr>
        <w:t>n</w:t>
      </w:r>
      <w:r w:rsidR="00EB1F41" w:rsidRPr="005C333D">
        <w:rPr>
          <w:iCs/>
        </w:rPr>
        <w:t xml:space="preserve">oted that the majority of GPs would not have access to a split lamp to </w:t>
      </w:r>
      <w:r w:rsidR="00404618">
        <w:rPr>
          <w:iCs/>
        </w:rPr>
        <w:t>facilitate</w:t>
      </w:r>
      <w:r w:rsidR="00EB1F41" w:rsidRPr="005C333D">
        <w:rPr>
          <w:iCs/>
        </w:rPr>
        <w:t xml:space="preserve"> the required ongoing assessment of the condition, and therefore considered that initial</w:t>
      </w:r>
      <w:r w:rsidR="009F2746">
        <w:rPr>
          <w:iCs/>
        </w:rPr>
        <w:t xml:space="preserve"> and </w:t>
      </w:r>
      <w:r w:rsidR="00EB1F41" w:rsidRPr="005C333D">
        <w:rPr>
          <w:iCs/>
        </w:rPr>
        <w:t xml:space="preserve">continuing </w:t>
      </w:r>
      <w:r w:rsidR="009F2746">
        <w:rPr>
          <w:iCs/>
        </w:rPr>
        <w:t xml:space="preserve">treatment </w:t>
      </w:r>
      <w:r w:rsidR="00EB1F41" w:rsidRPr="005C333D">
        <w:rPr>
          <w:iCs/>
        </w:rPr>
        <w:t>prescribing of ciclosporin should be limited to ophthalmologists and optometrists. The PBAC considered that the inclusion of optometrists would improve equity of access to ciclosporin, particularly for rural and remote patients</w:t>
      </w:r>
      <w:r w:rsidR="00322378" w:rsidRPr="005C333D">
        <w:rPr>
          <w:bCs/>
        </w:rPr>
        <w:t>; and</w:t>
      </w:r>
    </w:p>
    <w:p w:rsidR="00322378" w:rsidRPr="005C333D" w:rsidRDefault="00322378" w:rsidP="00F72E47">
      <w:pPr>
        <w:pStyle w:val="3-BodyText"/>
        <w:numPr>
          <w:ilvl w:val="1"/>
          <w:numId w:val="27"/>
        </w:numPr>
        <w:ind w:left="1077" w:hanging="357"/>
        <w:rPr>
          <w:bCs/>
        </w:rPr>
      </w:pPr>
      <w:r w:rsidRPr="005C333D">
        <w:rPr>
          <w:bCs/>
        </w:rPr>
        <w:t xml:space="preserve">noting the lack of long term data, considered that a note should be included in the continuing </w:t>
      </w:r>
      <w:r w:rsidR="009F2746">
        <w:rPr>
          <w:bCs/>
        </w:rPr>
        <w:t xml:space="preserve">treatment </w:t>
      </w:r>
      <w:r w:rsidRPr="005C333D">
        <w:rPr>
          <w:bCs/>
        </w:rPr>
        <w:t xml:space="preserve">restriction stating that treatment should be re-evaluated after 24 months to manage the </w:t>
      </w:r>
      <w:r w:rsidR="00D86B3B" w:rsidRPr="005C333D">
        <w:rPr>
          <w:bCs/>
        </w:rPr>
        <w:t>potential concerns regarding the long term use of ciclosporin</w:t>
      </w:r>
      <w:r w:rsidR="00C9399F" w:rsidRPr="005C333D">
        <w:rPr>
          <w:bCs/>
        </w:rPr>
        <w:t xml:space="preserve"> and immunosuppression</w:t>
      </w:r>
      <w:r w:rsidR="00D86B3B" w:rsidRPr="005C333D">
        <w:rPr>
          <w:bCs/>
        </w:rPr>
        <w:t>.</w:t>
      </w:r>
    </w:p>
    <w:p w:rsidR="002A20C0" w:rsidRPr="005C333D" w:rsidRDefault="002A20C0" w:rsidP="00DA5D07">
      <w:pPr>
        <w:pStyle w:val="3-BodyText"/>
        <w:rPr>
          <w:bCs/>
        </w:rPr>
      </w:pPr>
      <w:r w:rsidRPr="005C333D">
        <w:rPr>
          <w:bCs/>
        </w:rPr>
        <w:t>The PBAC advised that ciclosporin is not suitable for prescribing by nurse practitioners.</w:t>
      </w:r>
    </w:p>
    <w:p w:rsidR="002A20C0" w:rsidRPr="005C333D" w:rsidRDefault="002A20C0" w:rsidP="00DA5D07">
      <w:pPr>
        <w:pStyle w:val="3-BodyText"/>
        <w:rPr>
          <w:bCs/>
        </w:rPr>
      </w:pPr>
      <w:r w:rsidRPr="005C333D">
        <w:rPr>
          <w:bCs/>
        </w:rPr>
        <w:t>The PBAC advised that the Early Supply Rule should not apply to ciclosporin.</w:t>
      </w:r>
    </w:p>
    <w:p w:rsidR="002A20C0" w:rsidRPr="005C333D" w:rsidRDefault="002A20C0" w:rsidP="002A20C0">
      <w:pPr>
        <w:pStyle w:val="3-BodyText"/>
        <w:rPr>
          <w:bCs/>
        </w:rPr>
      </w:pPr>
      <w:r w:rsidRPr="005C333D">
        <w:rPr>
          <w:bCs/>
        </w:rPr>
        <w:t xml:space="preserve">The PBAC advised that under Section 101(3BA) of the </w:t>
      </w:r>
      <w:r w:rsidRPr="005C333D">
        <w:rPr>
          <w:bCs/>
          <w:i/>
        </w:rPr>
        <w:t>National Health Act 1953</w:t>
      </w:r>
      <w:r w:rsidRPr="005C333D">
        <w:rPr>
          <w:bCs/>
        </w:rPr>
        <w:t xml:space="preserve"> ciclosporin should not be treated as interchangeable on an individual patient basis with any other drugs.</w:t>
      </w:r>
    </w:p>
    <w:p w:rsidR="002A20C0" w:rsidRPr="005C333D" w:rsidRDefault="002A20C0" w:rsidP="002A20C0">
      <w:pPr>
        <w:pStyle w:val="3-BodyText"/>
        <w:rPr>
          <w:bCs/>
        </w:rPr>
      </w:pPr>
      <w:r w:rsidRPr="005C333D">
        <w:rPr>
          <w:bCs/>
        </w:rPr>
        <w:t>The PBAC found that the criteria prescribed by the National Health (Pharmaceuticals and Vaccines – Cost Recovery) Regulations 2009 for Pricing Pathway A were not met. Specifically the PBAC found that in the circumstances of its recommendation for ciclosporin:</w:t>
      </w:r>
    </w:p>
    <w:p w:rsidR="002A20C0" w:rsidRPr="005C333D" w:rsidRDefault="002A20C0" w:rsidP="002A20C0">
      <w:pPr>
        <w:widowControl w:val="0"/>
        <w:numPr>
          <w:ilvl w:val="1"/>
          <w:numId w:val="26"/>
        </w:numPr>
        <w:spacing w:after="120"/>
        <w:ind w:left="1077" w:hanging="357"/>
        <w:rPr>
          <w:rFonts w:asciiTheme="minorHAnsi" w:hAnsiTheme="minorHAnsi"/>
          <w:bCs/>
          <w:snapToGrid w:val="0"/>
        </w:rPr>
      </w:pPr>
      <w:r w:rsidRPr="005C333D">
        <w:rPr>
          <w:rFonts w:asciiTheme="minorHAnsi" w:hAnsiTheme="minorHAnsi"/>
          <w:bCs/>
          <w:snapToGrid w:val="0"/>
        </w:rPr>
        <w:t xml:space="preserve">The treatment was </w:t>
      </w:r>
      <w:r w:rsidR="00612B77" w:rsidRPr="005C333D">
        <w:rPr>
          <w:rFonts w:asciiTheme="minorHAnsi" w:hAnsiTheme="minorHAnsi"/>
          <w:bCs/>
          <w:snapToGrid w:val="0"/>
        </w:rPr>
        <w:t xml:space="preserve">not </w:t>
      </w:r>
      <w:r w:rsidRPr="005C333D">
        <w:rPr>
          <w:rFonts w:asciiTheme="minorHAnsi" w:hAnsiTheme="minorHAnsi"/>
          <w:bCs/>
          <w:snapToGrid w:val="0"/>
        </w:rPr>
        <w:t>expected to provide a substantial and clinically relevant improvement in efficacy over standard of care</w:t>
      </w:r>
      <w:r w:rsidR="00612B77" w:rsidRPr="005C333D">
        <w:rPr>
          <w:rFonts w:asciiTheme="minorHAnsi" w:hAnsiTheme="minorHAnsi"/>
          <w:bCs/>
          <w:snapToGrid w:val="0"/>
        </w:rPr>
        <w:t xml:space="preserve"> as the improvement in ocular symptoms were not statistically significant</w:t>
      </w:r>
      <w:r w:rsidRPr="005C333D">
        <w:rPr>
          <w:rFonts w:asciiTheme="minorHAnsi" w:hAnsiTheme="minorHAnsi"/>
          <w:bCs/>
          <w:snapToGrid w:val="0"/>
        </w:rPr>
        <w:t>;</w:t>
      </w:r>
    </w:p>
    <w:p w:rsidR="002A20C0" w:rsidRPr="005C333D" w:rsidRDefault="002A20C0" w:rsidP="002A20C0">
      <w:pPr>
        <w:widowControl w:val="0"/>
        <w:numPr>
          <w:ilvl w:val="1"/>
          <w:numId w:val="26"/>
        </w:numPr>
        <w:spacing w:after="120"/>
        <w:ind w:left="1077" w:hanging="357"/>
        <w:rPr>
          <w:rFonts w:asciiTheme="minorHAnsi" w:hAnsiTheme="minorHAnsi"/>
          <w:bCs/>
          <w:snapToGrid w:val="0"/>
        </w:rPr>
      </w:pPr>
      <w:r w:rsidRPr="005C333D">
        <w:rPr>
          <w:rFonts w:asciiTheme="minorHAnsi" w:hAnsiTheme="minorHAnsi"/>
          <w:bCs/>
          <w:snapToGrid w:val="0"/>
        </w:rPr>
        <w:t xml:space="preserve">The treatment is </w:t>
      </w:r>
      <w:r w:rsidR="00612B77" w:rsidRPr="005C333D">
        <w:rPr>
          <w:rFonts w:asciiTheme="minorHAnsi" w:hAnsiTheme="minorHAnsi"/>
          <w:bCs/>
          <w:snapToGrid w:val="0"/>
        </w:rPr>
        <w:t xml:space="preserve">not </w:t>
      </w:r>
      <w:r w:rsidRPr="005C333D">
        <w:rPr>
          <w:rFonts w:asciiTheme="minorHAnsi" w:hAnsiTheme="minorHAnsi"/>
          <w:bCs/>
          <w:snapToGrid w:val="0"/>
        </w:rPr>
        <w:t>expected to address a high and urgent unmet clinical need</w:t>
      </w:r>
      <w:r w:rsidR="00612B77" w:rsidRPr="005C333D">
        <w:rPr>
          <w:rFonts w:asciiTheme="minorHAnsi" w:hAnsiTheme="minorHAnsi"/>
          <w:bCs/>
          <w:snapToGrid w:val="0"/>
        </w:rPr>
        <w:t xml:space="preserve"> as treatment options are available</w:t>
      </w:r>
      <w:r w:rsidRPr="005C333D">
        <w:rPr>
          <w:rFonts w:asciiTheme="minorHAnsi" w:hAnsiTheme="minorHAnsi"/>
          <w:bCs/>
          <w:snapToGrid w:val="0"/>
        </w:rPr>
        <w:t>;</w:t>
      </w:r>
    </w:p>
    <w:p w:rsidR="002A20C0" w:rsidRPr="005C333D" w:rsidRDefault="002A20C0" w:rsidP="002A20C0">
      <w:pPr>
        <w:widowControl w:val="0"/>
        <w:numPr>
          <w:ilvl w:val="1"/>
          <w:numId w:val="26"/>
        </w:numPr>
        <w:spacing w:after="120"/>
        <w:ind w:left="1077" w:hanging="357"/>
        <w:rPr>
          <w:rFonts w:asciiTheme="minorHAnsi" w:hAnsiTheme="minorHAnsi"/>
          <w:bCs/>
          <w:snapToGrid w:val="0"/>
        </w:rPr>
      </w:pPr>
      <w:r w:rsidRPr="005C333D">
        <w:rPr>
          <w:rFonts w:asciiTheme="minorHAnsi" w:hAnsiTheme="minorHAnsi"/>
          <w:bCs/>
          <w:snapToGrid w:val="0"/>
        </w:rPr>
        <w:t>It was not necessary to make a finding in relation to whether it would be in the public interest for the subsequent pricing application to be progressed under Pricing Pathway A because one or more of the preceding tests had failed.</w:t>
      </w:r>
    </w:p>
    <w:p w:rsidR="002A20C0" w:rsidRPr="005C333D" w:rsidRDefault="002A20C0" w:rsidP="002A20C0">
      <w:pPr>
        <w:pStyle w:val="3-BodyText"/>
      </w:pPr>
      <w:r w:rsidRPr="005C333D">
        <w:t>The PBAC noted that this submission was not eligible for an Independent Review, as it received a positive recommendation.</w:t>
      </w:r>
    </w:p>
    <w:p w:rsidR="00DA5D07" w:rsidRPr="005C333D" w:rsidRDefault="00DA5D07" w:rsidP="00DA5D07">
      <w:pPr>
        <w:spacing w:before="240"/>
        <w:rPr>
          <w:rFonts w:asciiTheme="minorHAnsi" w:hAnsiTheme="minorHAnsi"/>
          <w:b/>
          <w:bCs/>
          <w:snapToGrid w:val="0"/>
        </w:rPr>
      </w:pPr>
      <w:r w:rsidRPr="005C333D">
        <w:rPr>
          <w:rFonts w:asciiTheme="minorHAnsi" w:hAnsiTheme="minorHAnsi"/>
          <w:b/>
          <w:bCs/>
          <w:snapToGrid w:val="0"/>
        </w:rPr>
        <w:t>Outcome:</w:t>
      </w:r>
    </w:p>
    <w:p w:rsidR="00DA5D07" w:rsidRPr="008A7C5B" w:rsidRDefault="00DA5D07" w:rsidP="008A7C5B">
      <w:pPr>
        <w:rPr>
          <w:rFonts w:asciiTheme="minorHAnsi" w:hAnsiTheme="minorHAnsi"/>
          <w:bCs/>
          <w:snapToGrid w:val="0"/>
        </w:rPr>
      </w:pPr>
      <w:r w:rsidRPr="005C333D">
        <w:rPr>
          <w:rFonts w:asciiTheme="minorHAnsi" w:hAnsiTheme="minorHAnsi"/>
          <w:bCs/>
          <w:snapToGrid w:val="0"/>
        </w:rPr>
        <w:t xml:space="preserve">Recommended </w:t>
      </w:r>
    </w:p>
    <w:p w:rsidR="00DA5D07" w:rsidRPr="005C333D" w:rsidRDefault="00DA5D07" w:rsidP="005A496B">
      <w:pPr>
        <w:pStyle w:val="2-SectionHeading"/>
        <w:keepLines/>
      </w:pPr>
      <w:r w:rsidRPr="005C333D">
        <w:t>Recommended listing</w:t>
      </w:r>
      <w:bookmarkStart w:id="35" w:name="_GoBack"/>
      <w:bookmarkEnd w:id="35"/>
    </w:p>
    <w:p w:rsidR="00DA5D07" w:rsidRPr="005C333D" w:rsidRDefault="00DA5D07" w:rsidP="005A496B">
      <w:pPr>
        <w:pStyle w:val="3-BodyText"/>
        <w:keepNext/>
        <w:keepLines/>
      </w:pPr>
      <w:r w:rsidRPr="005C333D">
        <w:t>Add new item:</w:t>
      </w:r>
    </w:p>
    <w:p w:rsidR="00685158" w:rsidRPr="005C333D" w:rsidRDefault="00685158" w:rsidP="005A496B">
      <w:pPr>
        <w:keepNext/>
        <w:keepLines/>
        <w:widowControl w:val="0"/>
        <w:rPr>
          <w:rFonts w:asciiTheme="minorHAnsi" w:hAnsiTheme="minorHAnsi"/>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851"/>
        <w:gridCol w:w="708"/>
        <w:gridCol w:w="1701"/>
      </w:tblGrid>
      <w:tr w:rsidR="00685158" w:rsidRPr="005C333D" w:rsidTr="00417613">
        <w:trPr>
          <w:cantSplit/>
          <w:trHeight w:val="471"/>
        </w:trPr>
        <w:tc>
          <w:tcPr>
            <w:tcW w:w="3964" w:type="dxa"/>
            <w:gridSpan w:val="2"/>
          </w:tcPr>
          <w:p w:rsidR="00685158" w:rsidRPr="0018096E" w:rsidRDefault="00685158" w:rsidP="005A496B">
            <w:pPr>
              <w:keepNext/>
              <w:keepLines/>
              <w:ind w:left="22"/>
              <w:rPr>
                <w:rFonts w:ascii="Arial Narrow" w:hAnsi="Arial Narrow"/>
                <w:b/>
                <w:bCs/>
                <w:sz w:val="18"/>
                <w:szCs w:val="18"/>
              </w:rPr>
            </w:pPr>
            <w:r w:rsidRPr="0018096E">
              <w:rPr>
                <w:rFonts w:ascii="Arial Narrow" w:hAnsi="Arial Narrow"/>
                <w:b/>
                <w:bCs/>
                <w:sz w:val="18"/>
                <w:szCs w:val="18"/>
              </w:rPr>
              <w:t>MEDICINAL PRODUCT</w:t>
            </w:r>
          </w:p>
          <w:p w:rsidR="00685158" w:rsidRPr="0018096E" w:rsidRDefault="00685158" w:rsidP="005A496B">
            <w:pPr>
              <w:keepNext/>
              <w:keepLines/>
              <w:ind w:left="22"/>
              <w:rPr>
                <w:rFonts w:ascii="Arial Narrow" w:hAnsi="Arial Narrow"/>
                <w:b/>
                <w:sz w:val="18"/>
                <w:szCs w:val="18"/>
              </w:rPr>
            </w:pPr>
            <w:r w:rsidRPr="0018096E">
              <w:rPr>
                <w:rFonts w:ascii="Arial Narrow" w:hAnsi="Arial Narrow"/>
                <w:b/>
                <w:bCs/>
                <w:sz w:val="18"/>
                <w:szCs w:val="18"/>
              </w:rPr>
              <w:t>medicinal product pack</w:t>
            </w:r>
          </w:p>
        </w:tc>
        <w:tc>
          <w:tcPr>
            <w:tcW w:w="993" w:type="dxa"/>
          </w:tcPr>
          <w:p w:rsidR="00685158" w:rsidRPr="0018096E" w:rsidRDefault="00685158" w:rsidP="005A496B">
            <w:pPr>
              <w:keepNext/>
              <w:keepLines/>
              <w:ind w:left="-108"/>
              <w:jc w:val="center"/>
              <w:rPr>
                <w:rFonts w:ascii="Arial Narrow" w:hAnsi="Arial Narrow"/>
                <w:b/>
                <w:sz w:val="18"/>
                <w:szCs w:val="18"/>
              </w:rPr>
            </w:pPr>
            <w:r w:rsidRPr="0018096E">
              <w:rPr>
                <w:rFonts w:ascii="Arial Narrow" w:hAnsi="Arial Narrow"/>
                <w:b/>
                <w:sz w:val="18"/>
                <w:szCs w:val="18"/>
              </w:rPr>
              <w:t>PBS item code</w:t>
            </w:r>
          </w:p>
        </w:tc>
        <w:tc>
          <w:tcPr>
            <w:tcW w:w="850" w:type="dxa"/>
          </w:tcPr>
          <w:p w:rsidR="00685158" w:rsidRPr="0018096E" w:rsidRDefault="00685158" w:rsidP="005A496B">
            <w:pPr>
              <w:keepNext/>
              <w:keepLines/>
              <w:ind w:left="-108"/>
              <w:jc w:val="center"/>
              <w:rPr>
                <w:rFonts w:ascii="Arial Narrow" w:hAnsi="Arial Narrow"/>
                <w:b/>
                <w:sz w:val="18"/>
                <w:szCs w:val="18"/>
              </w:rPr>
            </w:pPr>
            <w:r w:rsidRPr="0018096E">
              <w:rPr>
                <w:rFonts w:ascii="Arial Narrow" w:hAnsi="Arial Narrow"/>
                <w:b/>
                <w:sz w:val="18"/>
                <w:szCs w:val="18"/>
              </w:rPr>
              <w:t>Max. qty packs</w:t>
            </w:r>
          </w:p>
        </w:tc>
        <w:tc>
          <w:tcPr>
            <w:tcW w:w="851" w:type="dxa"/>
          </w:tcPr>
          <w:p w:rsidR="00685158" w:rsidRPr="0018096E" w:rsidRDefault="00685158" w:rsidP="005A496B">
            <w:pPr>
              <w:keepNext/>
              <w:keepLines/>
              <w:ind w:left="-108"/>
              <w:jc w:val="center"/>
              <w:rPr>
                <w:rFonts w:ascii="Arial Narrow" w:hAnsi="Arial Narrow"/>
                <w:b/>
                <w:sz w:val="18"/>
                <w:szCs w:val="18"/>
              </w:rPr>
            </w:pPr>
            <w:r w:rsidRPr="0018096E">
              <w:rPr>
                <w:rFonts w:ascii="Arial Narrow" w:hAnsi="Arial Narrow"/>
                <w:b/>
                <w:sz w:val="18"/>
                <w:szCs w:val="18"/>
              </w:rPr>
              <w:t>Max. qty units</w:t>
            </w:r>
          </w:p>
        </w:tc>
        <w:tc>
          <w:tcPr>
            <w:tcW w:w="708" w:type="dxa"/>
          </w:tcPr>
          <w:p w:rsidR="00685158" w:rsidRPr="0018096E" w:rsidRDefault="00685158" w:rsidP="005A496B">
            <w:pPr>
              <w:keepNext/>
              <w:keepLines/>
              <w:ind w:left="-108"/>
              <w:jc w:val="center"/>
              <w:rPr>
                <w:rFonts w:ascii="Arial Narrow" w:hAnsi="Arial Narrow"/>
                <w:b/>
                <w:sz w:val="18"/>
                <w:szCs w:val="18"/>
              </w:rPr>
            </w:pPr>
            <w:r w:rsidRPr="0018096E">
              <w:rPr>
                <w:rFonts w:ascii="Arial Narrow" w:hAnsi="Arial Narrow"/>
                <w:b/>
                <w:sz w:val="18"/>
                <w:szCs w:val="18"/>
              </w:rPr>
              <w:t>№.of</w:t>
            </w:r>
          </w:p>
          <w:p w:rsidR="00685158" w:rsidRPr="0018096E" w:rsidRDefault="00685158" w:rsidP="005A496B">
            <w:pPr>
              <w:keepNext/>
              <w:keepLines/>
              <w:ind w:left="-108"/>
              <w:jc w:val="center"/>
              <w:rPr>
                <w:rFonts w:ascii="Arial Narrow" w:hAnsi="Arial Narrow"/>
                <w:b/>
                <w:sz w:val="18"/>
                <w:szCs w:val="18"/>
              </w:rPr>
            </w:pPr>
            <w:r w:rsidRPr="0018096E">
              <w:rPr>
                <w:rFonts w:ascii="Arial Narrow" w:hAnsi="Arial Narrow"/>
                <w:b/>
                <w:sz w:val="18"/>
                <w:szCs w:val="18"/>
              </w:rPr>
              <w:t>Rpts</w:t>
            </w:r>
          </w:p>
        </w:tc>
        <w:tc>
          <w:tcPr>
            <w:tcW w:w="1701" w:type="dxa"/>
          </w:tcPr>
          <w:p w:rsidR="00685158" w:rsidRPr="0018096E" w:rsidRDefault="00685158" w:rsidP="005A496B">
            <w:pPr>
              <w:keepNext/>
              <w:keepLines/>
              <w:rPr>
                <w:rFonts w:ascii="Arial Narrow" w:hAnsi="Arial Narrow"/>
                <w:b/>
                <w:sz w:val="18"/>
                <w:szCs w:val="18"/>
              </w:rPr>
            </w:pPr>
            <w:r w:rsidRPr="0018096E">
              <w:rPr>
                <w:rFonts w:ascii="Arial Narrow" w:hAnsi="Arial Narrow"/>
                <w:b/>
                <w:sz w:val="18"/>
                <w:szCs w:val="18"/>
              </w:rPr>
              <w:t>Available brands</w:t>
            </w:r>
          </w:p>
        </w:tc>
      </w:tr>
      <w:tr w:rsidR="00685158" w:rsidRPr="005C333D" w:rsidTr="00417613">
        <w:trPr>
          <w:cantSplit/>
          <w:trHeight w:val="224"/>
        </w:trPr>
        <w:tc>
          <w:tcPr>
            <w:tcW w:w="9067" w:type="dxa"/>
            <w:gridSpan w:val="7"/>
          </w:tcPr>
          <w:p w:rsidR="00685158" w:rsidRPr="0018096E" w:rsidRDefault="00685158" w:rsidP="00417613">
            <w:pPr>
              <w:keepNext/>
              <w:ind w:left="23"/>
              <w:rPr>
                <w:rFonts w:ascii="Arial Narrow" w:hAnsi="Arial Narrow"/>
                <w:sz w:val="18"/>
                <w:szCs w:val="18"/>
              </w:rPr>
            </w:pPr>
            <w:r w:rsidRPr="0018096E">
              <w:rPr>
                <w:rFonts w:ascii="Arial Narrow" w:hAnsi="Arial Narrow"/>
                <w:sz w:val="18"/>
                <w:szCs w:val="18"/>
              </w:rPr>
              <w:t xml:space="preserve">CICLOSPORIN </w:t>
            </w:r>
          </w:p>
        </w:tc>
      </w:tr>
      <w:tr w:rsidR="00685158" w:rsidRPr="005C333D" w:rsidTr="00D82C63">
        <w:trPr>
          <w:cantSplit/>
          <w:trHeight w:val="385"/>
        </w:trPr>
        <w:tc>
          <w:tcPr>
            <w:tcW w:w="3964" w:type="dxa"/>
            <w:gridSpan w:val="2"/>
          </w:tcPr>
          <w:p w:rsidR="00685158" w:rsidRPr="0018096E" w:rsidRDefault="00685158" w:rsidP="00417613">
            <w:pPr>
              <w:keepNext/>
              <w:ind w:left="22"/>
              <w:rPr>
                <w:rFonts w:ascii="Arial Narrow" w:hAnsi="Arial Narrow"/>
                <w:sz w:val="18"/>
                <w:szCs w:val="18"/>
              </w:rPr>
            </w:pPr>
            <w:r w:rsidRPr="0018096E">
              <w:rPr>
                <w:rFonts w:ascii="Arial Narrow" w:hAnsi="Arial Narrow"/>
                <w:sz w:val="18"/>
                <w:szCs w:val="18"/>
              </w:rPr>
              <w:t>ciclosporin 0.1% eye drops, 30 x 0.3 mL unit doses</w:t>
            </w:r>
          </w:p>
        </w:tc>
        <w:tc>
          <w:tcPr>
            <w:tcW w:w="993" w:type="dxa"/>
          </w:tcPr>
          <w:p w:rsidR="00685158" w:rsidRPr="0018096E" w:rsidRDefault="00685158" w:rsidP="00417613">
            <w:pPr>
              <w:keepNext/>
              <w:jc w:val="center"/>
              <w:rPr>
                <w:rFonts w:ascii="Arial Narrow" w:hAnsi="Arial Narrow"/>
                <w:sz w:val="18"/>
                <w:szCs w:val="18"/>
              </w:rPr>
            </w:pPr>
            <w:r w:rsidRPr="0018096E">
              <w:rPr>
                <w:rFonts w:ascii="Arial Narrow" w:hAnsi="Arial Narrow"/>
                <w:sz w:val="18"/>
                <w:szCs w:val="18"/>
              </w:rPr>
              <w:t>NEW</w:t>
            </w:r>
          </w:p>
        </w:tc>
        <w:tc>
          <w:tcPr>
            <w:tcW w:w="850" w:type="dxa"/>
          </w:tcPr>
          <w:p w:rsidR="00685158" w:rsidRPr="0018096E" w:rsidRDefault="00685158" w:rsidP="00417613">
            <w:pPr>
              <w:keepNext/>
              <w:jc w:val="center"/>
              <w:rPr>
                <w:rFonts w:ascii="Arial Narrow" w:hAnsi="Arial Narrow"/>
                <w:sz w:val="18"/>
                <w:szCs w:val="18"/>
              </w:rPr>
            </w:pPr>
            <w:r w:rsidRPr="0018096E">
              <w:rPr>
                <w:rFonts w:ascii="Arial Narrow" w:hAnsi="Arial Narrow"/>
                <w:sz w:val="18"/>
                <w:szCs w:val="18"/>
              </w:rPr>
              <w:t>1</w:t>
            </w:r>
          </w:p>
        </w:tc>
        <w:tc>
          <w:tcPr>
            <w:tcW w:w="851" w:type="dxa"/>
          </w:tcPr>
          <w:p w:rsidR="00685158" w:rsidRPr="0018096E" w:rsidRDefault="00685158" w:rsidP="00417613">
            <w:pPr>
              <w:keepNext/>
              <w:jc w:val="center"/>
              <w:rPr>
                <w:rFonts w:ascii="Arial Narrow" w:hAnsi="Arial Narrow"/>
                <w:sz w:val="18"/>
                <w:szCs w:val="18"/>
              </w:rPr>
            </w:pPr>
            <w:r w:rsidRPr="0018096E">
              <w:rPr>
                <w:rFonts w:ascii="Arial Narrow" w:hAnsi="Arial Narrow"/>
                <w:sz w:val="18"/>
                <w:szCs w:val="18"/>
              </w:rPr>
              <w:t>30</w:t>
            </w:r>
          </w:p>
        </w:tc>
        <w:tc>
          <w:tcPr>
            <w:tcW w:w="708" w:type="dxa"/>
          </w:tcPr>
          <w:p w:rsidR="00685158" w:rsidRPr="0018096E" w:rsidRDefault="00F72E47" w:rsidP="00417613">
            <w:pPr>
              <w:keepNext/>
              <w:jc w:val="center"/>
              <w:rPr>
                <w:rFonts w:ascii="Arial Narrow" w:hAnsi="Arial Narrow"/>
                <w:sz w:val="18"/>
                <w:szCs w:val="18"/>
              </w:rPr>
            </w:pPr>
            <w:r w:rsidRPr="0018096E">
              <w:rPr>
                <w:rFonts w:ascii="Arial Narrow" w:hAnsi="Arial Narrow"/>
                <w:sz w:val="18"/>
                <w:szCs w:val="18"/>
              </w:rPr>
              <w:t>3</w:t>
            </w:r>
          </w:p>
        </w:tc>
        <w:tc>
          <w:tcPr>
            <w:tcW w:w="1701" w:type="dxa"/>
          </w:tcPr>
          <w:p w:rsidR="00685158" w:rsidRPr="0018096E" w:rsidRDefault="00685158" w:rsidP="00417613">
            <w:pPr>
              <w:keepNext/>
              <w:rPr>
                <w:rFonts w:ascii="Arial Narrow" w:hAnsi="Arial Narrow"/>
                <w:sz w:val="18"/>
                <w:szCs w:val="18"/>
              </w:rPr>
            </w:pPr>
            <w:r w:rsidRPr="0018096E">
              <w:rPr>
                <w:rFonts w:ascii="Arial Narrow" w:hAnsi="Arial Narrow"/>
                <w:sz w:val="18"/>
                <w:szCs w:val="18"/>
              </w:rPr>
              <w:t>Ikervis</w:t>
            </w:r>
            <w:r w:rsidRPr="0018096E">
              <w:rPr>
                <w:rFonts w:ascii="Arial Narrow" w:hAnsi="Arial Narrow"/>
                <w:sz w:val="18"/>
                <w:szCs w:val="18"/>
                <w:vertAlign w:val="superscript"/>
              </w:rPr>
              <w:t>®</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685158" w:rsidRPr="0018096E" w:rsidRDefault="00685158" w:rsidP="00417613">
            <w:pPr>
              <w:rPr>
                <w:rFonts w:ascii="Arial Narrow" w:hAnsi="Arial Narrow"/>
                <w:b/>
                <w:sz w:val="18"/>
                <w:szCs w:val="18"/>
              </w:rPr>
            </w:pP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685158" w:rsidRPr="0018096E" w:rsidRDefault="00685158" w:rsidP="00417613">
            <w:pPr>
              <w:ind w:left="57"/>
              <w:rPr>
                <w:rFonts w:ascii="Arial Narrow" w:hAnsi="Arial Narrow"/>
                <w:b/>
                <w:sz w:val="18"/>
                <w:szCs w:val="18"/>
              </w:rPr>
            </w:pPr>
            <w:r w:rsidRPr="0018096E">
              <w:rPr>
                <w:rFonts w:ascii="Arial Narrow" w:hAnsi="Arial Narrow"/>
                <w:b/>
                <w:sz w:val="18"/>
                <w:szCs w:val="18"/>
              </w:rPr>
              <w:t>Restriction Summary [new] / Treatment of Concept: [new]</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685158" w:rsidRPr="0018096E" w:rsidRDefault="00685158" w:rsidP="00417613">
            <w:pPr>
              <w:rPr>
                <w:rFonts w:ascii="Arial Narrow" w:hAnsi="Arial Narrow"/>
                <w:b/>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685158" w:rsidRPr="0018096E" w:rsidRDefault="00685158" w:rsidP="00417613">
            <w:pPr>
              <w:rPr>
                <w:rFonts w:ascii="Arial Narrow" w:hAnsi="Arial Narrow"/>
                <w:b/>
                <w:sz w:val="18"/>
                <w:szCs w:val="18"/>
              </w:rPr>
            </w:pPr>
            <w:r w:rsidRPr="0018096E">
              <w:rPr>
                <w:rFonts w:ascii="Arial Narrow" w:hAnsi="Arial Narrow"/>
                <w:b/>
                <w:sz w:val="18"/>
                <w:szCs w:val="18"/>
              </w:rPr>
              <w:t xml:space="preserve">Category / Program:   </w:t>
            </w:r>
          </w:p>
          <w:p w:rsidR="00685158" w:rsidRPr="0018096E" w:rsidRDefault="00685158" w:rsidP="00417613">
            <w:pPr>
              <w:rPr>
                <w:rFonts w:ascii="Arial Narrow" w:hAnsi="Arial Narrow"/>
                <w:sz w:val="18"/>
                <w:szCs w:val="18"/>
              </w:rPr>
            </w:pPr>
            <w:r w:rsidRPr="0018096E">
              <w:rPr>
                <w:rFonts w:ascii="Arial Narrow" w:hAnsi="Arial Narrow"/>
                <w:sz w:val="18"/>
                <w:szCs w:val="18"/>
              </w:rPr>
              <w:t>GENERAL – General Schedule (Code GE)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685158" w:rsidRPr="0018096E" w:rsidRDefault="00685158" w:rsidP="00417613">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685158" w:rsidRPr="0018096E" w:rsidRDefault="00685158" w:rsidP="00417613">
            <w:pPr>
              <w:rPr>
                <w:rFonts w:ascii="Arial Narrow" w:hAnsi="Arial Narrow"/>
                <w:b/>
                <w:sz w:val="18"/>
                <w:szCs w:val="18"/>
              </w:rPr>
            </w:pPr>
            <w:r w:rsidRPr="0018096E">
              <w:rPr>
                <w:rFonts w:ascii="Arial Narrow" w:hAnsi="Arial Narrow"/>
                <w:b/>
                <w:sz w:val="18"/>
                <w:szCs w:val="18"/>
              </w:rPr>
              <w:t xml:space="preserve">Prescriber type:   </w:t>
            </w:r>
            <w:r w:rsidRPr="0018096E">
              <w:rPr>
                <w:rFonts w:ascii="Arial Narrow" w:hAnsi="Arial Narrow"/>
                <w:sz w:val="18"/>
                <w:szCs w:val="18"/>
              </w:rPr>
              <w:fldChar w:fldCharType="begin">
                <w:ffData>
                  <w:name w:val=""/>
                  <w:enabled/>
                  <w:calcOnExit w:val="0"/>
                  <w:checkBox>
                    <w:sizeAuto/>
                    <w:default w:val="1"/>
                  </w:checkBox>
                </w:ffData>
              </w:fldChar>
            </w:r>
            <w:r w:rsidRPr="0018096E">
              <w:rPr>
                <w:rFonts w:ascii="Arial Narrow" w:hAnsi="Arial Narrow"/>
                <w:sz w:val="18"/>
                <w:szCs w:val="18"/>
              </w:rPr>
              <w:instrText xml:space="preserve"> FORMCHECKBOX </w:instrText>
            </w:r>
            <w:r w:rsidR="00AA7D9B">
              <w:rPr>
                <w:rFonts w:ascii="Arial Narrow" w:hAnsi="Arial Narrow"/>
                <w:sz w:val="18"/>
                <w:szCs w:val="18"/>
              </w:rPr>
            </w:r>
            <w:r w:rsidR="00AA7D9B">
              <w:rPr>
                <w:rFonts w:ascii="Arial Narrow" w:hAnsi="Arial Narrow"/>
                <w:sz w:val="18"/>
                <w:szCs w:val="18"/>
              </w:rPr>
              <w:fldChar w:fldCharType="separate"/>
            </w:r>
            <w:r w:rsidRPr="0018096E">
              <w:rPr>
                <w:rFonts w:ascii="Arial Narrow" w:hAnsi="Arial Narrow"/>
                <w:sz w:val="18"/>
                <w:szCs w:val="18"/>
              </w:rPr>
              <w:fldChar w:fldCharType="end"/>
            </w:r>
            <w:r w:rsidRPr="0018096E">
              <w:rPr>
                <w:rFonts w:ascii="Arial Narrow" w:hAnsi="Arial Narrow"/>
                <w:sz w:val="18"/>
                <w:szCs w:val="18"/>
              </w:rPr>
              <w:t xml:space="preserve">Medical Practitioners   </w:t>
            </w:r>
            <w:r w:rsidRPr="0018096E">
              <w:rPr>
                <w:rFonts w:ascii="Arial Narrow" w:hAnsi="Arial Narrow"/>
                <w:sz w:val="18"/>
                <w:szCs w:val="18"/>
              </w:rPr>
              <w:fldChar w:fldCharType="begin">
                <w:ffData>
                  <w:name w:val=""/>
                  <w:enabled/>
                  <w:calcOnExit w:val="0"/>
                  <w:checkBox>
                    <w:sizeAuto/>
                    <w:default w:val="1"/>
                  </w:checkBox>
                </w:ffData>
              </w:fldChar>
            </w:r>
            <w:r w:rsidRPr="0018096E">
              <w:rPr>
                <w:rFonts w:ascii="Arial Narrow" w:hAnsi="Arial Narrow"/>
                <w:sz w:val="18"/>
                <w:szCs w:val="18"/>
              </w:rPr>
              <w:instrText xml:space="preserve"> FORMCHECKBOX </w:instrText>
            </w:r>
            <w:r w:rsidR="00AA7D9B">
              <w:rPr>
                <w:rFonts w:ascii="Arial Narrow" w:hAnsi="Arial Narrow"/>
                <w:sz w:val="18"/>
                <w:szCs w:val="18"/>
              </w:rPr>
            </w:r>
            <w:r w:rsidR="00AA7D9B">
              <w:rPr>
                <w:rFonts w:ascii="Arial Narrow" w:hAnsi="Arial Narrow"/>
                <w:sz w:val="18"/>
                <w:szCs w:val="18"/>
              </w:rPr>
              <w:fldChar w:fldCharType="separate"/>
            </w:r>
            <w:r w:rsidRPr="0018096E">
              <w:rPr>
                <w:rFonts w:ascii="Arial Narrow" w:hAnsi="Arial Narrow"/>
                <w:sz w:val="18"/>
                <w:szCs w:val="18"/>
              </w:rPr>
              <w:fldChar w:fldCharType="end"/>
            </w:r>
            <w:r w:rsidRPr="0018096E">
              <w:rPr>
                <w:rFonts w:ascii="Arial Narrow" w:hAnsi="Arial Narrow"/>
                <w:sz w:val="18"/>
                <w:szCs w:val="18"/>
              </w:rPr>
              <w:t xml:space="preserve">Optometrists </w:t>
            </w:r>
          </w:p>
        </w:tc>
      </w:tr>
      <w:tr w:rsidR="00685158" w:rsidRPr="005C333D" w:rsidTr="0018096E">
        <w:tblPrEx>
          <w:tblCellMar>
            <w:top w:w="15" w:type="dxa"/>
            <w:left w:w="15" w:type="dxa"/>
            <w:bottom w:w="15" w:type="dxa"/>
            <w:right w:w="15" w:type="dxa"/>
          </w:tblCellMar>
          <w:tblLook w:val="04A0" w:firstRow="1" w:lastRow="0" w:firstColumn="1" w:lastColumn="0" w:noHBand="0" w:noVBand="1"/>
        </w:tblPrEx>
        <w:trPr>
          <w:trHeight w:val="304"/>
        </w:trPr>
        <w:tc>
          <w:tcPr>
            <w:tcW w:w="981" w:type="dxa"/>
            <w:vMerge/>
            <w:tcBorders>
              <w:left w:val="single" w:sz="4" w:space="0" w:color="auto"/>
              <w:bottom w:val="single" w:sz="4" w:space="0" w:color="auto"/>
              <w:right w:val="single" w:sz="4" w:space="0" w:color="auto"/>
            </w:tcBorders>
          </w:tcPr>
          <w:p w:rsidR="00685158" w:rsidRPr="0018096E" w:rsidRDefault="00685158" w:rsidP="00417613">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685158" w:rsidRPr="0018096E" w:rsidRDefault="00685158" w:rsidP="00417613">
            <w:pPr>
              <w:rPr>
                <w:rFonts w:ascii="Arial Narrow" w:hAnsi="Arial Narrow"/>
                <w:b/>
                <w:sz w:val="18"/>
                <w:szCs w:val="18"/>
              </w:rPr>
            </w:pPr>
            <w:r w:rsidRPr="0018096E">
              <w:rPr>
                <w:rFonts w:ascii="Arial Narrow" w:hAnsi="Arial Narrow"/>
                <w:b/>
                <w:sz w:val="18"/>
                <w:szCs w:val="18"/>
              </w:rPr>
              <w:t>Restriction type:</w:t>
            </w:r>
          </w:p>
          <w:p w:rsidR="007F3658" w:rsidRPr="0018096E" w:rsidRDefault="007F3658" w:rsidP="00322378">
            <w:pPr>
              <w:rPr>
                <w:rFonts w:ascii="Arial Narrow" w:eastAsia="Calibri" w:hAnsi="Arial Narrow"/>
                <w:color w:val="FF00FF"/>
                <w:sz w:val="18"/>
                <w:szCs w:val="18"/>
              </w:rPr>
            </w:pPr>
            <w:r w:rsidRPr="0018096E">
              <w:rPr>
                <w:rFonts w:ascii="Arial Narrow" w:eastAsia="Calibri" w:hAnsi="Arial Narrow"/>
                <w:sz w:val="18"/>
                <w:szCs w:val="18"/>
              </w:rPr>
              <w:fldChar w:fldCharType="begin">
                <w:ffData>
                  <w:name w:val=""/>
                  <w:enabled/>
                  <w:calcOnExit w:val="0"/>
                  <w:checkBox>
                    <w:sizeAuto/>
                    <w:default w:val="1"/>
                  </w:checkBox>
                </w:ffData>
              </w:fldChar>
            </w:r>
            <w:r w:rsidRPr="0018096E">
              <w:rPr>
                <w:rFonts w:ascii="Arial Narrow" w:eastAsia="Calibri" w:hAnsi="Arial Narrow"/>
                <w:sz w:val="18"/>
                <w:szCs w:val="18"/>
              </w:rPr>
              <w:instrText xml:space="preserve"> FORMCHECKBOX </w:instrText>
            </w:r>
            <w:r w:rsidR="00AA7D9B">
              <w:rPr>
                <w:rFonts w:ascii="Arial Narrow" w:eastAsia="Calibri" w:hAnsi="Arial Narrow"/>
                <w:sz w:val="18"/>
                <w:szCs w:val="18"/>
              </w:rPr>
            </w:r>
            <w:r w:rsidR="00AA7D9B">
              <w:rPr>
                <w:rFonts w:ascii="Arial Narrow" w:eastAsia="Calibri" w:hAnsi="Arial Narrow"/>
                <w:sz w:val="18"/>
                <w:szCs w:val="18"/>
              </w:rPr>
              <w:fldChar w:fldCharType="separate"/>
            </w:r>
            <w:r w:rsidRPr="0018096E">
              <w:rPr>
                <w:rFonts w:ascii="Arial Narrow" w:eastAsia="Calibri" w:hAnsi="Arial Narrow"/>
                <w:sz w:val="18"/>
                <w:szCs w:val="18"/>
              </w:rPr>
              <w:fldChar w:fldCharType="end"/>
            </w:r>
            <w:r w:rsidRPr="0018096E">
              <w:rPr>
                <w:rFonts w:ascii="Arial Narrow" w:eastAsia="Calibri" w:hAnsi="Arial Narrow"/>
                <w:sz w:val="18"/>
                <w:szCs w:val="18"/>
              </w:rPr>
              <w:t xml:space="preserve">Authority Required – </w:t>
            </w:r>
            <w:r w:rsidR="00322378" w:rsidRPr="0018096E">
              <w:rPr>
                <w:rFonts w:ascii="Arial Narrow" w:eastAsia="Calibri" w:hAnsi="Arial Narrow"/>
                <w:sz w:val="18"/>
                <w:szCs w:val="18"/>
              </w:rPr>
              <w:t>Immediate/real time assessment</w:t>
            </w:r>
            <w:r w:rsidRPr="0018096E">
              <w:rPr>
                <w:rFonts w:ascii="Arial Narrow" w:eastAsia="Calibri" w:hAnsi="Arial Narrow"/>
                <w:sz w:val="18"/>
                <w:szCs w:val="18"/>
              </w:rPr>
              <w:t xml:space="preserve"> (</w:t>
            </w:r>
            <w:r w:rsidR="00322378" w:rsidRPr="0018096E">
              <w:rPr>
                <w:rFonts w:ascii="Arial Narrow" w:eastAsia="Calibri" w:hAnsi="Arial Narrow"/>
                <w:sz w:val="18"/>
                <w:szCs w:val="18"/>
              </w:rPr>
              <w:t>telephone/onli</w:t>
            </w:r>
            <w:r w:rsidRPr="0018096E">
              <w:rPr>
                <w:rFonts w:ascii="Arial Narrow" w:eastAsia="Calibri" w:hAnsi="Arial Narrow"/>
                <w:sz w:val="18"/>
                <w:szCs w:val="18"/>
              </w:rPr>
              <w:t>ne) [new/existing code]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tcPr>
          <w:p w:rsidR="00685158" w:rsidRPr="0018096E" w:rsidRDefault="00685158" w:rsidP="00417613">
            <w:pPr>
              <w:rPr>
                <w:rFonts w:ascii="Arial Narrow" w:hAnsi="Arial Narrow"/>
                <w:bCs/>
                <w:color w:val="333333"/>
                <w:sz w:val="18"/>
                <w:szCs w:val="18"/>
              </w:rPr>
            </w:pPr>
            <w:r w:rsidRPr="0018096E">
              <w:rPr>
                <w:rFonts w:ascii="Arial Narrow" w:hAnsi="Arial Narrow"/>
                <w:b/>
                <w:bCs/>
                <w:color w:val="333333"/>
                <w:sz w:val="18"/>
                <w:szCs w:val="18"/>
              </w:rPr>
              <w:t xml:space="preserve">Episodicity: </w:t>
            </w:r>
            <w:r w:rsidRPr="0018096E">
              <w:rPr>
                <w:rFonts w:ascii="Arial Narrow" w:hAnsi="Arial Narrow"/>
                <w:bCs/>
                <w:color w:val="333333"/>
                <w:sz w:val="18"/>
                <w:szCs w:val="18"/>
              </w:rPr>
              <w:t>Chronic</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tcPr>
          <w:p w:rsidR="00685158" w:rsidRPr="0018096E" w:rsidRDefault="00685158" w:rsidP="00417613">
            <w:pPr>
              <w:rPr>
                <w:rFonts w:ascii="Arial Narrow" w:hAnsi="Arial Narrow"/>
                <w:b/>
                <w:bCs/>
                <w:color w:val="333333"/>
                <w:sz w:val="18"/>
                <w:szCs w:val="18"/>
              </w:rPr>
            </w:pPr>
            <w:r w:rsidRPr="0018096E">
              <w:rPr>
                <w:rFonts w:ascii="Arial Narrow" w:hAnsi="Arial Narrow"/>
                <w:b/>
                <w:bCs/>
                <w:color w:val="333333"/>
                <w:sz w:val="18"/>
                <w:szCs w:val="18"/>
              </w:rPr>
              <w:t xml:space="preserve">Severity: </w:t>
            </w:r>
            <w:r w:rsidRPr="0018096E">
              <w:rPr>
                <w:rFonts w:ascii="Arial Narrow" w:hAnsi="Arial Narrow"/>
                <w:bCs/>
                <w:color w:val="333333"/>
                <w:sz w:val="18"/>
                <w:szCs w:val="18"/>
              </w:rPr>
              <w:t>Severe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tcPr>
          <w:p w:rsidR="00685158" w:rsidRPr="0018096E" w:rsidRDefault="00685158" w:rsidP="00417613">
            <w:pPr>
              <w:rPr>
                <w:rFonts w:ascii="Arial Narrow" w:hAnsi="Arial Narrow"/>
                <w:b/>
                <w:bCs/>
                <w:color w:val="333333"/>
                <w:sz w:val="18"/>
                <w:szCs w:val="18"/>
              </w:rPr>
            </w:pPr>
            <w:r w:rsidRPr="0018096E">
              <w:rPr>
                <w:rFonts w:ascii="Arial Narrow" w:hAnsi="Arial Narrow"/>
                <w:b/>
                <w:bCs/>
                <w:color w:val="333333"/>
                <w:sz w:val="18"/>
                <w:szCs w:val="18"/>
              </w:rPr>
              <w:t xml:space="preserve">Condition: </w:t>
            </w:r>
            <w:r w:rsidRPr="0018096E">
              <w:rPr>
                <w:rFonts w:ascii="Arial Narrow" w:hAnsi="Arial Narrow"/>
                <w:bCs/>
                <w:color w:val="333333"/>
                <w:sz w:val="18"/>
                <w:szCs w:val="18"/>
              </w:rPr>
              <w:t>Dry eye disease with keratitis</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18096E">
            <w:pPr>
              <w:rPr>
                <w:rFonts w:ascii="Arial Narrow" w:hAnsi="Arial Narrow"/>
                <w:color w:val="333333"/>
                <w:sz w:val="18"/>
                <w:szCs w:val="18"/>
              </w:rPr>
            </w:pPr>
            <w:r w:rsidRPr="0018096E">
              <w:rPr>
                <w:rFonts w:ascii="Arial Narrow" w:hAnsi="Arial Narrow"/>
                <w:b/>
                <w:bCs/>
                <w:color w:val="333333"/>
                <w:sz w:val="18"/>
                <w:szCs w:val="18"/>
              </w:rPr>
              <w:t>Indication:</w:t>
            </w:r>
            <w:r w:rsidRPr="0018096E">
              <w:rPr>
                <w:rFonts w:ascii="Arial Narrow" w:hAnsi="Arial Narrow"/>
                <w:color w:val="333333"/>
                <w:sz w:val="18"/>
                <w:szCs w:val="18"/>
              </w:rPr>
              <w:t xml:space="preserve"> Chronic severe keratitis associated with dry eye disease</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18096E">
            <w:pPr>
              <w:rPr>
                <w:rFonts w:ascii="Arial Narrow" w:hAnsi="Arial Narrow"/>
                <w:sz w:val="18"/>
                <w:szCs w:val="18"/>
              </w:rPr>
            </w:pPr>
            <w:r w:rsidRPr="0018096E">
              <w:rPr>
                <w:rFonts w:ascii="Arial Narrow" w:hAnsi="Arial Narrow"/>
                <w:b/>
                <w:bCs/>
                <w:color w:val="333333"/>
                <w:sz w:val="18"/>
                <w:szCs w:val="18"/>
              </w:rPr>
              <w:t>Treatment Phase:</w:t>
            </w:r>
            <w:r w:rsidRPr="0018096E">
              <w:rPr>
                <w:rFonts w:ascii="Arial Narrow" w:hAnsi="Arial Narrow"/>
                <w:color w:val="333333"/>
                <w:sz w:val="18"/>
                <w:szCs w:val="18"/>
              </w:rPr>
              <w:t xml:space="preserve"> </w:t>
            </w:r>
            <w:r w:rsidRPr="0018096E">
              <w:rPr>
                <w:rFonts w:ascii="Arial Narrow" w:hAnsi="Arial Narrow"/>
                <w:sz w:val="18"/>
                <w:szCs w:val="18"/>
              </w:rPr>
              <w:t xml:space="preserve">Initial treatment </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rPr>
                <w:rFonts w:ascii="Arial Narrow" w:hAnsi="Arial Narrow"/>
                <w:color w:val="FF00FF"/>
                <w:sz w:val="18"/>
                <w:szCs w:val="18"/>
              </w:rPr>
            </w:pPr>
            <w:r w:rsidRPr="0018096E">
              <w:rPr>
                <w:rFonts w:ascii="Arial Narrow" w:hAnsi="Arial Narrow"/>
                <w:b/>
                <w:bCs/>
                <w:color w:val="333333"/>
                <w:sz w:val="18"/>
                <w:szCs w:val="18"/>
              </w:rPr>
              <w:t>Clinical criteria:</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18096E">
            <w:pPr>
              <w:rPr>
                <w:rFonts w:ascii="Arial Narrow" w:hAnsi="Arial Narrow"/>
                <w:color w:val="333333"/>
                <w:sz w:val="18"/>
                <w:szCs w:val="18"/>
              </w:rPr>
            </w:pPr>
            <w:r w:rsidRPr="0018096E">
              <w:rPr>
                <w:rFonts w:ascii="Arial Narrow" w:hAnsi="Arial Narrow"/>
                <w:color w:val="333333"/>
                <w:sz w:val="18"/>
                <w:szCs w:val="18"/>
              </w:rPr>
              <w:t>Patient must have a corneal fluorescein staining (CFS) grade of 4 using the modified Oxford scale or equivalent</w:t>
            </w:r>
          </w:p>
        </w:tc>
      </w:tr>
      <w:tr w:rsidR="00D82C63"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18096E" w:rsidRDefault="00D82C63" w:rsidP="00417613">
            <w:pPr>
              <w:jc w:val="center"/>
              <w:rPr>
                <w:rFonts w:ascii="Arial Narrow" w:hAnsi="Arial Narrow"/>
                <w:color w:val="333333"/>
                <w:sz w:val="18"/>
                <w:szCs w:val="18"/>
              </w:rPr>
            </w:pPr>
          </w:p>
        </w:tc>
        <w:tc>
          <w:tcPr>
            <w:tcW w:w="8086" w:type="dxa"/>
            <w:gridSpan w:val="6"/>
            <w:vAlign w:val="center"/>
          </w:tcPr>
          <w:p w:rsidR="00D82C63" w:rsidRPr="0018096E" w:rsidRDefault="00D82C63" w:rsidP="00417613">
            <w:pPr>
              <w:rPr>
                <w:rFonts w:ascii="Arial Narrow" w:hAnsi="Arial Narrow"/>
                <w:b/>
                <w:bCs/>
                <w:color w:val="333333"/>
                <w:sz w:val="18"/>
                <w:szCs w:val="18"/>
              </w:rPr>
            </w:pPr>
            <w:r w:rsidRPr="0018096E">
              <w:rPr>
                <w:rFonts w:ascii="Arial Narrow" w:hAnsi="Arial Narrow"/>
                <w:b/>
                <w:bCs/>
                <w:color w:val="333333"/>
                <w:sz w:val="18"/>
                <w:szCs w:val="18"/>
              </w:rPr>
              <w:t>AND</w:t>
            </w:r>
          </w:p>
        </w:tc>
      </w:tr>
      <w:tr w:rsidR="00D82C63"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18096E" w:rsidRDefault="00D82C63" w:rsidP="00417613">
            <w:pPr>
              <w:jc w:val="center"/>
              <w:rPr>
                <w:rFonts w:ascii="Arial Narrow" w:hAnsi="Arial Narrow"/>
                <w:color w:val="333333"/>
                <w:sz w:val="18"/>
                <w:szCs w:val="18"/>
              </w:rPr>
            </w:pPr>
          </w:p>
        </w:tc>
        <w:tc>
          <w:tcPr>
            <w:tcW w:w="8086" w:type="dxa"/>
            <w:gridSpan w:val="6"/>
            <w:vAlign w:val="center"/>
          </w:tcPr>
          <w:p w:rsidR="00D82C63" w:rsidRPr="0018096E" w:rsidRDefault="00D82C63" w:rsidP="00417613">
            <w:pPr>
              <w:rPr>
                <w:rFonts w:ascii="Arial Narrow" w:hAnsi="Arial Narrow"/>
                <w:b/>
                <w:bCs/>
                <w:color w:val="333333"/>
                <w:sz w:val="18"/>
                <w:szCs w:val="18"/>
              </w:rPr>
            </w:pPr>
            <w:r w:rsidRPr="0018096E">
              <w:rPr>
                <w:rFonts w:ascii="Arial Narrow" w:hAnsi="Arial Narrow"/>
                <w:b/>
                <w:bCs/>
                <w:color w:val="333333"/>
                <w:sz w:val="18"/>
                <w:szCs w:val="18"/>
              </w:rPr>
              <w:t>Clinical criteria:</w:t>
            </w:r>
          </w:p>
        </w:tc>
      </w:tr>
      <w:tr w:rsidR="00D82C63"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18096E" w:rsidRDefault="00D82C63" w:rsidP="00417613">
            <w:pPr>
              <w:jc w:val="center"/>
              <w:rPr>
                <w:rFonts w:ascii="Arial Narrow" w:hAnsi="Arial Narrow"/>
                <w:color w:val="333333"/>
                <w:sz w:val="18"/>
                <w:szCs w:val="18"/>
              </w:rPr>
            </w:pPr>
          </w:p>
        </w:tc>
        <w:tc>
          <w:tcPr>
            <w:tcW w:w="8086" w:type="dxa"/>
            <w:gridSpan w:val="6"/>
            <w:vAlign w:val="center"/>
          </w:tcPr>
          <w:p w:rsidR="00D82C63" w:rsidRPr="0018096E" w:rsidRDefault="0018096E" w:rsidP="0018096E">
            <w:pPr>
              <w:rPr>
                <w:rFonts w:ascii="Arial Narrow" w:hAnsi="Arial Narrow"/>
                <w:bCs/>
                <w:color w:val="333333"/>
                <w:sz w:val="18"/>
                <w:szCs w:val="18"/>
              </w:rPr>
            </w:pPr>
            <w:r w:rsidRPr="0018096E">
              <w:rPr>
                <w:rFonts w:ascii="Arial Narrow" w:hAnsi="Arial Narrow"/>
                <w:bCs/>
                <w:color w:val="333333"/>
                <w:sz w:val="18"/>
                <w:szCs w:val="18"/>
              </w:rPr>
              <w:t>Patient</w:t>
            </w:r>
            <w:r w:rsidR="00D82C63" w:rsidRPr="0018096E">
              <w:rPr>
                <w:rFonts w:ascii="Arial Narrow" w:hAnsi="Arial Narrow"/>
                <w:bCs/>
                <w:color w:val="333333"/>
                <w:sz w:val="18"/>
                <w:szCs w:val="18"/>
              </w:rPr>
              <w:t xml:space="preserve"> must have an ocular surface disease index (OSDI) of at least 23</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rPr>
                <w:rFonts w:ascii="Arial Narrow" w:hAnsi="Arial Narrow"/>
                <w:color w:val="333333"/>
                <w:sz w:val="18"/>
                <w:szCs w:val="18"/>
              </w:rPr>
            </w:pPr>
            <w:r w:rsidRPr="0018096E">
              <w:rPr>
                <w:rFonts w:ascii="Arial Narrow" w:hAnsi="Arial Narrow"/>
                <w:b/>
                <w:bCs/>
                <w:color w:val="333333"/>
                <w:sz w:val="18"/>
                <w:szCs w:val="18"/>
              </w:rPr>
              <w:t>AND</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rPr>
                <w:rFonts w:ascii="Arial Narrow" w:hAnsi="Arial Narrow"/>
                <w:color w:val="333333"/>
                <w:sz w:val="18"/>
                <w:szCs w:val="18"/>
              </w:rPr>
            </w:pPr>
            <w:r w:rsidRPr="0018096E">
              <w:rPr>
                <w:rFonts w:ascii="Arial Narrow" w:hAnsi="Arial Narrow"/>
                <w:b/>
                <w:bCs/>
                <w:color w:val="333333"/>
                <w:sz w:val="18"/>
                <w:szCs w:val="18"/>
              </w:rPr>
              <w:t>Clinical criteria:</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BC48E7" w:rsidRPr="0018096E" w:rsidRDefault="00685158" w:rsidP="00BC48E7">
            <w:pPr>
              <w:rPr>
                <w:rFonts w:ascii="Arial Narrow" w:hAnsi="Arial Narrow"/>
                <w:color w:val="333333"/>
                <w:sz w:val="18"/>
                <w:szCs w:val="18"/>
              </w:rPr>
            </w:pPr>
            <w:r w:rsidRPr="0018096E">
              <w:rPr>
                <w:rFonts w:ascii="Arial Narrow" w:hAnsi="Arial Narrow"/>
                <w:color w:val="333333"/>
                <w:sz w:val="18"/>
                <w:szCs w:val="18"/>
              </w:rPr>
              <w:t xml:space="preserve">The condition must not be adequately controlled </w:t>
            </w:r>
            <w:r w:rsidR="00BC48E7" w:rsidRPr="0018096E">
              <w:rPr>
                <w:rFonts w:ascii="Arial Narrow" w:hAnsi="Arial Narrow"/>
                <w:color w:val="333333"/>
                <w:sz w:val="18"/>
                <w:szCs w:val="18"/>
              </w:rPr>
              <w:t xml:space="preserve">by monotherapy with a </w:t>
            </w:r>
            <w:r w:rsidRPr="0018096E">
              <w:rPr>
                <w:rFonts w:ascii="Arial Narrow" w:hAnsi="Arial Narrow"/>
                <w:color w:val="333333"/>
                <w:sz w:val="18"/>
                <w:szCs w:val="18"/>
              </w:rPr>
              <w:t>preservative free</w:t>
            </w:r>
            <w:r w:rsidR="00BC48E7" w:rsidRPr="0018096E">
              <w:rPr>
                <w:rFonts w:ascii="Arial Narrow" w:hAnsi="Arial Narrow"/>
                <w:color w:val="333333"/>
                <w:sz w:val="18"/>
                <w:szCs w:val="18"/>
              </w:rPr>
              <w:t xml:space="preserve"> artificial</w:t>
            </w:r>
            <w:r w:rsidRPr="0018096E">
              <w:rPr>
                <w:rFonts w:ascii="Arial Narrow" w:hAnsi="Arial Narrow"/>
                <w:color w:val="333333"/>
                <w:sz w:val="18"/>
                <w:szCs w:val="18"/>
              </w:rPr>
              <w:t xml:space="preserve"> tear substitute</w:t>
            </w:r>
          </w:p>
        </w:tc>
      </w:tr>
      <w:tr w:rsidR="0018096E"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18096E" w:rsidRPr="0018096E" w:rsidRDefault="0018096E" w:rsidP="0018096E">
            <w:pPr>
              <w:jc w:val="center"/>
              <w:rPr>
                <w:rFonts w:ascii="Arial Narrow" w:hAnsi="Arial Narrow"/>
                <w:color w:val="333333"/>
                <w:sz w:val="18"/>
                <w:szCs w:val="18"/>
              </w:rPr>
            </w:pPr>
          </w:p>
        </w:tc>
        <w:tc>
          <w:tcPr>
            <w:tcW w:w="8086" w:type="dxa"/>
            <w:gridSpan w:val="6"/>
            <w:vAlign w:val="center"/>
          </w:tcPr>
          <w:p w:rsidR="0018096E" w:rsidRPr="0018096E" w:rsidRDefault="0018096E" w:rsidP="0018096E">
            <w:pPr>
              <w:rPr>
                <w:rFonts w:ascii="Arial Narrow" w:hAnsi="Arial Narrow"/>
                <w:color w:val="333333"/>
                <w:sz w:val="18"/>
                <w:szCs w:val="18"/>
              </w:rPr>
            </w:pPr>
            <w:r w:rsidRPr="0018096E">
              <w:rPr>
                <w:rFonts w:ascii="Arial Narrow" w:hAnsi="Arial Narrow"/>
                <w:b/>
                <w:bCs/>
                <w:color w:val="333333"/>
                <w:sz w:val="18"/>
                <w:szCs w:val="18"/>
              </w:rPr>
              <w:t>AND</w:t>
            </w:r>
          </w:p>
        </w:tc>
      </w:tr>
      <w:tr w:rsidR="0018096E"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18096E" w:rsidRPr="0018096E" w:rsidRDefault="0018096E" w:rsidP="0018096E">
            <w:pPr>
              <w:jc w:val="center"/>
              <w:rPr>
                <w:rFonts w:ascii="Arial Narrow" w:hAnsi="Arial Narrow"/>
                <w:color w:val="333333"/>
                <w:sz w:val="18"/>
                <w:szCs w:val="18"/>
              </w:rPr>
            </w:pPr>
          </w:p>
        </w:tc>
        <w:tc>
          <w:tcPr>
            <w:tcW w:w="8086" w:type="dxa"/>
            <w:gridSpan w:val="6"/>
            <w:vAlign w:val="center"/>
          </w:tcPr>
          <w:p w:rsidR="0018096E" w:rsidRPr="0018096E" w:rsidRDefault="0018096E" w:rsidP="0018096E">
            <w:pPr>
              <w:rPr>
                <w:rFonts w:ascii="Arial Narrow" w:hAnsi="Arial Narrow"/>
                <w:color w:val="333333"/>
                <w:sz w:val="18"/>
                <w:szCs w:val="18"/>
              </w:rPr>
            </w:pPr>
            <w:r w:rsidRPr="0018096E">
              <w:rPr>
                <w:rFonts w:ascii="Arial Narrow" w:hAnsi="Arial Narrow"/>
                <w:b/>
                <w:bCs/>
                <w:color w:val="333333"/>
                <w:sz w:val="18"/>
                <w:szCs w:val="18"/>
              </w:rPr>
              <w:t>Clinical criteria:</w:t>
            </w:r>
          </w:p>
        </w:tc>
      </w:tr>
      <w:tr w:rsidR="0018096E"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18096E" w:rsidRPr="0018096E" w:rsidRDefault="0018096E" w:rsidP="00417613">
            <w:pPr>
              <w:jc w:val="center"/>
              <w:rPr>
                <w:rFonts w:ascii="Arial Narrow" w:hAnsi="Arial Narrow"/>
                <w:color w:val="333333"/>
                <w:sz w:val="18"/>
                <w:szCs w:val="18"/>
              </w:rPr>
            </w:pPr>
          </w:p>
        </w:tc>
        <w:tc>
          <w:tcPr>
            <w:tcW w:w="8086" w:type="dxa"/>
            <w:gridSpan w:val="6"/>
            <w:vAlign w:val="center"/>
          </w:tcPr>
          <w:p w:rsidR="0018096E" w:rsidRPr="0018096E" w:rsidRDefault="0018096E" w:rsidP="00BC48E7">
            <w:pPr>
              <w:rPr>
                <w:rFonts w:ascii="Arial Narrow" w:hAnsi="Arial Narrow"/>
                <w:color w:val="333333"/>
                <w:sz w:val="18"/>
                <w:szCs w:val="18"/>
              </w:rPr>
            </w:pPr>
            <w:r w:rsidRPr="0018096E">
              <w:rPr>
                <w:rFonts w:ascii="Arial Narrow" w:hAnsi="Arial Narrow"/>
                <w:color w:val="333333"/>
                <w:sz w:val="18"/>
                <w:szCs w:val="18"/>
              </w:rPr>
              <w:t>The treatment must be in combination with a preservative free artificial substitute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rPr>
                <w:rFonts w:ascii="Arial Narrow" w:hAnsi="Arial Narrow"/>
                <w:color w:val="333333"/>
                <w:sz w:val="18"/>
                <w:szCs w:val="18"/>
              </w:rPr>
            </w:pPr>
            <w:r w:rsidRPr="0018096E">
              <w:rPr>
                <w:rFonts w:ascii="Arial Narrow" w:hAnsi="Arial Narrow"/>
                <w:b/>
                <w:bCs/>
                <w:color w:val="333333"/>
                <w:sz w:val="18"/>
                <w:szCs w:val="18"/>
              </w:rPr>
              <w:t>Treatment criteria:</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autoSpaceDE w:val="0"/>
              <w:autoSpaceDN w:val="0"/>
              <w:adjustRightInd w:val="0"/>
              <w:rPr>
                <w:rFonts w:ascii="Arial Narrow" w:hAnsi="Arial Narrow" w:cs="Arial Narrow"/>
                <w:iCs/>
                <w:sz w:val="18"/>
                <w:szCs w:val="18"/>
              </w:rPr>
            </w:pPr>
            <w:r w:rsidRPr="0018096E">
              <w:rPr>
                <w:rFonts w:ascii="Arial Narrow" w:hAnsi="Arial Narrow" w:cs="Arial Narrow"/>
                <w:iCs/>
                <w:sz w:val="18"/>
                <w:szCs w:val="18"/>
              </w:rPr>
              <w:t>Must be treated by an ophthalmologist or an optometrist</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rPr>
                <w:rFonts w:ascii="Arial Narrow" w:hAnsi="Arial Narrow"/>
                <w:color w:val="333333"/>
                <w:sz w:val="18"/>
                <w:szCs w:val="18"/>
              </w:rPr>
            </w:pPr>
            <w:r w:rsidRPr="0018096E">
              <w:rPr>
                <w:rFonts w:ascii="Arial Narrow" w:hAnsi="Arial Narrow"/>
                <w:b/>
                <w:bCs/>
                <w:color w:val="333333"/>
                <w:sz w:val="18"/>
                <w:szCs w:val="18"/>
              </w:rPr>
              <w:t>Population criteria:</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hideMark/>
          </w:tcPr>
          <w:p w:rsidR="00685158" w:rsidRPr="0018096E" w:rsidRDefault="00685158" w:rsidP="00417613">
            <w:pPr>
              <w:rPr>
                <w:rFonts w:ascii="Arial Narrow" w:hAnsi="Arial Narrow"/>
                <w:color w:val="333333"/>
                <w:sz w:val="18"/>
                <w:szCs w:val="18"/>
              </w:rPr>
            </w:pPr>
            <w:r w:rsidRPr="0018096E">
              <w:rPr>
                <w:rFonts w:ascii="Arial Narrow" w:hAnsi="Arial Narrow"/>
                <w:color w:val="333333"/>
                <w:sz w:val="18"/>
                <w:szCs w:val="18"/>
              </w:rPr>
              <w:t>Patient must be 18 years or older</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18096E" w:rsidRDefault="00685158" w:rsidP="00417613">
            <w:pPr>
              <w:jc w:val="center"/>
              <w:rPr>
                <w:rFonts w:ascii="Arial Narrow" w:hAnsi="Arial Narrow"/>
                <w:color w:val="333333"/>
                <w:sz w:val="18"/>
                <w:szCs w:val="18"/>
              </w:rPr>
            </w:pPr>
          </w:p>
        </w:tc>
        <w:tc>
          <w:tcPr>
            <w:tcW w:w="8086" w:type="dxa"/>
            <w:gridSpan w:val="6"/>
            <w:vAlign w:val="center"/>
          </w:tcPr>
          <w:p w:rsidR="00685158" w:rsidRPr="0018096E" w:rsidRDefault="00685158" w:rsidP="00417613">
            <w:pPr>
              <w:rPr>
                <w:rFonts w:ascii="Arial Narrow" w:hAnsi="Arial Narrow"/>
                <w:b/>
                <w:bCs/>
                <w:color w:val="333333"/>
                <w:sz w:val="18"/>
                <w:szCs w:val="18"/>
              </w:rPr>
            </w:pPr>
            <w:r w:rsidRPr="0018096E">
              <w:rPr>
                <w:rFonts w:ascii="Arial Narrow" w:hAnsi="Arial Narrow"/>
                <w:b/>
                <w:bCs/>
                <w:color w:val="333333"/>
                <w:sz w:val="18"/>
                <w:szCs w:val="18"/>
              </w:rPr>
              <w:t>Prescribing Instructions:</w:t>
            </w:r>
          </w:p>
          <w:p w:rsidR="00685158" w:rsidRPr="0018096E" w:rsidRDefault="00685158" w:rsidP="00417613">
            <w:pPr>
              <w:rPr>
                <w:rFonts w:ascii="Arial Narrow" w:hAnsi="Arial Narrow"/>
                <w:sz w:val="18"/>
                <w:szCs w:val="18"/>
              </w:rPr>
            </w:pPr>
            <w:r w:rsidRPr="0018096E">
              <w:rPr>
                <w:rFonts w:ascii="Arial Narrow" w:hAnsi="Arial Narrow"/>
                <w:sz w:val="18"/>
                <w:szCs w:val="18"/>
              </w:rPr>
              <w:t xml:space="preserve">The modified Oxford scale is a chart system that aims to facilitate consistent and objective grading of stain coverage, which involves a visual inspection of the patient’s eye and comparing against the illustrations included in the chart to establish grade [include link here]. </w:t>
            </w:r>
          </w:p>
        </w:tc>
      </w:tr>
    </w:tbl>
    <w:p w:rsidR="00685158" w:rsidRPr="005C333D" w:rsidRDefault="00685158" w:rsidP="00685158">
      <w:pPr>
        <w:rPr>
          <w:rFonts w:ascii="Arial Narrow" w:hAnsi="Arial Narrow"/>
          <w:strike/>
          <w:sz w:val="18"/>
          <w:szCs w:val="18"/>
        </w:rPr>
      </w:pPr>
    </w:p>
    <w:p w:rsidR="00685158" w:rsidRPr="005C333D" w:rsidRDefault="00685158" w:rsidP="00685158">
      <w:pPr>
        <w:rPr>
          <w:rFonts w:ascii="Arial Narrow" w:hAnsi="Arial Narrow"/>
          <w:strike/>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851"/>
        <w:gridCol w:w="708"/>
        <w:gridCol w:w="1701"/>
      </w:tblGrid>
      <w:tr w:rsidR="00685158" w:rsidRPr="005C333D" w:rsidTr="00417613">
        <w:trPr>
          <w:cantSplit/>
          <w:trHeight w:val="471"/>
        </w:trPr>
        <w:tc>
          <w:tcPr>
            <w:tcW w:w="3964" w:type="dxa"/>
            <w:gridSpan w:val="2"/>
          </w:tcPr>
          <w:p w:rsidR="00685158" w:rsidRPr="009F2746" w:rsidRDefault="00685158" w:rsidP="005A496B">
            <w:pPr>
              <w:keepNext/>
              <w:keepLines/>
              <w:ind w:left="22"/>
              <w:rPr>
                <w:rFonts w:ascii="Arial Narrow" w:hAnsi="Arial Narrow"/>
                <w:b/>
                <w:bCs/>
                <w:sz w:val="18"/>
                <w:szCs w:val="18"/>
              </w:rPr>
            </w:pPr>
            <w:r w:rsidRPr="009F2746">
              <w:rPr>
                <w:rFonts w:ascii="Arial Narrow" w:hAnsi="Arial Narrow"/>
                <w:b/>
                <w:bCs/>
                <w:sz w:val="18"/>
                <w:szCs w:val="18"/>
              </w:rPr>
              <w:t>MEDICINAL PRODUCT</w:t>
            </w:r>
          </w:p>
          <w:p w:rsidR="00685158" w:rsidRPr="009F2746" w:rsidRDefault="00685158" w:rsidP="005A496B">
            <w:pPr>
              <w:keepNext/>
              <w:keepLines/>
              <w:ind w:left="22"/>
              <w:rPr>
                <w:rFonts w:ascii="Arial Narrow" w:hAnsi="Arial Narrow"/>
                <w:b/>
                <w:sz w:val="18"/>
                <w:szCs w:val="18"/>
              </w:rPr>
            </w:pPr>
            <w:r w:rsidRPr="009F2746">
              <w:rPr>
                <w:rFonts w:ascii="Arial Narrow" w:hAnsi="Arial Narrow"/>
                <w:b/>
                <w:bCs/>
                <w:sz w:val="18"/>
                <w:szCs w:val="18"/>
              </w:rPr>
              <w:t>medicinal product pack</w:t>
            </w:r>
          </w:p>
        </w:tc>
        <w:tc>
          <w:tcPr>
            <w:tcW w:w="993" w:type="dxa"/>
          </w:tcPr>
          <w:p w:rsidR="00685158" w:rsidRPr="009F2746" w:rsidRDefault="00685158" w:rsidP="005A496B">
            <w:pPr>
              <w:keepNext/>
              <w:keepLines/>
              <w:ind w:left="-108"/>
              <w:jc w:val="center"/>
              <w:rPr>
                <w:rFonts w:ascii="Arial Narrow" w:hAnsi="Arial Narrow"/>
                <w:b/>
                <w:sz w:val="18"/>
                <w:szCs w:val="18"/>
              </w:rPr>
            </w:pPr>
            <w:r w:rsidRPr="009F2746">
              <w:rPr>
                <w:rFonts w:ascii="Arial Narrow" w:hAnsi="Arial Narrow"/>
                <w:b/>
                <w:sz w:val="18"/>
                <w:szCs w:val="18"/>
              </w:rPr>
              <w:t>PBS item code</w:t>
            </w:r>
          </w:p>
        </w:tc>
        <w:tc>
          <w:tcPr>
            <w:tcW w:w="850" w:type="dxa"/>
          </w:tcPr>
          <w:p w:rsidR="00685158" w:rsidRPr="009F2746" w:rsidRDefault="00685158" w:rsidP="005A496B">
            <w:pPr>
              <w:keepNext/>
              <w:keepLines/>
              <w:ind w:left="-108"/>
              <w:jc w:val="center"/>
              <w:rPr>
                <w:rFonts w:ascii="Arial Narrow" w:hAnsi="Arial Narrow"/>
                <w:b/>
                <w:sz w:val="18"/>
                <w:szCs w:val="18"/>
              </w:rPr>
            </w:pPr>
            <w:r w:rsidRPr="009F2746">
              <w:rPr>
                <w:rFonts w:ascii="Arial Narrow" w:hAnsi="Arial Narrow"/>
                <w:b/>
                <w:sz w:val="18"/>
                <w:szCs w:val="18"/>
              </w:rPr>
              <w:t>Max. qty packs</w:t>
            </w:r>
          </w:p>
        </w:tc>
        <w:tc>
          <w:tcPr>
            <w:tcW w:w="851" w:type="dxa"/>
          </w:tcPr>
          <w:p w:rsidR="00685158" w:rsidRPr="009F2746" w:rsidRDefault="00685158" w:rsidP="005A496B">
            <w:pPr>
              <w:keepNext/>
              <w:keepLines/>
              <w:ind w:left="-108"/>
              <w:jc w:val="center"/>
              <w:rPr>
                <w:rFonts w:ascii="Arial Narrow" w:hAnsi="Arial Narrow"/>
                <w:b/>
                <w:sz w:val="18"/>
                <w:szCs w:val="18"/>
              </w:rPr>
            </w:pPr>
            <w:r w:rsidRPr="009F2746">
              <w:rPr>
                <w:rFonts w:ascii="Arial Narrow" w:hAnsi="Arial Narrow"/>
                <w:b/>
                <w:sz w:val="18"/>
                <w:szCs w:val="18"/>
              </w:rPr>
              <w:t>Max. qty units</w:t>
            </w:r>
          </w:p>
        </w:tc>
        <w:tc>
          <w:tcPr>
            <w:tcW w:w="708" w:type="dxa"/>
          </w:tcPr>
          <w:p w:rsidR="00685158" w:rsidRPr="009F2746" w:rsidRDefault="00685158" w:rsidP="005A496B">
            <w:pPr>
              <w:keepNext/>
              <w:keepLines/>
              <w:ind w:left="-108"/>
              <w:jc w:val="center"/>
              <w:rPr>
                <w:rFonts w:ascii="Arial Narrow" w:hAnsi="Arial Narrow"/>
                <w:b/>
                <w:sz w:val="18"/>
                <w:szCs w:val="18"/>
              </w:rPr>
            </w:pPr>
            <w:r w:rsidRPr="009F2746">
              <w:rPr>
                <w:rFonts w:ascii="Arial Narrow" w:hAnsi="Arial Narrow"/>
                <w:b/>
                <w:sz w:val="18"/>
                <w:szCs w:val="18"/>
              </w:rPr>
              <w:t>№.of</w:t>
            </w:r>
          </w:p>
          <w:p w:rsidR="00685158" w:rsidRPr="009F2746" w:rsidRDefault="00685158" w:rsidP="005A496B">
            <w:pPr>
              <w:keepNext/>
              <w:keepLines/>
              <w:ind w:left="-108"/>
              <w:jc w:val="center"/>
              <w:rPr>
                <w:rFonts w:ascii="Arial Narrow" w:hAnsi="Arial Narrow"/>
                <w:b/>
                <w:sz w:val="18"/>
                <w:szCs w:val="18"/>
              </w:rPr>
            </w:pPr>
            <w:r w:rsidRPr="009F2746">
              <w:rPr>
                <w:rFonts w:ascii="Arial Narrow" w:hAnsi="Arial Narrow"/>
                <w:b/>
                <w:sz w:val="18"/>
                <w:szCs w:val="18"/>
              </w:rPr>
              <w:t>Rpts</w:t>
            </w:r>
          </w:p>
        </w:tc>
        <w:tc>
          <w:tcPr>
            <w:tcW w:w="1701" w:type="dxa"/>
          </w:tcPr>
          <w:p w:rsidR="00685158" w:rsidRPr="009F2746" w:rsidRDefault="00685158" w:rsidP="005A496B">
            <w:pPr>
              <w:keepNext/>
              <w:keepLines/>
              <w:rPr>
                <w:rFonts w:ascii="Arial Narrow" w:hAnsi="Arial Narrow"/>
                <w:b/>
                <w:sz w:val="18"/>
                <w:szCs w:val="18"/>
              </w:rPr>
            </w:pPr>
            <w:r w:rsidRPr="009F2746">
              <w:rPr>
                <w:rFonts w:ascii="Arial Narrow" w:hAnsi="Arial Narrow"/>
                <w:b/>
                <w:sz w:val="18"/>
                <w:szCs w:val="18"/>
              </w:rPr>
              <w:t>Available brands</w:t>
            </w:r>
          </w:p>
        </w:tc>
      </w:tr>
      <w:tr w:rsidR="00685158" w:rsidRPr="005C333D" w:rsidTr="00417613">
        <w:trPr>
          <w:cantSplit/>
          <w:trHeight w:val="224"/>
        </w:trPr>
        <w:tc>
          <w:tcPr>
            <w:tcW w:w="9067" w:type="dxa"/>
            <w:gridSpan w:val="7"/>
          </w:tcPr>
          <w:p w:rsidR="00685158" w:rsidRPr="009F2746" w:rsidRDefault="00685158" w:rsidP="005A496B">
            <w:pPr>
              <w:keepNext/>
              <w:keepLines/>
              <w:ind w:left="22"/>
              <w:rPr>
                <w:rFonts w:ascii="Arial Narrow" w:hAnsi="Arial Narrow"/>
                <w:sz w:val="18"/>
                <w:szCs w:val="18"/>
              </w:rPr>
            </w:pPr>
            <w:r w:rsidRPr="009F2746">
              <w:rPr>
                <w:rFonts w:ascii="Arial Narrow" w:hAnsi="Arial Narrow"/>
                <w:sz w:val="18"/>
                <w:szCs w:val="18"/>
              </w:rPr>
              <w:t xml:space="preserve">CICLOSPORIN  </w:t>
            </w:r>
          </w:p>
        </w:tc>
      </w:tr>
      <w:tr w:rsidR="00685158" w:rsidRPr="005C333D" w:rsidTr="00D82C63">
        <w:trPr>
          <w:cantSplit/>
          <w:trHeight w:val="327"/>
        </w:trPr>
        <w:tc>
          <w:tcPr>
            <w:tcW w:w="3964" w:type="dxa"/>
            <w:gridSpan w:val="2"/>
          </w:tcPr>
          <w:p w:rsidR="00685158" w:rsidRPr="009F2746" w:rsidRDefault="00685158" w:rsidP="005A496B">
            <w:pPr>
              <w:keepNext/>
              <w:keepLines/>
              <w:ind w:left="22"/>
              <w:rPr>
                <w:rFonts w:ascii="Arial Narrow" w:hAnsi="Arial Narrow"/>
                <w:sz w:val="18"/>
                <w:szCs w:val="18"/>
              </w:rPr>
            </w:pPr>
            <w:r w:rsidRPr="009F2746">
              <w:rPr>
                <w:rFonts w:ascii="Arial Narrow" w:hAnsi="Arial Narrow"/>
                <w:sz w:val="18"/>
                <w:szCs w:val="18"/>
              </w:rPr>
              <w:t>ciclosporin 0.1% eye drops, 30 x 0.3 mL unit doses</w:t>
            </w:r>
          </w:p>
        </w:tc>
        <w:tc>
          <w:tcPr>
            <w:tcW w:w="993" w:type="dxa"/>
          </w:tcPr>
          <w:p w:rsidR="00685158" w:rsidRPr="009F2746" w:rsidRDefault="00685158" w:rsidP="005A496B">
            <w:pPr>
              <w:keepNext/>
              <w:keepLines/>
              <w:jc w:val="center"/>
              <w:rPr>
                <w:rFonts w:ascii="Arial Narrow" w:hAnsi="Arial Narrow"/>
                <w:sz w:val="18"/>
                <w:szCs w:val="18"/>
              </w:rPr>
            </w:pPr>
            <w:r w:rsidRPr="009F2746">
              <w:rPr>
                <w:rFonts w:ascii="Arial Narrow" w:hAnsi="Arial Narrow"/>
                <w:sz w:val="18"/>
                <w:szCs w:val="18"/>
              </w:rPr>
              <w:t>NEW</w:t>
            </w:r>
          </w:p>
        </w:tc>
        <w:tc>
          <w:tcPr>
            <w:tcW w:w="850" w:type="dxa"/>
          </w:tcPr>
          <w:p w:rsidR="00685158" w:rsidRPr="009F2746" w:rsidRDefault="00685158" w:rsidP="005A496B">
            <w:pPr>
              <w:keepNext/>
              <w:keepLines/>
              <w:jc w:val="center"/>
              <w:rPr>
                <w:rFonts w:ascii="Arial Narrow" w:hAnsi="Arial Narrow"/>
                <w:sz w:val="18"/>
                <w:szCs w:val="18"/>
              </w:rPr>
            </w:pPr>
            <w:r w:rsidRPr="009F2746">
              <w:rPr>
                <w:rFonts w:ascii="Arial Narrow" w:hAnsi="Arial Narrow"/>
                <w:sz w:val="18"/>
                <w:szCs w:val="18"/>
              </w:rPr>
              <w:t>1</w:t>
            </w:r>
          </w:p>
        </w:tc>
        <w:tc>
          <w:tcPr>
            <w:tcW w:w="851" w:type="dxa"/>
          </w:tcPr>
          <w:p w:rsidR="00685158" w:rsidRPr="009F2746" w:rsidRDefault="00685158" w:rsidP="005A496B">
            <w:pPr>
              <w:keepNext/>
              <w:keepLines/>
              <w:jc w:val="center"/>
              <w:rPr>
                <w:rFonts w:ascii="Arial Narrow" w:hAnsi="Arial Narrow"/>
                <w:sz w:val="18"/>
                <w:szCs w:val="18"/>
              </w:rPr>
            </w:pPr>
            <w:r w:rsidRPr="009F2746">
              <w:rPr>
                <w:rFonts w:ascii="Arial Narrow" w:hAnsi="Arial Narrow"/>
                <w:sz w:val="18"/>
                <w:szCs w:val="18"/>
              </w:rPr>
              <w:t>30</w:t>
            </w:r>
          </w:p>
        </w:tc>
        <w:tc>
          <w:tcPr>
            <w:tcW w:w="708" w:type="dxa"/>
          </w:tcPr>
          <w:p w:rsidR="00685158" w:rsidRPr="009F2746" w:rsidRDefault="00685158" w:rsidP="005A496B">
            <w:pPr>
              <w:keepNext/>
              <w:keepLines/>
              <w:jc w:val="center"/>
              <w:rPr>
                <w:rFonts w:ascii="Arial Narrow" w:hAnsi="Arial Narrow"/>
                <w:sz w:val="18"/>
                <w:szCs w:val="18"/>
              </w:rPr>
            </w:pPr>
            <w:r w:rsidRPr="009F2746">
              <w:rPr>
                <w:rFonts w:ascii="Arial Narrow" w:hAnsi="Arial Narrow"/>
                <w:sz w:val="18"/>
                <w:szCs w:val="18"/>
              </w:rPr>
              <w:t>5</w:t>
            </w:r>
          </w:p>
        </w:tc>
        <w:tc>
          <w:tcPr>
            <w:tcW w:w="1701" w:type="dxa"/>
          </w:tcPr>
          <w:p w:rsidR="00685158" w:rsidRPr="009F2746" w:rsidRDefault="00685158" w:rsidP="005A496B">
            <w:pPr>
              <w:keepNext/>
              <w:keepLines/>
              <w:rPr>
                <w:rFonts w:ascii="Arial Narrow" w:hAnsi="Arial Narrow"/>
                <w:sz w:val="18"/>
                <w:szCs w:val="18"/>
              </w:rPr>
            </w:pPr>
            <w:r w:rsidRPr="009F2746">
              <w:rPr>
                <w:rFonts w:ascii="Arial Narrow" w:hAnsi="Arial Narrow"/>
                <w:sz w:val="18"/>
                <w:szCs w:val="18"/>
              </w:rPr>
              <w:t>Ikervis</w:t>
            </w:r>
            <w:r w:rsidRPr="009F2746">
              <w:rPr>
                <w:rFonts w:ascii="Arial Narrow" w:hAnsi="Arial Narrow"/>
                <w:sz w:val="18"/>
                <w:szCs w:val="18"/>
                <w:vertAlign w:val="superscript"/>
              </w:rPr>
              <w:t>®</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685158" w:rsidRPr="009F2746" w:rsidRDefault="00685158" w:rsidP="005A496B">
            <w:pPr>
              <w:keepNext/>
              <w:keepLines/>
              <w:rPr>
                <w:rFonts w:ascii="Arial Narrow" w:hAnsi="Arial Narrow"/>
                <w:b/>
                <w:sz w:val="18"/>
                <w:szCs w:val="18"/>
              </w:rPr>
            </w:pP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685158" w:rsidRPr="009F2746" w:rsidRDefault="00685158" w:rsidP="005A496B">
            <w:pPr>
              <w:keepNext/>
              <w:keepLines/>
              <w:ind w:left="57"/>
              <w:rPr>
                <w:rFonts w:ascii="Arial Narrow" w:hAnsi="Arial Narrow"/>
                <w:b/>
                <w:sz w:val="18"/>
                <w:szCs w:val="18"/>
              </w:rPr>
            </w:pPr>
            <w:r w:rsidRPr="009F2746">
              <w:rPr>
                <w:rFonts w:ascii="Arial Narrow" w:hAnsi="Arial Narrow"/>
                <w:b/>
                <w:sz w:val="18"/>
                <w:szCs w:val="18"/>
              </w:rPr>
              <w:t>Restriction Summary [new] / Treatment of Concept: [new]</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685158" w:rsidRPr="009F2746" w:rsidRDefault="00685158" w:rsidP="005A496B">
            <w:pPr>
              <w:keepNext/>
              <w:keepLines/>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685158" w:rsidRPr="009F2746" w:rsidRDefault="00685158" w:rsidP="005A496B">
            <w:pPr>
              <w:keepNext/>
              <w:keepLines/>
              <w:rPr>
                <w:rFonts w:ascii="Arial Narrow" w:hAnsi="Arial Narrow"/>
                <w:sz w:val="18"/>
                <w:szCs w:val="18"/>
              </w:rPr>
            </w:pPr>
            <w:r w:rsidRPr="009F2746">
              <w:rPr>
                <w:rFonts w:ascii="Arial Narrow" w:hAnsi="Arial Narrow"/>
                <w:b/>
                <w:sz w:val="18"/>
                <w:szCs w:val="18"/>
              </w:rPr>
              <w:t xml:space="preserve">Category / Program:   </w:t>
            </w:r>
            <w:r w:rsidRPr="009F2746">
              <w:rPr>
                <w:rFonts w:ascii="Arial Narrow" w:hAnsi="Arial Narrow"/>
                <w:sz w:val="18"/>
                <w:szCs w:val="18"/>
              </w:rPr>
              <w:t>GENERAL – General Schedule (Code GE)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685158" w:rsidRPr="009F2746" w:rsidRDefault="00685158" w:rsidP="005A496B">
            <w:pPr>
              <w:keepNext/>
              <w:keepLines/>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685158" w:rsidRPr="009F2746" w:rsidRDefault="00685158" w:rsidP="005A496B">
            <w:pPr>
              <w:keepNext/>
              <w:keepLines/>
              <w:rPr>
                <w:rFonts w:ascii="Arial Narrow" w:hAnsi="Arial Narrow"/>
                <w:b/>
                <w:sz w:val="18"/>
                <w:szCs w:val="18"/>
              </w:rPr>
            </w:pPr>
            <w:r w:rsidRPr="009F2746">
              <w:rPr>
                <w:rFonts w:ascii="Arial Narrow" w:hAnsi="Arial Narrow"/>
                <w:b/>
                <w:sz w:val="18"/>
                <w:szCs w:val="18"/>
              </w:rPr>
              <w:t xml:space="preserve">Prescriber type:   </w:t>
            </w:r>
            <w:r w:rsidRPr="009F2746">
              <w:rPr>
                <w:rFonts w:ascii="Arial Narrow" w:hAnsi="Arial Narrow"/>
                <w:sz w:val="18"/>
                <w:szCs w:val="18"/>
              </w:rPr>
              <w:fldChar w:fldCharType="begin">
                <w:ffData>
                  <w:name w:val=""/>
                  <w:enabled/>
                  <w:calcOnExit w:val="0"/>
                  <w:checkBox>
                    <w:sizeAuto/>
                    <w:default w:val="1"/>
                  </w:checkBox>
                </w:ffData>
              </w:fldChar>
            </w:r>
            <w:r w:rsidRPr="009F2746">
              <w:rPr>
                <w:rFonts w:ascii="Arial Narrow" w:hAnsi="Arial Narrow"/>
                <w:sz w:val="18"/>
                <w:szCs w:val="18"/>
              </w:rPr>
              <w:instrText xml:space="preserve"> FORMCHECKBOX </w:instrText>
            </w:r>
            <w:r w:rsidR="00AA7D9B">
              <w:rPr>
                <w:rFonts w:ascii="Arial Narrow" w:hAnsi="Arial Narrow"/>
                <w:sz w:val="18"/>
                <w:szCs w:val="18"/>
              </w:rPr>
            </w:r>
            <w:r w:rsidR="00AA7D9B">
              <w:rPr>
                <w:rFonts w:ascii="Arial Narrow" w:hAnsi="Arial Narrow"/>
                <w:sz w:val="18"/>
                <w:szCs w:val="18"/>
              </w:rPr>
              <w:fldChar w:fldCharType="separate"/>
            </w:r>
            <w:r w:rsidRPr="009F2746">
              <w:rPr>
                <w:rFonts w:ascii="Arial Narrow" w:hAnsi="Arial Narrow"/>
                <w:sz w:val="18"/>
                <w:szCs w:val="18"/>
              </w:rPr>
              <w:fldChar w:fldCharType="end"/>
            </w:r>
            <w:r w:rsidRPr="009F2746">
              <w:rPr>
                <w:rFonts w:ascii="Arial Narrow" w:hAnsi="Arial Narrow"/>
                <w:sz w:val="18"/>
                <w:szCs w:val="18"/>
              </w:rPr>
              <w:t xml:space="preserve">Medical Practitioners   </w:t>
            </w:r>
            <w:r w:rsidRPr="009F2746">
              <w:rPr>
                <w:rFonts w:ascii="Arial Narrow" w:hAnsi="Arial Narrow"/>
                <w:sz w:val="18"/>
                <w:szCs w:val="18"/>
              </w:rPr>
              <w:fldChar w:fldCharType="begin">
                <w:ffData>
                  <w:name w:val=""/>
                  <w:enabled/>
                  <w:calcOnExit w:val="0"/>
                  <w:checkBox>
                    <w:sizeAuto/>
                    <w:default w:val="1"/>
                  </w:checkBox>
                </w:ffData>
              </w:fldChar>
            </w:r>
            <w:r w:rsidRPr="009F2746">
              <w:rPr>
                <w:rFonts w:ascii="Arial Narrow" w:hAnsi="Arial Narrow"/>
                <w:sz w:val="18"/>
                <w:szCs w:val="18"/>
              </w:rPr>
              <w:instrText xml:space="preserve"> FORMCHECKBOX </w:instrText>
            </w:r>
            <w:r w:rsidR="00AA7D9B">
              <w:rPr>
                <w:rFonts w:ascii="Arial Narrow" w:hAnsi="Arial Narrow"/>
                <w:sz w:val="18"/>
                <w:szCs w:val="18"/>
              </w:rPr>
            </w:r>
            <w:r w:rsidR="00AA7D9B">
              <w:rPr>
                <w:rFonts w:ascii="Arial Narrow" w:hAnsi="Arial Narrow"/>
                <w:sz w:val="18"/>
                <w:szCs w:val="18"/>
              </w:rPr>
              <w:fldChar w:fldCharType="separate"/>
            </w:r>
            <w:r w:rsidRPr="009F2746">
              <w:rPr>
                <w:rFonts w:ascii="Arial Narrow" w:hAnsi="Arial Narrow"/>
                <w:sz w:val="18"/>
                <w:szCs w:val="18"/>
              </w:rPr>
              <w:fldChar w:fldCharType="end"/>
            </w:r>
            <w:r w:rsidRPr="009F2746">
              <w:rPr>
                <w:rFonts w:ascii="Arial Narrow" w:hAnsi="Arial Narrow"/>
                <w:sz w:val="18"/>
                <w:szCs w:val="18"/>
              </w:rPr>
              <w:t xml:space="preserve">Optometrists </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685158" w:rsidRPr="009F2746" w:rsidRDefault="00685158" w:rsidP="005A496B">
            <w:pPr>
              <w:keepNext/>
              <w:keepLines/>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rsidR="00685158" w:rsidRPr="009F2746" w:rsidRDefault="00685158" w:rsidP="005A496B">
            <w:pPr>
              <w:keepNext/>
              <w:keepLines/>
              <w:rPr>
                <w:rFonts w:ascii="Arial Narrow" w:hAnsi="Arial Narrow"/>
                <w:b/>
                <w:sz w:val="18"/>
                <w:szCs w:val="18"/>
              </w:rPr>
            </w:pPr>
            <w:r w:rsidRPr="009F2746">
              <w:rPr>
                <w:rFonts w:ascii="Arial Narrow" w:hAnsi="Arial Narrow"/>
                <w:b/>
                <w:sz w:val="18"/>
                <w:szCs w:val="18"/>
              </w:rPr>
              <w:t>Restriction type:</w:t>
            </w:r>
          </w:p>
          <w:p w:rsidR="00685158" w:rsidRPr="009F2746" w:rsidRDefault="00685158" w:rsidP="005A496B">
            <w:pPr>
              <w:keepNext/>
              <w:keepLines/>
              <w:rPr>
                <w:rFonts w:ascii="Arial Narrow" w:eastAsia="Calibri" w:hAnsi="Arial Narrow"/>
                <w:color w:val="FF00FF"/>
                <w:sz w:val="18"/>
                <w:szCs w:val="18"/>
              </w:rPr>
            </w:pPr>
            <w:r w:rsidRPr="009F2746">
              <w:rPr>
                <w:rFonts w:ascii="Arial Narrow" w:eastAsia="Calibri" w:hAnsi="Arial Narrow"/>
                <w:sz w:val="18"/>
                <w:szCs w:val="18"/>
              </w:rPr>
              <w:fldChar w:fldCharType="begin">
                <w:ffData>
                  <w:name w:val=""/>
                  <w:enabled/>
                  <w:calcOnExit w:val="0"/>
                  <w:checkBox>
                    <w:sizeAuto/>
                    <w:default w:val="1"/>
                  </w:checkBox>
                </w:ffData>
              </w:fldChar>
            </w:r>
            <w:r w:rsidRPr="009F2746">
              <w:rPr>
                <w:rFonts w:ascii="Arial Narrow" w:eastAsia="Calibri" w:hAnsi="Arial Narrow"/>
                <w:sz w:val="18"/>
                <w:szCs w:val="18"/>
              </w:rPr>
              <w:instrText xml:space="preserve"> FORMCHECKBOX </w:instrText>
            </w:r>
            <w:r w:rsidR="00AA7D9B">
              <w:rPr>
                <w:rFonts w:ascii="Arial Narrow" w:eastAsia="Calibri" w:hAnsi="Arial Narrow"/>
                <w:sz w:val="18"/>
                <w:szCs w:val="18"/>
              </w:rPr>
            </w:r>
            <w:r w:rsidR="00AA7D9B">
              <w:rPr>
                <w:rFonts w:ascii="Arial Narrow" w:eastAsia="Calibri" w:hAnsi="Arial Narrow"/>
                <w:sz w:val="18"/>
                <w:szCs w:val="18"/>
              </w:rPr>
              <w:fldChar w:fldCharType="separate"/>
            </w:r>
            <w:r w:rsidRPr="009F2746">
              <w:rPr>
                <w:rFonts w:ascii="Arial Narrow" w:eastAsia="Calibri" w:hAnsi="Arial Narrow"/>
                <w:sz w:val="18"/>
                <w:szCs w:val="18"/>
              </w:rPr>
              <w:fldChar w:fldCharType="end"/>
            </w:r>
            <w:r w:rsidRPr="009F2746">
              <w:rPr>
                <w:rFonts w:ascii="Arial Narrow" w:eastAsia="Calibri" w:hAnsi="Arial Narrow"/>
                <w:sz w:val="18"/>
                <w:szCs w:val="18"/>
              </w:rPr>
              <w:t>Authority Required – Streamlined [new/existing code]</w:t>
            </w:r>
            <w:r w:rsidRPr="009F2746">
              <w:rPr>
                <w:rFonts w:ascii="Arial Narrow" w:eastAsia="Calibri" w:hAnsi="Arial Narrow"/>
                <w:color w:val="FF00FF"/>
                <w:sz w:val="18"/>
                <w:szCs w:val="18"/>
              </w:rPr>
              <w:t xml:space="preserve"> </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restart"/>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tcPr>
          <w:p w:rsidR="00685158" w:rsidRPr="009F2746" w:rsidRDefault="00685158" w:rsidP="005A496B">
            <w:pPr>
              <w:keepNext/>
              <w:keepLines/>
              <w:rPr>
                <w:rFonts w:ascii="Arial Narrow" w:hAnsi="Arial Narrow"/>
                <w:bCs/>
                <w:color w:val="333333"/>
                <w:sz w:val="18"/>
                <w:szCs w:val="18"/>
              </w:rPr>
            </w:pPr>
            <w:r w:rsidRPr="009F2746">
              <w:rPr>
                <w:rFonts w:ascii="Arial Narrow" w:hAnsi="Arial Narrow"/>
                <w:b/>
                <w:bCs/>
                <w:color w:val="333333"/>
                <w:sz w:val="18"/>
                <w:szCs w:val="18"/>
              </w:rPr>
              <w:t xml:space="preserve">Episodicity: </w:t>
            </w:r>
            <w:r w:rsidRPr="009F2746">
              <w:rPr>
                <w:rFonts w:ascii="Arial Narrow" w:hAnsi="Arial Narrow"/>
                <w:bCs/>
                <w:color w:val="333333"/>
                <w:sz w:val="18"/>
                <w:szCs w:val="18"/>
              </w:rPr>
              <w:t>Chronic</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tcPr>
          <w:p w:rsidR="00685158" w:rsidRPr="009F2746" w:rsidRDefault="00685158" w:rsidP="005A496B">
            <w:pPr>
              <w:keepNext/>
              <w:keepLines/>
              <w:rPr>
                <w:rFonts w:ascii="Arial Narrow" w:hAnsi="Arial Narrow"/>
                <w:b/>
                <w:bCs/>
                <w:color w:val="333333"/>
                <w:sz w:val="18"/>
                <w:szCs w:val="18"/>
              </w:rPr>
            </w:pPr>
            <w:r w:rsidRPr="009F2746">
              <w:rPr>
                <w:rFonts w:ascii="Arial Narrow" w:hAnsi="Arial Narrow"/>
                <w:b/>
                <w:bCs/>
                <w:color w:val="333333"/>
                <w:sz w:val="18"/>
                <w:szCs w:val="18"/>
              </w:rPr>
              <w:t xml:space="preserve">Severity: </w:t>
            </w:r>
            <w:r w:rsidRPr="009F2746">
              <w:rPr>
                <w:rFonts w:ascii="Arial Narrow" w:hAnsi="Arial Narrow"/>
                <w:bCs/>
                <w:color w:val="333333"/>
                <w:sz w:val="18"/>
                <w:szCs w:val="18"/>
              </w:rPr>
              <w:t>Severe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Merge/>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tcPr>
          <w:p w:rsidR="00685158" w:rsidRPr="009F2746" w:rsidRDefault="00685158" w:rsidP="005A496B">
            <w:pPr>
              <w:keepNext/>
              <w:keepLines/>
              <w:rPr>
                <w:rFonts w:ascii="Arial Narrow" w:hAnsi="Arial Narrow"/>
                <w:b/>
                <w:bCs/>
                <w:color w:val="333333"/>
                <w:sz w:val="18"/>
                <w:szCs w:val="18"/>
              </w:rPr>
            </w:pPr>
            <w:r w:rsidRPr="009F2746">
              <w:rPr>
                <w:rFonts w:ascii="Arial Narrow" w:hAnsi="Arial Narrow"/>
                <w:b/>
                <w:bCs/>
                <w:color w:val="333333"/>
                <w:sz w:val="18"/>
                <w:szCs w:val="18"/>
              </w:rPr>
              <w:t xml:space="preserve">Condition: </w:t>
            </w:r>
            <w:r w:rsidRPr="009F2746">
              <w:rPr>
                <w:rFonts w:ascii="Arial Narrow" w:hAnsi="Arial Narrow"/>
                <w:bCs/>
                <w:color w:val="333333"/>
                <w:sz w:val="18"/>
                <w:szCs w:val="18"/>
              </w:rPr>
              <w:t>Dry eye disease with keratitis</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sz w:val="18"/>
                <w:szCs w:val="18"/>
              </w:rPr>
            </w:pPr>
            <w:r w:rsidRPr="009F2746">
              <w:rPr>
                <w:rFonts w:ascii="Arial Narrow" w:hAnsi="Arial Narrow"/>
                <w:b/>
                <w:bCs/>
                <w:color w:val="333333"/>
                <w:sz w:val="18"/>
                <w:szCs w:val="18"/>
              </w:rPr>
              <w:t>Indication:</w:t>
            </w:r>
            <w:r w:rsidRPr="009F2746">
              <w:rPr>
                <w:rFonts w:ascii="Arial Narrow" w:hAnsi="Arial Narrow"/>
                <w:color w:val="333333"/>
                <w:sz w:val="18"/>
                <w:szCs w:val="18"/>
              </w:rPr>
              <w:t xml:space="preserve"> </w:t>
            </w:r>
            <w:r w:rsidRPr="009F2746">
              <w:rPr>
                <w:rFonts w:ascii="Arial Narrow" w:hAnsi="Arial Narrow"/>
                <w:sz w:val="18"/>
                <w:szCs w:val="18"/>
              </w:rPr>
              <w:t xml:space="preserve">Chronic severe keratitis with dry eye disease </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sz w:val="18"/>
                <w:szCs w:val="18"/>
              </w:rPr>
            </w:pPr>
            <w:r w:rsidRPr="009F2746">
              <w:rPr>
                <w:rFonts w:ascii="Arial Narrow" w:hAnsi="Arial Narrow"/>
                <w:b/>
                <w:bCs/>
                <w:color w:val="333333"/>
                <w:sz w:val="18"/>
                <w:szCs w:val="18"/>
              </w:rPr>
              <w:t>Treatment Phase:</w:t>
            </w:r>
            <w:r w:rsidRPr="009F2746">
              <w:rPr>
                <w:rFonts w:ascii="Arial Narrow" w:hAnsi="Arial Narrow"/>
                <w:color w:val="333333"/>
                <w:sz w:val="18"/>
                <w:szCs w:val="18"/>
              </w:rPr>
              <w:t xml:space="preserve"> Continuing Treatment</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color w:val="FF00FF"/>
                <w:sz w:val="18"/>
                <w:szCs w:val="18"/>
              </w:rPr>
            </w:pPr>
            <w:r w:rsidRPr="009F2746">
              <w:rPr>
                <w:rFonts w:ascii="Arial Narrow" w:hAnsi="Arial Narrow"/>
                <w:b/>
                <w:bCs/>
                <w:color w:val="333333"/>
                <w:sz w:val="18"/>
                <w:szCs w:val="18"/>
              </w:rPr>
              <w:t xml:space="preserve">Clinical criteria: </w:t>
            </w:r>
          </w:p>
        </w:tc>
      </w:tr>
      <w:tr w:rsidR="00D82C63"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9F2746" w:rsidRDefault="00D82C63" w:rsidP="005A496B">
            <w:pPr>
              <w:keepNext/>
              <w:keepLines/>
              <w:jc w:val="center"/>
              <w:rPr>
                <w:rFonts w:ascii="Arial Narrow" w:hAnsi="Arial Narrow"/>
                <w:color w:val="333333"/>
                <w:sz w:val="18"/>
                <w:szCs w:val="18"/>
              </w:rPr>
            </w:pPr>
          </w:p>
        </w:tc>
        <w:tc>
          <w:tcPr>
            <w:tcW w:w="8086" w:type="dxa"/>
            <w:gridSpan w:val="6"/>
            <w:vAlign w:val="center"/>
          </w:tcPr>
          <w:p w:rsidR="00D82C63" w:rsidRPr="009F2746" w:rsidRDefault="00D82C63" w:rsidP="005A496B">
            <w:pPr>
              <w:keepNext/>
              <w:keepLines/>
              <w:rPr>
                <w:rFonts w:ascii="Arial Narrow" w:hAnsi="Arial Narrow"/>
                <w:color w:val="333333"/>
                <w:sz w:val="18"/>
                <w:szCs w:val="18"/>
              </w:rPr>
            </w:pPr>
            <w:r w:rsidRPr="009F2746">
              <w:rPr>
                <w:rFonts w:ascii="Arial Narrow" w:hAnsi="Arial Narrow"/>
                <w:color w:val="333333"/>
                <w:sz w:val="18"/>
                <w:szCs w:val="18"/>
              </w:rPr>
              <w:t>Patient must have received PBS-subsidised treatment with this drug for this condition</w:t>
            </w:r>
          </w:p>
        </w:tc>
      </w:tr>
      <w:tr w:rsidR="00D82C63"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9F2746" w:rsidRDefault="00D82C63" w:rsidP="005A496B">
            <w:pPr>
              <w:keepNext/>
              <w:keepLines/>
              <w:jc w:val="center"/>
              <w:rPr>
                <w:rFonts w:ascii="Arial Narrow" w:hAnsi="Arial Narrow"/>
                <w:color w:val="333333"/>
                <w:sz w:val="18"/>
                <w:szCs w:val="18"/>
              </w:rPr>
            </w:pPr>
          </w:p>
        </w:tc>
        <w:tc>
          <w:tcPr>
            <w:tcW w:w="8086" w:type="dxa"/>
            <w:gridSpan w:val="6"/>
            <w:vAlign w:val="center"/>
          </w:tcPr>
          <w:p w:rsidR="00D82C63" w:rsidRPr="009F2746" w:rsidRDefault="00D82C63" w:rsidP="005A496B">
            <w:pPr>
              <w:keepNext/>
              <w:keepLines/>
              <w:rPr>
                <w:rFonts w:ascii="Arial Narrow" w:hAnsi="Arial Narrow"/>
                <w:b/>
                <w:bCs/>
                <w:color w:val="333333"/>
                <w:sz w:val="18"/>
                <w:szCs w:val="18"/>
              </w:rPr>
            </w:pPr>
            <w:r w:rsidRPr="009F2746">
              <w:rPr>
                <w:rFonts w:ascii="Arial Narrow" w:hAnsi="Arial Narrow"/>
                <w:b/>
                <w:bCs/>
                <w:color w:val="333333"/>
                <w:sz w:val="18"/>
                <w:szCs w:val="18"/>
              </w:rPr>
              <w:t>AND</w:t>
            </w:r>
          </w:p>
        </w:tc>
      </w:tr>
      <w:tr w:rsidR="00D82C63"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9F2746" w:rsidRDefault="00D82C63" w:rsidP="005A496B">
            <w:pPr>
              <w:keepNext/>
              <w:keepLines/>
              <w:jc w:val="center"/>
              <w:rPr>
                <w:rFonts w:ascii="Arial Narrow" w:hAnsi="Arial Narrow"/>
                <w:color w:val="333333"/>
                <w:sz w:val="18"/>
                <w:szCs w:val="18"/>
              </w:rPr>
            </w:pPr>
          </w:p>
        </w:tc>
        <w:tc>
          <w:tcPr>
            <w:tcW w:w="8086" w:type="dxa"/>
            <w:gridSpan w:val="6"/>
            <w:vAlign w:val="center"/>
            <w:hideMark/>
          </w:tcPr>
          <w:p w:rsidR="00D82C63" w:rsidRPr="009F2746" w:rsidRDefault="00D82C63" w:rsidP="005A496B">
            <w:pPr>
              <w:keepNext/>
              <w:keepLines/>
              <w:rPr>
                <w:rFonts w:ascii="Arial Narrow" w:hAnsi="Arial Narrow"/>
                <w:color w:val="FF00FF"/>
                <w:sz w:val="18"/>
                <w:szCs w:val="18"/>
              </w:rPr>
            </w:pPr>
            <w:r w:rsidRPr="009F2746">
              <w:rPr>
                <w:rFonts w:ascii="Arial Narrow" w:hAnsi="Arial Narrow"/>
                <w:b/>
                <w:bCs/>
                <w:color w:val="333333"/>
                <w:sz w:val="18"/>
                <w:szCs w:val="18"/>
              </w:rPr>
              <w:t xml:space="preserve">Clinical criteria: </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color w:val="333333"/>
                <w:sz w:val="18"/>
                <w:szCs w:val="18"/>
              </w:rPr>
            </w:pPr>
            <w:r w:rsidRPr="009F2746">
              <w:rPr>
                <w:rFonts w:ascii="Arial Narrow" w:hAnsi="Arial Narrow"/>
                <w:color w:val="333333"/>
                <w:sz w:val="18"/>
                <w:szCs w:val="18"/>
              </w:rPr>
              <w:t xml:space="preserve">The patient must have demonstrated </w:t>
            </w:r>
            <w:r w:rsidR="00D82C63" w:rsidRPr="009F2746">
              <w:rPr>
                <w:rFonts w:ascii="Arial Narrow" w:hAnsi="Arial Narrow"/>
                <w:color w:val="333333"/>
                <w:sz w:val="18"/>
                <w:szCs w:val="18"/>
              </w:rPr>
              <w:t>a</w:t>
            </w:r>
            <w:r w:rsidRPr="009F2746">
              <w:rPr>
                <w:rFonts w:ascii="Arial Narrow" w:hAnsi="Arial Narrow"/>
                <w:color w:val="333333"/>
                <w:sz w:val="18"/>
                <w:szCs w:val="18"/>
              </w:rPr>
              <w:t xml:space="preserve">n improvement in corneal fluorescein staining of at least 3 from baseline, using the modified Oxford scale or equivalent </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rPr>
                <w:rFonts w:ascii="Arial Narrow" w:hAnsi="Arial Narrow"/>
                <w:color w:val="333333"/>
                <w:sz w:val="18"/>
                <w:szCs w:val="18"/>
              </w:rPr>
            </w:pPr>
          </w:p>
        </w:tc>
        <w:tc>
          <w:tcPr>
            <w:tcW w:w="8086" w:type="dxa"/>
            <w:gridSpan w:val="6"/>
            <w:vAlign w:val="center"/>
          </w:tcPr>
          <w:p w:rsidR="00685158" w:rsidRPr="009F2746" w:rsidRDefault="00685158" w:rsidP="005A496B">
            <w:pPr>
              <w:keepNext/>
              <w:keepLines/>
              <w:rPr>
                <w:rFonts w:ascii="Arial Narrow" w:hAnsi="Arial Narrow"/>
                <w:b/>
                <w:bCs/>
                <w:color w:val="333333"/>
                <w:sz w:val="18"/>
                <w:szCs w:val="18"/>
              </w:rPr>
            </w:pPr>
            <w:r w:rsidRPr="009F2746">
              <w:rPr>
                <w:rFonts w:ascii="Arial Narrow" w:hAnsi="Arial Narrow"/>
                <w:b/>
                <w:bCs/>
                <w:color w:val="333333"/>
                <w:sz w:val="18"/>
                <w:szCs w:val="18"/>
              </w:rPr>
              <w:t>AND</w:t>
            </w:r>
          </w:p>
        </w:tc>
      </w:tr>
      <w:tr w:rsidR="00D82C63"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D82C63" w:rsidRPr="009F2746" w:rsidRDefault="00D82C63" w:rsidP="005A496B">
            <w:pPr>
              <w:keepNext/>
              <w:keepLines/>
              <w:jc w:val="center"/>
              <w:rPr>
                <w:rFonts w:ascii="Arial Narrow" w:hAnsi="Arial Narrow"/>
                <w:color w:val="333333"/>
                <w:sz w:val="18"/>
                <w:szCs w:val="18"/>
              </w:rPr>
            </w:pPr>
          </w:p>
        </w:tc>
        <w:tc>
          <w:tcPr>
            <w:tcW w:w="8086" w:type="dxa"/>
            <w:gridSpan w:val="6"/>
            <w:vAlign w:val="center"/>
            <w:hideMark/>
          </w:tcPr>
          <w:p w:rsidR="00D82C63" w:rsidRPr="009F2746" w:rsidRDefault="00D82C63" w:rsidP="005A496B">
            <w:pPr>
              <w:keepNext/>
              <w:keepLines/>
              <w:rPr>
                <w:rFonts w:ascii="Arial Narrow" w:hAnsi="Arial Narrow"/>
                <w:color w:val="FF00FF"/>
                <w:sz w:val="18"/>
                <w:szCs w:val="18"/>
              </w:rPr>
            </w:pPr>
            <w:r w:rsidRPr="009F2746">
              <w:rPr>
                <w:rFonts w:ascii="Arial Narrow" w:hAnsi="Arial Narrow"/>
                <w:b/>
                <w:bCs/>
                <w:color w:val="333333"/>
                <w:sz w:val="18"/>
                <w:szCs w:val="18"/>
              </w:rPr>
              <w:t xml:space="preserve">Clinical criteria: </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tcPr>
          <w:p w:rsidR="00685158" w:rsidRPr="009F2746" w:rsidRDefault="00685158" w:rsidP="005A496B">
            <w:pPr>
              <w:keepNext/>
              <w:keepLines/>
              <w:rPr>
                <w:rFonts w:ascii="Arial Narrow" w:hAnsi="Arial Narrow"/>
                <w:bCs/>
                <w:color w:val="333333"/>
                <w:sz w:val="18"/>
                <w:szCs w:val="18"/>
              </w:rPr>
            </w:pPr>
            <w:r w:rsidRPr="009F2746">
              <w:rPr>
                <w:rFonts w:ascii="Arial Narrow" w:hAnsi="Arial Narrow"/>
                <w:bCs/>
                <w:color w:val="333333"/>
                <w:sz w:val="18"/>
                <w:szCs w:val="18"/>
              </w:rPr>
              <w:t xml:space="preserve">The patient must have </w:t>
            </w:r>
            <w:r w:rsidR="00D82C63" w:rsidRPr="009F2746">
              <w:rPr>
                <w:rFonts w:ascii="Arial Narrow" w:hAnsi="Arial Narrow"/>
                <w:bCs/>
                <w:color w:val="333333"/>
                <w:sz w:val="18"/>
                <w:szCs w:val="18"/>
              </w:rPr>
              <w:t xml:space="preserve">demonstrated </w:t>
            </w:r>
            <w:r w:rsidRPr="009F2746">
              <w:rPr>
                <w:rFonts w:ascii="Arial Narrow" w:hAnsi="Arial Narrow"/>
                <w:bCs/>
                <w:color w:val="333333"/>
                <w:sz w:val="18"/>
                <w:szCs w:val="18"/>
              </w:rPr>
              <w:t>an improvement in ocular surface disease index (OSDI) of at least 30% compared to baseline.</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color w:val="333333"/>
                <w:sz w:val="18"/>
                <w:szCs w:val="18"/>
              </w:rPr>
            </w:pPr>
            <w:r w:rsidRPr="009F2746">
              <w:rPr>
                <w:rFonts w:ascii="Arial Narrow" w:hAnsi="Arial Narrow"/>
                <w:b/>
                <w:bCs/>
                <w:color w:val="333333"/>
                <w:sz w:val="18"/>
                <w:szCs w:val="18"/>
              </w:rPr>
              <w:t>Treatment criteria:</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autoSpaceDE w:val="0"/>
              <w:autoSpaceDN w:val="0"/>
              <w:adjustRightInd w:val="0"/>
              <w:rPr>
                <w:rFonts w:ascii="Arial Narrow" w:hAnsi="Arial Narrow" w:cs="Arial Narrow"/>
                <w:iCs/>
                <w:sz w:val="18"/>
                <w:szCs w:val="18"/>
              </w:rPr>
            </w:pPr>
            <w:r w:rsidRPr="009F2746">
              <w:rPr>
                <w:rFonts w:ascii="Arial Narrow" w:hAnsi="Arial Narrow" w:cs="Arial Narrow"/>
                <w:iCs/>
                <w:sz w:val="18"/>
                <w:szCs w:val="18"/>
              </w:rPr>
              <w:t xml:space="preserve">Must be treated by an ophthalmologist or an optometrist </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color w:val="333333"/>
                <w:sz w:val="18"/>
                <w:szCs w:val="18"/>
              </w:rPr>
            </w:pPr>
            <w:r w:rsidRPr="009F2746">
              <w:rPr>
                <w:rFonts w:ascii="Arial Narrow" w:hAnsi="Arial Narrow"/>
                <w:b/>
                <w:bCs/>
                <w:color w:val="333333"/>
                <w:sz w:val="18"/>
                <w:szCs w:val="18"/>
              </w:rPr>
              <w:t>Population criteria:</w:t>
            </w:r>
          </w:p>
        </w:tc>
      </w:tr>
      <w:tr w:rsidR="00685158" w:rsidRPr="005C333D" w:rsidTr="00406CD0">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hideMark/>
          </w:tcPr>
          <w:p w:rsidR="00685158" w:rsidRPr="009F2746" w:rsidRDefault="00685158" w:rsidP="005A496B">
            <w:pPr>
              <w:keepNext/>
              <w:keepLines/>
              <w:rPr>
                <w:rFonts w:ascii="Arial Narrow" w:hAnsi="Arial Narrow"/>
                <w:color w:val="333333"/>
                <w:sz w:val="18"/>
                <w:szCs w:val="18"/>
              </w:rPr>
            </w:pPr>
            <w:r w:rsidRPr="009F2746">
              <w:rPr>
                <w:rFonts w:ascii="Arial Narrow" w:hAnsi="Arial Narrow"/>
                <w:color w:val="333333"/>
                <w:sz w:val="18"/>
                <w:szCs w:val="18"/>
              </w:rPr>
              <w:t>Patient must be 18 years or older</w:t>
            </w:r>
          </w:p>
        </w:tc>
      </w:tr>
      <w:tr w:rsidR="00685158" w:rsidRPr="005C333D" w:rsidTr="00417613">
        <w:tblPrEx>
          <w:tblCellMar>
            <w:top w:w="15" w:type="dxa"/>
            <w:left w:w="15" w:type="dxa"/>
            <w:bottom w:w="15" w:type="dxa"/>
            <w:right w:w="15" w:type="dxa"/>
          </w:tblCellMar>
          <w:tblLook w:val="04A0" w:firstRow="1" w:lastRow="0" w:firstColumn="1" w:lastColumn="0" w:noHBand="0" w:noVBand="1"/>
        </w:tblPrEx>
        <w:tc>
          <w:tcPr>
            <w:tcW w:w="981" w:type="dxa"/>
            <w:vAlign w:val="center"/>
          </w:tcPr>
          <w:p w:rsidR="00685158" w:rsidRPr="009F2746" w:rsidRDefault="00685158" w:rsidP="005A496B">
            <w:pPr>
              <w:keepNext/>
              <w:keepLines/>
              <w:jc w:val="center"/>
              <w:rPr>
                <w:rFonts w:ascii="Arial Narrow" w:hAnsi="Arial Narrow"/>
                <w:color w:val="333333"/>
                <w:sz w:val="18"/>
                <w:szCs w:val="18"/>
              </w:rPr>
            </w:pPr>
          </w:p>
        </w:tc>
        <w:tc>
          <w:tcPr>
            <w:tcW w:w="8086" w:type="dxa"/>
            <w:gridSpan w:val="6"/>
            <w:vAlign w:val="center"/>
          </w:tcPr>
          <w:p w:rsidR="00685158" w:rsidRPr="009F2746" w:rsidRDefault="00685158" w:rsidP="005A496B">
            <w:pPr>
              <w:keepNext/>
              <w:keepLines/>
              <w:rPr>
                <w:rFonts w:ascii="Arial Narrow" w:hAnsi="Arial Narrow"/>
                <w:b/>
                <w:bCs/>
                <w:color w:val="333333"/>
                <w:sz w:val="18"/>
                <w:szCs w:val="18"/>
              </w:rPr>
            </w:pPr>
            <w:r w:rsidRPr="009F2746">
              <w:rPr>
                <w:rFonts w:ascii="Arial Narrow" w:hAnsi="Arial Narrow"/>
                <w:b/>
                <w:bCs/>
                <w:color w:val="333333"/>
                <w:sz w:val="18"/>
                <w:szCs w:val="18"/>
              </w:rPr>
              <w:t>Prescribing Instructions:</w:t>
            </w:r>
          </w:p>
          <w:p w:rsidR="00493843" w:rsidRPr="009F2746" w:rsidRDefault="00685158" w:rsidP="005A496B">
            <w:pPr>
              <w:keepNext/>
              <w:keepLines/>
              <w:rPr>
                <w:rFonts w:ascii="Arial Narrow" w:hAnsi="Arial Narrow"/>
                <w:bCs/>
                <w:color w:val="333333"/>
                <w:sz w:val="18"/>
                <w:szCs w:val="18"/>
              </w:rPr>
            </w:pPr>
            <w:r w:rsidRPr="009F2746">
              <w:rPr>
                <w:rFonts w:ascii="Arial Narrow" w:hAnsi="Arial Narrow"/>
                <w:bCs/>
                <w:color w:val="333333"/>
                <w:sz w:val="18"/>
                <w:szCs w:val="18"/>
              </w:rPr>
              <w:t>The modified Oxford scale can be found at [insert link here]</w:t>
            </w:r>
          </w:p>
        </w:tc>
      </w:tr>
      <w:tr w:rsidR="009F2746" w:rsidRPr="005C333D" w:rsidTr="009F2746">
        <w:tblPrEx>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rsidR="009F2746" w:rsidRPr="005C333D" w:rsidRDefault="009F2746" w:rsidP="005A496B">
            <w:pPr>
              <w:keepNext/>
              <w:keepLines/>
              <w:jc w:val="center"/>
              <w:rPr>
                <w:rFonts w:ascii="Arial Narrow" w:hAnsi="Arial Narrow"/>
                <w:color w:val="333333"/>
                <w:sz w:val="18"/>
                <w:szCs w:val="18"/>
              </w:rPr>
            </w:pPr>
          </w:p>
        </w:tc>
        <w:tc>
          <w:tcPr>
            <w:tcW w:w="8086" w:type="dxa"/>
            <w:gridSpan w:val="6"/>
            <w:tcBorders>
              <w:top w:val="single" w:sz="4" w:space="0" w:color="auto"/>
              <w:left w:val="single" w:sz="4" w:space="0" w:color="auto"/>
              <w:bottom w:val="single" w:sz="4" w:space="0" w:color="auto"/>
              <w:right w:val="single" w:sz="4" w:space="0" w:color="auto"/>
            </w:tcBorders>
            <w:vAlign w:val="center"/>
          </w:tcPr>
          <w:p w:rsidR="009F2746" w:rsidRPr="009F2746" w:rsidRDefault="009F2746" w:rsidP="005A496B">
            <w:pPr>
              <w:keepNext/>
              <w:keepLines/>
              <w:rPr>
                <w:rFonts w:ascii="Arial Narrow" w:hAnsi="Arial Narrow"/>
                <w:b/>
                <w:bCs/>
                <w:color w:val="333333"/>
                <w:sz w:val="18"/>
                <w:szCs w:val="18"/>
              </w:rPr>
            </w:pPr>
            <w:r w:rsidRPr="009F2746">
              <w:rPr>
                <w:rFonts w:ascii="Arial Narrow" w:hAnsi="Arial Narrow"/>
                <w:b/>
                <w:bCs/>
                <w:color w:val="333333"/>
                <w:sz w:val="18"/>
                <w:szCs w:val="18"/>
              </w:rPr>
              <w:t>Note:</w:t>
            </w:r>
          </w:p>
          <w:p w:rsidR="009F2746" w:rsidRPr="009F2746" w:rsidRDefault="009F2746" w:rsidP="005A496B">
            <w:pPr>
              <w:keepNext/>
              <w:keepLines/>
              <w:rPr>
                <w:rFonts w:ascii="Arial Narrow" w:hAnsi="Arial Narrow"/>
                <w:bCs/>
                <w:color w:val="333333"/>
                <w:sz w:val="18"/>
                <w:szCs w:val="18"/>
              </w:rPr>
            </w:pPr>
            <w:r>
              <w:rPr>
                <w:rFonts w:ascii="Arial Narrow" w:hAnsi="Arial Narrow"/>
                <w:bCs/>
                <w:color w:val="333333"/>
                <w:sz w:val="18"/>
                <w:szCs w:val="18"/>
              </w:rPr>
              <w:t>It is recommended that treatment should be re-evaluated after 24 months to manage the potential concerns regarding the long term use of ciclosporin and immunosuppression</w:t>
            </w:r>
          </w:p>
        </w:tc>
      </w:tr>
    </w:tbl>
    <w:p w:rsidR="00685158" w:rsidRPr="005C333D" w:rsidRDefault="00685158" w:rsidP="00685158">
      <w:pPr>
        <w:rPr>
          <w:rFonts w:ascii="Arial Narrow" w:hAnsi="Arial Narrow"/>
          <w:b/>
          <w:strike/>
          <w:sz w:val="18"/>
          <w:szCs w:val="18"/>
        </w:rPr>
      </w:pPr>
    </w:p>
    <w:p w:rsidR="00685158" w:rsidRPr="005C333D" w:rsidRDefault="00685158" w:rsidP="00685158">
      <w:pPr>
        <w:widowControl w:val="0"/>
        <w:rPr>
          <w:rFonts w:asciiTheme="minorHAnsi" w:hAnsiTheme="minorHAnsi"/>
          <w:bCs/>
          <w:snapToGrid w:val="0"/>
        </w:rPr>
      </w:pPr>
    </w:p>
    <w:p w:rsidR="00EC4B5B" w:rsidRDefault="009F2746" w:rsidP="00BC0E51">
      <w:pPr>
        <w:jc w:val="left"/>
        <w:rPr>
          <w:b/>
          <w:bCs/>
          <w:i/>
        </w:rPr>
      </w:pPr>
      <w:r w:rsidRPr="002564C4">
        <w:rPr>
          <w:b/>
          <w:bCs/>
          <w:i/>
        </w:rPr>
        <w:t>This restriction may be subject to further review. Should there be any changes made to the restriction the Sponsor will be informed.</w:t>
      </w:r>
      <w:bookmarkEnd w:id="34"/>
    </w:p>
    <w:p w:rsidR="00F7119A" w:rsidRDefault="00F7119A" w:rsidP="00BC0E51">
      <w:pPr>
        <w:jc w:val="left"/>
        <w:rPr>
          <w:b/>
          <w:bCs/>
          <w:i/>
        </w:rPr>
      </w:pPr>
    </w:p>
    <w:p w:rsidR="00F7119A" w:rsidRPr="00F7119A" w:rsidRDefault="00F7119A" w:rsidP="00F7119A">
      <w:pPr>
        <w:pStyle w:val="2-SectionHeading"/>
        <w:keepLines/>
      </w:pPr>
      <w:r w:rsidRPr="00C07617">
        <w:t>Context for Decision</w:t>
      </w:r>
    </w:p>
    <w:p w:rsidR="00F7119A" w:rsidRPr="007129F2" w:rsidRDefault="00F7119A" w:rsidP="00F7119A">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7119A" w:rsidRPr="00F7119A" w:rsidRDefault="00F7119A" w:rsidP="00F7119A">
      <w:pPr>
        <w:pStyle w:val="2-SectionHeading"/>
        <w:keepLines/>
      </w:pPr>
      <w:r>
        <w:t>Sponsor’s Comment</w:t>
      </w:r>
    </w:p>
    <w:p w:rsidR="00F7119A" w:rsidRPr="005C333D" w:rsidRDefault="00B42D62" w:rsidP="00E16F88">
      <w:pPr>
        <w:ind w:left="720"/>
        <w:jc w:val="left"/>
        <w:rPr>
          <w:b/>
          <w:caps/>
          <w:sz w:val="32"/>
        </w:rPr>
      </w:pPr>
      <w:r w:rsidRPr="003638DA">
        <w:rPr>
          <w:iCs/>
        </w:rPr>
        <w:t>Seqirus is pleased that Ikervis will soon be available on the PBS to meet the significant unmet clinical need in patients with severe dry eye disease inadequately treated with artificial tears</w:t>
      </w:r>
      <w:r w:rsidRPr="00E16F88">
        <w:rPr>
          <w:rFonts w:asciiTheme="minorHAnsi" w:hAnsiTheme="minorHAnsi"/>
          <w:bCs/>
          <w:lang w:val="en-GB"/>
        </w:rPr>
        <w:t>.</w:t>
      </w:r>
    </w:p>
    <w:sectPr w:rsidR="00F7119A" w:rsidRPr="005C333D" w:rsidSect="00BB205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D716" w16cex:dateUtc="2021-01-13T09:31:00Z"/>
  <w16cex:commentExtensible w16cex:durableId="23A9AA01" w16cex:dateUtc="2021-01-13T06:18:00Z"/>
  <w16cex:commentExtensible w16cex:durableId="23A6F233" w16cex:dateUtc="2021-01-11T04:50:00Z"/>
  <w16cex:commentExtensible w16cex:durableId="23A2F3B5" w16cex:dateUtc="2021-01-08T04:07:00Z"/>
  <w16cex:commentExtensible w16cex:durableId="23A6F2E2" w16cex:dateUtc="2021-01-11T04:53:00Z"/>
  <w16cex:commentExtensible w16cex:durableId="23A9A93C" w16cex:dateUtc="2021-01-13T06:15:00Z"/>
  <w16cex:commentExtensible w16cex:durableId="23A9A956" w16cex:dateUtc="2021-01-13T06:16:00Z"/>
  <w16cex:commentExtensible w16cex:durableId="23AA01A4" w16cex:dateUtc="2021-01-13T12:32:00Z"/>
  <w16cex:commentExtensible w16cex:durableId="23AA897B" w16cex:dateUtc="2021-01-13T22:12:00Z"/>
  <w16cex:commentExtensible w16cex:durableId="23A6F2FC" w16cex:dateUtc="2021-01-11T04:53:00Z"/>
  <w16cex:commentExtensible w16cex:durableId="23A72226" w16cex:dateUtc="2021-01-11T08:14:00Z"/>
  <w16cex:commentExtensible w16cex:durableId="23A6F3DE" w16cex:dateUtc="2021-01-11T04:56:00Z"/>
  <w16cex:commentExtensible w16cex:durableId="23A9F601" w16cex:dateUtc="2021-01-13T11:43:00Z"/>
  <w16cex:commentExtensible w16cex:durableId="23A2F572" w16cex:dateUtc="2021-01-08T04:14:00Z"/>
  <w16cex:commentExtensible w16cex:durableId="23AA03F0" w16cex:dateUtc="2021-01-13T12:42:00Z"/>
  <w16cex:commentExtensible w16cex:durableId="23AA8D9F" w16cex:dateUtc="2021-01-13T22:30:00Z"/>
  <w16cex:commentExtensible w16cex:durableId="23A6F457" w16cex:dateUtc="2021-01-11T04:59:00Z"/>
  <w16cex:commentExtensible w16cex:durableId="23A72C7A" w16cex:dateUtc="2021-01-11T08:58:00Z"/>
  <w16cex:commentExtensible w16cex:durableId="23AA0B56" w16cex:dateUtc="2021-01-13T13:14:00Z"/>
  <w16cex:commentExtensible w16cex:durableId="23A6F480" w16cex:dateUtc="2021-01-11T05:00:00Z"/>
  <w16cex:commentExtensible w16cex:durableId="23A2F41E" w16cex:dateUtc="2021-01-08T04:09:00Z"/>
  <w16cex:commentExtensible w16cex:durableId="23A6F490" w16cex:dateUtc="2021-01-11T05:00:00Z"/>
  <w16cex:commentExtensible w16cex:durableId="235E6B68" w16cex:dateUtc="2020-11-17T04:31:00Z"/>
  <w16cex:commentExtensible w16cex:durableId="235811FA" w16cex:dateUtc="2020-11-12T08:56:00Z"/>
  <w16cex:commentExtensible w16cex:durableId="235E6B60" w16cex:dateUtc="2020-11-17T04:31:00Z"/>
  <w16cex:commentExtensible w16cex:durableId="23581900" w16cex:dateUtc="2020-11-12T09:26:00Z"/>
  <w16cex:commentExtensible w16cex:durableId="235E6B41" w16cex:dateUtc="2020-11-17T04:31:00Z"/>
  <w16cex:commentExtensible w16cex:durableId="23A72D8C" w16cex:dateUtc="2021-01-11T09:03:00Z"/>
  <w16cex:commentExtensible w16cex:durableId="23A72DB0" w16cex:dateUtc="2021-01-11T09:03:00Z"/>
  <w16cex:commentExtensible w16cex:durableId="23A6F56E" w16cex:dateUtc="2021-01-11T05:03:00Z"/>
  <w16cex:commentExtensible w16cex:durableId="23A6F57A" w16cex:dateUtc="2021-01-11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E55C56" w16cid:durableId="23A2F0FE"/>
  <w16cid:commentId w16cid:paraId="3A017340" w16cid:durableId="23A2F0FF"/>
  <w16cid:commentId w16cid:paraId="75CC28BE" w16cid:durableId="23A9D716"/>
  <w16cid:commentId w16cid:paraId="1E2B1D51" w16cid:durableId="23A2F100"/>
  <w16cid:commentId w16cid:paraId="62FAF9D7" w16cid:durableId="23A2F101"/>
  <w16cid:commentId w16cid:paraId="6D2BA5AE" w16cid:durableId="23A9AA01"/>
  <w16cid:commentId w16cid:paraId="67532970" w16cid:durableId="23A2F102"/>
  <w16cid:commentId w16cid:paraId="1CCF8C50" w16cid:durableId="23A6F233"/>
  <w16cid:commentId w16cid:paraId="60CDBD3A" w16cid:durableId="23A2F103"/>
  <w16cid:commentId w16cid:paraId="76609282" w16cid:durableId="23A6E2DF"/>
  <w16cid:commentId w16cid:paraId="1FE7AD80" w16cid:durableId="23A2F104"/>
  <w16cid:commentId w16cid:paraId="2B320C70" w16cid:durableId="23A2F3B5"/>
  <w16cid:commentId w16cid:paraId="0CB28E49" w16cid:durableId="23A2F106"/>
  <w16cid:commentId w16cid:paraId="5E134FCB" w16cid:durableId="23A99E94"/>
  <w16cid:commentId w16cid:paraId="0C331FBA" w16cid:durableId="23A2F107"/>
  <w16cid:commentId w16cid:paraId="549CDFD6" w16cid:durableId="23A6F2E2"/>
  <w16cid:commentId w16cid:paraId="2E3A435D" w16cid:durableId="23A2F108"/>
  <w16cid:commentId w16cid:paraId="3334C907" w16cid:durableId="23A2F109"/>
  <w16cid:commentId w16cid:paraId="2520C634" w16cid:durableId="23A9A93C"/>
  <w16cid:commentId w16cid:paraId="5C5862F4" w16cid:durableId="23A2F10A"/>
  <w16cid:commentId w16cid:paraId="43EBFBE4" w16cid:durableId="23A9A956"/>
  <w16cid:commentId w16cid:paraId="14F69C99" w16cid:durableId="23AA01A4"/>
  <w16cid:commentId w16cid:paraId="6E57846C" w16cid:durableId="23AA897B"/>
  <w16cid:commentId w16cid:paraId="5C1E2877" w16cid:durableId="23A2F10B"/>
  <w16cid:commentId w16cid:paraId="3F1D9A84" w16cid:durableId="23A6F2FC"/>
  <w16cid:commentId w16cid:paraId="1EFF31A0" w16cid:durableId="23A2F10C"/>
  <w16cid:commentId w16cid:paraId="35AACEED" w16cid:durableId="23A2F10D"/>
  <w16cid:commentId w16cid:paraId="1AC131CD" w16cid:durableId="23A2F10E"/>
  <w16cid:commentId w16cid:paraId="0CF64BF5" w16cid:durableId="23A72226"/>
  <w16cid:commentId w16cid:paraId="15CD571C" w16cid:durableId="23A2F10F"/>
  <w16cid:commentId w16cid:paraId="387A1A4A" w16cid:durableId="23A2F110"/>
  <w16cid:commentId w16cid:paraId="35164610" w16cid:durableId="23A2F111"/>
  <w16cid:commentId w16cid:paraId="4D502779" w16cid:durableId="23A2F112"/>
  <w16cid:commentId w16cid:paraId="407E593C" w16cid:durableId="23A6F3DE"/>
  <w16cid:commentId w16cid:paraId="7D6CA835" w16cid:durableId="23A9F601"/>
  <w16cid:commentId w16cid:paraId="3966781B" w16cid:durableId="23A2F572"/>
  <w16cid:commentId w16cid:paraId="0B420666" w16cid:durableId="23A2F113"/>
  <w16cid:commentId w16cid:paraId="11B09225" w16cid:durableId="23AA03F0"/>
  <w16cid:commentId w16cid:paraId="4DC51891" w16cid:durableId="23AA8D9F"/>
  <w16cid:commentId w16cid:paraId="08DB7263" w16cid:durableId="23A2F116"/>
  <w16cid:commentId w16cid:paraId="45A37A63" w16cid:durableId="23A6F457"/>
  <w16cid:commentId w16cid:paraId="740AD94B" w16cid:durableId="23A2F117"/>
  <w16cid:commentId w16cid:paraId="31BDE4EE" w16cid:durableId="23A6E36F"/>
  <w16cid:commentId w16cid:paraId="7D357434" w16cid:durableId="23A29E38"/>
  <w16cid:commentId w16cid:paraId="2D58B0CC" w16cid:durableId="23A2F119"/>
  <w16cid:commentId w16cid:paraId="78DAC132" w16cid:durableId="23A6E3A3"/>
  <w16cid:commentId w16cid:paraId="7024C201" w16cid:durableId="23A2F11A"/>
  <w16cid:commentId w16cid:paraId="5DB6ABEF" w16cid:durableId="23A6E3C6"/>
  <w16cid:commentId w16cid:paraId="16BF9B78" w16cid:durableId="23A2F11B"/>
  <w16cid:commentId w16cid:paraId="12FEAA0A" w16cid:durableId="23A6E3D4"/>
  <w16cid:commentId w16cid:paraId="5F712B1C" w16cid:durableId="23A2F11C"/>
  <w16cid:commentId w16cid:paraId="22B9B78E" w16cid:durableId="23A6E3E1"/>
  <w16cid:commentId w16cid:paraId="51673633" w16cid:durableId="23A2F11F"/>
  <w16cid:commentId w16cid:paraId="2E1C4858" w16cid:durableId="23A72C7A"/>
  <w16cid:commentId w16cid:paraId="57B8C048" w16cid:durableId="23A2F120"/>
  <w16cid:commentId w16cid:paraId="558C87CA" w16cid:durableId="23A2F121"/>
  <w16cid:commentId w16cid:paraId="2B16C17A" w16cid:durableId="23A2F122"/>
  <w16cid:commentId w16cid:paraId="0BE52129" w16cid:durableId="23AA0B56"/>
  <w16cid:commentId w16cid:paraId="2B7E3B3B" w16cid:durableId="23A2F123"/>
  <w16cid:commentId w16cid:paraId="60290640" w16cid:durableId="23A6F480"/>
  <w16cid:commentId w16cid:paraId="33FAD23D" w16cid:durableId="23A973ED"/>
  <w16cid:commentId w16cid:paraId="526069F4" w16cid:durableId="23A2F41E"/>
  <w16cid:commentId w16cid:paraId="1DF03B0C" w16cid:durableId="23A6F490"/>
  <w16cid:commentId w16cid:paraId="74C764DA" w16cid:durableId="23A2F124"/>
  <w16cid:commentId w16cid:paraId="0BED47F7" w16cid:durableId="23A2F125"/>
  <w16cid:commentId w16cid:paraId="5751EC6D" w16cid:durableId="235E6B68"/>
  <w16cid:commentId w16cid:paraId="7CE7F5A0" w16cid:durableId="235811FA"/>
  <w16cid:commentId w16cid:paraId="69C6E7C5" w16cid:durableId="235E6B60"/>
  <w16cid:commentId w16cid:paraId="0EB65918" w16cid:durableId="23581900"/>
  <w16cid:commentId w16cid:paraId="0484B01C" w16cid:durableId="235E6B41"/>
  <w16cid:commentId w16cid:paraId="7F407B73" w16cid:durableId="23A2F12B"/>
  <w16cid:commentId w16cid:paraId="1618ED72" w16cid:durableId="23A72D8C"/>
  <w16cid:commentId w16cid:paraId="5C266A6F" w16cid:durableId="23A72DB1"/>
  <w16cid:commentId w16cid:paraId="48CE0176" w16cid:durableId="23A72DB0"/>
  <w16cid:commentId w16cid:paraId="4E804A15" w16cid:durableId="23A2F12C"/>
  <w16cid:commentId w16cid:paraId="19B21DA1" w16cid:durableId="23A6F56E"/>
  <w16cid:commentId w16cid:paraId="0F42339A" w16cid:durableId="23A2F12D"/>
  <w16cid:commentId w16cid:paraId="0A69B4DF" w16cid:durableId="23A6F57A"/>
  <w16cid:commentId w16cid:paraId="1C6F2C52" w16cid:durableId="23A2F12F"/>
  <w16cid:commentId w16cid:paraId="0C2784DA" w16cid:durableId="23A2F130"/>
  <w16cid:commentId w16cid:paraId="66B358B8" w16cid:durableId="23A6E7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9B" w:rsidRDefault="00AA7D9B" w:rsidP="00124A51">
      <w:r>
        <w:separator/>
      </w:r>
    </w:p>
    <w:p w:rsidR="00AA7D9B" w:rsidRDefault="00AA7D9B"/>
  </w:endnote>
  <w:endnote w:type="continuationSeparator" w:id="0">
    <w:p w:rsidR="00AA7D9B" w:rsidRDefault="00AA7D9B" w:rsidP="00124A51">
      <w:r>
        <w:continuationSeparator/>
      </w:r>
    </w:p>
    <w:p w:rsidR="00AA7D9B" w:rsidRDefault="00AA7D9B"/>
  </w:endnote>
  <w:endnote w:type="continuationNotice" w:id="1">
    <w:p w:rsidR="00AA7D9B" w:rsidRDefault="00AA7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9B" w:rsidRDefault="00AA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9B" w:rsidRDefault="00AA7D9B">
    <w:pPr>
      <w:pStyle w:val="Footer"/>
      <w:jc w:val="center"/>
    </w:pPr>
  </w:p>
  <w:p w:rsidR="00AA7D9B" w:rsidRDefault="00AA7D9B">
    <w:pPr>
      <w:pStyle w:val="Footer"/>
      <w:jc w:val="center"/>
    </w:pPr>
    <w:sdt>
      <w:sdtPr>
        <w:id w:val="-1247724867"/>
        <w:docPartObj>
          <w:docPartGallery w:val="Page Numbers (Bottom of Page)"/>
          <w:docPartUnique/>
        </w:docPartObj>
      </w:sdtPr>
      <w:sdtEndPr>
        <w:rPr>
          <w:noProof/>
        </w:rPr>
      </w:sdtEndPr>
      <w:sdtContent>
        <w:r w:rsidRPr="000B1CEC">
          <w:rPr>
            <w:b/>
          </w:rPr>
          <w:fldChar w:fldCharType="begin"/>
        </w:r>
        <w:r w:rsidRPr="000B1CEC">
          <w:rPr>
            <w:b/>
          </w:rPr>
          <w:instrText xml:space="preserve"> PAGE   \* MERGEFORMAT </w:instrText>
        </w:r>
        <w:r w:rsidRPr="000B1CEC">
          <w:rPr>
            <w:b/>
          </w:rPr>
          <w:fldChar w:fldCharType="separate"/>
        </w:r>
        <w:r w:rsidR="003D4775">
          <w:rPr>
            <w:b/>
            <w:noProof/>
          </w:rPr>
          <w:t>28</w:t>
        </w:r>
        <w:r w:rsidRPr="000B1CEC">
          <w:rPr>
            <w:b/>
            <w:noProof/>
          </w:rPr>
          <w:fldChar w:fldCharType="end"/>
        </w:r>
      </w:sdtContent>
    </w:sdt>
  </w:p>
  <w:p w:rsidR="00AA7D9B" w:rsidRDefault="00AA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9B" w:rsidRDefault="00AA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9B" w:rsidRDefault="00AA7D9B" w:rsidP="00124A51">
      <w:r>
        <w:separator/>
      </w:r>
    </w:p>
    <w:p w:rsidR="00AA7D9B" w:rsidRDefault="00AA7D9B"/>
  </w:footnote>
  <w:footnote w:type="continuationSeparator" w:id="0">
    <w:p w:rsidR="00AA7D9B" w:rsidRDefault="00AA7D9B" w:rsidP="00124A51">
      <w:r>
        <w:continuationSeparator/>
      </w:r>
    </w:p>
    <w:p w:rsidR="00AA7D9B" w:rsidRDefault="00AA7D9B"/>
  </w:footnote>
  <w:footnote w:type="continuationNotice" w:id="1">
    <w:p w:rsidR="00AA7D9B" w:rsidRDefault="00AA7D9B"/>
  </w:footnote>
  <w:footnote w:id="2">
    <w:p w:rsidR="00AA7D9B" w:rsidRDefault="00AA7D9B" w:rsidP="00F141B3">
      <w:pPr>
        <w:pStyle w:val="FootnoteText"/>
      </w:pPr>
      <w:r>
        <w:rPr>
          <w:rStyle w:val="FootnoteReference"/>
        </w:rPr>
        <w:footnoteRef/>
      </w:r>
      <w:r>
        <w:t xml:space="preserve"> Straub M, Bron AM, Museller-Mathieu A, et al. Long-term outcome after topical ciclosporin in severe dry eye disease with a 10-year follow-up. Br J Opthalmol. 2016;100(11):1547-1550.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9B" w:rsidRDefault="00AA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9B" w:rsidRPr="000B1CEC" w:rsidRDefault="00AA7D9B" w:rsidP="000B1CEC">
    <w:pPr>
      <w:tabs>
        <w:tab w:val="left" w:pos="142"/>
        <w:tab w:val="right" w:pos="9027"/>
      </w:tabs>
      <w:jc w:val="center"/>
      <w:rPr>
        <w:i/>
      </w:rPr>
    </w:pPr>
    <w:r>
      <w:rPr>
        <w:i/>
      </w:rPr>
      <w:t>Public Summary Document</w:t>
    </w:r>
    <w:r w:rsidRPr="000B1CEC">
      <w:rPr>
        <w:i/>
      </w:rPr>
      <w:t>– March 2021 PBAC Meeting</w:t>
    </w:r>
  </w:p>
  <w:p w:rsidR="00AA7D9B" w:rsidRDefault="00AA7D9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9B" w:rsidRDefault="00AA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927D3A"/>
    <w:multiLevelType w:val="multilevel"/>
    <w:tmpl w:val="C9E6F7F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27E79"/>
    <w:multiLevelType w:val="multilevel"/>
    <w:tmpl w:val="8604C21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32FA7"/>
    <w:multiLevelType w:val="multilevel"/>
    <w:tmpl w:val="93827490"/>
    <w:lvl w:ilvl="0">
      <w:start w:val="1"/>
      <w:numFmt w:val="decimal"/>
      <w:lvlText w:val="%1."/>
      <w:lvlJc w:val="left"/>
      <w:pPr>
        <w:ind w:left="720" w:hanging="720"/>
      </w:pPr>
      <w:rPr>
        <w:rFonts w:hint="default"/>
        <w:b w:val="0"/>
        <w:i w:val="0"/>
        <w:color w:val="auto"/>
      </w:rPr>
    </w:lvl>
    <w:lvl w:ilvl="1">
      <w:start w:val="1"/>
      <w:numFmt w:val="decimal"/>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62C90"/>
    <w:multiLevelType w:val="multilevel"/>
    <w:tmpl w:val="9B0CB73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7638A"/>
    <w:multiLevelType w:val="multilevel"/>
    <w:tmpl w:val="CFFC976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E4AF4"/>
    <w:multiLevelType w:val="hybridMultilevel"/>
    <w:tmpl w:val="E3FE06A6"/>
    <w:lvl w:ilvl="0" w:tplc="75943CDA">
      <w:start w:val="1"/>
      <w:numFmt w:val="bullet"/>
      <w:pStyle w:val="TableTextbullet"/>
      <w:lvlText w:val=""/>
      <w:lvlJc w:val="left"/>
      <w:pPr>
        <w:tabs>
          <w:tab w:val="num" w:pos="425"/>
        </w:tabs>
        <w:ind w:left="425" w:hanging="425"/>
      </w:pPr>
      <w:rPr>
        <w:rFonts w:ascii="Symbol" w:hAnsi="Symbol" w:hint="default"/>
        <w:sz w:val="18"/>
        <w:szCs w:val="18"/>
      </w:rPr>
    </w:lvl>
    <w:lvl w:ilvl="1" w:tplc="FFFFFFFF">
      <w:start w:val="1"/>
      <w:numFmt w:val="low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B930F0"/>
    <w:multiLevelType w:val="hybridMultilevel"/>
    <w:tmpl w:val="64FE054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D46436"/>
    <w:multiLevelType w:val="hybridMultilevel"/>
    <w:tmpl w:val="729A1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27FF"/>
    <w:multiLevelType w:val="multilevel"/>
    <w:tmpl w:val="3DE0372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E0F97"/>
    <w:multiLevelType w:val="hybridMultilevel"/>
    <w:tmpl w:val="69FC6F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F317303"/>
    <w:multiLevelType w:val="hybridMultilevel"/>
    <w:tmpl w:val="F59E39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168" w:hanging="360"/>
      </w:pPr>
      <w:rPr>
        <w:rFonts w:ascii="Courier New" w:hAnsi="Courier New" w:cs="Courier New" w:hint="default"/>
      </w:rPr>
    </w:lvl>
    <w:lvl w:ilvl="2" w:tplc="0C090005" w:tentative="1">
      <w:start w:val="1"/>
      <w:numFmt w:val="bullet"/>
      <w:lvlText w:val=""/>
      <w:lvlJc w:val="left"/>
      <w:pPr>
        <w:ind w:left="1888" w:hanging="360"/>
      </w:pPr>
      <w:rPr>
        <w:rFonts w:ascii="Wingdings" w:hAnsi="Wingdings" w:hint="default"/>
      </w:rPr>
    </w:lvl>
    <w:lvl w:ilvl="3" w:tplc="0C090001" w:tentative="1">
      <w:start w:val="1"/>
      <w:numFmt w:val="bullet"/>
      <w:lvlText w:val=""/>
      <w:lvlJc w:val="left"/>
      <w:pPr>
        <w:ind w:left="2608" w:hanging="360"/>
      </w:pPr>
      <w:rPr>
        <w:rFonts w:ascii="Symbol" w:hAnsi="Symbol" w:hint="default"/>
      </w:rPr>
    </w:lvl>
    <w:lvl w:ilvl="4" w:tplc="0C090003" w:tentative="1">
      <w:start w:val="1"/>
      <w:numFmt w:val="bullet"/>
      <w:lvlText w:val="o"/>
      <w:lvlJc w:val="left"/>
      <w:pPr>
        <w:ind w:left="3328" w:hanging="360"/>
      </w:pPr>
      <w:rPr>
        <w:rFonts w:ascii="Courier New" w:hAnsi="Courier New" w:cs="Courier New" w:hint="default"/>
      </w:rPr>
    </w:lvl>
    <w:lvl w:ilvl="5" w:tplc="0C090005" w:tentative="1">
      <w:start w:val="1"/>
      <w:numFmt w:val="bullet"/>
      <w:lvlText w:val=""/>
      <w:lvlJc w:val="left"/>
      <w:pPr>
        <w:ind w:left="4048" w:hanging="360"/>
      </w:pPr>
      <w:rPr>
        <w:rFonts w:ascii="Wingdings" w:hAnsi="Wingdings" w:hint="default"/>
      </w:rPr>
    </w:lvl>
    <w:lvl w:ilvl="6" w:tplc="0C090001" w:tentative="1">
      <w:start w:val="1"/>
      <w:numFmt w:val="bullet"/>
      <w:lvlText w:val=""/>
      <w:lvlJc w:val="left"/>
      <w:pPr>
        <w:ind w:left="4768" w:hanging="360"/>
      </w:pPr>
      <w:rPr>
        <w:rFonts w:ascii="Symbol" w:hAnsi="Symbol" w:hint="default"/>
      </w:rPr>
    </w:lvl>
    <w:lvl w:ilvl="7" w:tplc="0C090003" w:tentative="1">
      <w:start w:val="1"/>
      <w:numFmt w:val="bullet"/>
      <w:lvlText w:val="o"/>
      <w:lvlJc w:val="left"/>
      <w:pPr>
        <w:ind w:left="5488" w:hanging="360"/>
      </w:pPr>
      <w:rPr>
        <w:rFonts w:ascii="Courier New" w:hAnsi="Courier New" w:cs="Courier New" w:hint="default"/>
      </w:rPr>
    </w:lvl>
    <w:lvl w:ilvl="8" w:tplc="0C090005" w:tentative="1">
      <w:start w:val="1"/>
      <w:numFmt w:val="bullet"/>
      <w:lvlText w:val=""/>
      <w:lvlJc w:val="left"/>
      <w:pPr>
        <w:ind w:left="6208" w:hanging="360"/>
      </w:pPr>
      <w:rPr>
        <w:rFonts w:ascii="Wingdings" w:hAnsi="Wingdings" w:hint="default"/>
      </w:rPr>
    </w:lvl>
  </w:abstractNum>
  <w:abstractNum w:abstractNumId="17" w15:restartNumberingAfterBreak="0">
    <w:nsid w:val="407F1A97"/>
    <w:multiLevelType w:val="hybridMultilevel"/>
    <w:tmpl w:val="0256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35E8C"/>
    <w:multiLevelType w:val="multilevel"/>
    <w:tmpl w:val="DDA0D79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790A6C"/>
    <w:multiLevelType w:val="multilevel"/>
    <w:tmpl w:val="EDC89076"/>
    <w:lvl w:ilvl="0">
      <w:start w:val="1"/>
      <w:numFmt w:val="decimal"/>
      <w:lvlText w:val="%1"/>
      <w:lvlJc w:val="left"/>
      <w:pPr>
        <w:ind w:left="720" w:hanging="720"/>
      </w:pPr>
      <w:rPr>
        <w:rFonts w:hint="default"/>
        <w:b/>
        <w:i w:val="0"/>
        <w:color w:val="auto"/>
      </w:rPr>
    </w:lvl>
    <w:lvl w:ilvl="1">
      <w:start w:val="1"/>
      <w:numFmt w:val="lowerLetter"/>
      <w:lvlText w:val="%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24" w15:restartNumberingAfterBreak="0">
    <w:nsid w:val="56E12CCD"/>
    <w:multiLevelType w:val="hybridMultilevel"/>
    <w:tmpl w:val="E61A1EB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168" w:hanging="360"/>
      </w:pPr>
      <w:rPr>
        <w:rFonts w:ascii="Symbol" w:hAnsi="Symbol" w:hint="default"/>
      </w:rPr>
    </w:lvl>
    <w:lvl w:ilvl="2" w:tplc="0C090005" w:tentative="1">
      <w:start w:val="1"/>
      <w:numFmt w:val="bullet"/>
      <w:lvlText w:val=""/>
      <w:lvlJc w:val="left"/>
      <w:pPr>
        <w:ind w:left="1888" w:hanging="360"/>
      </w:pPr>
      <w:rPr>
        <w:rFonts w:ascii="Wingdings" w:hAnsi="Wingdings" w:hint="default"/>
      </w:rPr>
    </w:lvl>
    <w:lvl w:ilvl="3" w:tplc="0C090001" w:tentative="1">
      <w:start w:val="1"/>
      <w:numFmt w:val="bullet"/>
      <w:lvlText w:val=""/>
      <w:lvlJc w:val="left"/>
      <w:pPr>
        <w:ind w:left="2608" w:hanging="360"/>
      </w:pPr>
      <w:rPr>
        <w:rFonts w:ascii="Symbol" w:hAnsi="Symbol" w:hint="default"/>
      </w:rPr>
    </w:lvl>
    <w:lvl w:ilvl="4" w:tplc="0C090003" w:tentative="1">
      <w:start w:val="1"/>
      <w:numFmt w:val="bullet"/>
      <w:lvlText w:val="o"/>
      <w:lvlJc w:val="left"/>
      <w:pPr>
        <w:ind w:left="3328" w:hanging="360"/>
      </w:pPr>
      <w:rPr>
        <w:rFonts w:ascii="Courier New" w:hAnsi="Courier New" w:cs="Courier New" w:hint="default"/>
      </w:rPr>
    </w:lvl>
    <w:lvl w:ilvl="5" w:tplc="0C090005" w:tentative="1">
      <w:start w:val="1"/>
      <w:numFmt w:val="bullet"/>
      <w:lvlText w:val=""/>
      <w:lvlJc w:val="left"/>
      <w:pPr>
        <w:ind w:left="4048" w:hanging="360"/>
      </w:pPr>
      <w:rPr>
        <w:rFonts w:ascii="Wingdings" w:hAnsi="Wingdings" w:hint="default"/>
      </w:rPr>
    </w:lvl>
    <w:lvl w:ilvl="6" w:tplc="0C090001" w:tentative="1">
      <w:start w:val="1"/>
      <w:numFmt w:val="bullet"/>
      <w:lvlText w:val=""/>
      <w:lvlJc w:val="left"/>
      <w:pPr>
        <w:ind w:left="4768" w:hanging="360"/>
      </w:pPr>
      <w:rPr>
        <w:rFonts w:ascii="Symbol" w:hAnsi="Symbol" w:hint="default"/>
      </w:rPr>
    </w:lvl>
    <w:lvl w:ilvl="7" w:tplc="0C090003" w:tentative="1">
      <w:start w:val="1"/>
      <w:numFmt w:val="bullet"/>
      <w:lvlText w:val="o"/>
      <w:lvlJc w:val="left"/>
      <w:pPr>
        <w:ind w:left="5488" w:hanging="360"/>
      </w:pPr>
      <w:rPr>
        <w:rFonts w:ascii="Courier New" w:hAnsi="Courier New" w:cs="Courier New" w:hint="default"/>
      </w:rPr>
    </w:lvl>
    <w:lvl w:ilvl="8" w:tplc="0C090005" w:tentative="1">
      <w:start w:val="1"/>
      <w:numFmt w:val="bullet"/>
      <w:lvlText w:val=""/>
      <w:lvlJc w:val="left"/>
      <w:pPr>
        <w:ind w:left="6208" w:hanging="360"/>
      </w:pPr>
      <w:rPr>
        <w:rFonts w:ascii="Wingdings" w:hAnsi="Wingdings" w:hint="default"/>
      </w:rPr>
    </w:lvl>
  </w:abstractNum>
  <w:abstractNum w:abstractNumId="25" w15:restartNumberingAfterBreak="0">
    <w:nsid w:val="588D5498"/>
    <w:multiLevelType w:val="hybridMultilevel"/>
    <w:tmpl w:val="083C430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BC0128"/>
    <w:multiLevelType w:val="multilevel"/>
    <w:tmpl w:val="F4F87ABC"/>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4D033C"/>
    <w:multiLevelType w:val="multilevel"/>
    <w:tmpl w:val="D178A1E4"/>
    <w:lvl w:ilvl="0">
      <w:start w:val="1"/>
      <w:numFmt w:val="decimal"/>
      <w:lvlText w:val="%1"/>
      <w:lvlJc w:val="left"/>
      <w:pPr>
        <w:ind w:left="720" w:hanging="720"/>
      </w:pPr>
      <w:rPr>
        <w:rFonts w:hint="default"/>
        <w:b/>
        <w:i w:val="0"/>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5"/>
  </w:num>
  <w:num w:numId="3">
    <w:abstractNumId w:val="23"/>
  </w:num>
  <w:num w:numId="4">
    <w:abstractNumId w:val="8"/>
  </w:num>
  <w:num w:numId="5">
    <w:abstractNumId w:val="13"/>
  </w:num>
  <w:num w:numId="6">
    <w:abstractNumId w:val="7"/>
  </w:num>
  <w:num w:numId="7">
    <w:abstractNumId w:val="17"/>
  </w:num>
  <w:num w:numId="8">
    <w:abstractNumId w:val="24"/>
  </w:num>
  <w:num w:numId="9">
    <w:abstractNumId w:val="6"/>
  </w:num>
  <w:num w:numId="10">
    <w:abstractNumId w:val="20"/>
  </w:num>
  <w:num w:numId="11">
    <w:abstractNumId w:val="1"/>
  </w:num>
  <w:num w:numId="12">
    <w:abstractNumId w:val="4"/>
  </w:num>
  <w:num w:numId="13">
    <w:abstractNumId w:val="3"/>
  </w:num>
  <w:num w:numId="14">
    <w:abstractNumId w:val="26"/>
  </w:num>
  <w:num w:numId="15">
    <w:abstractNumId w:val="16"/>
  </w:num>
  <w:num w:numId="16">
    <w:abstractNumId w:val="11"/>
  </w:num>
  <w:num w:numId="17">
    <w:abstractNumId w:val="2"/>
  </w:num>
  <w:num w:numId="18">
    <w:abstractNumId w:val="22"/>
  </w:num>
  <w:num w:numId="19">
    <w:abstractNumId w:val="5"/>
  </w:num>
  <w:num w:numId="20">
    <w:abstractNumId w:val="0"/>
  </w:num>
  <w:num w:numId="21">
    <w:abstractNumId w:val="10"/>
  </w:num>
  <w:num w:numId="22">
    <w:abstractNumId w:val="12"/>
  </w:num>
  <w:num w:numId="23">
    <w:abstractNumId w:val="9"/>
  </w:num>
  <w:num w:numId="24">
    <w:abstractNumId w:val="15"/>
  </w:num>
  <w:num w:numId="25">
    <w:abstractNumId w:val="27"/>
  </w:num>
  <w:num w:numId="26">
    <w:abstractNumId w:val="21"/>
  </w:num>
  <w:num w:numId="27">
    <w:abstractNumId w:val="14"/>
  </w:num>
  <w:num w:numId="28">
    <w:abstractNumId w:val="3"/>
  </w:num>
  <w:num w:numId="29">
    <w:abstractNumId w:val="3"/>
  </w:num>
  <w:num w:numId="30">
    <w:abstractNumId w:val="3"/>
  </w:num>
  <w:num w:numId="3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a0FAA22b6EtAAAA"/>
  </w:docVars>
  <w:rsids>
    <w:rsidRoot w:val="00E65E79"/>
    <w:rsid w:val="00000790"/>
    <w:rsid w:val="0000110B"/>
    <w:rsid w:val="0000324B"/>
    <w:rsid w:val="00003499"/>
    <w:rsid w:val="00003855"/>
    <w:rsid w:val="000039B7"/>
    <w:rsid w:val="00003C04"/>
    <w:rsid w:val="00004B29"/>
    <w:rsid w:val="00006035"/>
    <w:rsid w:val="000061DA"/>
    <w:rsid w:val="0000639A"/>
    <w:rsid w:val="0001043A"/>
    <w:rsid w:val="0001065B"/>
    <w:rsid w:val="000116EB"/>
    <w:rsid w:val="00012F84"/>
    <w:rsid w:val="00013247"/>
    <w:rsid w:val="00013F98"/>
    <w:rsid w:val="000140F0"/>
    <w:rsid w:val="00014B0D"/>
    <w:rsid w:val="00014B10"/>
    <w:rsid w:val="00014C4E"/>
    <w:rsid w:val="00015886"/>
    <w:rsid w:val="00015E31"/>
    <w:rsid w:val="000162EF"/>
    <w:rsid w:val="00016760"/>
    <w:rsid w:val="000207C9"/>
    <w:rsid w:val="000211F4"/>
    <w:rsid w:val="00021A04"/>
    <w:rsid w:val="0002225F"/>
    <w:rsid w:val="00022974"/>
    <w:rsid w:val="0002310E"/>
    <w:rsid w:val="0002347E"/>
    <w:rsid w:val="00023700"/>
    <w:rsid w:val="00023763"/>
    <w:rsid w:val="000239A2"/>
    <w:rsid w:val="000251C1"/>
    <w:rsid w:val="00026B13"/>
    <w:rsid w:val="000274B8"/>
    <w:rsid w:val="000277A5"/>
    <w:rsid w:val="0002791A"/>
    <w:rsid w:val="0003024F"/>
    <w:rsid w:val="000317A6"/>
    <w:rsid w:val="000329F1"/>
    <w:rsid w:val="00033863"/>
    <w:rsid w:val="00035DC0"/>
    <w:rsid w:val="00036326"/>
    <w:rsid w:val="00036591"/>
    <w:rsid w:val="00036829"/>
    <w:rsid w:val="00036BBC"/>
    <w:rsid w:val="0003756B"/>
    <w:rsid w:val="000376EA"/>
    <w:rsid w:val="00037890"/>
    <w:rsid w:val="000379C7"/>
    <w:rsid w:val="00040895"/>
    <w:rsid w:val="00040E18"/>
    <w:rsid w:val="00040F7D"/>
    <w:rsid w:val="00042471"/>
    <w:rsid w:val="000430CC"/>
    <w:rsid w:val="0004347F"/>
    <w:rsid w:val="000435EE"/>
    <w:rsid w:val="0004363D"/>
    <w:rsid w:val="00043C37"/>
    <w:rsid w:val="00045017"/>
    <w:rsid w:val="000450AA"/>
    <w:rsid w:val="00045A2B"/>
    <w:rsid w:val="0004698F"/>
    <w:rsid w:val="00046AFC"/>
    <w:rsid w:val="00046E86"/>
    <w:rsid w:val="00047CBF"/>
    <w:rsid w:val="00051AC9"/>
    <w:rsid w:val="00051CC2"/>
    <w:rsid w:val="000539D0"/>
    <w:rsid w:val="00054621"/>
    <w:rsid w:val="000546D7"/>
    <w:rsid w:val="00054FA2"/>
    <w:rsid w:val="000558BC"/>
    <w:rsid w:val="0005688E"/>
    <w:rsid w:val="00056CF1"/>
    <w:rsid w:val="00056ECF"/>
    <w:rsid w:val="00057126"/>
    <w:rsid w:val="000571CE"/>
    <w:rsid w:val="00057D02"/>
    <w:rsid w:val="00057DC4"/>
    <w:rsid w:val="000604DF"/>
    <w:rsid w:val="0006070A"/>
    <w:rsid w:val="00060EA9"/>
    <w:rsid w:val="00062343"/>
    <w:rsid w:val="00063697"/>
    <w:rsid w:val="00064568"/>
    <w:rsid w:val="000652DE"/>
    <w:rsid w:val="000653B5"/>
    <w:rsid w:val="00065C9E"/>
    <w:rsid w:val="0006617E"/>
    <w:rsid w:val="00066360"/>
    <w:rsid w:val="00066AE0"/>
    <w:rsid w:val="00066AF8"/>
    <w:rsid w:val="00066F02"/>
    <w:rsid w:val="00071248"/>
    <w:rsid w:val="00071D4A"/>
    <w:rsid w:val="000720B9"/>
    <w:rsid w:val="00072D0E"/>
    <w:rsid w:val="00073735"/>
    <w:rsid w:val="000737F7"/>
    <w:rsid w:val="00074999"/>
    <w:rsid w:val="000749A8"/>
    <w:rsid w:val="00075499"/>
    <w:rsid w:val="000758F3"/>
    <w:rsid w:val="00075E64"/>
    <w:rsid w:val="0007672F"/>
    <w:rsid w:val="00076B54"/>
    <w:rsid w:val="000774F0"/>
    <w:rsid w:val="00080909"/>
    <w:rsid w:val="000812CA"/>
    <w:rsid w:val="00081E63"/>
    <w:rsid w:val="00081FB9"/>
    <w:rsid w:val="0008258D"/>
    <w:rsid w:val="000829E8"/>
    <w:rsid w:val="000834BF"/>
    <w:rsid w:val="0008356C"/>
    <w:rsid w:val="00083E99"/>
    <w:rsid w:val="000842E4"/>
    <w:rsid w:val="00084B10"/>
    <w:rsid w:val="00084DD8"/>
    <w:rsid w:val="00084FA8"/>
    <w:rsid w:val="000856C5"/>
    <w:rsid w:val="000857B8"/>
    <w:rsid w:val="00085C31"/>
    <w:rsid w:val="000877D7"/>
    <w:rsid w:val="000902BA"/>
    <w:rsid w:val="000902D9"/>
    <w:rsid w:val="00090C7E"/>
    <w:rsid w:val="00092600"/>
    <w:rsid w:val="0009262B"/>
    <w:rsid w:val="00092858"/>
    <w:rsid w:val="00092878"/>
    <w:rsid w:val="00093310"/>
    <w:rsid w:val="000935C4"/>
    <w:rsid w:val="0009445C"/>
    <w:rsid w:val="00095200"/>
    <w:rsid w:val="0009541F"/>
    <w:rsid w:val="00095FE5"/>
    <w:rsid w:val="00096284"/>
    <w:rsid w:val="00096B2A"/>
    <w:rsid w:val="000A1877"/>
    <w:rsid w:val="000A1928"/>
    <w:rsid w:val="000A1BC0"/>
    <w:rsid w:val="000A1C8A"/>
    <w:rsid w:val="000A3EC5"/>
    <w:rsid w:val="000A6039"/>
    <w:rsid w:val="000A725B"/>
    <w:rsid w:val="000A7453"/>
    <w:rsid w:val="000A7D08"/>
    <w:rsid w:val="000B0121"/>
    <w:rsid w:val="000B0328"/>
    <w:rsid w:val="000B0670"/>
    <w:rsid w:val="000B0ACF"/>
    <w:rsid w:val="000B0E75"/>
    <w:rsid w:val="000B1CEC"/>
    <w:rsid w:val="000B2DCB"/>
    <w:rsid w:val="000B3C2F"/>
    <w:rsid w:val="000B3D68"/>
    <w:rsid w:val="000B4513"/>
    <w:rsid w:val="000B4836"/>
    <w:rsid w:val="000B55BD"/>
    <w:rsid w:val="000B5CE0"/>
    <w:rsid w:val="000B6CAC"/>
    <w:rsid w:val="000B7477"/>
    <w:rsid w:val="000B7612"/>
    <w:rsid w:val="000B78AE"/>
    <w:rsid w:val="000C0CF0"/>
    <w:rsid w:val="000C1678"/>
    <w:rsid w:val="000C1EF2"/>
    <w:rsid w:val="000C24B5"/>
    <w:rsid w:val="000C28B7"/>
    <w:rsid w:val="000C3DD4"/>
    <w:rsid w:val="000C3DF9"/>
    <w:rsid w:val="000C5FB2"/>
    <w:rsid w:val="000C6713"/>
    <w:rsid w:val="000C751B"/>
    <w:rsid w:val="000C7CA6"/>
    <w:rsid w:val="000D06E3"/>
    <w:rsid w:val="000D0C75"/>
    <w:rsid w:val="000D0F83"/>
    <w:rsid w:val="000D1BFC"/>
    <w:rsid w:val="000D1D5D"/>
    <w:rsid w:val="000D1F1D"/>
    <w:rsid w:val="000D26F7"/>
    <w:rsid w:val="000D281A"/>
    <w:rsid w:val="000D2848"/>
    <w:rsid w:val="000D326A"/>
    <w:rsid w:val="000D35B1"/>
    <w:rsid w:val="000D3C5B"/>
    <w:rsid w:val="000D4093"/>
    <w:rsid w:val="000D501D"/>
    <w:rsid w:val="000D51FB"/>
    <w:rsid w:val="000D56F8"/>
    <w:rsid w:val="000E0640"/>
    <w:rsid w:val="000E0DDB"/>
    <w:rsid w:val="000E135D"/>
    <w:rsid w:val="000E40B3"/>
    <w:rsid w:val="000E7D1C"/>
    <w:rsid w:val="000F00BA"/>
    <w:rsid w:val="000F00C7"/>
    <w:rsid w:val="000F1568"/>
    <w:rsid w:val="000F1615"/>
    <w:rsid w:val="000F1E41"/>
    <w:rsid w:val="000F2AC0"/>
    <w:rsid w:val="000F2E18"/>
    <w:rsid w:val="000F316A"/>
    <w:rsid w:val="000F36D2"/>
    <w:rsid w:val="000F3C74"/>
    <w:rsid w:val="000F3DA5"/>
    <w:rsid w:val="000F3E34"/>
    <w:rsid w:val="000F4BB8"/>
    <w:rsid w:val="000F4FA9"/>
    <w:rsid w:val="000F53FB"/>
    <w:rsid w:val="000F6677"/>
    <w:rsid w:val="000F7127"/>
    <w:rsid w:val="000F79F4"/>
    <w:rsid w:val="000F7B54"/>
    <w:rsid w:val="001008FA"/>
    <w:rsid w:val="0010094A"/>
    <w:rsid w:val="00100B07"/>
    <w:rsid w:val="00100F8A"/>
    <w:rsid w:val="00101A69"/>
    <w:rsid w:val="00102B79"/>
    <w:rsid w:val="00103291"/>
    <w:rsid w:val="00103676"/>
    <w:rsid w:val="0010452E"/>
    <w:rsid w:val="00104F3C"/>
    <w:rsid w:val="00105A83"/>
    <w:rsid w:val="00105AE2"/>
    <w:rsid w:val="001060C6"/>
    <w:rsid w:val="00106B80"/>
    <w:rsid w:val="001100EE"/>
    <w:rsid w:val="0011032E"/>
    <w:rsid w:val="001123B3"/>
    <w:rsid w:val="0011348B"/>
    <w:rsid w:val="001147D3"/>
    <w:rsid w:val="00115982"/>
    <w:rsid w:val="00116C53"/>
    <w:rsid w:val="00116F06"/>
    <w:rsid w:val="00120450"/>
    <w:rsid w:val="0012099C"/>
    <w:rsid w:val="001211F0"/>
    <w:rsid w:val="00121799"/>
    <w:rsid w:val="001221D7"/>
    <w:rsid w:val="001222FC"/>
    <w:rsid w:val="00122812"/>
    <w:rsid w:val="00122AA1"/>
    <w:rsid w:val="00123902"/>
    <w:rsid w:val="00124A51"/>
    <w:rsid w:val="0012516C"/>
    <w:rsid w:val="00125853"/>
    <w:rsid w:val="00126357"/>
    <w:rsid w:val="00126621"/>
    <w:rsid w:val="00126B1D"/>
    <w:rsid w:val="00127876"/>
    <w:rsid w:val="001301E9"/>
    <w:rsid w:val="00131B4F"/>
    <w:rsid w:val="00131D82"/>
    <w:rsid w:val="00131FA6"/>
    <w:rsid w:val="0013274E"/>
    <w:rsid w:val="00132B22"/>
    <w:rsid w:val="00133D36"/>
    <w:rsid w:val="0013436A"/>
    <w:rsid w:val="00135213"/>
    <w:rsid w:val="00136546"/>
    <w:rsid w:val="00137645"/>
    <w:rsid w:val="00137F79"/>
    <w:rsid w:val="0014015A"/>
    <w:rsid w:val="00140DE5"/>
    <w:rsid w:val="00140E99"/>
    <w:rsid w:val="0014165E"/>
    <w:rsid w:val="00141938"/>
    <w:rsid w:val="00141952"/>
    <w:rsid w:val="0014384D"/>
    <w:rsid w:val="00143F67"/>
    <w:rsid w:val="0014490C"/>
    <w:rsid w:val="0014514B"/>
    <w:rsid w:val="0014548D"/>
    <w:rsid w:val="00145540"/>
    <w:rsid w:val="001456B0"/>
    <w:rsid w:val="00145F37"/>
    <w:rsid w:val="00147C28"/>
    <w:rsid w:val="0015137A"/>
    <w:rsid w:val="00152002"/>
    <w:rsid w:val="00152093"/>
    <w:rsid w:val="00152D0E"/>
    <w:rsid w:val="00153326"/>
    <w:rsid w:val="00153372"/>
    <w:rsid w:val="00153946"/>
    <w:rsid w:val="00154345"/>
    <w:rsid w:val="001558C5"/>
    <w:rsid w:val="00155BD1"/>
    <w:rsid w:val="00155E06"/>
    <w:rsid w:val="001568B6"/>
    <w:rsid w:val="00156F8F"/>
    <w:rsid w:val="00157130"/>
    <w:rsid w:val="001576B1"/>
    <w:rsid w:val="001577E4"/>
    <w:rsid w:val="00160041"/>
    <w:rsid w:val="00160119"/>
    <w:rsid w:val="0016047B"/>
    <w:rsid w:val="001605C9"/>
    <w:rsid w:val="001606F0"/>
    <w:rsid w:val="00160A4C"/>
    <w:rsid w:val="00160F8D"/>
    <w:rsid w:val="001613A7"/>
    <w:rsid w:val="001618FE"/>
    <w:rsid w:val="00161E6F"/>
    <w:rsid w:val="00162258"/>
    <w:rsid w:val="00162913"/>
    <w:rsid w:val="00163052"/>
    <w:rsid w:val="00163EFF"/>
    <w:rsid w:val="00163F66"/>
    <w:rsid w:val="00165165"/>
    <w:rsid w:val="001661FB"/>
    <w:rsid w:val="001671A0"/>
    <w:rsid w:val="0016767F"/>
    <w:rsid w:val="00170BF5"/>
    <w:rsid w:val="00171B55"/>
    <w:rsid w:val="00172B54"/>
    <w:rsid w:val="00172DD1"/>
    <w:rsid w:val="00173565"/>
    <w:rsid w:val="00173B07"/>
    <w:rsid w:val="001751FA"/>
    <w:rsid w:val="0017571B"/>
    <w:rsid w:val="00176807"/>
    <w:rsid w:val="001775F4"/>
    <w:rsid w:val="001779B3"/>
    <w:rsid w:val="0018096E"/>
    <w:rsid w:val="00180D80"/>
    <w:rsid w:val="00181D9C"/>
    <w:rsid w:val="00181E9F"/>
    <w:rsid w:val="00182276"/>
    <w:rsid w:val="00184B0E"/>
    <w:rsid w:val="00184DD0"/>
    <w:rsid w:val="001859E9"/>
    <w:rsid w:val="00186556"/>
    <w:rsid w:val="0018752F"/>
    <w:rsid w:val="00187F10"/>
    <w:rsid w:val="00190077"/>
    <w:rsid w:val="001900CD"/>
    <w:rsid w:val="001901E6"/>
    <w:rsid w:val="00190BC0"/>
    <w:rsid w:val="00190F6A"/>
    <w:rsid w:val="001911DD"/>
    <w:rsid w:val="001918BB"/>
    <w:rsid w:val="00191AC2"/>
    <w:rsid w:val="00192B4A"/>
    <w:rsid w:val="00192C26"/>
    <w:rsid w:val="001932A1"/>
    <w:rsid w:val="00193306"/>
    <w:rsid w:val="00193838"/>
    <w:rsid w:val="00193B73"/>
    <w:rsid w:val="00193FD4"/>
    <w:rsid w:val="00194AD8"/>
    <w:rsid w:val="00195222"/>
    <w:rsid w:val="00195A25"/>
    <w:rsid w:val="0019614B"/>
    <w:rsid w:val="001961C7"/>
    <w:rsid w:val="001962D8"/>
    <w:rsid w:val="0019692D"/>
    <w:rsid w:val="00196D9D"/>
    <w:rsid w:val="00196E50"/>
    <w:rsid w:val="001975D8"/>
    <w:rsid w:val="0019765C"/>
    <w:rsid w:val="00197BE4"/>
    <w:rsid w:val="001A0A92"/>
    <w:rsid w:val="001A0A9D"/>
    <w:rsid w:val="001A178E"/>
    <w:rsid w:val="001A1A70"/>
    <w:rsid w:val="001A43FA"/>
    <w:rsid w:val="001A47C5"/>
    <w:rsid w:val="001A4A18"/>
    <w:rsid w:val="001A59FB"/>
    <w:rsid w:val="001A5E9E"/>
    <w:rsid w:val="001A6354"/>
    <w:rsid w:val="001A6366"/>
    <w:rsid w:val="001A63AA"/>
    <w:rsid w:val="001A6579"/>
    <w:rsid w:val="001A6BEB"/>
    <w:rsid w:val="001A7941"/>
    <w:rsid w:val="001A7AE8"/>
    <w:rsid w:val="001B0A6A"/>
    <w:rsid w:val="001B204E"/>
    <w:rsid w:val="001B2372"/>
    <w:rsid w:val="001B29EE"/>
    <w:rsid w:val="001B2B6D"/>
    <w:rsid w:val="001B2BA0"/>
    <w:rsid w:val="001B3443"/>
    <w:rsid w:val="001B4D20"/>
    <w:rsid w:val="001B4FC3"/>
    <w:rsid w:val="001B50F3"/>
    <w:rsid w:val="001B529A"/>
    <w:rsid w:val="001B5331"/>
    <w:rsid w:val="001B5F1A"/>
    <w:rsid w:val="001B79C6"/>
    <w:rsid w:val="001C0193"/>
    <w:rsid w:val="001C0F63"/>
    <w:rsid w:val="001C1198"/>
    <w:rsid w:val="001C13EA"/>
    <w:rsid w:val="001C1D9B"/>
    <w:rsid w:val="001C2732"/>
    <w:rsid w:val="001C2A9B"/>
    <w:rsid w:val="001C2E01"/>
    <w:rsid w:val="001C36D8"/>
    <w:rsid w:val="001C427F"/>
    <w:rsid w:val="001C4299"/>
    <w:rsid w:val="001C4874"/>
    <w:rsid w:val="001C5B9E"/>
    <w:rsid w:val="001C5F94"/>
    <w:rsid w:val="001C6E66"/>
    <w:rsid w:val="001C6F4D"/>
    <w:rsid w:val="001D051B"/>
    <w:rsid w:val="001D1100"/>
    <w:rsid w:val="001D1391"/>
    <w:rsid w:val="001D25D7"/>
    <w:rsid w:val="001D3097"/>
    <w:rsid w:val="001D37B3"/>
    <w:rsid w:val="001D3F83"/>
    <w:rsid w:val="001D4008"/>
    <w:rsid w:val="001D4FAF"/>
    <w:rsid w:val="001D50B2"/>
    <w:rsid w:val="001D5782"/>
    <w:rsid w:val="001D5AB6"/>
    <w:rsid w:val="001D61E2"/>
    <w:rsid w:val="001D66B6"/>
    <w:rsid w:val="001D71C6"/>
    <w:rsid w:val="001D74FD"/>
    <w:rsid w:val="001D75A3"/>
    <w:rsid w:val="001D7645"/>
    <w:rsid w:val="001D7E7D"/>
    <w:rsid w:val="001D7FA7"/>
    <w:rsid w:val="001D7FB7"/>
    <w:rsid w:val="001E085A"/>
    <w:rsid w:val="001E0B85"/>
    <w:rsid w:val="001E167C"/>
    <w:rsid w:val="001E1E86"/>
    <w:rsid w:val="001E1F30"/>
    <w:rsid w:val="001E238E"/>
    <w:rsid w:val="001E2483"/>
    <w:rsid w:val="001E2ADF"/>
    <w:rsid w:val="001E2B1E"/>
    <w:rsid w:val="001E2CFF"/>
    <w:rsid w:val="001E2F24"/>
    <w:rsid w:val="001E30D4"/>
    <w:rsid w:val="001E34DF"/>
    <w:rsid w:val="001E3CDA"/>
    <w:rsid w:val="001E3DCA"/>
    <w:rsid w:val="001E4FD8"/>
    <w:rsid w:val="001E52EB"/>
    <w:rsid w:val="001E5786"/>
    <w:rsid w:val="001E5D42"/>
    <w:rsid w:val="001E5D4C"/>
    <w:rsid w:val="001E61D2"/>
    <w:rsid w:val="001E72CF"/>
    <w:rsid w:val="001E740C"/>
    <w:rsid w:val="001E79A5"/>
    <w:rsid w:val="001F032A"/>
    <w:rsid w:val="001F0549"/>
    <w:rsid w:val="001F1235"/>
    <w:rsid w:val="001F1C49"/>
    <w:rsid w:val="001F1CB3"/>
    <w:rsid w:val="001F1D47"/>
    <w:rsid w:val="001F3494"/>
    <w:rsid w:val="001F38B5"/>
    <w:rsid w:val="001F3EE0"/>
    <w:rsid w:val="001F4081"/>
    <w:rsid w:val="001F4CBC"/>
    <w:rsid w:val="001F4CDE"/>
    <w:rsid w:val="001F6A7F"/>
    <w:rsid w:val="001F6EFD"/>
    <w:rsid w:val="001F7361"/>
    <w:rsid w:val="001F76B0"/>
    <w:rsid w:val="001F7930"/>
    <w:rsid w:val="002006EB"/>
    <w:rsid w:val="002011B0"/>
    <w:rsid w:val="00201AB6"/>
    <w:rsid w:val="00202B5A"/>
    <w:rsid w:val="00203181"/>
    <w:rsid w:val="00203783"/>
    <w:rsid w:val="0020385F"/>
    <w:rsid w:val="00205646"/>
    <w:rsid w:val="00206003"/>
    <w:rsid w:val="002068A0"/>
    <w:rsid w:val="002069DD"/>
    <w:rsid w:val="00206FAA"/>
    <w:rsid w:val="00207021"/>
    <w:rsid w:val="0020732F"/>
    <w:rsid w:val="002076F6"/>
    <w:rsid w:val="00207D00"/>
    <w:rsid w:val="00210265"/>
    <w:rsid w:val="00210322"/>
    <w:rsid w:val="002105C1"/>
    <w:rsid w:val="00212F9C"/>
    <w:rsid w:val="002131E5"/>
    <w:rsid w:val="00213413"/>
    <w:rsid w:val="00213EF5"/>
    <w:rsid w:val="0021450A"/>
    <w:rsid w:val="00215057"/>
    <w:rsid w:val="00215199"/>
    <w:rsid w:val="00215CF4"/>
    <w:rsid w:val="00216B5C"/>
    <w:rsid w:val="00216BF5"/>
    <w:rsid w:val="00217819"/>
    <w:rsid w:val="00217E0F"/>
    <w:rsid w:val="0022247F"/>
    <w:rsid w:val="0022291C"/>
    <w:rsid w:val="00222947"/>
    <w:rsid w:val="00222F23"/>
    <w:rsid w:val="00223B49"/>
    <w:rsid w:val="00223D5A"/>
    <w:rsid w:val="0022455E"/>
    <w:rsid w:val="00224DD4"/>
    <w:rsid w:val="00225636"/>
    <w:rsid w:val="002278A0"/>
    <w:rsid w:val="0023052E"/>
    <w:rsid w:val="002309CC"/>
    <w:rsid w:val="00230F0D"/>
    <w:rsid w:val="00231A6B"/>
    <w:rsid w:val="00231ABC"/>
    <w:rsid w:val="0023209F"/>
    <w:rsid w:val="00232E6A"/>
    <w:rsid w:val="00233C01"/>
    <w:rsid w:val="0023413C"/>
    <w:rsid w:val="002346F0"/>
    <w:rsid w:val="002358D8"/>
    <w:rsid w:val="00235A10"/>
    <w:rsid w:val="0023629D"/>
    <w:rsid w:val="00236D0B"/>
    <w:rsid w:val="0023724E"/>
    <w:rsid w:val="00237255"/>
    <w:rsid w:val="002374D6"/>
    <w:rsid w:val="002424AF"/>
    <w:rsid w:val="002439DC"/>
    <w:rsid w:val="002441D2"/>
    <w:rsid w:val="0024477C"/>
    <w:rsid w:val="00244DC8"/>
    <w:rsid w:val="002458BA"/>
    <w:rsid w:val="00245A9B"/>
    <w:rsid w:val="00245AF3"/>
    <w:rsid w:val="00245C3C"/>
    <w:rsid w:val="00245CE9"/>
    <w:rsid w:val="00245E1E"/>
    <w:rsid w:val="0024627D"/>
    <w:rsid w:val="0024636C"/>
    <w:rsid w:val="00247068"/>
    <w:rsid w:val="00247155"/>
    <w:rsid w:val="0024731D"/>
    <w:rsid w:val="00247925"/>
    <w:rsid w:val="00247B5F"/>
    <w:rsid w:val="00247C59"/>
    <w:rsid w:val="002504DB"/>
    <w:rsid w:val="00251006"/>
    <w:rsid w:val="00251A5D"/>
    <w:rsid w:val="002524D5"/>
    <w:rsid w:val="00252C79"/>
    <w:rsid w:val="00253819"/>
    <w:rsid w:val="00253B1D"/>
    <w:rsid w:val="00254986"/>
    <w:rsid w:val="00254DCF"/>
    <w:rsid w:val="00254EAA"/>
    <w:rsid w:val="0025534B"/>
    <w:rsid w:val="00255BB7"/>
    <w:rsid w:val="00255E6D"/>
    <w:rsid w:val="0025602C"/>
    <w:rsid w:val="00257010"/>
    <w:rsid w:val="00257541"/>
    <w:rsid w:val="00257A39"/>
    <w:rsid w:val="00257AC4"/>
    <w:rsid w:val="00257D14"/>
    <w:rsid w:val="00260755"/>
    <w:rsid w:val="00260A7F"/>
    <w:rsid w:val="00261EEF"/>
    <w:rsid w:val="002628DD"/>
    <w:rsid w:val="00262A1A"/>
    <w:rsid w:val="00262A87"/>
    <w:rsid w:val="00264D26"/>
    <w:rsid w:val="0026568D"/>
    <w:rsid w:val="00265BF9"/>
    <w:rsid w:val="00266757"/>
    <w:rsid w:val="00266E8F"/>
    <w:rsid w:val="0026711D"/>
    <w:rsid w:val="00267541"/>
    <w:rsid w:val="00267642"/>
    <w:rsid w:val="00267AEA"/>
    <w:rsid w:val="00267E90"/>
    <w:rsid w:val="002700E6"/>
    <w:rsid w:val="00270222"/>
    <w:rsid w:val="002705D0"/>
    <w:rsid w:val="00270DD3"/>
    <w:rsid w:val="00271C4F"/>
    <w:rsid w:val="00271D6B"/>
    <w:rsid w:val="00271F2E"/>
    <w:rsid w:val="00272511"/>
    <w:rsid w:val="00272646"/>
    <w:rsid w:val="00272815"/>
    <w:rsid w:val="0027294B"/>
    <w:rsid w:val="002731BC"/>
    <w:rsid w:val="00273432"/>
    <w:rsid w:val="00273EB4"/>
    <w:rsid w:val="00273EDC"/>
    <w:rsid w:val="00274682"/>
    <w:rsid w:val="00275113"/>
    <w:rsid w:val="002753F8"/>
    <w:rsid w:val="00275C5A"/>
    <w:rsid w:val="00276DA9"/>
    <w:rsid w:val="00277084"/>
    <w:rsid w:val="00277F67"/>
    <w:rsid w:val="00280547"/>
    <w:rsid w:val="00280DC6"/>
    <w:rsid w:val="00281014"/>
    <w:rsid w:val="002813EB"/>
    <w:rsid w:val="002816D2"/>
    <w:rsid w:val="00282809"/>
    <w:rsid w:val="00284799"/>
    <w:rsid w:val="0028665D"/>
    <w:rsid w:val="002900A7"/>
    <w:rsid w:val="0029077E"/>
    <w:rsid w:val="002907F9"/>
    <w:rsid w:val="002908A2"/>
    <w:rsid w:val="002909E5"/>
    <w:rsid w:val="00291049"/>
    <w:rsid w:val="002931DF"/>
    <w:rsid w:val="002943EC"/>
    <w:rsid w:val="00294801"/>
    <w:rsid w:val="0029683B"/>
    <w:rsid w:val="00297747"/>
    <w:rsid w:val="00297FAB"/>
    <w:rsid w:val="002A0D7D"/>
    <w:rsid w:val="002A0E33"/>
    <w:rsid w:val="002A1195"/>
    <w:rsid w:val="002A1476"/>
    <w:rsid w:val="002A14AB"/>
    <w:rsid w:val="002A1B9C"/>
    <w:rsid w:val="002A1D5B"/>
    <w:rsid w:val="002A20C0"/>
    <w:rsid w:val="002A241B"/>
    <w:rsid w:val="002A2ADE"/>
    <w:rsid w:val="002A2F50"/>
    <w:rsid w:val="002A412C"/>
    <w:rsid w:val="002A525B"/>
    <w:rsid w:val="002B05A1"/>
    <w:rsid w:val="002B0928"/>
    <w:rsid w:val="002B09A4"/>
    <w:rsid w:val="002B0D6B"/>
    <w:rsid w:val="002B1C1F"/>
    <w:rsid w:val="002B285D"/>
    <w:rsid w:val="002B2B8C"/>
    <w:rsid w:val="002B2DB7"/>
    <w:rsid w:val="002B3C80"/>
    <w:rsid w:val="002B4261"/>
    <w:rsid w:val="002B432F"/>
    <w:rsid w:val="002B62B3"/>
    <w:rsid w:val="002B6754"/>
    <w:rsid w:val="002B6CCE"/>
    <w:rsid w:val="002B7C25"/>
    <w:rsid w:val="002C0742"/>
    <w:rsid w:val="002C138C"/>
    <w:rsid w:val="002C1744"/>
    <w:rsid w:val="002C2057"/>
    <w:rsid w:val="002C2510"/>
    <w:rsid w:val="002C2601"/>
    <w:rsid w:val="002C2775"/>
    <w:rsid w:val="002C27C1"/>
    <w:rsid w:val="002C3351"/>
    <w:rsid w:val="002C38B7"/>
    <w:rsid w:val="002C4A89"/>
    <w:rsid w:val="002C5099"/>
    <w:rsid w:val="002C5136"/>
    <w:rsid w:val="002C51C3"/>
    <w:rsid w:val="002C57A2"/>
    <w:rsid w:val="002C5889"/>
    <w:rsid w:val="002C62BB"/>
    <w:rsid w:val="002C6DB6"/>
    <w:rsid w:val="002C71CE"/>
    <w:rsid w:val="002C7594"/>
    <w:rsid w:val="002C7E30"/>
    <w:rsid w:val="002D05EB"/>
    <w:rsid w:val="002D078D"/>
    <w:rsid w:val="002D08F8"/>
    <w:rsid w:val="002D10BE"/>
    <w:rsid w:val="002D151C"/>
    <w:rsid w:val="002D3641"/>
    <w:rsid w:val="002D3A1B"/>
    <w:rsid w:val="002D577C"/>
    <w:rsid w:val="002D7744"/>
    <w:rsid w:val="002E0522"/>
    <w:rsid w:val="002E1071"/>
    <w:rsid w:val="002E15B9"/>
    <w:rsid w:val="002E17B7"/>
    <w:rsid w:val="002E2158"/>
    <w:rsid w:val="002E2268"/>
    <w:rsid w:val="002E24ED"/>
    <w:rsid w:val="002E273D"/>
    <w:rsid w:val="002E46CD"/>
    <w:rsid w:val="002E4F02"/>
    <w:rsid w:val="002E61EF"/>
    <w:rsid w:val="002E7722"/>
    <w:rsid w:val="002E79B1"/>
    <w:rsid w:val="002F0454"/>
    <w:rsid w:val="002F07BA"/>
    <w:rsid w:val="002F0DA9"/>
    <w:rsid w:val="002F1014"/>
    <w:rsid w:val="002F124B"/>
    <w:rsid w:val="002F1B04"/>
    <w:rsid w:val="002F1EB9"/>
    <w:rsid w:val="002F2330"/>
    <w:rsid w:val="002F271C"/>
    <w:rsid w:val="002F27AA"/>
    <w:rsid w:val="002F36FD"/>
    <w:rsid w:val="002F3A99"/>
    <w:rsid w:val="002F4897"/>
    <w:rsid w:val="002F643C"/>
    <w:rsid w:val="002F681E"/>
    <w:rsid w:val="002F6F74"/>
    <w:rsid w:val="002F71C0"/>
    <w:rsid w:val="002F74F1"/>
    <w:rsid w:val="00301017"/>
    <w:rsid w:val="0030155F"/>
    <w:rsid w:val="003018E6"/>
    <w:rsid w:val="00304E9F"/>
    <w:rsid w:val="0030587B"/>
    <w:rsid w:val="00306D98"/>
    <w:rsid w:val="00306E5B"/>
    <w:rsid w:val="0030786C"/>
    <w:rsid w:val="00307C0B"/>
    <w:rsid w:val="0031031A"/>
    <w:rsid w:val="003103CD"/>
    <w:rsid w:val="00310981"/>
    <w:rsid w:val="003124D9"/>
    <w:rsid w:val="00312594"/>
    <w:rsid w:val="0031278E"/>
    <w:rsid w:val="003128C8"/>
    <w:rsid w:val="0031296F"/>
    <w:rsid w:val="00313C69"/>
    <w:rsid w:val="0031535A"/>
    <w:rsid w:val="00315498"/>
    <w:rsid w:val="00316474"/>
    <w:rsid w:val="00317817"/>
    <w:rsid w:val="00320F33"/>
    <w:rsid w:val="00321A6A"/>
    <w:rsid w:val="00321BE5"/>
    <w:rsid w:val="00322107"/>
    <w:rsid w:val="00322355"/>
    <w:rsid w:val="00322378"/>
    <w:rsid w:val="003227A4"/>
    <w:rsid w:val="00322846"/>
    <w:rsid w:val="00323C28"/>
    <w:rsid w:val="00323E45"/>
    <w:rsid w:val="00323EBA"/>
    <w:rsid w:val="003248D3"/>
    <w:rsid w:val="00326DA7"/>
    <w:rsid w:val="003270E4"/>
    <w:rsid w:val="00327AC7"/>
    <w:rsid w:val="00330945"/>
    <w:rsid w:val="00330DAA"/>
    <w:rsid w:val="00330F5C"/>
    <w:rsid w:val="00331756"/>
    <w:rsid w:val="003317B1"/>
    <w:rsid w:val="00332DD9"/>
    <w:rsid w:val="0033341F"/>
    <w:rsid w:val="00333C38"/>
    <w:rsid w:val="00334474"/>
    <w:rsid w:val="0033464E"/>
    <w:rsid w:val="003348BB"/>
    <w:rsid w:val="003366C9"/>
    <w:rsid w:val="00336861"/>
    <w:rsid w:val="0033709D"/>
    <w:rsid w:val="003371B0"/>
    <w:rsid w:val="003407D6"/>
    <w:rsid w:val="00340DF1"/>
    <w:rsid w:val="0034112F"/>
    <w:rsid w:val="00341131"/>
    <w:rsid w:val="00341781"/>
    <w:rsid w:val="003419FD"/>
    <w:rsid w:val="00342A1B"/>
    <w:rsid w:val="00343163"/>
    <w:rsid w:val="00344ABD"/>
    <w:rsid w:val="00345073"/>
    <w:rsid w:val="0034690F"/>
    <w:rsid w:val="0034793F"/>
    <w:rsid w:val="003507DA"/>
    <w:rsid w:val="0035148B"/>
    <w:rsid w:val="003515B4"/>
    <w:rsid w:val="003515CB"/>
    <w:rsid w:val="003517F9"/>
    <w:rsid w:val="00351BA9"/>
    <w:rsid w:val="00351FF0"/>
    <w:rsid w:val="00352E8A"/>
    <w:rsid w:val="00353DF7"/>
    <w:rsid w:val="0035423A"/>
    <w:rsid w:val="00354314"/>
    <w:rsid w:val="00354E8B"/>
    <w:rsid w:val="00354F64"/>
    <w:rsid w:val="0035620E"/>
    <w:rsid w:val="00356406"/>
    <w:rsid w:val="00356914"/>
    <w:rsid w:val="00356DE7"/>
    <w:rsid w:val="00357A81"/>
    <w:rsid w:val="003601EF"/>
    <w:rsid w:val="00360345"/>
    <w:rsid w:val="00360F43"/>
    <w:rsid w:val="00361400"/>
    <w:rsid w:val="00361893"/>
    <w:rsid w:val="00361A05"/>
    <w:rsid w:val="003624C4"/>
    <w:rsid w:val="00362DF6"/>
    <w:rsid w:val="0036376E"/>
    <w:rsid w:val="00363B00"/>
    <w:rsid w:val="00364E60"/>
    <w:rsid w:val="00365219"/>
    <w:rsid w:val="003654AC"/>
    <w:rsid w:val="003708AD"/>
    <w:rsid w:val="00370C0D"/>
    <w:rsid w:val="0037107F"/>
    <w:rsid w:val="003710CF"/>
    <w:rsid w:val="00371552"/>
    <w:rsid w:val="0037358A"/>
    <w:rsid w:val="003750F6"/>
    <w:rsid w:val="00375227"/>
    <w:rsid w:val="003759C8"/>
    <w:rsid w:val="00375D96"/>
    <w:rsid w:val="003760FC"/>
    <w:rsid w:val="0037629E"/>
    <w:rsid w:val="00376830"/>
    <w:rsid w:val="00377BC8"/>
    <w:rsid w:val="00380D04"/>
    <w:rsid w:val="00381374"/>
    <w:rsid w:val="0038234C"/>
    <w:rsid w:val="003830F4"/>
    <w:rsid w:val="003835C6"/>
    <w:rsid w:val="0038365C"/>
    <w:rsid w:val="0038369B"/>
    <w:rsid w:val="0038399E"/>
    <w:rsid w:val="00383B01"/>
    <w:rsid w:val="00383B0D"/>
    <w:rsid w:val="00383B78"/>
    <w:rsid w:val="00383B79"/>
    <w:rsid w:val="003842CB"/>
    <w:rsid w:val="00385A9D"/>
    <w:rsid w:val="00386519"/>
    <w:rsid w:val="003866AE"/>
    <w:rsid w:val="00386F1A"/>
    <w:rsid w:val="00386FBD"/>
    <w:rsid w:val="00387CF1"/>
    <w:rsid w:val="003902B1"/>
    <w:rsid w:val="0039179C"/>
    <w:rsid w:val="00393EE2"/>
    <w:rsid w:val="00393F27"/>
    <w:rsid w:val="00394260"/>
    <w:rsid w:val="00394438"/>
    <w:rsid w:val="003949F8"/>
    <w:rsid w:val="00395A0A"/>
    <w:rsid w:val="00395E4E"/>
    <w:rsid w:val="00395EA0"/>
    <w:rsid w:val="00396896"/>
    <w:rsid w:val="00396908"/>
    <w:rsid w:val="00396FD0"/>
    <w:rsid w:val="00397403"/>
    <w:rsid w:val="0039767D"/>
    <w:rsid w:val="003A1A7A"/>
    <w:rsid w:val="003A2392"/>
    <w:rsid w:val="003A2831"/>
    <w:rsid w:val="003A30BF"/>
    <w:rsid w:val="003A3CB6"/>
    <w:rsid w:val="003A3ED1"/>
    <w:rsid w:val="003A4463"/>
    <w:rsid w:val="003A44DB"/>
    <w:rsid w:val="003A4C48"/>
    <w:rsid w:val="003A5FB2"/>
    <w:rsid w:val="003B0CC2"/>
    <w:rsid w:val="003B163C"/>
    <w:rsid w:val="003B34A8"/>
    <w:rsid w:val="003B36EC"/>
    <w:rsid w:val="003B3971"/>
    <w:rsid w:val="003B55D1"/>
    <w:rsid w:val="003B5B61"/>
    <w:rsid w:val="003B5FDE"/>
    <w:rsid w:val="003C0E82"/>
    <w:rsid w:val="003C1654"/>
    <w:rsid w:val="003C26DF"/>
    <w:rsid w:val="003C3009"/>
    <w:rsid w:val="003C42C0"/>
    <w:rsid w:val="003C4302"/>
    <w:rsid w:val="003C4417"/>
    <w:rsid w:val="003C4E7B"/>
    <w:rsid w:val="003C50CD"/>
    <w:rsid w:val="003C5542"/>
    <w:rsid w:val="003C618B"/>
    <w:rsid w:val="003C66C9"/>
    <w:rsid w:val="003C7007"/>
    <w:rsid w:val="003C7A13"/>
    <w:rsid w:val="003C7D19"/>
    <w:rsid w:val="003C7D2F"/>
    <w:rsid w:val="003D0A34"/>
    <w:rsid w:val="003D1828"/>
    <w:rsid w:val="003D1DE4"/>
    <w:rsid w:val="003D1E9A"/>
    <w:rsid w:val="003D2422"/>
    <w:rsid w:val="003D2DED"/>
    <w:rsid w:val="003D2E43"/>
    <w:rsid w:val="003D313F"/>
    <w:rsid w:val="003D39A1"/>
    <w:rsid w:val="003D3FBF"/>
    <w:rsid w:val="003D4775"/>
    <w:rsid w:val="003D4A30"/>
    <w:rsid w:val="003D532A"/>
    <w:rsid w:val="003D5F9D"/>
    <w:rsid w:val="003D6172"/>
    <w:rsid w:val="003D6F78"/>
    <w:rsid w:val="003D7452"/>
    <w:rsid w:val="003D79BB"/>
    <w:rsid w:val="003D7C98"/>
    <w:rsid w:val="003D7D9D"/>
    <w:rsid w:val="003E0543"/>
    <w:rsid w:val="003E0DD9"/>
    <w:rsid w:val="003E103E"/>
    <w:rsid w:val="003E1506"/>
    <w:rsid w:val="003E29AB"/>
    <w:rsid w:val="003E31A1"/>
    <w:rsid w:val="003E4221"/>
    <w:rsid w:val="003E5617"/>
    <w:rsid w:val="003E5658"/>
    <w:rsid w:val="003E63CB"/>
    <w:rsid w:val="003E6420"/>
    <w:rsid w:val="003E709C"/>
    <w:rsid w:val="003E749E"/>
    <w:rsid w:val="003E7E64"/>
    <w:rsid w:val="003F08E6"/>
    <w:rsid w:val="003F0E57"/>
    <w:rsid w:val="003F1DFF"/>
    <w:rsid w:val="003F2DC9"/>
    <w:rsid w:val="003F30BC"/>
    <w:rsid w:val="003F4156"/>
    <w:rsid w:val="003F467B"/>
    <w:rsid w:val="003F5ADF"/>
    <w:rsid w:val="003F7B67"/>
    <w:rsid w:val="003F7B9C"/>
    <w:rsid w:val="003F7FC4"/>
    <w:rsid w:val="004007C7"/>
    <w:rsid w:val="00400B29"/>
    <w:rsid w:val="00400D7F"/>
    <w:rsid w:val="004021F2"/>
    <w:rsid w:val="00402879"/>
    <w:rsid w:val="00402961"/>
    <w:rsid w:val="00402D75"/>
    <w:rsid w:val="004038D3"/>
    <w:rsid w:val="00404618"/>
    <w:rsid w:val="0040472E"/>
    <w:rsid w:val="0040504B"/>
    <w:rsid w:val="004059F4"/>
    <w:rsid w:val="00405D30"/>
    <w:rsid w:val="00405E4E"/>
    <w:rsid w:val="00406272"/>
    <w:rsid w:val="00406B77"/>
    <w:rsid w:val="00406CD0"/>
    <w:rsid w:val="0040751F"/>
    <w:rsid w:val="00407FE5"/>
    <w:rsid w:val="004101B0"/>
    <w:rsid w:val="00410326"/>
    <w:rsid w:val="00410708"/>
    <w:rsid w:val="00410EC7"/>
    <w:rsid w:val="0041191A"/>
    <w:rsid w:val="00411B39"/>
    <w:rsid w:val="00411E37"/>
    <w:rsid w:val="00411EE3"/>
    <w:rsid w:val="0041243D"/>
    <w:rsid w:val="004127A7"/>
    <w:rsid w:val="00412E17"/>
    <w:rsid w:val="004137BB"/>
    <w:rsid w:val="00413A1E"/>
    <w:rsid w:val="00413D63"/>
    <w:rsid w:val="00414476"/>
    <w:rsid w:val="00414B04"/>
    <w:rsid w:val="00414C2E"/>
    <w:rsid w:val="004151CF"/>
    <w:rsid w:val="0041566C"/>
    <w:rsid w:val="0041620F"/>
    <w:rsid w:val="00416364"/>
    <w:rsid w:val="00417613"/>
    <w:rsid w:val="00417E7F"/>
    <w:rsid w:val="0042047F"/>
    <w:rsid w:val="00420AA6"/>
    <w:rsid w:val="00420B9F"/>
    <w:rsid w:val="004215AF"/>
    <w:rsid w:val="0042192C"/>
    <w:rsid w:val="00421B21"/>
    <w:rsid w:val="00422260"/>
    <w:rsid w:val="004237BA"/>
    <w:rsid w:val="0042413F"/>
    <w:rsid w:val="004246DD"/>
    <w:rsid w:val="0042649C"/>
    <w:rsid w:val="00426BFE"/>
    <w:rsid w:val="0042779A"/>
    <w:rsid w:val="00427A3E"/>
    <w:rsid w:val="00427B86"/>
    <w:rsid w:val="004319F8"/>
    <w:rsid w:val="00431E55"/>
    <w:rsid w:val="004321F6"/>
    <w:rsid w:val="00433044"/>
    <w:rsid w:val="00434088"/>
    <w:rsid w:val="00434210"/>
    <w:rsid w:val="00434F79"/>
    <w:rsid w:val="00435657"/>
    <w:rsid w:val="00435E60"/>
    <w:rsid w:val="00435EF9"/>
    <w:rsid w:val="004375B9"/>
    <w:rsid w:val="004402F2"/>
    <w:rsid w:val="00442474"/>
    <w:rsid w:val="004428D0"/>
    <w:rsid w:val="00443396"/>
    <w:rsid w:val="00443BA0"/>
    <w:rsid w:val="00443E37"/>
    <w:rsid w:val="00443E5A"/>
    <w:rsid w:val="00444185"/>
    <w:rsid w:val="004443A7"/>
    <w:rsid w:val="0044442C"/>
    <w:rsid w:val="00444739"/>
    <w:rsid w:val="004455D7"/>
    <w:rsid w:val="00445941"/>
    <w:rsid w:val="00445E28"/>
    <w:rsid w:val="00445F38"/>
    <w:rsid w:val="00446084"/>
    <w:rsid w:val="00446491"/>
    <w:rsid w:val="004464EB"/>
    <w:rsid w:val="00447D26"/>
    <w:rsid w:val="00447DFC"/>
    <w:rsid w:val="004503C5"/>
    <w:rsid w:val="0045053E"/>
    <w:rsid w:val="004518F4"/>
    <w:rsid w:val="00451D32"/>
    <w:rsid w:val="0045272B"/>
    <w:rsid w:val="00452E10"/>
    <w:rsid w:val="00453CEF"/>
    <w:rsid w:val="00453EAF"/>
    <w:rsid w:val="00454C01"/>
    <w:rsid w:val="00455259"/>
    <w:rsid w:val="00455D45"/>
    <w:rsid w:val="00456EE3"/>
    <w:rsid w:val="0045706A"/>
    <w:rsid w:val="004605E5"/>
    <w:rsid w:val="00461C99"/>
    <w:rsid w:val="00462DD1"/>
    <w:rsid w:val="00464595"/>
    <w:rsid w:val="004658B5"/>
    <w:rsid w:val="00466DD9"/>
    <w:rsid w:val="004674E6"/>
    <w:rsid w:val="00470028"/>
    <w:rsid w:val="004703CF"/>
    <w:rsid w:val="00471B8E"/>
    <w:rsid w:val="00471EA5"/>
    <w:rsid w:val="00472A79"/>
    <w:rsid w:val="004737D8"/>
    <w:rsid w:val="00473A94"/>
    <w:rsid w:val="00473AA8"/>
    <w:rsid w:val="00473F19"/>
    <w:rsid w:val="00474B46"/>
    <w:rsid w:val="00475E22"/>
    <w:rsid w:val="00476FFA"/>
    <w:rsid w:val="004777C8"/>
    <w:rsid w:val="0048088E"/>
    <w:rsid w:val="00480F2B"/>
    <w:rsid w:val="004826F3"/>
    <w:rsid w:val="00482720"/>
    <w:rsid w:val="00482975"/>
    <w:rsid w:val="004835E7"/>
    <w:rsid w:val="00483614"/>
    <w:rsid w:val="00483A5E"/>
    <w:rsid w:val="00484528"/>
    <w:rsid w:val="0048508A"/>
    <w:rsid w:val="00485105"/>
    <w:rsid w:val="004857E2"/>
    <w:rsid w:val="0048626B"/>
    <w:rsid w:val="004867E2"/>
    <w:rsid w:val="00486EEA"/>
    <w:rsid w:val="00487BBF"/>
    <w:rsid w:val="0049007E"/>
    <w:rsid w:val="00490B17"/>
    <w:rsid w:val="004915DF"/>
    <w:rsid w:val="00491B3A"/>
    <w:rsid w:val="00492402"/>
    <w:rsid w:val="00492CFD"/>
    <w:rsid w:val="00493843"/>
    <w:rsid w:val="00494207"/>
    <w:rsid w:val="00494516"/>
    <w:rsid w:val="00494768"/>
    <w:rsid w:val="00494DD5"/>
    <w:rsid w:val="00494F6C"/>
    <w:rsid w:val="00495473"/>
    <w:rsid w:val="00495D4B"/>
    <w:rsid w:val="004962D2"/>
    <w:rsid w:val="004966B1"/>
    <w:rsid w:val="00496B52"/>
    <w:rsid w:val="0049716C"/>
    <w:rsid w:val="0049757E"/>
    <w:rsid w:val="004A0630"/>
    <w:rsid w:val="004A0DA1"/>
    <w:rsid w:val="004A1257"/>
    <w:rsid w:val="004A13D6"/>
    <w:rsid w:val="004A157D"/>
    <w:rsid w:val="004A1DDD"/>
    <w:rsid w:val="004A28C6"/>
    <w:rsid w:val="004A2A8A"/>
    <w:rsid w:val="004A2DE5"/>
    <w:rsid w:val="004A3104"/>
    <w:rsid w:val="004A374A"/>
    <w:rsid w:val="004A37A6"/>
    <w:rsid w:val="004A3D3A"/>
    <w:rsid w:val="004A4522"/>
    <w:rsid w:val="004A4574"/>
    <w:rsid w:val="004A52E9"/>
    <w:rsid w:val="004A5C39"/>
    <w:rsid w:val="004A6040"/>
    <w:rsid w:val="004A6597"/>
    <w:rsid w:val="004A7848"/>
    <w:rsid w:val="004A790E"/>
    <w:rsid w:val="004B077B"/>
    <w:rsid w:val="004B1CB4"/>
    <w:rsid w:val="004B2F18"/>
    <w:rsid w:val="004B371D"/>
    <w:rsid w:val="004B3DDB"/>
    <w:rsid w:val="004B44FD"/>
    <w:rsid w:val="004B4F0F"/>
    <w:rsid w:val="004B5CFC"/>
    <w:rsid w:val="004B62A8"/>
    <w:rsid w:val="004B665F"/>
    <w:rsid w:val="004B6F79"/>
    <w:rsid w:val="004B7127"/>
    <w:rsid w:val="004B774D"/>
    <w:rsid w:val="004C0554"/>
    <w:rsid w:val="004C0A6E"/>
    <w:rsid w:val="004C3EB7"/>
    <w:rsid w:val="004C3EF7"/>
    <w:rsid w:val="004C4AED"/>
    <w:rsid w:val="004C712D"/>
    <w:rsid w:val="004D01E3"/>
    <w:rsid w:val="004D0BC4"/>
    <w:rsid w:val="004D1F24"/>
    <w:rsid w:val="004D29C4"/>
    <w:rsid w:val="004D2C2D"/>
    <w:rsid w:val="004D4C6F"/>
    <w:rsid w:val="004D5839"/>
    <w:rsid w:val="004D69B5"/>
    <w:rsid w:val="004D6B20"/>
    <w:rsid w:val="004D7227"/>
    <w:rsid w:val="004D7C0F"/>
    <w:rsid w:val="004E073E"/>
    <w:rsid w:val="004E0E7F"/>
    <w:rsid w:val="004E0EB8"/>
    <w:rsid w:val="004E14D6"/>
    <w:rsid w:val="004E18E9"/>
    <w:rsid w:val="004E1A27"/>
    <w:rsid w:val="004E2085"/>
    <w:rsid w:val="004E2928"/>
    <w:rsid w:val="004E2ADC"/>
    <w:rsid w:val="004E32AD"/>
    <w:rsid w:val="004E3EC5"/>
    <w:rsid w:val="004E43B2"/>
    <w:rsid w:val="004E5389"/>
    <w:rsid w:val="004E566A"/>
    <w:rsid w:val="004E680A"/>
    <w:rsid w:val="004E73BB"/>
    <w:rsid w:val="004E73CD"/>
    <w:rsid w:val="004E7E93"/>
    <w:rsid w:val="004F09C8"/>
    <w:rsid w:val="004F1191"/>
    <w:rsid w:val="004F1367"/>
    <w:rsid w:val="004F1D02"/>
    <w:rsid w:val="004F2679"/>
    <w:rsid w:val="004F289B"/>
    <w:rsid w:val="004F2F21"/>
    <w:rsid w:val="004F3C3E"/>
    <w:rsid w:val="004F3DE5"/>
    <w:rsid w:val="004F41E6"/>
    <w:rsid w:val="004F435D"/>
    <w:rsid w:val="004F4D1D"/>
    <w:rsid w:val="004F4F78"/>
    <w:rsid w:val="004F6913"/>
    <w:rsid w:val="004F6CDA"/>
    <w:rsid w:val="004F70E1"/>
    <w:rsid w:val="004F7865"/>
    <w:rsid w:val="00500064"/>
    <w:rsid w:val="00500694"/>
    <w:rsid w:val="005014F6"/>
    <w:rsid w:val="0050174E"/>
    <w:rsid w:val="0050180D"/>
    <w:rsid w:val="00501854"/>
    <w:rsid w:val="00501C4A"/>
    <w:rsid w:val="00501FD5"/>
    <w:rsid w:val="0050219B"/>
    <w:rsid w:val="00502261"/>
    <w:rsid w:val="00503E46"/>
    <w:rsid w:val="00503F17"/>
    <w:rsid w:val="0050401E"/>
    <w:rsid w:val="005047C9"/>
    <w:rsid w:val="00506928"/>
    <w:rsid w:val="00507463"/>
    <w:rsid w:val="00507796"/>
    <w:rsid w:val="005077EF"/>
    <w:rsid w:val="00507B4E"/>
    <w:rsid w:val="0051092D"/>
    <w:rsid w:val="0051173F"/>
    <w:rsid w:val="00511AD5"/>
    <w:rsid w:val="00511C1C"/>
    <w:rsid w:val="00511DC7"/>
    <w:rsid w:val="00512B93"/>
    <w:rsid w:val="00513A82"/>
    <w:rsid w:val="00513CB2"/>
    <w:rsid w:val="005142C5"/>
    <w:rsid w:val="00514677"/>
    <w:rsid w:val="0051501B"/>
    <w:rsid w:val="005152B5"/>
    <w:rsid w:val="0051595E"/>
    <w:rsid w:val="00515DFF"/>
    <w:rsid w:val="00515F49"/>
    <w:rsid w:val="00516F65"/>
    <w:rsid w:val="0051748F"/>
    <w:rsid w:val="0052123C"/>
    <w:rsid w:val="005212F7"/>
    <w:rsid w:val="00521319"/>
    <w:rsid w:val="00522BC8"/>
    <w:rsid w:val="0052337E"/>
    <w:rsid w:val="005236FA"/>
    <w:rsid w:val="00523C28"/>
    <w:rsid w:val="00525220"/>
    <w:rsid w:val="0052694C"/>
    <w:rsid w:val="00526EE5"/>
    <w:rsid w:val="00526F7A"/>
    <w:rsid w:val="00527874"/>
    <w:rsid w:val="0053176B"/>
    <w:rsid w:val="005317F3"/>
    <w:rsid w:val="00531D5B"/>
    <w:rsid w:val="005335B7"/>
    <w:rsid w:val="005337D0"/>
    <w:rsid w:val="00533BDE"/>
    <w:rsid w:val="00533EF6"/>
    <w:rsid w:val="00535A01"/>
    <w:rsid w:val="00535CEF"/>
    <w:rsid w:val="00535E70"/>
    <w:rsid w:val="00536B40"/>
    <w:rsid w:val="00536B6F"/>
    <w:rsid w:val="00536F42"/>
    <w:rsid w:val="00537182"/>
    <w:rsid w:val="005372F9"/>
    <w:rsid w:val="005401DE"/>
    <w:rsid w:val="00540493"/>
    <w:rsid w:val="0054068D"/>
    <w:rsid w:val="00541000"/>
    <w:rsid w:val="00541521"/>
    <w:rsid w:val="00541B5B"/>
    <w:rsid w:val="00541EDD"/>
    <w:rsid w:val="00542743"/>
    <w:rsid w:val="00542C2D"/>
    <w:rsid w:val="00542C72"/>
    <w:rsid w:val="00544CCF"/>
    <w:rsid w:val="00545F20"/>
    <w:rsid w:val="00546055"/>
    <w:rsid w:val="00546A6B"/>
    <w:rsid w:val="005478BD"/>
    <w:rsid w:val="005479E3"/>
    <w:rsid w:val="005501DF"/>
    <w:rsid w:val="00551874"/>
    <w:rsid w:val="00551985"/>
    <w:rsid w:val="0055280F"/>
    <w:rsid w:val="00552BD3"/>
    <w:rsid w:val="00552DEE"/>
    <w:rsid w:val="005532A0"/>
    <w:rsid w:val="00553FA3"/>
    <w:rsid w:val="00555109"/>
    <w:rsid w:val="00555418"/>
    <w:rsid w:val="00555570"/>
    <w:rsid w:val="00555AE0"/>
    <w:rsid w:val="00556B35"/>
    <w:rsid w:val="005573AA"/>
    <w:rsid w:val="0055741A"/>
    <w:rsid w:val="00557650"/>
    <w:rsid w:val="005577D4"/>
    <w:rsid w:val="00557F4E"/>
    <w:rsid w:val="00560331"/>
    <w:rsid w:val="005611B7"/>
    <w:rsid w:val="005618D4"/>
    <w:rsid w:val="0056265A"/>
    <w:rsid w:val="00563959"/>
    <w:rsid w:val="00565DF0"/>
    <w:rsid w:val="0056696F"/>
    <w:rsid w:val="005706F8"/>
    <w:rsid w:val="00572269"/>
    <w:rsid w:val="0057244A"/>
    <w:rsid w:val="00572BC3"/>
    <w:rsid w:val="00572F26"/>
    <w:rsid w:val="00573B48"/>
    <w:rsid w:val="00573FDA"/>
    <w:rsid w:val="005750C5"/>
    <w:rsid w:val="005752DE"/>
    <w:rsid w:val="00575D8D"/>
    <w:rsid w:val="0057662B"/>
    <w:rsid w:val="00576972"/>
    <w:rsid w:val="00576A1C"/>
    <w:rsid w:val="00577429"/>
    <w:rsid w:val="00577A56"/>
    <w:rsid w:val="00577B60"/>
    <w:rsid w:val="00580174"/>
    <w:rsid w:val="005809C8"/>
    <w:rsid w:val="00581BAF"/>
    <w:rsid w:val="0058239B"/>
    <w:rsid w:val="005823DC"/>
    <w:rsid w:val="00583699"/>
    <w:rsid w:val="005839A9"/>
    <w:rsid w:val="005840E5"/>
    <w:rsid w:val="005840EF"/>
    <w:rsid w:val="0058456B"/>
    <w:rsid w:val="00584DC1"/>
    <w:rsid w:val="00584EEF"/>
    <w:rsid w:val="00584FAA"/>
    <w:rsid w:val="00585CDD"/>
    <w:rsid w:val="005860A8"/>
    <w:rsid w:val="00586F6D"/>
    <w:rsid w:val="00587058"/>
    <w:rsid w:val="005904A3"/>
    <w:rsid w:val="00591957"/>
    <w:rsid w:val="0059254D"/>
    <w:rsid w:val="00594424"/>
    <w:rsid w:val="00595B30"/>
    <w:rsid w:val="00596987"/>
    <w:rsid w:val="00596FA7"/>
    <w:rsid w:val="00597BF9"/>
    <w:rsid w:val="005A0300"/>
    <w:rsid w:val="005A0B43"/>
    <w:rsid w:val="005A17D1"/>
    <w:rsid w:val="005A1F73"/>
    <w:rsid w:val="005A309A"/>
    <w:rsid w:val="005A373D"/>
    <w:rsid w:val="005A496B"/>
    <w:rsid w:val="005A4A98"/>
    <w:rsid w:val="005A50C9"/>
    <w:rsid w:val="005A6324"/>
    <w:rsid w:val="005A677E"/>
    <w:rsid w:val="005A7F64"/>
    <w:rsid w:val="005B06F6"/>
    <w:rsid w:val="005B0B58"/>
    <w:rsid w:val="005B2005"/>
    <w:rsid w:val="005B4774"/>
    <w:rsid w:val="005B4E53"/>
    <w:rsid w:val="005B51E6"/>
    <w:rsid w:val="005B5857"/>
    <w:rsid w:val="005B5A25"/>
    <w:rsid w:val="005B5D41"/>
    <w:rsid w:val="005B7B6E"/>
    <w:rsid w:val="005B7F83"/>
    <w:rsid w:val="005C025E"/>
    <w:rsid w:val="005C15A2"/>
    <w:rsid w:val="005C1B83"/>
    <w:rsid w:val="005C25FF"/>
    <w:rsid w:val="005C2A5E"/>
    <w:rsid w:val="005C2D55"/>
    <w:rsid w:val="005C31A5"/>
    <w:rsid w:val="005C333D"/>
    <w:rsid w:val="005C346B"/>
    <w:rsid w:val="005C4E0D"/>
    <w:rsid w:val="005C5C64"/>
    <w:rsid w:val="005C65B6"/>
    <w:rsid w:val="005C7853"/>
    <w:rsid w:val="005C7AEA"/>
    <w:rsid w:val="005C7D9E"/>
    <w:rsid w:val="005D044D"/>
    <w:rsid w:val="005D091F"/>
    <w:rsid w:val="005D0ABD"/>
    <w:rsid w:val="005D18AD"/>
    <w:rsid w:val="005D1FD7"/>
    <w:rsid w:val="005D26B4"/>
    <w:rsid w:val="005D2CA7"/>
    <w:rsid w:val="005D4CAE"/>
    <w:rsid w:val="005D5149"/>
    <w:rsid w:val="005D62CE"/>
    <w:rsid w:val="005D6654"/>
    <w:rsid w:val="005D6D1D"/>
    <w:rsid w:val="005D71F4"/>
    <w:rsid w:val="005D7254"/>
    <w:rsid w:val="005D76B5"/>
    <w:rsid w:val="005D7AB4"/>
    <w:rsid w:val="005E0E12"/>
    <w:rsid w:val="005E0F47"/>
    <w:rsid w:val="005E2851"/>
    <w:rsid w:val="005E2DBE"/>
    <w:rsid w:val="005E4F4C"/>
    <w:rsid w:val="005E5616"/>
    <w:rsid w:val="005E5634"/>
    <w:rsid w:val="005E6CBC"/>
    <w:rsid w:val="005E72FF"/>
    <w:rsid w:val="005E73C0"/>
    <w:rsid w:val="005F124C"/>
    <w:rsid w:val="005F20CA"/>
    <w:rsid w:val="005F2706"/>
    <w:rsid w:val="005F29AC"/>
    <w:rsid w:val="005F4553"/>
    <w:rsid w:val="005F4C66"/>
    <w:rsid w:val="005F4D1C"/>
    <w:rsid w:val="005F5007"/>
    <w:rsid w:val="005F55D6"/>
    <w:rsid w:val="005F5816"/>
    <w:rsid w:val="005F5B1C"/>
    <w:rsid w:val="005F6587"/>
    <w:rsid w:val="005F6A8F"/>
    <w:rsid w:val="005F6BB7"/>
    <w:rsid w:val="005F6BF5"/>
    <w:rsid w:val="005F71BB"/>
    <w:rsid w:val="005F7588"/>
    <w:rsid w:val="005F7980"/>
    <w:rsid w:val="005F7BD4"/>
    <w:rsid w:val="005F7D00"/>
    <w:rsid w:val="005F7DBF"/>
    <w:rsid w:val="006011B4"/>
    <w:rsid w:val="006019D6"/>
    <w:rsid w:val="00601FF2"/>
    <w:rsid w:val="00602B54"/>
    <w:rsid w:val="00603DB9"/>
    <w:rsid w:val="006043AC"/>
    <w:rsid w:val="006047EA"/>
    <w:rsid w:val="00604E0C"/>
    <w:rsid w:val="006051D9"/>
    <w:rsid w:val="006055A0"/>
    <w:rsid w:val="00605EA8"/>
    <w:rsid w:val="006062E7"/>
    <w:rsid w:val="0060659D"/>
    <w:rsid w:val="00606FBA"/>
    <w:rsid w:val="00607669"/>
    <w:rsid w:val="006076F4"/>
    <w:rsid w:val="00607AFD"/>
    <w:rsid w:val="00610499"/>
    <w:rsid w:val="006104A6"/>
    <w:rsid w:val="0061084B"/>
    <w:rsid w:val="00611403"/>
    <w:rsid w:val="00612166"/>
    <w:rsid w:val="006124FA"/>
    <w:rsid w:val="00612860"/>
    <w:rsid w:val="00612B77"/>
    <w:rsid w:val="00612F97"/>
    <w:rsid w:val="00613251"/>
    <w:rsid w:val="0061345D"/>
    <w:rsid w:val="00613D9F"/>
    <w:rsid w:val="00613F5E"/>
    <w:rsid w:val="0061549B"/>
    <w:rsid w:val="00616383"/>
    <w:rsid w:val="00616802"/>
    <w:rsid w:val="00616C1E"/>
    <w:rsid w:val="00617C0B"/>
    <w:rsid w:val="00617E12"/>
    <w:rsid w:val="00620143"/>
    <w:rsid w:val="00620C25"/>
    <w:rsid w:val="00621477"/>
    <w:rsid w:val="00621ADA"/>
    <w:rsid w:val="00622036"/>
    <w:rsid w:val="00622BC2"/>
    <w:rsid w:val="00623A7D"/>
    <w:rsid w:val="00623F7B"/>
    <w:rsid w:val="0062545B"/>
    <w:rsid w:val="006261E4"/>
    <w:rsid w:val="006268F3"/>
    <w:rsid w:val="006269DE"/>
    <w:rsid w:val="00627DAA"/>
    <w:rsid w:val="00630AB6"/>
    <w:rsid w:val="0063158F"/>
    <w:rsid w:val="00631805"/>
    <w:rsid w:val="00631D6B"/>
    <w:rsid w:val="00631F07"/>
    <w:rsid w:val="00632183"/>
    <w:rsid w:val="00632214"/>
    <w:rsid w:val="006330A1"/>
    <w:rsid w:val="0063413B"/>
    <w:rsid w:val="006341A7"/>
    <w:rsid w:val="0063479F"/>
    <w:rsid w:val="00635273"/>
    <w:rsid w:val="006353F0"/>
    <w:rsid w:val="006357B5"/>
    <w:rsid w:val="006364A1"/>
    <w:rsid w:val="0063678E"/>
    <w:rsid w:val="006369FC"/>
    <w:rsid w:val="00636FE1"/>
    <w:rsid w:val="00637BFD"/>
    <w:rsid w:val="0064030E"/>
    <w:rsid w:val="006416C8"/>
    <w:rsid w:val="00641AEB"/>
    <w:rsid w:val="00641BF9"/>
    <w:rsid w:val="00641C4E"/>
    <w:rsid w:val="00641FB3"/>
    <w:rsid w:val="00642AF5"/>
    <w:rsid w:val="00642F8E"/>
    <w:rsid w:val="00642F93"/>
    <w:rsid w:val="00643624"/>
    <w:rsid w:val="0064409F"/>
    <w:rsid w:val="0064434C"/>
    <w:rsid w:val="0064488F"/>
    <w:rsid w:val="006452C1"/>
    <w:rsid w:val="00646475"/>
    <w:rsid w:val="006471CC"/>
    <w:rsid w:val="00647A29"/>
    <w:rsid w:val="0065079F"/>
    <w:rsid w:val="0065179F"/>
    <w:rsid w:val="00652A28"/>
    <w:rsid w:val="0065379F"/>
    <w:rsid w:val="00654EBD"/>
    <w:rsid w:val="00656188"/>
    <w:rsid w:val="00656DC5"/>
    <w:rsid w:val="0065715A"/>
    <w:rsid w:val="00657326"/>
    <w:rsid w:val="006608EE"/>
    <w:rsid w:val="006609E1"/>
    <w:rsid w:val="006610F1"/>
    <w:rsid w:val="00661C6B"/>
    <w:rsid w:val="0066233E"/>
    <w:rsid w:val="00662347"/>
    <w:rsid w:val="006623A5"/>
    <w:rsid w:val="0066314F"/>
    <w:rsid w:val="0066328F"/>
    <w:rsid w:val="006651A3"/>
    <w:rsid w:val="00665CED"/>
    <w:rsid w:val="00665D0A"/>
    <w:rsid w:val="00666CB2"/>
    <w:rsid w:val="00667442"/>
    <w:rsid w:val="00671004"/>
    <w:rsid w:val="00672646"/>
    <w:rsid w:val="006726D0"/>
    <w:rsid w:val="00672B24"/>
    <w:rsid w:val="0067396F"/>
    <w:rsid w:val="006740DA"/>
    <w:rsid w:val="00674E42"/>
    <w:rsid w:val="00676E36"/>
    <w:rsid w:val="00680800"/>
    <w:rsid w:val="00681089"/>
    <w:rsid w:val="0068138E"/>
    <w:rsid w:val="006813F8"/>
    <w:rsid w:val="00682112"/>
    <w:rsid w:val="0068219D"/>
    <w:rsid w:val="006822BD"/>
    <w:rsid w:val="00682AE9"/>
    <w:rsid w:val="00682BA6"/>
    <w:rsid w:val="00682E88"/>
    <w:rsid w:val="00683B34"/>
    <w:rsid w:val="006846F0"/>
    <w:rsid w:val="00684C5C"/>
    <w:rsid w:val="00685158"/>
    <w:rsid w:val="00686057"/>
    <w:rsid w:val="006865C4"/>
    <w:rsid w:val="00686957"/>
    <w:rsid w:val="00686F80"/>
    <w:rsid w:val="006872BA"/>
    <w:rsid w:val="00687535"/>
    <w:rsid w:val="006875E1"/>
    <w:rsid w:val="00690363"/>
    <w:rsid w:val="006905DF"/>
    <w:rsid w:val="00690795"/>
    <w:rsid w:val="00691648"/>
    <w:rsid w:val="006917D7"/>
    <w:rsid w:val="00692CD2"/>
    <w:rsid w:val="00693261"/>
    <w:rsid w:val="0069434C"/>
    <w:rsid w:val="00694367"/>
    <w:rsid w:val="00694F44"/>
    <w:rsid w:val="00696041"/>
    <w:rsid w:val="00696163"/>
    <w:rsid w:val="00696F51"/>
    <w:rsid w:val="006979A5"/>
    <w:rsid w:val="006A02E2"/>
    <w:rsid w:val="006A05D2"/>
    <w:rsid w:val="006A36D9"/>
    <w:rsid w:val="006A4781"/>
    <w:rsid w:val="006A4E42"/>
    <w:rsid w:val="006A539A"/>
    <w:rsid w:val="006A5891"/>
    <w:rsid w:val="006A68B9"/>
    <w:rsid w:val="006A6B99"/>
    <w:rsid w:val="006A7836"/>
    <w:rsid w:val="006A7998"/>
    <w:rsid w:val="006A7E5F"/>
    <w:rsid w:val="006B1686"/>
    <w:rsid w:val="006B261B"/>
    <w:rsid w:val="006B295C"/>
    <w:rsid w:val="006B2C90"/>
    <w:rsid w:val="006B3360"/>
    <w:rsid w:val="006B35E6"/>
    <w:rsid w:val="006B40CD"/>
    <w:rsid w:val="006B465A"/>
    <w:rsid w:val="006B5806"/>
    <w:rsid w:val="006B5A87"/>
    <w:rsid w:val="006B5C43"/>
    <w:rsid w:val="006B5FAC"/>
    <w:rsid w:val="006B64D4"/>
    <w:rsid w:val="006B6DD0"/>
    <w:rsid w:val="006C0377"/>
    <w:rsid w:val="006C0399"/>
    <w:rsid w:val="006C0A78"/>
    <w:rsid w:val="006C112E"/>
    <w:rsid w:val="006C1608"/>
    <w:rsid w:val="006C1C56"/>
    <w:rsid w:val="006C1E9E"/>
    <w:rsid w:val="006C26ED"/>
    <w:rsid w:val="006C2A8E"/>
    <w:rsid w:val="006C2D36"/>
    <w:rsid w:val="006C2E16"/>
    <w:rsid w:val="006C3255"/>
    <w:rsid w:val="006C3F26"/>
    <w:rsid w:val="006C4CD2"/>
    <w:rsid w:val="006C4FCA"/>
    <w:rsid w:val="006C51E0"/>
    <w:rsid w:val="006C52F4"/>
    <w:rsid w:val="006C5716"/>
    <w:rsid w:val="006C61B4"/>
    <w:rsid w:val="006C7B17"/>
    <w:rsid w:val="006D0D17"/>
    <w:rsid w:val="006D0E9C"/>
    <w:rsid w:val="006D0F91"/>
    <w:rsid w:val="006D3110"/>
    <w:rsid w:val="006D3503"/>
    <w:rsid w:val="006D3C7D"/>
    <w:rsid w:val="006D4659"/>
    <w:rsid w:val="006D4D6A"/>
    <w:rsid w:val="006D5D5F"/>
    <w:rsid w:val="006D66B7"/>
    <w:rsid w:val="006D68FB"/>
    <w:rsid w:val="006E09AD"/>
    <w:rsid w:val="006E1F98"/>
    <w:rsid w:val="006E2868"/>
    <w:rsid w:val="006E305A"/>
    <w:rsid w:val="006E5342"/>
    <w:rsid w:val="006E55BE"/>
    <w:rsid w:val="006E5D92"/>
    <w:rsid w:val="006E6704"/>
    <w:rsid w:val="006E6984"/>
    <w:rsid w:val="006E6EDA"/>
    <w:rsid w:val="006E7A34"/>
    <w:rsid w:val="006E7F91"/>
    <w:rsid w:val="006F09A6"/>
    <w:rsid w:val="006F0F39"/>
    <w:rsid w:val="006F12CB"/>
    <w:rsid w:val="006F2B5A"/>
    <w:rsid w:val="006F306C"/>
    <w:rsid w:val="006F3948"/>
    <w:rsid w:val="006F4BCC"/>
    <w:rsid w:val="006F4E9F"/>
    <w:rsid w:val="006F63A5"/>
    <w:rsid w:val="006F6CB9"/>
    <w:rsid w:val="006F75BD"/>
    <w:rsid w:val="0070142B"/>
    <w:rsid w:val="007014EF"/>
    <w:rsid w:val="007017B5"/>
    <w:rsid w:val="0070276E"/>
    <w:rsid w:val="00702CE1"/>
    <w:rsid w:val="00702F8F"/>
    <w:rsid w:val="007031AE"/>
    <w:rsid w:val="00703BB2"/>
    <w:rsid w:val="00704C8C"/>
    <w:rsid w:val="007053D9"/>
    <w:rsid w:val="0070546F"/>
    <w:rsid w:val="007056BD"/>
    <w:rsid w:val="00706D33"/>
    <w:rsid w:val="007079FC"/>
    <w:rsid w:val="00707C49"/>
    <w:rsid w:val="007103E8"/>
    <w:rsid w:val="00710550"/>
    <w:rsid w:val="00710B7B"/>
    <w:rsid w:val="00710D95"/>
    <w:rsid w:val="00710E6D"/>
    <w:rsid w:val="00711732"/>
    <w:rsid w:val="00711A36"/>
    <w:rsid w:val="00714C26"/>
    <w:rsid w:val="0071529C"/>
    <w:rsid w:val="007170DA"/>
    <w:rsid w:val="007172AD"/>
    <w:rsid w:val="00717581"/>
    <w:rsid w:val="00720370"/>
    <w:rsid w:val="00720574"/>
    <w:rsid w:val="00720801"/>
    <w:rsid w:val="00721210"/>
    <w:rsid w:val="00721DBB"/>
    <w:rsid w:val="00722B1B"/>
    <w:rsid w:val="00723287"/>
    <w:rsid w:val="00723535"/>
    <w:rsid w:val="00723AC6"/>
    <w:rsid w:val="00723DD7"/>
    <w:rsid w:val="0072416F"/>
    <w:rsid w:val="00725E34"/>
    <w:rsid w:val="007264EE"/>
    <w:rsid w:val="00726785"/>
    <w:rsid w:val="00727C94"/>
    <w:rsid w:val="00730C7D"/>
    <w:rsid w:val="00731871"/>
    <w:rsid w:val="00731B0A"/>
    <w:rsid w:val="00731EAE"/>
    <w:rsid w:val="00732A4B"/>
    <w:rsid w:val="00732EC4"/>
    <w:rsid w:val="00732F84"/>
    <w:rsid w:val="00733073"/>
    <w:rsid w:val="007339F7"/>
    <w:rsid w:val="00733BCE"/>
    <w:rsid w:val="00734560"/>
    <w:rsid w:val="00734774"/>
    <w:rsid w:val="00735033"/>
    <w:rsid w:val="00735328"/>
    <w:rsid w:val="00735CF8"/>
    <w:rsid w:val="00735E72"/>
    <w:rsid w:val="0073685B"/>
    <w:rsid w:val="00737251"/>
    <w:rsid w:val="00737523"/>
    <w:rsid w:val="00740475"/>
    <w:rsid w:val="00740BFC"/>
    <w:rsid w:val="00741467"/>
    <w:rsid w:val="007417A8"/>
    <w:rsid w:val="00744156"/>
    <w:rsid w:val="0074415B"/>
    <w:rsid w:val="00744644"/>
    <w:rsid w:val="007449BF"/>
    <w:rsid w:val="00746BC0"/>
    <w:rsid w:val="00750375"/>
    <w:rsid w:val="0075056B"/>
    <w:rsid w:val="007510B4"/>
    <w:rsid w:val="007518A2"/>
    <w:rsid w:val="007519DF"/>
    <w:rsid w:val="00752142"/>
    <w:rsid w:val="007523F9"/>
    <w:rsid w:val="0075357E"/>
    <w:rsid w:val="00753AE2"/>
    <w:rsid w:val="007547FD"/>
    <w:rsid w:val="00754BA0"/>
    <w:rsid w:val="00755DA8"/>
    <w:rsid w:val="00755EFE"/>
    <w:rsid w:val="00756CC5"/>
    <w:rsid w:val="007573E8"/>
    <w:rsid w:val="00760514"/>
    <w:rsid w:val="00760886"/>
    <w:rsid w:val="00760C4E"/>
    <w:rsid w:val="00760F9E"/>
    <w:rsid w:val="0076245D"/>
    <w:rsid w:val="007627BE"/>
    <w:rsid w:val="007644D9"/>
    <w:rsid w:val="007647E9"/>
    <w:rsid w:val="00764F03"/>
    <w:rsid w:val="007656B8"/>
    <w:rsid w:val="00765B1A"/>
    <w:rsid w:val="00765C92"/>
    <w:rsid w:val="00765F70"/>
    <w:rsid w:val="0076679C"/>
    <w:rsid w:val="00766BC3"/>
    <w:rsid w:val="0076719E"/>
    <w:rsid w:val="00770A56"/>
    <w:rsid w:val="0077181D"/>
    <w:rsid w:val="007734A9"/>
    <w:rsid w:val="0077358C"/>
    <w:rsid w:val="007738E6"/>
    <w:rsid w:val="007749C9"/>
    <w:rsid w:val="00775EBC"/>
    <w:rsid w:val="00777335"/>
    <w:rsid w:val="00777D58"/>
    <w:rsid w:val="00780C06"/>
    <w:rsid w:val="00781A8F"/>
    <w:rsid w:val="0078200A"/>
    <w:rsid w:val="007820ED"/>
    <w:rsid w:val="00782656"/>
    <w:rsid w:val="007826A2"/>
    <w:rsid w:val="00782DED"/>
    <w:rsid w:val="00782EC2"/>
    <w:rsid w:val="0078345A"/>
    <w:rsid w:val="007837FF"/>
    <w:rsid w:val="0078428F"/>
    <w:rsid w:val="007843F2"/>
    <w:rsid w:val="00784E9B"/>
    <w:rsid w:val="00785387"/>
    <w:rsid w:val="00785A9F"/>
    <w:rsid w:val="00785BC7"/>
    <w:rsid w:val="007866BA"/>
    <w:rsid w:val="007900DB"/>
    <w:rsid w:val="007904F1"/>
    <w:rsid w:val="007910C5"/>
    <w:rsid w:val="007925DF"/>
    <w:rsid w:val="0079268B"/>
    <w:rsid w:val="007937AC"/>
    <w:rsid w:val="007943CB"/>
    <w:rsid w:val="0079558F"/>
    <w:rsid w:val="00796707"/>
    <w:rsid w:val="00796F43"/>
    <w:rsid w:val="007974AE"/>
    <w:rsid w:val="00797653"/>
    <w:rsid w:val="00797E5D"/>
    <w:rsid w:val="007A06F5"/>
    <w:rsid w:val="007A08AA"/>
    <w:rsid w:val="007A0A12"/>
    <w:rsid w:val="007A132D"/>
    <w:rsid w:val="007A1345"/>
    <w:rsid w:val="007A223D"/>
    <w:rsid w:val="007A280D"/>
    <w:rsid w:val="007A2DDB"/>
    <w:rsid w:val="007A32AC"/>
    <w:rsid w:val="007A34E5"/>
    <w:rsid w:val="007A36E8"/>
    <w:rsid w:val="007A43DB"/>
    <w:rsid w:val="007A51D2"/>
    <w:rsid w:val="007A569B"/>
    <w:rsid w:val="007A70BA"/>
    <w:rsid w:val="007A7F8D"/>
    <w:rsid w:val="007B0D68"/>
    <w:rsid w:val="007B1566"/>
    <w:rsid w:val="007B2457"/>
    <w:rsid w:val="007B251D"/>
    <w:rsid w:val="007B299B"/>
    <w:rsid w:val="007B2D64"/>
    <w:rsid w:val="007B2E6B"/>
    <w:rsid w:val="007B2E86"/>
    <w:rsid w:val="007B2FD2"/>
    <w:rsid w:val="007B3C3A"/>
    <w:rsid w:val="007B3E0C"/>
    <w:rsid w:val="007B4F58"/>
    <w:rsid w:val="007B50AE"/>
    <w:rsid w:val="007B528D"/>
    <w:rsid w:val="007B63CA"/>
    <w:rsid w:val="007B6437"/>
    <w:rsid w:val="007B76DB"/>
    <w:rsid w:val="007B77D1"/>
    <w:rsid w:val="007B7D46"/>
    <w:rsid w:val="007B7E27"/>
    <w:rsid w:val="007C0159"/>
    <w:rsid w:val="007C07C7"/>
    <w:rsid w:val="007C0CA1"/>
    <w:rsid w:val="007C0FFB"/>
    <w:rsid w:val="007C14CE"/>
    <w:rsid w:val="007C1CD9"/>
    <w:rsid w:val="007C1EFE"/>
    <w:rsid w:val="007C2A97"/>
    <w:rsid w:val="007C2BEB"/>
    <w:rsid w:val="007C2DAA"/>
    <w:rsid w:val="007C2E48"/>
    <w:rsid w:val="007C2FC5"/>
    <w:rsid w:val="007C32EF"/>
    <w:rsid w:val="007C361D"/>
    <w:rsid w:val="007C3837"/>
    <w:rsid w:val="007C3CF7"/>
    <w:rsid w:val="007C3E59"/>
    <w:rsid w:val="007C40F9"/>
    <w:rsid w:val="007C4A75"/>
    <w:rsid w:val="007C4B84"/>
    <w:rsid w:val="007C70FF"/>
    <w:rsid w:val="007C7C25"/>
    <w:rsid w:val="007D004F"/>
    <w:rsid w:val="007D0B38"/>
    <w:rsid w:val="007D25FD"/>
    <w:rsid w:val="007D3AE0"/>
    <w:rsid w:val="007D405E"/>
    <w:rsid w:val="007D42C3"/>
    <w:rsid w:val="007D490A"/>
    <w:rsid w:val="007D5440"/>
    <w:rsid w:val="007D579B"/>
    <w:rsid w:val="007D606C"/>
    <w:rsid w:val="007D65A6"/>
    <w:rsid w:val="007D69EB"/>
    <w:rsid w:val="007D7827"/>
    <w:rsid w:val="007D7AB8"/>
    <w:rsid w:val="007D7BC8"/>
    <w:rsid w:val="007D7DFB"/>
    <w:rsid w:val="007E081C"/>
    <w:rsid w:val="007E128F"/>
    <w:rsid w:val="007E14A0"/>
    <w:rsid w:val="007E217A"/>
    <w:rsid w:val="007E27A4"/>
    <w:rsid w:val="007E36C7"/>
    <w:rsid w:val="007E4248"/>
    <w:rsid w:val="007E581F"/>
    <w:rsid w:val="007E5BDF"/>
    <w:rsid w:val="007E65A5"/>
    <w:rsid w:val="007E6FE7"/>
    <w:rsid w:val="007F07A7"/>
    <w:rsid w:val="007F1017"/>
    <w:rsid w:val="007F118E"/>
    <w:rsid w:val="007F2CE5"/>
    <w:rsid w:val="007F3658"/>
    <w:rsid w:val="007F37C9"/>
    <w:rsid w:val="007F3BBA"/>
    <w:rsid w:val="007F40BD"/>
    <w:rsid w:val="007F4A3F"/>
    <w:rsid w:val="007F4A61"/>
    <w:rsid w:val="007F5012"/>
    <w:rsid w:val="007F5255"/>
    <w:rsid w:val="007F55AE"/>
    <w:rsid w:val="007F56CC"/>
    <w:rsid w:val="007F58F7"/>
    <w:rsid w:val="007F5F7C"/>
    <w:rsid w:val="007F5FBD"/>
    <w:rsid w:val="007F61C2"/>
    <w:rsid w:val="007F6234"/>
    <w:rsid w:val="00801014"/>
    <w:rsid w:val="0080350D"/>
    <w:rsid w:val="00803EAB"/>
    <w:rsid w:val="0080484C"/>
    <w:rsid w:val="00804AA2"/>
    <w:rsid w:val="00805142"/>
    <w:rsid w:val="00805FCE"/>
    <w:rsid w:val="008061D7"/>
    <w:rsid w:val="008061DE"/>
    <w:rsid w:val="008068BF"/>
    <w:rsid w:val="00806CF9"/>
    <w:rsid w:val="00807720"/>
    <w:rsid w:val="00807A8B"/>
    <w:rsid w:val="00807C76"/>
    <w:rsid w:val="00810112"/>
    <w:rsid w:val="00810A43"/>
    <w:rsid w:val="00811383"/>
    <w:rsid w:val="00811A2D"/>
    <w:rsid w:val="00812149"/>
    <w:rsid w:val="00812CAC"/>
    <w:rsid w:val="00813962"/>
    <w:rsid w:val="0081533B"/>
    <w:rsid w:val="00816216"/>
    <w:rsid w:val="00816361"/>
    <w:rsid w:val="008166EF"/>
    <w:rsid w:val="00816FEF"/>
    <w:rsid w:val="0081755F"/>
    <w:rsid w:val="00817C05"/>
    <w:rsid w:val="00817DD2"/>
    <w:rsid w:val="008202F4"/>
    <w:rsid w:val="00820A8C"/>
    <w:rsid w:val="008215FB"/>
    <w:rsid w:val="00822929"/>
    <w:rsid w:val="00822F02"/>
    <w:rsid w:val="00823174"/>
    <w:rsid w:val="0082399B"/>
    <w:rsid w:val="00823C60"/>
    <w:rsid w:val="00825751"/>
    <w:rsid w:val="00825D8D"/>
    <w:rsid w:val="008264EB"/>
    <w:rsid w:val="008266A5"/>
    <w:rsid w:val="00827115"/>
    <w:rsid w:val="0082752F"/>
    <w:rsid w:val="00830AF6"/>
    <w:rsid w:val="00831A6D"/>
    <w:rsid w:val="00831BB7"/>
    <w:rsid w:val="00832779"/>
    <w:rsid w:val="0083301A"/>
    <w:rsid w:val="00833B05"/>
    <w:rsid w:val="00833C7F"/>
    <w:rsid w:val="00833E42"/>
    <w:rsid w:val="00834377"/>
    <w:rsid w:val="00834F8C"/>
    <w:rsid w:val="008362B4"/>
    <w:rsid w:val="00836BD1"/>
    <w:rsid w:val="00836FFD"/>
    <w:rsid w:val="00840CA2"/>
    <w:rsid w:val="00841C54"/>
    <w:rsid w:val="00843741"/>
    <w:rsid w:val="0084374F"/>
    <w:rsid w:val="00843B71"/>
    <w:rsid w:val="00844459"/>
    <w:rsid w:val="00844574"/>
    <w:rsid w:val="008447CE"/>
    <w:rsid w:val="00844A22"/>
    <w:rsid w:val="00844E4A"/>
    <w:rsid w:val="00847703"/>
    <w:rsid w:val="00847DF5"/>
    <w:rsid w:val="00850546"/>
    <w:rsid w:val="00850D05"/>
    <w:rsid w:val="00852C0B"/>
    <w:rsid w:val="0085309D"/>
    <w:rsid w:val="00856897"/>
    <w:rsid w:val="00856E9A"/>
    <w:rsid w:val="0085713A"/>
    <w:rsid w:val="0086075D"/>
    <w:rsid w:val="00861F13"/>
    <w:rsid w:val="00862502"/>
    <w:rsid w:val="0086273E"/>
    <w:rsid w:val="00862B2A"/>
    <w:rsid w:val="00862CC1"/>
    <w:rsid w:val="00863130"/>
    <w:rsid w:val="008634BF"/>
    <w:rsid w:val="0086353C"/>
    <w:rsid w:val="00864B33"/>
    <w:rsid w:val="00864B81"/>
    <w:rsid w:val="00864F85"/>
    <w:rsid w:val="00865C97"/>
    <w:rsid w:val="008660D4"/>
    <w:rsid w:val="008661FE"/>
    <w:rsid w:val="008664DF"/>
    <w:rsid w:val="00867537"/>
    <w:rsid w:val="008704B4"/>
    <w:rsid w:val="00871FA9"/>
    <w:rsid w:val="008728E9"/>
    <w:rsid w:val="008748AD"/>
    <w:rsid w:val="00875FB8"/>
    <w:rsid w:val="008809B0"/>
    <w:rsid w:val="00880A40"/>
    <w:rsid w:val="00880BCD"/>
    <w:rsid w:val="00882874"/>
    <w:rsid w:val="00882E3C"/>
    <w:rsid w:val="00883413"/>
    <w:rsid w:val="00883787"/>
    <w:rsid w:val="008855E4"/>
    <w:rsid w:val="008858FC"/>
    <w:rsid w:val="008868EC"/>
    <w:rsid w:val="00886A36"/>
    <w:rsid w:val="00886CD2"/>
    <w:rsid w:val="00890CF2"/>
    <w:rsid w:val="00891E18"/>
    <w:rsid w:val="00891E6F"/>
    <w:rsid w:val="00892635"/>
    <w:rsid w:val="0089275D"/>
    <w:rsid w:val="00892A36"/>
    <w:rsid w:val="00892B1F"/>
    <w:rsid w:val="00893239"/>
    <w:rsid w:val="00893FDA"/>
    <w:rsid w:val="00894489"/>
    <w:rsid w:val="00895F40"/>
    <w:rsid w:val="00895FB5"/>
    <w:rsid w:val="008963A5"/>
    <w:rsid w:val="00896D5D"/>
    <w:rsid w:val="0089725C"/>
    <w:rsid w:val="00897F6E"/>
    <w:rsid w:val="008A285D"/>
    <w:rsid w:val="008A28FA"/>
    <w:rsid w:val="008A3363"/>
    <w:rsid w:val="008A3371"/>
    <w:rsid w:val="008A3C3E"/>
    <w:rsid w:val="008A49D5"/>
    <w:rsid w:val="008A4F68"/>
    <w:rsid w:val="008A53F7"/>
    <w:rsid w:val="008A6AA1"/>
    <w:rsid w:val="008A79DE"/>
    <w:rsid w:val="008A7C5B"/>
    <w:rsid w:val="008B0F85"/>
    <w:rsid w:val="008B1321"/>
    <w:rsid w:val="008B14FC"/>
    <w:rsid w:val="008B1757"/>
    <w:rsid w:val="008B3928"/>
    <w:rsid w:val="008B5BDB"/>
    <w:rsid w:val="008B672D"/>
    <w:rsid w:val="008B744D"/>
    <w:rsid w:val="008B746C"/>
    <w:rsid w:val="008B7992"/>
    <w:rsid w:val="008B7D7E"/>
    <w:rsid w:val="008C0017"/>
    <w:rsid w:val="008C202D"/>
    <w:rsid w:val="008C2568"/>
    <w:rsid w:val="008C27BC"/>
    <w:rsid w:val="008C29D8"/>
    <w:rsid w:val="008C2BB0"/>
    <w:rsid w:val="008C3456"/>
    <w:rsid w:val="008C4006"/>
    <w:rsid w:val="008C4CE6"/>
    <w:rsid w:val="008C5610"/>
    <w:rsid w:val="008C5739"/>
    <w:rsid w:val="008C600B"/>
    <w:rsid w:val="008C700F"/>
    <w:rsid w:val="008C723D"/>
    <w:rsid w:val="008C7ECB"/>
    <w:rsid w:val="008D02DC"/>
    <w:rsid w:val="008D149A"/>
    <w:rsid w:val="008D1F3F"/>
    <w:rsid w:val="008D2187"/>
    <w:rsid w:val="008D30D4"/>
    <w:rsid w:val="008D30E4"/>
    <w:rsid w:val="008D333B"/>
    <w:rsid w:val="008D33D1"/>
    <w:rsid w:val="008D38A8"/>
    <w:rsid w:val="008D3B86"/>
    <w:rsid w:val="008D4612"/>
    <w:rsid w:val="008D4755"/>
    <w:rsid w:val="008D4C3D"/>
    <w:rsid w:val="008D4EFA"/>
    <w:rsid w:val="008D5A38"/>
    <w:rsid w:val="008D6C5B"/>
    <w:rsid w:val="008D743C"/>
    <w:rsid w:val="008D7667"/>
    <w:rsid w:val="008E0D3C"/>
    <w:rsid w:val="008E145E"/>
    <w:rsid w:val="008E1B9E"/>
    <w:rsid w:val="008E42F9"/>
    <w:rsid w:val="008E4F69"/>
    <w:rsid w:val="008E4FF0"/>
    <w:rsid w:val="008E55AB"/>
    <w:rsid w:val="008E5C82"/>
    <w:rsid w:val="008E5CAE"/>
    <w:rsid w:val="008E6942"/>
    <w:rsid w:val="008E71E3"/>
    <w:rsid w:val="008E7A49"/>
    <w:rsid w:val="008F06F5"/>
    <w:rsid w:val="008F0E5A"/>
    <w:rsid w:val="008F120A"/>
    <w:rsid w:val="008F27E0"/>
    <w:rsid w:val="008F2D78"/>
    <w:rsid w:val="008F2F89"/>
    <w:rsid w:val="008F31E2"/>
    <w:rsid w:val="008F33E9"/>
    <w:rsid w:val="008F48EB"/>
    <w:rsid w:val="008F4F0B"/>
    <w:rsid w:val="008F500D"/>
    <w:rsid w:val="008F60C7"/>
    <w:rsid w:val="008F61D2"/>
    <w:rsid w:val="008F6A82"/>
    <w:rsid w:val="008F7999"/>
    <w:rsid w:val="00900A73"/>
    <w:rsid w:val="00901668"/>
    <w:rsid w:val="00901717"/>
    <w:rsid w:val="0090200D"/>
    <w:rsid w:val="00902589"/>
    <w:rsid w:val="009046C4"/>
    <w:rsid w:val="0090520F"/>
    <w:rsid w:val="00905886"/>
    <w:rsid w:val="009058A2"/>
    <w:rsid w:val="009062A5"/>
    <w:rsid w:val="009067B5"/>
    <w:rsid w:val="00906871"/>
    <w:rsid w:val="00906FB2"/>
    <w:rsid w:val="00907B24"/>
    <w:rsid w:val="00910FA7"/>
    <w:rsid w:val="009110D3"/>
    <w:rsid w:val="009110F2"/>
    <w:rsid w:val="00911272"/>
    <w:rsid w:val="00912769"/>
    <w:rsid w:val="00912F60"/>
    <w:rsid w:val="009135D6"/>
    <w:rsid w:val="009142D8"/>
    <w:rsid w:val="00914AF8"/>
    <w:rsid w:val="00914C77"/>
    <w:rsid w:val="009156A5"/>
    <w:rsid w:val="00917100"/>
    <w:rsid w:val="009175BD"/>
    <w:rsid w:val="0091787F"/>
    <w:rsid w:val="00917C88"/>
    <w:rsid w:val="00917CA2"/>
    <w:rsid w:val="0092046D"/>
    <w:rsid w:val="00920F69"/>
    <w:rsid w:val="009210AB"/>
    <w:rsid w:val="00921100"/>
    <w:rsid w:val="00921593"/>
    <w:rsid w:val="00921ACB"/>
    <w:rsid w:val="009223F4"/>
    <w:rsid w:val="00922B1E"/>
    <w:rsid w:val="0092369B"/>
    <w:rsid w:val="00923AB5"/>
    <w:rsid w:val="00924309"/>
    <w:rsid w:val="009246AB"/>
    <w:rsid w:val="0092503A"/>
    <w:rsid w:val="009266B5"/>
    <w:rsid w:val="0092793C"/>
    <w:rsid w:val="00927C02"/>
    <w:rsid w:val="00931091"/>
    <w:rsid w:val="009331CD"/>
    <w:rsid w:val="00933CE9"/>
    <w:rsid w:val="009346DC"/>
    <w:rsid w:val="00934988"/>
    <w:rsid w:val="00935D1A"/>
    <w:rsid w:val="0093696D"/>
    <w:rsid w:val="00936A8E"/>
    <w:rsid w:val="00937089"/>
    <w:rsid w:val="009379CA"/>
    <w:rsid w:val="0094252F"/>
    <w:rsid w:val="00942714"/>
    <w:rsid w:val="00944853"/>
    <w:rsid w:val="009449B6"/>
    <w:rsid w:val="00944E19"/>
    <w:rsid w:val="00944F8A"/>
    <w:rsid w:val="009463E4"/>
    <w:rsid w:val="009466F4"/>
    <w:rsid w:val="009510A2"/>
    <w:rsid w:val="00953257"/>
    <w:rsid w:val="0095365E"/>
    <w:rsid w:val="0095474C"/>
    <w:rsid w:val="00956B56"/>
    <w:rsid w:val="00957002"/>
    <w:rsid w:val="009612BC"/>
    <w:rsid w:val="009617FB"/>
    <w:rsid w:val="00962CB9"/>
    <w:rsid w:val="00963204"/>
    <w:rsid w:val="0096335D"/>
    <w:rsid w:val="00963739"/>
    <w:rsid w:val="00964312"/>
    <w:rsid w:val="00964DFD"/>
    <w:rsid w:val="00964E52"/>
    <w:rsid w:val="00965B8A"/>
    <w:rsid w:val="00966417"/>
    <w:rsid w:val="00966581"/>
    <w:rsid w:val="00966666"/>
    <w:rsid w:val="00966721"/>
    <w:rsid w:val="009704BD"/>
    <w:rsid w:val="0097071F"/>
    <w:rsid w:val="009708EE"/>
    <w:rsid w:val="00971636"/>
    <w:rsid w:val="00971662"/>
    <w:rsid w:val="009717AC"/>
    <w:rsid w:val="00971F54"/>
    <w:rsid w:val="00972299"/>
    <w:rsid w:val="00972EF5"/>
    <w:rsid w:val="00974096"/>
    <w:rsid w:val="00974E38"/>
    <w:rsid w:val="009751C1"/>
    <w:rsid w:val="00976F1E"/>
    <w:rsid w:val="00977342"/>
    <w:rsid w:val="0098019B"/>
    <w:rsid w:val="009806B0"/>
    <w:rsid w:val="009811F1"/>
    <w:rsid w:val="009813BA"/>
    <w:rsid w:val="00981FAB"/>
    <w:rsid w:val="009821A9"/>
    <w:rsid w:val="00983E57"/>
    <w:rsid w:val="00984406"/>
    <w:rsid w:val="009846D8"/>
    <w:rsid w:val="00984C8A"/>
    <w:rsid w:val="00985277"/>
    <w:rsid w:val="009856A7"/>
    <w:rsid w:val="00985DE2"/>
    <w:rsid w:val="00985F19"/>
    <w:rsid w:val="00986263"/>
    <w:rsid w:val="0098675D"/>
    <w:rsid w:val="00986879"/>
    <w:rsid w:val="00986C09"/>
    <w:rsid w:val="00987079"/>
    <w:rsid w:val="00987B95"/>
    <w:rsid w:val="00987FBF"/>
    <w:rsid w:val="009926E0"/>
    <w:rsid w:val="00993022"/>
    <w:rsid w:val="0099357D"/>
    <w:rsid w:val="0099451E"/>
    <w:rsid w:val="009949FC"/>
    <w:rsid w:val="00994F8C"/>
    <w:rsid w:val="009952DF"/>
    <w:rsid w:val="009962C9"/>
    <w:rsid w:val="00996B1A"/>
    <w:rsid w:val="00996E4B"/>
    <w:rsid w:val="009978D7"/>
    <w:rsid w:val="009A0D68"/>
    <w:rsid w:val="009A1512"/>
    <w:rsid w:val="009A17DA"/>
    <w:rsid w:val="009A1D47"/>
    <w:rsid w:val="009A2DCC"/>
    <w:rsid w:val="009A3E49"/>
    <w:rsid w:val="009A41C3"/>
    <w:rsid w:val="009A52DA"/>
    <w:rsid w:val="009A5ABC"/>
    <w:rsid w:val="009A734C"/>
    <w:rsid w:val="009A7D7A"/>
    <w:rsid w:val="009A7F10"/>
    <w:rsid w:val="009B0267"/>
    <w:rsid w:val="009B1817"/>
    <w:rsid w:val="009B286B"/>
    <w:rsid w:val="009B291F"/>
    <w:rsid w:val="009B2A81"/>
    <w:rsid w:val="009B2CFF"/>
    <w:rsid w:val="009B3E26"/>
    <w:rsid w:val="009B3F75"/>
    <w:rsid w:val="009B5236"/>
    <w:rsid w:val="009B5AC5"/>
    <w:rsid w:val="009B6BF2"/>
    <w:rsid w:val="009B7CD3"/>
    <w:rsid w:val="009C00B5"/>
    <w:rsid w:val="009C17D1"/>
    <w:rsid w:val="009C19BB"/>
    <w:rsid w:val="009C3706"/>
    <w:rsid w:val="009C3A3A"/>
    <w:rsid w:val="009C3D7A"/>
    <w:rsid w:val="009C4A44"/>
    <w:rsid w:val="009C5788"/>
    <w:rsid w:val="009C5D9D"/>
    <w:rsid w:val="009C6CEA"/>
    <w:rsid w:val="009C7B85"/>
    <w:rsid w:val="009C7CD5"/>
    <w:rsid w:val="009D013D"/>
    <w:rsid w:val="009D0254"/>
    <w:rsid w:val="009D1053"/>
    <w:rsid w:val="009D138C"/>
    <w:rsid w:val="009D187E"/>
    <w:rsid w:val="009D1A64"/>
    <w:rsid w:val="009D1AB7"/>
    <w:rsid w:val="009D22E3"/>
    <w:rsid w:val="009D34F6"/>
    <w:rsid w:val="009D5025"/>
    <w:rsid w:val="009D545F"/>
    <w:rsid w:val="009D5841"/>
    <w:rsid w:val="009D5B91"/>
    <w:rsid w:val="009D5FF3"/>
    <w:rsid w:val="009D6549"/>
    <w:rsid w:val="009D65B7"/>
    <w:rsid w:val="009D6EE1"/>
    <w:rsid w:val="009D792E"/>
    <w:rsid w:val="009D7932"/>
    <w:rsid w:val="009D7AC4"/>
    <w:rsid w:val="009D7DCA"/>
    <w:rsid w:val="009D7F71"/>
    <w:rsid w:val="009E0B84"/>
    <w:rsid w:val="009E0DFE"/>
    <w:rsid w:val="009E1164"/>
    <w:rsid w:val="009E13D7"/>
    <w:rsid w:val="009E1A25"/>
    <w:rsid w:val="009E31F6"/>
    <w:rsid w:val="009E4C07"/>
    <w:rsid w:val="009E54A9"/>
    <w:rsid w:val="009E5854"/>
    <w:rsid w:val="009E79C6"/>
    <w:rsid w:val="009F12B3"/>
    <w:rsid w:val="009F17B3"/>
    <w:rsid w:val="009F2746"/>
    <w:rsid w:val="009F2B15"/>
    <w:rsid w:val="009F3805"/>
    <w:rsid w:val="009F5F07"/>
    <w:rsid w:val="009F6F99"/>
    <w:rsid w:val="009F7026"/>
    <w:rsid w:val="009F78BB"/>
    <w:rsid w:val="00A00ADD"/>
    <w:rsid w:val="00A00B4D"/>
    <w:rsid w:val="00A00B63"/>
    <w:rsid w:val="00A00E4E"/>
    <w:rsid w:val="00A01184"/>
    <w:rsid w:val="00A019B0"/>
    <w:rsid w:val="00A01DCF"/>
    <w:rsid w:val="00A03199"/>
    <w:rsid w:val="00A037C2"/>
    <w:rsid w:val="00A0388D"/>
    <w:rsid w:val="00A03D43"/>
    <w:rsid w:val="00A04380"/>
    <w:rsid w:val="00A047DF"/>
    <w:rsid w:val="00A05472"/>
    <w:rsid w:val="00A05C32"/>
    <w:rsid w:val="00A0653F"/>
    <w:rsid w:val="00A06636"/>
    <w:rsid w:val="00A0668C"/>
    <w:rsid w:val="00A06A3B"/>
    <w:rsid w:val="00A07773"/>
    <w:rsid w:val="00A07DB4"/>
    <w:rsid w:val="00A1075A"/>
    <w:rsid w:val="00A109D6"/>
    <w:rsid w:val="00A11CD0"/>
    <w:rsid w:val="00A127FA"/>
    <w:rsid w:val="00A12A7B"/>
    <w:rsid w:val="00A133DA"/>
    <w:rsid w:val="00A13948"/>
    <w:rsid w:val="00A139B7"/>
    <w:rsid w:val="00A1420F"/>
    <w:rsid w:val="00A14BAE"/>
    <w:rsid w:val="00A14CD1"/>
    <w:rsid w:val="00A14E00"/>
    <w:rsid w:val="00A1555B"/>
    <w:rsid w:val="00A155C5"/>
    <w:rsid w:val="00A160C1"/>
    <w:rsid w:val="00A166FD"/>
    <w:rsid w:val="00A16AD8"/>
    <w:rsid w:val="00A17D16"/>
    <w:rsid w:val="00A20163"/>
    <w:rsid w:val="00A213B4"/>
    <w:rsid w:val="00A213B8"/>
    <w:rsid w:val="00A2152A"/>
    <w:rsid w:val="00A21B3A"/>
    <w:rsid w:val="00A21C95"/>
    <w:rsid w:val="00A21CF3"/>
    <w:rsid w:val="00A21EFD"/>
    <w:rsid w:val="00A22364"/>
    <w:rsid w:val="00A22558"/>
    <w:rsid w:val="00A230BA"/>
    <w:rsid w:val="00A24813"/>
    <w:rsid w:val="00A27AEC"/>
    <w:rsid w:val="00A27DFE"/>
    <w:rsid w:val="00A30AB1"/>
    <w:rsid w:val="00A31E7C"/>
    <w:rsid w:val="00A320DB"/>
    <w:rsid w:val="00A343E6"/>
    <w:rsid w:val="00A34C25"/>
    <w:rsid w:val="00A35D16"/>
    <w:rsid w:val="00A3634D"/>
    <w:rsid w:val="00A366B4"/>
    <w:rsid w:val="00A37177"/>
    <w:rsid w:val="00A37BCD"/>
    <w:rsid w:val="00A41689"/>
    <w:rsid w:val="00A4174A"/>
    <w:rsid w:val="00A42592"/>
    <w:rsid w:val="00A42918"/>
    <w:rsid w:val="00A43576"/>
    <w:rsid w:val="00A43A56"/>
    <w:rsid w:val="00A43C59"/>
    <w:rsid w:val="00A46086"/>
    <w:rsid w:val="00A4631C"/>
    <w:rsid w:val="00A46971"/>
    <w:rsid w:val="00A4769D"/>
    <w:rsid w:val="00A503CE"/>
    <w:rsid w:val="00A50ECD"/>
    <w:rsid w:val="00A518F3"/>
    <w:rsid w:val="00A52729"/>
    <w:rsid w:val="00A52D38"/>
    <w:rsid w:val="00A53399"/>
    <w:rsid w:val="00A53675"/>
    <w:rsid w:val="00A538BA"/>
    <w:rsid w:val="00A539AD"/>
    <w:rsid w:val="00A5562D"/>
    <w:rsid w:val="00A563CA"/>
    <w:rsid w:val="00A564D7"/>
    <w:rsid w:val="00A5690E"/>
    <w:rsid w:val="00A56B6A"/>
    <w:rsid w:val="00A5733D"/>
    <w:rsid w:val="00A5766E"/>
    <w:rsid w:val="00A578DC"/>
    <w:rsid w:val="00A600F8"/>
    <w:rsid w:val="00A60358"/>
    <w:rsid w:val="00A60704"/>
    <w:rsid w:val="00A615C3"/>
    <w:rsid w:val="00A62930"/>
    <w:rsid w:val="00A62CCD"/>
    <w:rsid w:val="00A632DA"/>
    <w:rsid w:val="00A640E2"/>
    <w:rsid w:val="00A64599"/>
    <w:rsid w:val="00A64D65"/>
    <w:rsid w:val="00A65B2F"/>
    <w:rsid w:val="00A66F39"/>
    <w:rsid w:val="00A6725B"/>
    <w:rsid w:val="00A70605"/>
    <w:rsid w:val="00A7180E"/>
    <w:rsid w:val="00A721E0"/>
    <w:rsid w:val="00A72222"/>
    <w:rsid w:val="00A72BB0"/>
    <w:rsid w:val="00A72CD8"/>
    <w:rsid w:val="00A73134"/>
    <w:rsid w:val="00A74C15"/>
    <w:rsid w:val="00A758CB"/>
    <w:rsid w:val="00A76001"/>
    <w:rsid w:val="00A76322"/>
    <w:rsid w:val="00A77712"/>
    <w:rsid w:val="00A777B2"/>
    <w:rsid w:val="00A77A6B"/>
    <w:rsid w:val="00A809C5"/>
    <w:rsid w:val="00A81B97"/>
    <w:rsid w:val="00A82414"/>
    <w:rsid w:val="00A825D4"/>
    <w:rsid w:val="00A828F6"/>
    <w:rsid w:val="00A82B73"/>
    <w:rsid w:val="00A82BF5"/>
    <w:rsid w:val="00A847FA"/>
    <w:rsid w:val="00A84B80"/>
    <w:rsid w:val="00A84CC2"/>
    <w:rsid w:val="00A85511"/>
    <w:rsid w:val="00A86844"/>
    <w:rsid w:val="00A86E8B"/>
    <w:rsid w:val="00A86E8D"/>
    <w:rsid w:val="00A87164"/>
    <w:rsid w:val="00A900F8"/>
    <w:rsid w:val="00A9048B"/>
    <w:rsid w:val="00A90A06"/>
    <w:rsid w:val="00A9158E"/>
    <w:rsid w:val="00A917C4"/>
    <w:rsid w:val="00A91DF7"/>
    <w:rsid w:val="00A925DA"/>
    <w:rsid w:val="00A92DB3"/>
    <w:rsid w:val="00A93072"/>
    <w:rsid w:val="00A938BD"/>
    <w:rsid w:val="00A93953"/>
    <w:rsid w:val="00A93EAC"/>
    <w:rsid w:val="00A9426A"/>
    <w:rsid w:val="00A951BE"/>
    <w:rsid w:val="00A9535A"/>
    <w:rsid w:val="00A959D8"/>
    <w:rsid w:val="00AA0613"/>
    <w:rsid w:val="00AA113D"/>
    <w:rsid w:val="00AA3884"/>
    <w:rsid w:val="00AA3DE5"/>
    <w:rsid w:val="00AA4EBF"/>
    <w:rsid w:val="00AA54F7"/>
    <w:rsid w:val="00AA64CF"/>
    <w:rsid w:val="00AA6BD5"/>
    <w:rsid w:val="00AA6BD8"/>
    <w:rsid w:val="00AA6C7D"/>
    <w:rsid w:val="00AA6DA3"/>
    <w:rsid w:val="00AA753B"/>
    <w:rsid w:val="00AA75D5"/>
    <w:rsid w:val="00AA7AD6"/>
    <w:rsid w:val="00AA7D9B"/>
    <w:rsid w:val="00AA7F26"/>
    <w:rsid w:val="00AA7FD6"/>
    <w:rsid w:val="00AB00E5"/>
    <w:rsid w:val="00AB0399"/>
    <w:rsid w:val="00AB042A"/>
    <w:rsid w:val="00AB06EE"/>
    <w:rsid w:val="00AB0899"/>
    <w:rsid w:val="00AB160D"/>
    <w:rsid w:val="00AB19EF"/>
    <w:rsid w:val="00AB1B2E"/>
    <w:rsid w:val="00AB2733"/>
    <w:rsid w:val="00AB2770"/>
    <w:rsid w:val="00AB27CB"/>
    <w:rsid w:val="00AB2D34"/>
    <w:rsid w:val="00AB3430"/>
    <w:rsid w:val="00AB37B9"/>
    <w:rsid w:val="00AB398E"/>
    <w:rsid w:val="00AB3EEC"/>
    <w:rsid w:val="00AB49D9"/>
    <w:rsid w:val="00AB4AD1"/>
    <w:rsid w:val="00AB4BA2"/>
    <w:rsid w:val="00AB4F56"/>
    <w:rsid w:val="00AB523E"/>
    <w:rsid w:val="00AB5E07"/>
    <w:rsid w:val="00AB6A65"/>
    <w:rsid w:val="00AB7A4D"/>
    <w:rsid w:val="00AB7CFA"/>
    <w:rsid w:val="00AB7EF5"/>
    <w:rsid w:val="00AC0775"/>
    <w:rsid w:val="00AC14FF"/>
    <w:rsid w:val="00AC27E3"/>
    <w:rsid w:val="00AC4075"/>
    <w:rsid w:val="00AC4D41"/>
    <w:rsid w:val="00AC5492"/>
    <w:rsid w:val="00AC5B48"/>
    <w:rsid w:val="00AC6821"/>
    <w:rsid w:val="00AC6DF1"/>
    <w:rsid w:val="00AC7501"/>
    <w:rsid w:val="00AD07C7"/>
    <w:rsid w:val="00AD1450"/>
    <w:rsid w:val="00AD221F"/>
    <w:rsid w:val="00AD331C"/>
    <w:rsid w:val="00AD34E5"/>
    <w:rsid w:val="00AD3576"/>
    <w:rsid w:val="00AD3D8E"/>
    <w:rsid w:val="00AD3F6A"/>
    <w:rsid w:val="00AD4D19"/>
    <w:rsid w:val="00AD596F"/>
    <w:rsid w:val="00AD5CDD"/>
    <w:rsid w:val="00AD6090"/>
    <w:rsid w:val="00AD6502"/>
    <w:rsid w:val="00AD7C93"/>
    <w:rsid w:val="00AE02BD"/>
    <w:rsid w:val="00AE0695"/>
    <w:rsid w:val="00AE1092"/>
    <w:rsid w:val="00AE15E6"/>
    <w:rsid w:val="00AE1CEB"/>
    <w:rsid w:val="00AE2851"/>
    <w:rsid w:val="00AE3C0D"/>
    <w:rsid w:val="00AE3E7E"/>
    <w:rsid w:val="00AE49AF"/>
    <w:rsid w:val="00AE5E56"/>
    <w:rsid w:val="00AE6C1E"/>
    <w:rsid w:val="00AF12C1"/>
    <w:rsid w:val="00AF1315"/>
    <w:rsid w:val="00AF19BF"/>
    <w:rsid w:val="00AF2129"/>
    <w:rsid w:val="00AF21A9"/>
    <w:rsid w:val="00AF2DC3"/>
    <w:rsid w:val="00AF4BF9"/>
    <w:rsid w:val="00AF5F04"/>
    <w:rsid w:val="00AF5F1A"/>
    <w:rsid w:val="00AF602F"/>
    <w:rsid w:val="00AF7134"/>
    <w:rsid w:val="00AF7C04"/>
    <w:rsid w:val="00AF7F0E"/>
    <w:rsid w:val="00B00916"/>
    <w:rsid w:val="00B009AE"/>
    <w:rsid w:val="00B00FA7"/>
    <w:rsid w:val="00B01152"/>
    <w:rsid w:val="00B01ED1"/>
    <w:rsid w:val="00B02EF9"/>
    <w:rsid w:val="00B033E5"/>
    <w:rsid w:val="00B03820"/>
    <w:rsid w:val="00B03A63"/>
    <w:rsid w:val="00B03BD8"/>
    <w:rsid w:val="00B04333"/>
    <w:rsid w:val="00B05A41"/>
    <w:rsid w:val="00B07650"/>
    <w:rsid w:val="00B10464"/>
    <w:rsid w:val="00B105E8"/>
    <w:rsid w:val="00B108F3"/>
    <w:rsid w:val="00B116C9"/>
    <w:rsid w:val="00B12FE3"/>
    <w:rsid w:val="00B1364D"/>
    <w:rsid w:val="00B1402D"/>
    <w:rsid w:val="00B14F8C"/>
    <w:rsid w:val="00B17A57"/>
    <w:rsid w:val="00B17A82"/>
    <w:rsid w:val="00B201A4"/>
    <w:rsid w:val="00B201D1"/>
    <w:rsid w:val="00B20434"/>
    <w:rsid w:val="00B20669"/>
    <w:rsid w:val="00B20C24"/>
    <w:rsid w:val="00B211AA"/>
    <w:rsid w:val="00B213A6"/>
    <w:rsid w:val="00B213DD"/>
    <w:rsid w:val="00B21DA0"/>
    <w:rsid w:val="00B22200"/>
    <w:rsid w:val="00B235B0"/>
    <w:rsid w:val="00B23D2F"/>
    <w:rsid w:val="00B24718"/>
    <w:rsid w:val="00B247C8"/>
    <w:rsid w:val="00B24DF6"/>
    <w:rsid w:val="00B265DB"/>
    <w:rsid w:val="00B3246C"/>
    <w:rsid w:val="00B33198"/>
    <w:rsid w:val="00B33495"/>
    <w:rsid w:val="00B34CE0"/>
    <w:rsid w:val="00B34FE2"/>
    <w:rsid w:val="00B35166"/>
    <w:rsid w:val="00B35578"/>
    <w:rsid w:val="00B357D8"/>
    <w:rsid w:val="00B360F4"/>
    <w:rsid w:val="00B36A00"/>
    <w:rsid w:val="00B37034"/>
    <w:rsid w:val="00B37BFC"/>
    <w:rsid w:val="00B40358"/>
    <w:rsid w:val="00B40783"/>
    <w:rsid w:val="00B4085A"/>
    <w:rsid w:val="00B4087A"/>
    <w:rsid w:val="00B409DF"/>
    <w:rsid w:val="00B41614"/>
    <w:rsid w:val="00B41E37"/>
    <w:rsid w:val="00B42851"/>
    <w:rsid w:val="00B42B64"/>
    <w:rsid w:val="00B42D62"/>
    <w:rsid w:val="00B42F80"/>
    <w:rsid w:val="00B435CB"/>
    <w:rsid w:val="00B4398A"/>
    <w:rsid w:val="00B43C55"/>
    <w:rsid w:val="00B44CF2"/>
    <w:rsid w:val="00B45984"/>
    <w:rsid w:val="00B505C8"/>
    <w:rsid w:val="00B50DB8"/>
    <w:rsid w:val="00B50EC3"/>
    <w:rsid w:val="00B522D2"/>
    <w:rsid w:val="00B52B08"/>
    <w:rsid w:val="00B53654"/>
    <w:rsid w:val="00B53905"/>
    <w:rsid w:val="00B53C04"/>
    <w:rsid w:val="00B53C87"/>
    <w:rsid w:val="00B54332"/>
    <w:rsid w:val="00B54509"/>
    <w:rsid w:val="00B54A72"/>
    <w:rsid w:val="00B54B5B"/>
    <w:rsid w:val="00B5562E"/>
    <w:rsid w:val="00B55D65"/>
    <w:rsid w:val="00B564B5"/>
    <w:rsid w:val="00B56F0D"/>
    <w:rsid w:val="00B57000"/>
    <w:rsid w:val="00B60939"/>
    <w:rsid w:val="00B60AFD"/>
    <w:rsid w:val="00B61024"/>
    <w:rsid w:val="00B61552"/>
    <w:rsid w:val="00B61885"/>
    <w:rsid w:val="00B62715"/>
    <w:rsid w:val="00B640B5"/>
    <w:rsid w:val="00B644D8"/>
    <w:rsid w:val="00B64714"/>
    <w:rsid w:val="00B65611"/>
    <w:rsid w:val="00B65C83"/>
    <w:rsid w:val="00B65F3E"/>
    <w:rsid w:val="00B66051"/>
    <w:rsid w:val="00B66919"/>
    <w:rsid w:val="00B67137"/>
    <w:rsid w:val="00B67C2E"/>
    <w:rsid w:val="00B7081E"/>
    <w:rsid w:val="00B70E8E"/>
    <w:rsid w:val="00B7166C"/>
    <w:rsid w:val="00B71E05"/>
    <w:rsid w:val="00B729FC"/>
    <w:rsid w:val="00B72D07"/>
    <w:rsid w:val="00B73286"/>
    <w:rsid w:val="00B73532"/>
    <w:rsid w:val="00B750AB"/>
    <w:rsid w:val="00B75D5D"/>
    <w:rsid w:val="00B76C92"/>
    <w:rsid w:val="00B773F2"/>
    <w:rsid w:val="00B77B18"/>
    <w:rsid w:val="00B77FCF"/>
    <w:rsid w:val="00B8078E"/>
    <w:rsid w:val="00B818A4"/>
    <w:rsid w:val="00B81A59"/>
    <w:rsid w:val="00B83DCE"/>
    <w:rsid w:val="00B84117"/>
    <w:rsid w:val="00B858F0"/>
    <w:rsid w:val="00B859FF"/>
    <w:rsid w:val="00B85AA2"/>
    <w:rsid w:val="00B8649C"/>
    <w:rsid w:val="00B8695D"/>
    <w:rsid w:val="00B871A5"/>
    <w:rsid w:val="00B87F0A"/>
    <w:rsid w:val="00B9094F"/>
    <w:rsid w:val="00B909D3"/>
    <w:rsid w:val="00B90E7E"/>
    <w:rsid w:val="00B91C5C"/>
    <w:rsid w:val="00B91FAA"/>
    <w:rsid w:val="00B92D0B"/>
    <w:rsid w:val="00B93173"/>
    <w:rsid w:val="00B94945"/>
    <w:rsid w:val="00B94DD6"/>
    <w:rsid w:val="00B97F3F"/>
    <w:rsid w:val="00BA0549"/>
    <w:rsid w:val="00BA0753"/>
    <w:rsid w:val="00BA294D"/>
    <w:rsid w:val="00BA2A0B"/>
    <w:rsid w:val="00BA322D"/>
    <w:rsid w:val="00BA4F04"/>
    <w:rsid w:val="00BA4F1B"/>
    <w:rsid w:val="00BA59A9"/>
    <w:rsid w:val="00BA5EF4"/>
    <w:rsid w:val="00BA63A4"/>
    <w:rsid w:val="00BA63FA"/>
    <w:rsid w:val="00BA7385"/>
    <w:rsid w:val="00BA75AB"/>
    <w:rsid w:val="00BA79AA"/>
    <w:rsid w:val="00BB00B3"/>
    <w:rsid w:val="00BB02EF"/>
    <w:rsid w:val="00BB0405"/>
    <w:rsid w:val="00BB05E8"/>
    <w:rsid w:val="00BB06DD"/>
    <w:rsid w:val="00BB0BDD"/>
    <w:rsid w:val="00BB0F7D"/>
    <w:rsid w:val="00BB176C"/>
    <w:rsid w:val="00BB1DE7"/>
    <w:rsid w:val="00BB205A"/>
    <w:rsid w:val="00BB2A73"/>
    <w:rsid w:val="00BB2D0A"/>
    <w:rsid w:val="00BB300E"/>
    <w:rsid w:val="00BB3A45"/>
    <w:rsid w:val="00BB3B69"/>
    <w:rsid w:val="00BB3BD0"/>
    <w:rsid w:val="00BB3BD9"/>
    <w:rsid w:val="00BB3E4B"/>
    <w:rsid w:val="00BB4ACC"/>
    <w:rsid w:val="00BB4C43"/>
    <w:rsid w:val="00BB5088"/>
    <w:rsid w:val="00BB5AC2"/>
    <w:rsid w:val="00BB703E"/>
    <w:rsid w:val="00BB7281"/>
    <w:rsid w:val="00BB732D"/>
    <w:rsid w:val="00BB7405"/>
    <w:rsid w:val="00BC0277"/>
    <w:rsid w:val="00BC0A94"/>
    <w:rsid w:val="00BC0BAD"/>
    <w:rsid w:val="00BC0E51"/>
    <w:rsid w:val="00BC0EDE"/>
    <w:rsid w:val="00BC1515"/>
    <w:rsid w:val="00BC2670"/>
    <w:rsid w:val="00BC34D2"/>
    <w:rsid w:val="00BC3631"/>
    <w:rsid w:val="00BC39B5"/>
    <w:rsid w:val="00BC4680"/>
    <w:rsid w:val="00BC48E7"/>
    <w:rsid w:val="00BC4DBE"/>
    <w:rsid w:val="00BC591F"/>
    <w:rsid w:val="00BC59B2"/>
    <w:rsid w:val="00BC5F36"/>
    <w:rsid w:val="00BC6464"/>
    <w:rsid w:val="00BC668F"/>
    <w:rsid w:val="00BC6CDB"/>
    <w:rsid w:val="00BC7D6D"/>
    <w:rsid w:val="00BD0092"/>
    <w:rsid w:val="00BD2108"/>
    <w:rsid w:val="00BD217E"/>
    <w:rsid w:val="00BD250B"/>
    <w:rsid w:val="00BD252A"/>
    <w:rsid w:val="00BD2F7F"/>
    <w:rsid w:val="00BD316B"/>
    <w:rsid w:val="00BD3F68"/>
    <w:rsid w:val="00BD4A1A"/>
    <w:rsid w:val="00BD4BA5"/>
    <w:rsid w:val="00BD4DF5"/>
    <w:rsid w:val="00BD502A"/>
    <w:rsid w:val="00BD50A1"/>
    <w:rsid w:val="00BD5296"/>
    <w:rsid w:val="00BD68A3"/>
    <w:rsid w:val="00BD6938"/>
    <w:rsid w:val="00BD6CF3"/>
    <w:rsid w:val="00BD7CBA"/>
    <w:rsid w:val="00BD7E08"/>
    <w:rsid w:val="00BE0ECA"/>
    <w:rsid w:val="00BE17AF"/>
    <w:rsid w:val="00BE18BB"/>
    <w:rsid w:val="00BE2180"/>
    <w:rsid w:val="00BE21F2"/>
    <w:rsid w:val="00BE2EBA"/>
    <w:rsid w:val="00BE4275"/>
    <w:rsid w:val="00BE4500"/>
    <w:rsid w:val="00BE5D1D"/>
    <w:rsid w:val="00BE6E98"/>
    <w:rsid w:val="00BF06AE"/>
    <w:rsid w:val="00BF0F95"/>
    <w:rsid w:val="00BF1809"/>
    <w:rsid w:val="00BF2433"/>
    <w:rsid w:val="00BF2C5E"/>
    <w:rsid w:val="00BF342C"/>
    <w:rsid w:val="00BF3BDA"/>
    <w:rsid w:val="00BF4756"/>
    <w:rsid w:val="00BF4773"/>
    <w:rsid w:val="00BF61C9"/>
    <w:rsid w:val="00BF6C94"/>
    <w:rsid w:val="00BF7287"/>
    <w:rsid w:val="00BF7F87"/>
    <w:rsid w:val="00C00424"/>
    <w:rsid w:val="00C02350"/>
    <w:rsid w:val="00C035FA"/>
    <w:rsid w:val="00C037F0"/>
    <w:rsid w:val="00C04930"/>
    <w:rsid w:val="00C0494F"/>
    <w:rsid w:val="00C04F39"/>
    <w:rsid w:val="00C053B5"/>
    <w:rsid w:val="00C05A85"/>
    <w:rsid w:val="00C106C3"/>
    <w:rsid w:val="00C110D2"/>
    <w:rsid w:val="00C113FA"/>
    <w:rsid w:val="00C1179F"/>
    <w:rsid w:val="00C11F9B"/>
    <w:rsid w:val="00C120FB"/>
    <w:rsid w:val="00C12C14"/>
    <w:rsid w:val="00C14F2B"/>
    <w:rsid w:val="00C151D4"/>
    <w:rsid w:val="00C154AD"/>
    <w:rsid w:val="00C15776"/>
    <w:rsid w:val="00C15BC1"/>
    <w:rsid w:val="00C15F04"/>
    <w:rsid w:val="00C161AD"/>
    <w:rsid w:val="00C177B8"/>
    <w:rsid w:val="00C179B3"/>
    <w:rsid w:val="00C17ACD"/>
    <w:rsid w:val="00C17D16"/>
    <w:rsid w:val="00C17E3F"/>
    <w:rsid w:val="00C200AA"/>
    <w:rsid w:val="00C22271"/>
    <w:rsid w:val="00C23249"/>
    <w:rsid w:val="00C237ED"/>
    <w:rsid w:val="00C23AC4"/>
    <w:rsid w:val="00C23E3B"/>
    <w:rsid w:val="00C24632"/>
    <w:rsid w:val="00C25418"/>
    <w:rsid w:val="00C25D9C"/>
    <w:rsid w:val="00C262FE"/>
    <w:rsid w:val="00C2778B"/>
    <w:rsid w:val="00C27D2B"/>
    <w:rsid w:val="00C302B9"/>
    <w:rsid w:val="00C30412"/>
    <w:rsid w:val="00C30ACD"/>
    <w:rsid w:val="00C313D3"/>
    <w:rsid w:val="00C31649"/>
    <w:rsid w:val="00C317DA"/>
    <w:rsid w:val="00C325FD"/>
    <w:rsid w:val="00C326A4"/>
    <w:rsid w:val="00C33ABD"/>
    <w:rsid w:val="00C3434C"/>
    <w:rsid w:val="00C34AEB"/>
    <w:rsid w:val="00C3547F"/>
    <w:rsid w:val="00C3663D"/>
    <w:rsid w:val="00C36726"/>
    <w:rsid w:val="00C40260"/>
    <w:rsid w:val="00C40385"/>
    <w:rsid w:val="00C406F5"/>
    <w:rsid w:val="00C41045"/>
    <w:rsid w:val="00C41768"/>
    <w:rsid w:val="00C41AEE"/>
    <w:rsid w:val="00C42273"/>
    <w:rsid w:val="00C42933"/>
    <w:rsid w:val="00C42A9A"/>
    <w:rsid w:val="00C4339E"/>
    <w:rsid w:val="00C4475F"/>
    <w:rsid w:val="00C475AA"/>
    <w:rsid w:val="00C47E39"/>
    <w:rsid w:val="00C51267"/>
    <w:rsid w:val="00C514C8"/>
    <w:rsid w:val="00C517A6"/>
    <w:rsid w:val="00C51BA1"/>
    <w:rsid w:val="00C534A1"/>
    <w:rsid w:val="00C53C98"/>
    <w:rsid w:val="00C53F7B"/>
    <w:rsid w:val="00C559F3"/>
    <w:rsid w:val="00C5637F"/>
    <w:rsid w:val="00C56C2A"/>
    <w:rsid w:val="00C56FCF"/>
    <w:rsid w:val="00C5743F"/>
    <w:rsid w:val="00C57B6C"/>
    <w:rsid w:val="00C609B1"/>
    <w:rsid w:val="00C60DB6"/>
    <w:rsid w:val="00C625A4"/>
    <w:rsid w:val="00C6276C"/>
    <w:rsid w:val="00C628A6"/>
    <w:rsid w:val="00C63BC3"/>
    <w:rsid w:val="00C63C04"/>
    <w:rsid w:val="00C63E70"/>
    <w:rsid w:val="00C64051"/>
    <w:rsid w:val="00C6418A"/>
    <w:rsid w:val="00C64344"/>
    <w:rsid w:val="00C65108"/>
    <w:rsid w:val="00C65495"/>
    <w:rsid w:val="00C65576"/>
    <w:rsid w:val="00C657E2"/>
    <w:rsid w:val="00C66165"/>
    <w:rsid w:val="00C665D2"/>
    <w:rsid w:val="00C6675B"/>
    <w:rsid w:val="00C667C5"/>
    <w:rsid w:val="00C6748E"/>
    <w:rsid w:val="00C677D9"/>
    <w:rsid w:val="00C679B6"/>
    <w:rsid w:val="00C7060A"/>
    <w:rsid w:val="00C7151A"/>
    <w:rsid w:val="00C7174E"/>
    <w:rsid w:val="00C717E3"/>
    <w:rsid w:val="00C71F60"/>
    <w:rsid w:val="00C72241"/>
    <w:rsid w:val="00C723D0"/>
    <w:rsid w:val="00C732AA"/>
    <w:rsid w:val="00C750C8"/>
    <w:rsid w:val="00C754B3"/>
    <w:rsid w:val="00C7560F"/>
    <w:rsid w:val="00C7570A"/>
    <w:rsid w:val="00C75869"/>
    <w:rsid w:val="00C759A9"/>
    <w:rsid w:val="00C76E7C"/>
    <w:rsid w:val="00C800D7"/>
    <w:rsid w:val="00C805CF"/>
    <w:rsid w:val="00C80A0E"/>
    <w:rsid w:val="00C817A4"/>
    <w:rsid w:val="00C8213F"/>
    <w:rsid w:val="00C833B2"/>
    <w:rsid w:val="00C85154"/>
    <w:rsid w:val="00C853DE"/>
    <w:rsid w:val="00C854A5"/>
    <w:rsid w:val="00C85AD7"/>
    <w:rsid w:val="00C8797A"/>
    <w:rsid w:val="00C87C8C"/>
    <w:rsid w:val="00C900B8"/>
    <w:rsid w:val="00C90320"/>
    <w:rsid w:val="00C90AF3"/>
    <w:rsid w:val="00C90C71"/>
    <w:rsid w:val="00C91F04"/>
    <w:rsid w:val="00C91FD1"/>
    <w:rsid w:val="00C931CF"/>
    <w:rsid w:val="00C934A5"/>
    <w:rsid w:val="00C938CF"/>
    <w:rsid w:val="00C9399F"/>
    <w:rsid w:val="00C94053"/>
    <w:rsid w:val="00C9465E"/>
    <w:rsid w:val="00C9471B"/>
    <w:rsid w:val="00C94F98"/>
    <w:rsid w:val="00C95A2D"/>
    <w:rsid w:val="00C9624D"/>
    <w:rsid w:val="00C964F4"/>
    <w:rsid w:val="00C969DA"/>
    <w:rsid w:val="00C973D9"/>
    <w:rsid w:val="00CA0FF8"/>
    <w:rsid w:val="00CA2132"/>
    <w:rsid w:val="00CA2811"/>
    <w:rsid w:val="00CA2C77"/>
    <w:rsid w:val="00CA3AFD"/>
    <w:rsid w:val="00CA3F2B"/>
    <w:rsid w:val="00CA444F"/>
    <w:rsid w:val="00CA4D55"/>
    <w:rsid w:val="00CA5245"/>
    <w:rsid w:val="00CA55A9"/>
    <w:rsid w:val="00CA5777"/>
    <w:rsid w:val="00CA5863"/>
    <w:rsid w:val="00CA5B88"/>
    <w:rsid w:val="00CA5E39"/>
    <w:rsid w:val="00CA6F3C"/>
    <w:rsid w:val="00CA71F4"/>
    <w:rsid w:val="00CA73B2"/>
    <w:rsid w:val="00CA74BC"/>
    <w:rsid w:val="00CA7B09"/>
    <w:rsid w:val="00CB0B4E"/>
    <w:rsid w:val="00CB12A5"/>
    <w:rsid w:val="00CB1CAC"/>
    <w:rsid w:val="00CB2F2A"/>
    <w:rsid w:val="00CB39F0"/>
    <w:rsid w:val="00CB5362"/>
    <w:rsid w:val="00CB5B1A"/>
    <w:rsid w:val="00CB5D9E"/>
    <w:rsid w:val="00CB6B22"/>
    <w:rsid w:val="00CB6C27"/>
    <w:rsid w:val="00CB7F5F"/>
    <w:rsid w:val="00CC0860"/>
    <w:rsid w:val="00CC1204"/>
    <w:rsid w:val="00CC12D3"/>
    <w:rsid w:val="00CC1B39"/>
    <w:rsid w:val="00CC2F8A"/>
    <w:rsid w:val="00CC35EA"/>
    <w:rsid w:val="00CC3848"/>
    <w:rsid w:val="00CC4150"/>
    <w:rsid w:val="00CC4A22"/>
    <w:rsid w:val="00CC6706"/>
    <w:rsid w:val="00CC6AF3"/>
    <w:rsid w:val="00CD02D8"/>
    <w:rsid w:val="00CD052B"/>
    <w:rsid w:val="00CD0D4F"/>
    <w:rsid w:val="00CD117A"/>
    <w:rsid w:val="00CD26DE"/>
    <w:rsid w:val="00CD2A85"/>
    <w:rsid w:val="00CD39D2"/>
    <w:rsid w:val="00CD3A09"/>
    <w:rsid w:val="00CD3F77"/>
    <w:rsid w:val="00CD604E"/>
    <w:rsid w:val="00CD6ADC"/>
    <w:rsid w:val="00CD6AF6"/>
    <w:rsid w:val="00CD7193"/>
    <w:rsid w:val="00CD790F"/>
    <w:rsid w:val="00CE209E"/>
    <w:rsid w:val="00CE23C8"/>
    <w:rsid w:val="00CE2AE4"/>
    <w:rsid w:val="00CE38C8"/>
    <w:rsid w:val="00CE4296"/>
    <w:rsid w:val="00CE6274"/>
    <w:rsid w:val="00CE77B6"/>
    <w:rsid w:val="00CE7FCB"/>
    <w:rsid w:val="00CF2448"/>
    <w:rsid w:val="00CF257F"/>
    <w:rsid w:val="00CF2B8D"/>
    <w:rsid w:val="00CF2E22"/>
    <w:rsid w:val="00CF3414"/>
    <w:rsid w:val="00CF4002"/>
    <w:rsid w:val="00CF411C"/>
    <w:rsid w:val="00CF456B"/>
    <w:rsid w:val="00CF5A22"/>
    <w:rsid w:val="00CF74EE"/>
    <w:rsid w:val="00D021D5"/>
    <w:rsid w:val="00D0235B"/>
    <w:rsid w:val="00D0262E"/>
    <w:rsid w:val="00D02DA4"/>
    <w:rsid w:val="00D0302C"/>
    <w:rsid w:val="00D056C9"/>
    <w:rsid w:val="00D05CDD"/>
    <w:rsid w:val="00D05E3D"/>
    <w:rsid w:val="00D06139"/>
    <w:rsid w:val="00D06334"/>
    <w:rsid w:val="00D06D96"/>
    <w:rsid w:val="00D07955"/>
    <w:rsid w:val="00D110BD"/>
    <w:rsid w:val="00D115FC"/>
    <w:rsid w:val="00D11B10"/>
    <w:rsid w:val="00D11B3E"/>
    <w:rsid w:val="00D1279D"/>
    <w:rsid w:val="00D1309C"/>
    <w:rsid w:val="00D135C2"/>
    <w:rsid w:val="00D13675"/>
    <w:rsid w:val="00D13D93"/>
    <w:rsid w:val="00D140FD"/>
    <w:rsid w:val="00D141E1"/>
    <w:rsid w:val="00D15314"/>
    <w:rsid w:val="00D157CF"/>
    <w:rsid w:val="00D158A0"/>
    <w:rsid w:val="00D16CFA"/>
    <w:rsid w:val="00D17351"/>
    <w:rsid w:val="00D17D6C"/>
    <w:rsid w:val="00D2155B"/>
    <w:rsid w:val="00D230D1"/>
    <w:rsid w:val="00D232B6"/>
    <w:rsid w:val="00D23D11"/>
    <w:rsid w:val="00D244B6"/>
    <w:rsid w:val="00D25478"/>
    <w:rsid w:val="00D26216"/>
    <w:rsid w:val="00D266B8"/>
    <w:rsid w:val="00D26D5D"/>
    <w:rsid w:val="00D2754D"/>
    <w:rsid w:val="00D27B27"/>
    <w:rsid w:val="00D30BCC"/>
    <w:rsid w:val="00D31B2C"/>
    <w:rsid w:val="00D335A3"/>
    <w:rsid w:val="00D33BE9"/>
    <w:rsid w:val="00D33F93"/>
    <w:rsid w:val="00D34038"/>
    <w:rsid w:val="00D3474F"/>
    <w:rsid w:val="00D357FF"/>
    <w:rsid w:val="00D364ED"/>
    <w:rsid w:val="00D4006A"/>
    <w:rsid w:val="00D41146"/>
    <w:rsid w:val="00D420D0"/>
    <w:rsid w:val="00D424C7"/>
    <w:rsid w:val="00D42709"/>
    <w:rsid w:val="00D42921"/>
    <w:rsid w:val="00D42947"/>
    <w:rsid w:val="00D42FF2"/>
    <w:rsid w:val="00D4327F"/>
    <w:rsid w:val="00D43B2A"/>
    <w:rsid w:val="00D43D83"/>
    <w:rsid w:val="00D470B6"/>
    <w:rsid w:val="00D47575"/>
    <w:rsid w:val="00D4764F"/>
    <w:rsid w:val="00D507C6"/>
    <w:rsid w:val="00D52312"/>
    <w:rsid w:val="00D5243B"/>
    <w:rsid w:val="00D533EC"/>
    <w:rsid w:val="00D54C36"/>
    <w:rsid w:val="00D55B78"/>
    <w:rsid w:val="00D56A95"/>
    <w:rsid w:val="00D56B37"/>
    <w:rsid w:val="00D57EC6"/>
    <w:rsid w:val="00D60626"/>
    <w:rsid w:val="00D60D2D"/>
    <w:rsid w:val="00D637A1"/>
    <w:rsid w:val="00D648CB"/>
    <w:rsid w:val="00D64ABB"/>
    <w:rsid w:val="00D653B0"/>
    <w:rsid w:val="00D663AD"/>
    <w:rsid w:val="00D67E7C"/>
    <w:rsid w:val="00D67E9A"/>
    <w:rsid w:val="00D7054C"/>
    <w:rsid w:val="00D70F16"/>
    <w:rsid w:val="00D7148D"/>
    <w:rsid w:val="00D717A7"/>
    <w:rsid w:val="00D72F57"/>
    <w:rsid w:val="00D73545"/>
    <w:rsid w:val="00D73FF8"/>
    <w:rsid w:val="00D7409D"/>
    <w:rsid w:val="00D74993"/>
    <w:rsid w:val="00D75DC9"/>
    <w:rsid w:val="00D76A44"/>
    <w:rsid w:val="00D815EF"/>
    <w:rsid w:val="00D81912"/>
    <w:rsid w:val="00D81F26"/>
    <w:rsid w:val="00D823EF"/>
    <w:rsid w:val="00D82C63"/>
    <w:rsid w:val="00D83D40"/>
    <w:rsid w:val="00D845A3"/>
    <w:rsid w:val="00D84B63"/>
    <w:rsid w:val="00D85CDA"/>
    <w:rsid w:val="00D86231"/>
    <w:rsid w:val="00D86363"/>
    <w:rsid w:val="00D8651A"/>
    <w:rsid w:val="00D86B3B"/>
    <w:rsid w:val="00D9000B"/>
    <w:rsid w:val="00D90335"/>
    <w:rsid w:val="00D90F17"/>
    <w:rsid w:val="00D913BE"/>
    <w:rsid w:val="00D91923"/>
    <w:rsid w:val="00D9245D"/>
    <w:rsid w:val="00D92474"/>
    <w:rsid w:val="00D92B67"/>
    <w:rsid w:val="00D92FE6"/>
    <w:rsid w:val="00D9354C"/>
    <w:rsid w:val="00D93753"/>
    <w:rsid w:val="00D95322"/>
    <w:rsid w:val="00D96739"/>
    <w:rsid w:val="00D979F5"/>
    <w:rsid w:val="00DA100E"/>
    <w:rsid w:val="00DA2751"/>
    <w:rsid w:val="00DA3167"/>
    <w:rsid w:val="00DA4271"/>
    <w:rsid w:val="00DA4A13"/>
    <w:rsid w:val="00DA4AF6"/>
    <w:rsid w:val="00DA4CD5"/>
    <w:rsid w:val="00DA4DC3"/>
    <w:rsid w:val="00DA4DCF"/>
    <w:rsid w:val="00DA5262"/>
    <w:rsid w:val="00DA5BE7"/>
    <w:rsid w:val="00DA5D07"/>
    <w:rsid w:val="00DA6629"/>
    <w:rsid w:val="00DA727A"/>
    <w:rsid w:val="00DA77A5"/>
    <w:rsid w:val="00DA7E8C"/>
    <w:rsid w:val="00DB3666"/>
    <w:rsid w:val="00DB3833"/>
    <w:rsid w:val="00DB3AA1"/>
    <w:rsid w:val="00DB3B08"/>
    <w:rsid w:val="00DB3CFF"/>
    <w:rsid w:val="00DB3DBF"/>
    <w:rsid w:val="00DB3ED6"/>
    <w:rsid w:val="00DB484F"/>
    <w:rsid w:val="00DB4B15"/>
    <w:rsid w:val="00DB5246"/>
    <w:rsid w:val="00DB6D1E"/>
    <w:rsid w:val="00DB790B"/>
    <w:rsid w:val="00DB7C77"/>
    <w:rsid w:val="00DC00B5"/>
    <w:rsid w:val="00DC04F6"/>
    <w:rsid w:val="00DC0690"/>
    <w:rsid w:val="00DC07F0"/>
    <w:rsid w:val="00DC0DFC"/>
    <w:rsid w:val="00DC0E31"/>
    <w:rsid w:val="00DC1D65"/>
    <w:rsid w:val="00DC2213"/>
    <w:rsid w:val="00DC3107"/>
    <w:rsid w:val="00DC3495"/>
    <w:rsid w:val="00DC3900"/>
    <w:rsid w:val="00DC3C57"/>
    <w:rsid w:val="00DC40D6"/>
    <w:rsid w:val="00DC4B5F"/>
    <w:rsid w:val="00DC5501"/>
    <w:rsid w:val="00DC5859"/>
    <w:rsid w:val="00DC6DA2"/>
    <w:rsid w:val="00DC7154"/>
    <w:rsid w:val="00DC7615"/>
    <w:rsid w:val="00DC7E8A"/>
    <w:rsid w:val="00DD0C77"/>
    <w:rsid w:val="00DD0F78"/>
    <w:rsid w:val="00DD24CF"/>
    <w:rsid w:val="00DD25D3"/>
    <w:rsid w:val="00DD273C"/>
    <w:rsid w:val="00DD32E3"/>
    <w:rsid w:val="00DD33DD"/>
    <w:rsid w:val="00DD3D53"/>
    <w:rsid w:val="00DD3DC8"/>
    <w:rsid w:val="00DD3F28"/>
    <w:rsid w:val="00DD445E"/>
    <w:rsid w:val="00DD4537"/>
    <w:rsid w:val="00DD4DDD"/>
    <w:rsid w:val="00DD4E15"/>
    <w:rsid w:val="00DD4E5F"/>
    <w:rsid w:val="00DD5068"/>
    <w:rsid w:val="00DD5295"/>
    <w:rsid w:val="00DD5507"/>
    <w:rsid w:val="00DD593A"/>
    <w:rsid w:val="00DD59D8"/>
    <w:rsid w:val="00DD6064"/>
    <w:rsid w:val="00DD7B41"/>
    <w:rsid w:val="00DE01D5"/>
    <w:rsid w:val="00DE1B24"/>
    <w:rsid w:val="00DE2250"/>
    <w:rsid w:val="00DE2273"/>
    <w:rsid w:val="00DE2304"/>
    <w:rsid w:val="00DE3138"/>
    <w:rsid w:val="00DE3286"/>
    <w:rsid w:val="00DE37F8"/>
    <w:rsid w:val="00DE3FAE"/>
    <w:rsid w:val="00DE4C75"/>
    <w:rsid w:val="00DE4FCB"/>
    <w:rsid w:val="00DE516B"/>
    <w:rsid w:val="00DE52B8"/>
    <w:rsid w:val="00DE52E5"/>
    <w:rsid w:val="00DE581F"/>
    <w:rsid w:val="00DE5D07"/>
    <w:rsid w:val="00DE72A7"/>
    <w:rsid w:val="00DE7832"/>
    <w:rsid w:val="00DE7D51"/>
    <w:rsid w:val="00DF096A"/>
    <w:rsid w:val="00DF18FC"/>
    <w:rsid w:val="00DF282F"/>
    <w:rsid w:val="00DF29AC"/>
    <w:rsid w:val="00DF432C"/>
    <w:rsid w:val="00DF45DF"/>
    <w:rsid w:val="00DF4853"/>
    <w:rsid w:val="00DF53D7"/>
    <w:rsid w:val="00DF5774"/>
    <w:rsid w:val="00DF5B5A"/>
    <w:rsid w:val="00DF5D2B"/>
    <w:rsid w:val="00DF7893"/>
    <w:rsid w:val="00DF7BCE"/>
    <w:rsid w:val="00DF7E89"/>
    <w:rsid w:val="00E00E8E"/>
    <w:rsid w:val="00E00F61"/>
    <w:rsid w:val="00E013E8"/>
    <w:rsid w:val="00E035AD"/>
    <w:rsid w:val="00E041B6"/>
    <w:rsid w:val="00E04BC4"/>
    <w:rsid w:val="00E05630"/>
    <w:rsid w:val="00E061E5"/>
    <w:rsid w:val="00E06DBB"/>
    <w:rsid w:val="00E06FD9"/>
    <w:rsid w:val="00E079D8"/>
    <w:rsid w:val="00E07B84"/>
    <w:rsid w:val="00E10149"/>
    <w:rsid w:val="00E10486"/>
    <w:rsid w:val="00E11340"/>
    <w:rsid w:val="00E11CAF"/>
    <w:rsid w:val="00E122A1"/>
    <w:rsid w:val="00E1252C"/>
    <w:rsid w:val="00E128B6"/>
    <w:rsid w:val="00E12FD7"/>
    <w:rsid w:val="00E135D9"/>
    <w:rsid w:val="00E136F3"/>
    <w:rsid w:val="00E15948"/>
    <w:rsid w:val="00E15F28"/>
    <w:rsid w:val="00E16372"/>
    <w:rsid w:val="00E16923"/>
    <w:rsid w:val="00E16F88"/>
    <w:rsid w:val="00E17671"/>
    <w:rsid w:val="00E17E7B"/>
    <w:rsid w:val="00E20900"/>
    <w:rsid w:val="00E20BE5"/>
    <w:rsid w:val="00E20E4D"/>
    <w:rsid w:val="00E20ED6"/>
    <w:rsid w:val="00E21358"/>
    <w:rsid w:val="00E2249B"/>
    <w:rsid w:val="00E2295A"/>
    <w:rsid w:val="00E22A0D"/>
    <w:rsid w:val="00E22A79"/>
    <w:rsid w:val="00E22E76"/>
    <w:rsid w:val="00E22F40"/>
    <w:rsid w:val="00E244F6"/>
    <w:rsid w:val="00E24724"/>
    <w:rsid w:val="00E25D7C"/>
    <w:rsid w:val="00E26924"/>
    <w:rsid w:val="00E2771E"/>
    <w:rsid w:val="00E311EF"/>
    <w:rsid w:val="00E31F14"/>
    <w:rsid w:val="00E320D5"/>
    <w:rsid w:val="00E32180"/>
    <w:rsid w:val="00E347BD"/>
    <w:rsid w:val="00E34948"/>
    <w:rsid w:val="00E37569"/>
    <w:rsid w:val="00E401B2"/>
    <w:rsid w:val="00E40B61"/>
    <w:rsid w:val="00E41210"/>
    <w:rsid w:val="00E412AE"/>
    <w:rsid w:val="00E41E30"/>
    <w:rsid w:val="00E424F9"/>
    <w:rsid w:val="00E42F73"/>
    <w:rsid w:val="00E430DD"/>
    <w:rsid w:val="00E43D70"/>
    <w:rsid w:val="00E43F9C"/>
    <w:rsid w:val="00E43FCC"/>
    <w:rsid w:val="00E45CF0"/>
    <w:rsid w:val="00E466F3"/>
    <w:rsid w:val="00E46954"/>
    <w:rsid w:val="00E4724E"/>
    <w:rsid w:val="00E479BA"/>
    <w:rsid w:val="00E47B2C"/>
    <w:rsid w:val="00E51560"/>
    <w:rsid w:val="00E528B3"/>
    <w:rsid w:val="00E52B0A"/>
    <w:rsid w:val="00E52CCA"/>
    <w:rsid w:val="00E53CD8"/>
    <w:rsid w:val="00E53FC8"/>
    <w:rsid w:val="00E54347"/>
    <w:rsid w:val="00E553B9"/>
    <w:rsid w:val="00E55424"/>
    <w:rsid w:val="00E55915"/>
    <w:rsid w:val="00E55BB5"/>
    <w:rsid w:val="00E55E3C"/>
    <w:rsid w:val="00E567AE"/>
    <w:rsid w:val="00E56963"/>
    <w:rsid w:val="00E60857"/>
    <w:rsid w:val="00E61D84"/>
    <w:rsid w:val="00E61EF8"/>
    <w:rsid w:val="00E62B7C"/>
    <w:rsid w:val="00E62EF7"/>
    <w:rsid w:val="00E63910"/>
    <w:rsid w:val="00E63C44"/>
    <w:rsid w:val="00E64286"/>
    <w:rsid w:val="00E655B5"/>
    <w:rsid w:val="00E65E79"/>
    <w:rsid w:val="00E65FE7"/>
    <w:rsid w:val="00E6689D"/>
    <w:rsid w:val="00E66BA2"/>
    <w:rsid w:val="00E67416"/>
    <w:rsid w:val="00E718B6"/>
    <w:rsid w:val="00E723BA"/>
    <w:rsid w:val="00E73572"/>
    <w:rsid w:val="00E73581"/>
    <w:rsid w:val="00E73756"/>
    <w:rsid w:val="00E74806"/>
    <w:rsid w:val="00E759D4"/>
    <w:rsid w:val="00E76721"/>
    <w:rsid w:val="00E76EBE"/>
    <w:rsid w:val="00E7704A"/>
    <w:rsid w:val="00E77499"/>
    <w:rsid w:val="00E77E18"/>
    <w:rsid w:val="00E80F5F"/>
    <w:rsid w:val="00E81B94"/>
    <w:rsid w:val="00E82EB4"/>
    <w:rsid w:val="00E833F7"/>
    <w:rsid w:val="00E83BDF"/>
    <w:rsid w:val="00E85069"/>
    <w:rsid w:val="00E85D35"/>
    <w:rsid w:val="00E86014"/>
    <w:rsid w:val="00E860B3"/>
    <w:rsid w:val="00E87690"/>
    <w:rsid w:val="00E87A1D"/>
    <w:rsid w:val="00E9094A"/>
    <w:rsid w:val="00E91D35"/>
    <w:rsid w:val="00E926A5"/>
    <w:rsid w:val="00E9280D"/>
    <w:rsid w:val="00E929F5"/>
    <w:rsid w:val="00E932F2"/>
    <w:rsid w:val="00E9430D"/>
    <w:rsid w:val="00E94B63"/>
    <w:rsid w:val="00E94E00"/>
    <w:rsid w:val="00E96789"/>
    <w:rsid w:val="00E97478"/>
    <w:rsid w:val="00EA12EF"/>
    <w:rsid w:val="00EA17C3"/>
    <w:rsid w:val="00EA282D"/>
    <w:rsid w:val="00EA2986"/>
    <w:rsid w:val="00EA2CAA"/>
    <w:rsid w:val="00EA30F3"/>
    <w:rsid w:val="00EA3864"/>
    <w:rsid w:val="00EA4426"/>
    <w:rsid w:val="00EA5873"/>
    <w:rsid w:val="00EA5F0B"/>
    <w:rsid w:val="00EA6985"/>
    <w:rsid w:val="00EA6E25"/>
    <w:rsid w:val="00EA7F1C"/>
    <w:rsid w:val="00EB00E6"/>
    <w:rsid w:val="00EB0258"/>
    <w:rsid w:val="00EB0B99"/>
    <w:rsid w:val="00EB0DCB"/>
    <w:rsid w:val="00EB0F75"/>
    <w:rsid w:val="00EB15B6"/>
    <w:rsid w:val="00EB1F41"/>
    <w:rsid w:val="00EB24B4"/>
    <w:rsid w:val="00EB26F1"/>
    <w:rsid w:val="00EB32F2"/>
    <w:rsid w:val="00EB345C"/>
    <w:rsid w:val="00EB375F"/>
    <w:rsid w:val="00EB3D06"/>
    <w:rsid w:val="00EB4916"/>
    <w:rsid w:val="00EB4D2C"/>
    <w:rsid w:val="00EB4E55"/>
    <w:rsid w:val="00EB577E"/>
    <w:rsid w:val="00EB5D5E"/>
    <w:rsid w:val="00EB5FE9"/>
    <w:rsid w:val="00EB7349"/>
    <w:rsid w:val="00EB7741"/>
    <w:rsid w:val="00EC00C9"/>
    <w:rsid w:val="00EC0DD9"/>
    <w:rsid w:val="00EC1669"/>
    <w:rsid w:val="00EC1C13"/>
    <w:rsid w:val="00EC1E77"/>
    <w:rsid w:val="00EC2649"/>
    <w:rsid w:val="00EC31ED"/>
    <w:rsid w:val="00EC4B5B"/>
    <w:rsid w:val="00EC51D2"/>
    <w:rsid w:val="00EC5836"/>
    <w:rsid w:val="00EC5C4A"/>
    <w:rsid w:val="00EC688C"/>
    <w:rsid w:val="00EC6F8C"/>
    <w:rsid w:val="00ED087C"/>
    <w:rsid w:val="00ED0C29"/>
    <w:rsid w:val="00ED1419"/>
    <w:rsid w:val="00ED18BD"/>
    <w:rsid w:val="00ED20F4"/>
    <w:rsid w:val="00ED23C8"/>
    <w:rsid w:val="00ED39D8"/>
    <w:rsid w:val="00ED5480"/>
    <w:rsid w:val="00ED57EA"/>
    <w:rsid w:val="00ED5BD4"/>
    <w:rsid w:val="00EE07D3"/>
    <w:rsid w:val="00EE08F2"/>
    <w:rsid w:val="00EE0C80"/>
    <w:rsid w:val="00EE0CD9"/>
    <w:rsid w:val="00EE0D62"/>
    <w:rsid w:val="00EE0FEE"/>
    <w:rsid w:val="00EE1996"/>
    <w:rsid w:val="00EE1C01"/>
    <w:rsid w:val="00EE22AF"/>
    <w:rsid w:val="00EE2868"/>
    <w:rsid w:val="00EE2B18"/>
    <w:rsid w:val="00EE4097"/>
    <w:rsid w:val="00EE4249"/>
    <w:rsid w:val="00EE5331"/>
    <w:rsid w:val="00EE5E36"/>
    <w:rsid w:val="00EE5E39"/>
    <w:rsid w:val="00EE680C"/>
    <w:rsid w:val="00EE7F6A"/>
    <w:rsid w:val="00EF0171"/>
    <w:rsid w:val="00EF031D"/>
    <w:rsid w:val="00EF0EAA"/>
    <w:rsid w:val="00EF1B25"/>
    <w:rsid w:val="00EF1DA0"/>
    <w:rsid w:val="00EF1F75"/>
    <w:rsid w:val="00EF25DA"/>
    <w:rsid w:val="00EF2AF4"/>
    <w:rsid w:val="00EF33D3"/>
    <w:rsid w:val="00EF34C5"/>
    <w:rsid w:val="00EF39EE"/>
    <w:rsid w:val="00EF3D56"/>
    <w:rsid w:val="00EF3FE1"/>
    <w:rsid w:val="00EF4356"/>
    <w:rsid w:val="00EF447D"/>
    <w:rsid w:val="00EF4747"/>
    <w:rsid w:val="00EF4BF8"/>
    <w:rsid w:val="00EF50E7"/>
    <w:rsid w:val="00EF58D8"/>
    <w:rsid w:val="00EF6610"/>
    <w:rsid w:val="00EF76AB"/>
    <w:rsid w:val="00F00518"/>
    <w:rsid w:val="00F02253"/>
    <w:rsid w:val="00F02BFD"/>
    <w:rsid w:val="00F02C19"/>
    <w:rsid w:val="00F02DE9"/>
    <w:rsid w:val="00F03C2E"/>
    <w:rsid w:val="00F04116"/>
    <w:rsid w:val="00F0463C"/>
    <w:rsid w:val="00F04A66"/>
    <w:rsid w:val="00F04B4B"/>
    <w:rsid w:val="00F0516C"/>
    <w:rsid w:val="00F05EF2"/>
    <w:rsid w:val="00F067A2"/>
    <w:rsid w:val="00F076D2"/>
    <w:rsid w:val="00F07706"/>
    <w:rsid w:val="00F07B9E"/>
    <w:rsid w:val="00F10C1F"/>
    <w:rsid w:val="00F1116F"/>
    <w:rsid w:val="00F1225D"/>
    <w:rsid w:val="00F1263A"/>
    <w:rsid w:val="00F127FB"/>
    <w:rsid w:val="00F141B3"/>
    <w:rsid w:val="00F14799"/>
    <w:rsid w:val="00F1553A"/>
    <w:rsid w:val="00F15B77"/>
    <w:rsid w:val="00F15C69"/>
    <w:rsid w:val="00F162EE"/>
    <w:rsid w:val="00F16521"/>
    <w:rsid w:val="00F217DF"/>
    <w:rsid w:val="00F24837"/>
    <w:rsid w:val="00F24C9B"/>
    <w:rsid w:val="00F2575F"/>
    <w:rsid w:val="00F26816"/>
    <w:rsid w:val="00F26B1A"/>
    <w:rsid w:val="00F274FA"/>
    <w:rsid w:val="00F27565"/>
    <w:rsid w:val="00F310D4"/>
    <w:rsid w:val="00F31D5A"/>
    <w:rsid w:val="00F33975"/>
    <w:rsid w:val="00F33DE9"/>
    <w:rsid w:val="00F341C8"/>
    <w:rsid w:val="00F34926"/>
    <w:rsid w:val="00F34A93"/>
    <w:rsid w:val="00F34CA6"/>
    <w:rsid w:val="00F35D52"/>
    <w:rsid w:val="00F35E6D"/>
    <w:rsid w:val="00F3619A"/>
    <w:rsid w:val="00F36D13"/>
    <w:rsid w:val="00F3738B"/>
    <w:rsid w:val="00F37520"/>
    <w:rsid w:val="00F40AAA"/>
    <w:rsid w:val="00F40BA7"/>
    <w:rsid w:val="00F40F29"/>
    <w:rsid w:val="00F40F9D"/>
    <w:rsid w:val="00F4120B"/>
    <w:rsid w:val="00F41ACD"/>
    <w:rsid w:val="00F42F02"/>
    <w:rsid w:val="00F433DE"/>
    <w:rsid w:val="00F43D49"/>
    <w:rsid w:val="00F44014"/>
    <w:rsid w:val="00F44A0C"/>
    <w:rsid w:val="00F458C6"/>
    <w:rsid w:val="00F463BE"/>
    <w:rsid w:val="00F466F4"/>
    <w:rsid w:val="00F4683A"/>
    <w:rsid w:val="00F46CB6"/>
    <w:rsid w:val="00F4756D"/>
    <w:rsid w:val="00F47628"/>
    <w:rsid w:val="00F47768"/>
    <w:rsid w:val="00F47B3A"/>
    <w:rsid w:val="00F47DE8"/>
    <w:rsid w:val="00F500FC"/>
    <w:rsid w:val="00F5094F"/>
    <w:rsid w:val="00F523CC"/>
    <w:rsid w:val="00F52854"/>
    <w:rsid w:val="00F5369F"/>
    <w:rsid w:val="00F53A7C"/>
    <w:rsid w:val="00F5402E"/>
    <w:rsid w:val="00F542C1"/>
    <w:rsid w:val="00F547CD"/>
    <w:rsid w:val="00F548C9"/>
    <w:rsid w:val="00F5562D"/>
    <w:rsid w:val="00F55BEC"/>
    <w:rsid w:val="00F55C25"/>
    <w:rsid w:val="00F55E73"/>
    <w:rsid w:val="00F55EDA"/>
    <w:rsid w:val="00F5608F"/>
    <w:rsid w:val="00F56688"/>
    <w:rsid w:val="00F56C80"/>
    <w:rsid w:val="00F60092"/>
    <w:rsid w:val="00F61037"/>
    <w:rsid w:val="00F61C18"/>
    <w:rsid w:val="00F620A6"/>
    <w:rsid w:val="00F626C4"/>
    <w:rsid w:val="00F62A76"/>
    <w:rsid w:val="00F63C16"/>
    <w:rsid w:val="00F65F4B"/>
    <w:rsid w:val="00F66B4E"/>
    <w:rsid w:val="00F66E40"/>
    <w:rsid w:val="00F672AB"/>
    <w:rsid w:val="00F67A69"/>
    <w:rsid w:val="00F67C7D"/>
    <w:rsid w:val="00F67DA8"/>
    <w:rsid w:val="00F70BFF"/>
    <w:rsid w:val="00F70C9D"/>
    <w:rsid w:val="00F7119A"/>
    <w:rsid w:val="00F7159C"/>
    <w:rsid w:val="00F72E47"/>
    <w:rsid w:val="00F738EC"/>
    <w:rsid w:val="00F73A16"/>
    <w:rsid w:val="00F74CD9"/>
    <w:rsid w:val="00F74F2C"/>
    <w:rsid w:val="00F75E0F"/>
    <w:rsid w:val="00F765FF"/>
    <w:rsid w:val="00F77246"/>
    <w:rsid w:val="00F772B8"/>
    <w:rsid w:val="00F7764A"/>
    <w:rsid w:val="00F77CC5"/>
    <w:rsid w:val="00F80638"/>
    <w:rsid w:val="00F80A7B"/>
    <w:rsid w:val="00F80E5D"/>
    <w:rsid w:val="00F814CC"/>
    <w:rsid w:val="00F8192F"/>
    <w:rsid w:val="00F81E78"/>
    <w:rsid w:val="00F82119"/>
    <w:rsid w:val="00F8364B"/>
    <w:rsid w:val="00F84B97"/>
    <w:rsid w:val="00F84F9C"/>
    <w:rsid w:val="00F851CE"/>
    <w:rsid w:val="00F85551"/>
    <w:rsid w:val="00F87ED0"/>
    <w:rsid w:val="00F903CC"/>
    <w:rsid w:val="00F90C76"/>
    <w:rsid w:val="00F91219"/>
    <w:rsid w:val="00F91B20"/>
    <w:rsid w:val="00F91B50"/>
    <w:rsid w:val="00F92104"/>
    <w:rsid w:val="00F92444"/>
    <w:rsid w:val="00F9288A"/>
    <w:rsid w:val="00F93187"/>
    <w:rsid w:val="00F9393E"/>
    <w:rsid w:val="00F93B94"/>
    <w:rsid w:val="00F94452"/>
    <w:rsid w:val="00F94F6A"/>
    <w:rsid w:val="00F955EC"/>
    <w:rsid w:val="00F96FD0"/>
    <w:rsid w:val="00F97A78"/>
    <w:rsid w:val="00F97C08"/>
    <w:rsid w:val="00FA0855"/>
    <w:rsid w:val="00FA0A5F"/>
    <w:rsid w:val="00FA0B20"/>
    <w:rsid w:val="00FA17E7"/>
    <w:rsid w:val="00FA1D32"/>
    <w:rsid w:val="00FA24E7"/>
    <w:rsid w:val="00FA3624"/>
    <w:rsid w:val="00FA37E7"/>
    <w:rsid w:val="00FA38FE"/>
    <w:rsid w:val="00FA4793"/>
    <w:rsid w:val="00FA53C8"/>
    <w:rsid w:val="00FA5510"/>
    <w:rsid w:val="00FA576A"/>
    <w:rsid w:val="00FA5D12"/>
    <w:rsid w:val="00FA5EE6"/>
    <w:rsid w:val="00FA63E7"/>
    <w:rsid w:val="00FA7956"/>
    <w:rsid w:val="00FB0524"/>
    <w:rsid w:val="00FB22BD"/>
    <w:rsid w:val="00FB2E79"/>
    <w:rsid w:val="00FB2FCB"/>
    <w:rsid w:val="00FB3DDB"/>
    <w:rsid w:val="00FB4C49"/>
    <w:rsid w:val="00FB5C1A"/>
    <w:rsid w:val="00FB6817"/>
    <w:rsid w:val="00FB76CB"/>
    <w:rsid w:val="00FB78F4"/>
    <w:rsid w:val="00FB7988"/>
    <w:rsid w:val="00FB7C55"/>
    <w:rsid w:val="00FC0BC1"/>
    <w:rsid w:val="00FC1074"/>
    <w:rsid w:val="00FC12AE"/>
    <w:rsid w:val="00FC135C"/>
    <w:rsid w:val="00FC1884"/>
    <w:rsid w:val="00FC236C"/>
    <w:rsid w:val="00FC2431"/>
    <w:rsid w:val="00FC2521"/>
    <w:rsid w:val="00FC371D"/>
    <w:rsid w:val="00FC41C2"/>
    <w:rsid w:val="00FC489B"/>
    <w:rsid w:val="00FC4F91"/>
    <w:rsid w:val="00FC56F6"/>
    <w:rsid w:val="00FC5719"/>
    <w:rsid w:val="00FC5F0B"/>
    <w:rsid w:val="00FC6A43"/>
    <w:rsid w:val="00FC7EB5"/>
    <w:rsid w:val="00FD08A2"/>
    <w:rsid w:val="00FD13A5"/>
    <w:rsid w:val="00FD163C"/>
    <w:rsid w:val="00FD2100"/>
    <w:rsid w:val="00FD39F3"/>
    <w:rsid w:val="00FD436C"/>
    <w:rsid w:val="00FD446D"/>
    <w:rsid w:val="00FD4F2C"/>
    <w:rsid w:val="00FD5945"/>
    <w:rsid w:val="00FD5D91"/>
    <w:rsid w:val="00FD6394"/>
    <w:rsid w:val="00FD6ED3"/>
    <w:rsid w:val="00FD7046"/>
    <w:rsid w:val="00FD7B85"/>
    <w:rsid w:val="00FE0E6C"/>
    <w:rsid w:val="00FE1CDC"/>
    <w:rsid w:val="00FE30E6"/>
    <w:rsid w:val="00FE30EC"/>
    <w:rsid w:val="00FE4FD4"/>
    <w:rsid w:val="00FE6452"/>
    <w:rsid w:val="00FE70C3"/>
    <w:rsid w:val="00FF1C02"/>
    <w:rsid w:val="00FF2AD9"/>
    <w:rsid w:val="00FF359F"/>
    <w:rsid w:val="00FF3BE7"/>
    <w:rsid w:val="00FF3DCF"/>
    <w:rsid w:val="00FF492C"/>
    <w:rsid w:val="00FF4A21"/>
    <w:rsid w:val="00FF5168"/>
    <w:rsid w:val="00FF5AA3"/>
    <w:rsid w:val="00FF5AD8"/>
    <w:rsid w:val="00FF5E66"/>
    <w:rsid w:val="00FF602E"/>
    <w:rsid w:val="00FF64BB"/>
    <w:rsid w:val="00FF6F12"/>
    <w:rsid w:val="00FF70ED"/>
    <w:rsid w:val="00FF74FD"/>
    <w:rsid w:val="00FF7B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FA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1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PBAC ES Paragraph,ES Paragraph,PBAC normal points,Figure_na"/>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Figure_na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380D04"/>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B73532"/>
    <w:pPr>
      <w:numPr>
        <w:ilvl w:val="1"/>
        <w:numId w:val="13"/>
      </w:numPr>
    </w:pPr>
  </w:style>
  <w:style w:type="character" w:customStyle="1" w:styleId="3-BodyTextChar">
    <w:name w:val="3-Body Text Char"/>
    <w:basedOn w:val="ListParagraphChar"/>
    <w:link w:val="3-BodyText"/>
    <w:rsid w:val="00B73532"/>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contextualSpacing/>
    </w:pPr>
  </w:style>
  <w:style w:type="character" w:customStyle="1" w:styleId="TableTextChar0">
    <w:name w:val="Table Text Char"/>
    <w:basedOn w:val="DefaultParagraphFont"/>
    <w:link w:val="TableText0"/>
    <w:rsid w:val="00380D04"/>
    <w:rPr>
      <w:rFonts w:ascii="Arial Narrow" w:eastAsiaTheme="majorEastAsia" w:hAnsi="Arial Narrow" w:cstheme="majorBidi"/>
      <w:bCs/>
      <w:szCs w:val="24"/>
    </w:rPr>
  </w:style>
  <w:style w:type="character" w:customStyle="1" w:styleId="PBACTableTextChar">
    <w:name w:val="PBAC Table Text Char"/>
    <w:basedOn w:val="DefaultParagraphFont"/>
    <w:link w:val="PBACTableText"/>
    <w:locked/>
    <w:rsid w:val="00BE6E98"/>
    <w:rPr>
      <w:rFonts w:ascii="Arial Narrow" w:hAnsi="Arial Narrow"/>
    </w:rPr>
  </w:style>
  <w:style w:type="paragraph" w:customStyle="1" w:styleId="PBACTableText">
    <w:name w:val="PBAC Table Text"/>
    <w:basedOn w:val="Normal"/>
    <w:link w:val="PBACTableTextChar"/>
    <w:qFormat/>
    <w:rsid w:val="00BE6E98"/>
    <w:pPr>
      <w:spacing w:before="40" w:after="40"/>
      <w:jc w:val="left"/>
    </w:pPr>
    <w:rPr>
      <w:rFonts w:ascii="Arial Narrow" w:hAnsi="Arial Narrow" w:cs="Times New Roman"/>
      <w:sz w:val="20"/>
      <w:szCs w:val="20"/>
    </w:rPr>
  </w:style>
  <w:style w:type="paragraph" w:styleId="FootnoteText">
    <w:name w:val="footnote text"/>
    <w:basedOn w:val="Normal"/>
    <w:link w:val="FootnoteTextChar"/>
    <w:rsid w:val="00BD4A1A"/>
    <w:pPr>
      <w:jc w:val="left"/>
    </w:pPr>
    <w:rPr>
      <w:rFonts w:eastAsia="Times" w:cs="Times New Roman"/>
      <w:sz w:val="16"/>
      <w:szCs w:val="20"/>
      <w:lang w:eastAsia="en-US"/>
    </w:rPr>
  </w:style>
  <w:style w:type="character" w:customStyle="1" w:styleId="FootnoteTextChar">
    <w:name w:val="Footnote Text Char"/>
    <w:basedOn w:val="DefaultParagraphFont"/>
    <w:link w:val="FootnoteText"/>
    <w:rsid w:val="00BD4A1A"/>
    <w:rPr>
      <w:rFonts w:ascii="Calibri" w:eastAsia="Times" w:hAnsi="Calibri"/>
      <w:sz w:val="16"/>
      <w:lang w:eastAsia="en-US"/>
    </w:rPr>
  </w:style>
  <w:style w:type="paragraph" w:customStyle="1" w:styleId="xmsolistparagraph">
    <w:name w:val="x_msolistparagraph"/>
    <w:basedOn w:val="Normal"/>
    <w:rsid w:val="008634BF"/>
    <w:pPr>
      <w:jc w:val="left"/>
    </w:pPr>
    <w:rPr>
      <w:rFonts w:ascii="Times New Roman" w:eastAsiaTheme="minorHAnsi" w:hAnsi="Times New Roman" w:cs="Times New Roman"/>
    </w:rPr>
  </w:style>
  <w:style w:type="paragraph" w:customStyle="1" w:styleId="TableTextcentred">
    <w:name w:val="Table Text centred"/>
    <w:basedOn w:val="Normal"/>
    <w:link w:val="TableTextcentredChar"/>
    <w:qFormat/>
    <w:rsid w:val="00C037F0"/>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C037F0"/>
    <w:rPr>
      <w:rFonts w:ascii="Calibri" w:hAnsi="Calibri"/>
      <w:sz w:val="18"/>
      <w:szCs w:val="18"/>
      <w:lang w:eastAsia="en-US"/>
    </w:rPr>
  </w:style>
  <w:style w:type="paragraph" w:customStyle="1" w:styleId="TableTextleftalign">
    <w:name w:val="Table Text left align"/>
    <w:basedOn w:val="Normal"/>
    <w:link w:val="TableTextleftalignChar"/>
    <w:qFormat/>
    <w:rsid w:val="0009541F"/>
    <w:pPr>
      <w:jc w:val="left"/>
    </w:pPr>
    <w:rPr>
      <w:rFonts w:cs="Times New Roman"/>
      <w:sz w:val="18"/>
      <w:szCs w:val="18"/>
      <w:lang w:eastAsia="en-US"/>
    </w:rPr>
  </w:style>
  <w:style w:type="character" w:customStyle="1" w:styleId="TableTextleftalignChar">
    <w:name w:val="Table Text left align Char"/>
    <w:basedOn w:val="DefaultParagraphFont"/>
    <w:link w:val="TableTextleftalign"/>
    <w:rsid w:val="0009541F"/>
    <w:rPr>
      <w:rFonts w:ascii="Calibri" w:hAnsi="Calibri"/>
      <w:sz w:val="18"/>
      <w:szCs w:val="18"/>
      <w:lang w:eastAsia="en-US"/>
    </w:rPr>
  </w:style>
  <w:style w:type="paragraph" w:customStyle="1" w:styleId="TableTitlecentred">
    <w:name w:val="Table Title centred"/>
    <w:basedOn w:val="Normal"/>
    <w:rsid w:val="0009541F"/>
    <w:pPr>
      <w:jc w:val="center"/>
    </w:pPr>
    <w:rPr>
      <w:rFonts w:cs="Times New Roman"/>
      <w:b/>
      <w:sz w:val="18"/>
      <w:szCs w:val="20"/>
      <w:lang w:eastAsia="en-US"/>
    </w:rPr>
  </w:style>
  <w:style w:type="character" w:styleId="FootnoteReference">
    <w:name w:val="footnote reference"/>
    <w:basedOn w:val="DefaultParagraphFont"/>
    <w:rsid w:val="00501C4A"/>
    <w:rPr>
      <w:vertAlign w:val="superscript"/>
    </w:rPr>
  </w:style>
  <w:style w:type="character" w:customStyle="1" w:styleId="V50InstructionsChar">
    <w:name w:val="V5.0 Instructions Char"/>
    <w:basedOn w:val="DefaultParagraphFont"/>
    <w:link w:val="V50Instructions"/>
    <w:locked/>
    <w:rsid w:val="00501C4A"/>
    <w:rPr>
      <w:rFonts w:asciiTheme="minorHAnsi" w:eastAsiaTheme="minorHAnsi" w:hAnsiTheme="minorHAnsi" w:cstheme="minorBidi"/>
      <w:color w:val="4BACC6" w:themeColor="accent5"/>
      <w:sz w:val="24"/>
      <w:szCs w:val="22"/>
      <w:lang w:eastAsia="en-US"/>
    </w:rPr>
  </w:style>
  <w:style w:type="paragraph" w:customStyle="1" w:styleId="V50Instructions">
    <w:name w:val="V5.0 Instructions"/>
    <w:basedOn w:val="Normal"/>
    <w:link w:val="V50InstructionsChar"/>
    <w:qFormat/>
    <w:rsid w:val="00501C4A"/>
    <w:pPr>
      <w:spacing w:before="120" w:after="160"/>
      <w:jc w:val="left"/>
    </w:pPr>
    <w:rPr>
      <w:rFonts w:asciiTheme="minorHAnsi" w:eastAsiaTheme="minorHAnsi" w:hAnsiTheme="minorHAnsi" w:cstheme="minorBidi"/>
      <w:color w:val="4BACC6" w:themeColor="accent5"/>
      <w:szCs w:val="22"/>
      <w:lang w:eastAsia="en-US"/>
    </w:rPr>
  </w:style>
  <w:style w:type="paragraph" w:customStyle="1" w:styleId="TableFootnoteindent">
    <w:name w:val="Table Footnote indent"/>
    <w:basedOn w:val="Normal"/>
    <w:next w:val="Normal"/>
    <w:link w:val="TableFootnoteindentChar"/>
    <w:qFormat/>
    <w:rsid w:val="00501C4A"/>
    <w:pPr>
      <w:tabs>
        <w:tab w:val="left" w:pos="284"/>
      </w:tabs>
      <w:ind w:left="284" w:hanging="284"/>
      <w:jc w:val="left"/>
    </w:pPr>
    <w:rPr>
      <w:rFonts w:cs="Times New Roman"/>
      <w:sz w:val="16"/>
      <w:szCs w:val="22"/>
      <w:lang w:eastAsia="en-US"/>
    </w:rPr>
  </w:style>
  <w:style w:type="character" w:customStyle="1" w:styleId="TableFootnoteindentChar">
    <w:name w:val="Table Footnote indent Char"/>
    <w:basedOn w:val="DefaultParagraphFont"/>
    <w:link w:val="TableFootnoteindent"/>
    <w:rsid w:val="00501C4A"/>
    <w:rPr>
      <w:rFonts w:ascii="Calibri" w:hAnsi="Calibri"/>
      <w:sz w:val="16"/>
      <w:szCs w:val="22"/>
      <w:lang w:eastAsia="en-US"/>
    </w:rPr>
  </w:style>
  <w:style w:type="paragraph" w:customStyle="1" w:styleId="TableFootnotetext">
    <w:name w:val="Table Footnote text"/>
    <w:basedOn w:val="TableFootnoteindent"/>
    <w:qFormat/>
    <w:rsid w:val="00501C4A"/>
    <w:pPr>
      <w:tabs>
        <w:tab w:val="clear" w:pos="284"/>
      </w:tabs>
      <w:ind w:left="0" w:firstLine="0"/>
    </w:pPr>
    <w:rPr>
      <w:szCs w:val="20"/>
    </w:rPr>
  </w:style>
  <w:style w:type="paragraph" w:customStyle="1" w:styleId="CaptionTable">
    <w:name w:val="Caption Table"/>
    <w:basedOn w:val="Normal"/>
    <w:next w:val="Normal"/>
    <w:link w:val="CaptionTableChar"/>
    <w:autoRedefine/>
    <w:rsid w:val="00501C4A"/>
    <w:pPr>
      <w:keepNext/>
      <w:keepLines/>
      <w:spacing w:after="60"/>
      <w:ind w:left="1418" w:hanging="1418"/>
      <w:jc w:val="left"/>
    </w:pPr>
    <w:rPr>
      <w:rFonts w:ascii="Arial Narrow" w:hAnsi="Arial Narrow" w:cs="Times New Roman"/>
      <w:b/>
      <w:bCs/>
      <w:sz w:val="20"/>
      <w:szCs w:val="22"/>
      <w:lang w:eastAsia="en-US"/>
    </w:rPr>
  </w:style>
  <w:style w:type="character" w:customStyle="1" w:styleId="CaptionTableChar">
    <w:name w:val="Caption Table Char"/>
    <w:basedOn w:val="DefaultParagraphFont"/>
    <w:link w:val="CaptionTable"/>
    <w:rsid w:val="00501C4A"/>
    <w:rPr>
      <w:rFonts w:ascii="Arial Narrow" w:hAnsi="Arial Narrow"/>
      <w:b/>
      <w:bCs/>
      <w:szCs w:val="22"/>
      <w:lang w:eastAsia="en-US"/>
    </w:rPr>
  </w:style>
  <w:style w:type="paragraph" w:customStyle="1" w:styleId="TableParagraph">
    <w:name w:val="Table Paragraph"/>
    <w:basedOn w:val="Normal"/>
    <w:uiPriority w:val="1"/>
    <w:qFormat/>
    <w:rsid w:val="00501C4A"/>
    <w:pPr>
      <w:autoSpaceDE w:val="0"/>
      <w:autoSpaceDN w:val="0"/>
      <w:adjustRightInd w:val="0"/>
      <w:jc w:val="left"/>
    </w:pPr>
    <w:rPr>
      <w:rFonts w:ascii="Times New Roman" w:hAnsi="Times New Roman" w:cs="Times New Roman"/>
    </w:rPr>
  </w:style>
  <w:style w:type="character" w:customStyle="1" w:styleId="TableLeftChar">
    <w:name w:val="Table Left Char"/>
    <w:basedOn w:val="DefaultParagraphFont"/>
    <w:link w:val="TableLeft"/>
    <w:uiPriority w:val="99"/>
    <w:locked/>
    <w:rsid w:val="00501C4A"/>
    <w:rPr>
      <w:rFonts w:ascii="Arial Narrow" w:eastAsiaTheme="majorEastAsia" w:hAnsi="Arial Narrow" w:cstheme="majorBidi"/>
      <w:lang w:bidi="en-US"/>
    </w:rPr>
  </w:style>
  <w:style w:type="paragraph" w:customStyle="1" w:styleId="TableLeft">
    <w:name w:val="Table Left"/>
    <w:basedOn w:val="Normal"/>
    <w:link w:val="TableLeftChar"/>
    <w:uiPriority w:val="99"/>
    <w:qFormat/>
    <w:rsid w:val="00501C4A"/>
    <w:pPr>
      <w:jc w:val="left"/>
    </w:pPr>
    <w:rPr>
      <w:rFonts w:ascii="Arial Narrow" w:eastAsiaTheme="majorEastAsia" w:hAnsi="Arial Narrow" w:cstheme="majorBidi"/>
      <w:sz w:val="20"/>
      <w:szCs w:val="20"/>
      <w:lang w:bidi="en-US"/>
    </w:rPr>
  </w:style>
  <w:style w:type="character" w:customStyle="1" w:styleId="Small">
    <w:name w:val="Small"/>
    <w:basedOn w:val="DefaultParagraphFont"/>
    <w:uiPriority w:val="4"/>
    <w:qFormat/>
    <w:rsid w:val="00501C4A"/>
    <w:rPr>
      <w:rFonts w:ascii="Arial Narrow" w:hAnsi="Arial Narrow" w:hint="default"/>
      <w:sz w:val="20"/>
    </w:rPr>
  </w:style>
  <w:style w:type="paragraph" w:customStyle="1" w:styleId="TableHeading0">
    <w:name w:val="Table Heading"/>
    <w:basedOn w:val="Normal"/>
    <w:qFormat/>
    <w:rsid w:val="00501C4A"/>
    <w:pPr>
      <w:keepNext/>
      <w:spacing w:after="60"/>
      <w:jc w:val="left"/>
    </w:pPr>
    <w:rPr>
      <w:rFonts w:ascii="Arial Narrow" w:eastAsiaTheme="minorHAnsi" w:hAnsi="Arial Narrow" w:cstheme="minorBidi"/>
      <w:b/>
      <w:sz w:val="20"/>
      <w:szCs w:val="22"/>
      <w:lang w:eastAsia="en-US"/>
    </w:rPr>
  </w:style>
  <w:style w:type="character" w:customStyle="1" w:styleId="Heading1Char">
    <w:name w:val="Heading 1 Char"/>
    <w:basedOn w:val="DefaultParagraphFont"/>
    <w:link w:val="Heading1"/>
    <w:uiPriority w:val="1"/>
    <w:rsid w:val="00501C4A"/>
    <w:rPr>
      <w:rFonts w:ascii="Calibri" w:hAnsi="Calibri" w:cs="Arial"/>
      <w:b/>
      <w:caps/>
      <w:sz w:val="32"/>
      <w:szCs w:val="24"/>
    </w:rPr>
  </w:style>
  <w:style w:type="character" w:customStyle="1" w:styleId="Heading3Char">
    <w:name w:val="Heading 3 Char"/>
    <w:basedOn w:val="DefaultParagraphFont"/>
    <w:link w:val="Heading3"/>
    <w:rsid w:val="00501C4A"/>
    <w:rPr>
      <w:rFonts w:ascii="Calibri" w:hAnsi="Calibri" w:cs="Arial"/>
      <w:sz w:val="24"/>
      <w:szCs w:val="24"/>
      <w:u w:val="single"/>
    </w:rPr>
  </w:style>
  <w:style w:type="character" w:customStyle="1" w:styleId="Heading4Char">
    <w:name w:val="Heading 4 Char"/>
    <w:basedOn w:val="DefaultParagraphFont"/>
    <w:link w:val="Heading4"/>
    <w:rsid w:val="00501C4A"/>
    <w:rPr>
      <w:rFonts w:ascii="Calibri" w:hAnsi="Calibri" w:cs="Arial"/>
      <w:b/>
      <w:bCs/>
      <w:i/>
      <w:sz w:val="26"/>
      <w:szCs w:val="28"/>
    </w:rPr>
  </w:style>
  <w:style w:type="character" w:customStyle="1" w:styleId="Heading5Char">
    <w:name w:val="Heading 5 Char"/>
    <w:basedOn w:val="DefaultParagraphFont"/>
    <w:link w:val="Heading5"/>
    <w:rsid w:val="00501C4A"/>
    <w:rPr>
      <w:rFonts w:ascii="Calibri" w:hAnsi="Calibri" w:cs="Arial"/>
      <w:b/>
      <w:bCs/>
      <w:iCs/>
      <w:sz w:val="26"/>
      <w:szCs w:val="26"/>
    </w:rPr>
  </w:style>
  <w:style w:type="character" w:customStyle="1" w:styleId="Heading6Char">
    <w:name w:val="Heading 6 Char"/>
    <w:basedOn w:val="DefaultParagraphFont"/>
    <w:link w:val="Heading6"/>
    <w:rsid w:val="00501C4A"/>
    <w:rPr>
      <w:rFonts w:ascii="Calibri" w:hAnsi="Calibri" w:cs="Arial"/>
      <w:b/>
      <w:bCs/>
      <w:i/>
      <w:sz w:val="24"/>
      <w:szCs w:val="24"/>
    </w:rPr>
  </w:style>
  <w:style w:type="paragraph" w:customStyle="1" w:styleId="TitleCoverPage">
    <w:name w:val="Title Cover Page"/>
    <w:basedOn w:val="Normal"/>
    <w:rsid w:val="00501C4A"/>
    <w:pPr>
      <w:jc w:val="center"/>
    </w:pPr>
    <w:rPr>
      <w:rFonts w:cs="Times New Roman"/>
      <w:b/>
      <w:sz w:val="40"/>
      <w:szCs w:val="20"/>
      <w:lang w:eastAsia="en-US"/>
    </w:rPr>
  </w:style>
  <w:style w:type="paragraph" w:customStyle="1" w:styleId="Style18ptBoldBefore12ptAfter12pt">
    <w:name w:val="Style 18 pt Bold Before:  12 pt After:  12 pt"/>
    <w:basedOn w:val="Normal"/>
    <w:uiPriority w:val="99"/>
    <w:rsid w:val="00501C4A"/>
    <w:pPr>
      <w:spacing w:after="360"/>
      <w:jc w:val="left"/>
    </w:pPr>
    <w:rPr>
      <w:rFonts w:cs="Times New Roman"/>
      <w:b/>
      <w:bCs/>
      <w:sz w:val="36"/>
      <w:szCs w:val="20"/>
      <w:lang w:eastAsia="en-US"/>
    </w:rPr>
  </w:style>
  <w:style w:type="character" w:styleId="EndnoteReference">
    <w:name w:val="endnote reference"/>
    <w:basedOn w:val="DefaultParagraphFont"/>
    <w:rsid w:val="00501C4A"/>
    <w:rPr>
      <w:vertAlign w:val="superscript"/>
    </w:rPr>
  </w:style>
  <w:style w:type="paragraph" w:customStyle="1" w:styleId="FigureFootnote">
    <w:name w:val="Figure Footnote"/>
    <w:basedOn w:val="Normal"/>
    <w:next w:val="Normal"/>
    <w:rsid w:val="00501C4A"/>
    <w:pPr>
      <w:tabs>
        <w:tab w:val="left" w:pos="284"/>
      </w:tabs>
      <w:jc w:val="left"/>
    </w:pPr>
    <w:rPr>
      <w:rFonts w:cs="Times New Roman"/>
      <w:sz w:val="16"/>
      <w:szCs w:val="20"/>
      <w:lang w:eastAsia="en-US"/>
    </w:rPr>
  </w:style>
  <w:style w:type="character" w:customStyle="1" w:styleId="SmallHighlight">
    <w:name w:val="Small Highlight"/>
    <w:basedOn w:val="DefaultParagraphFont"/>
    <w:uiPriority w:val="1"/>
    <w:qFormat/>
    <w:rsid w:val="00501C4A"/>
    <w:rPr>
      <w:rFonts w:ascii="Calibri" w:hAnsi="Calibri"/>
      <w:sz w:val="20"/>
      <w:bdr w:val="none" w:sz="0" w:space="0" w:color="auto"/>
      <w:shd w:val="clear" w:color="auto" w:fill="FFFF00"/>
    </w:rPr>
  </w:style>
  <w:style w:type="paragraph" w:customStyle="1" w:styleId="CaptionFigure">
    <w:name w:val="Caption Figure"/>
    <w:basedOn w:val="Caption"/>
    <w:next w:val="Normal"/>
    <w:autoRedefine/>
    <w:rsid w:val="00501C4A"/>
    <w:pPr>
      <w:keepNext/>
      <w:spacing w:after="60"/>
      <w:ind w:left="1418" w:hanging="1418"/>
      <w:jc w:val="left"/>
    </w:pPr>
    <w:rPr>
      <w:rFonts w:ascii="Arial Narrow" w:hAnsi="Arial Narrow" w:cs="Times New Roman"/>
      <w:color w:val="auto"/>
      <w:sz w:val="20"/>
      <w:szCs w:val="22"/>
      <w:lang w:eastAsia="en-US"/>
    </w:rPr>
  </w:style>
  <w:style w:type="paragraph" w:customStyle="1" w:styleId="bulletlevel1">
    <w:name w:val="bullet level 1"/>
    <w:basedOn w:val="Normal"/>
    <w:link w:val="bulletlevel1Char"/>
    <w:rsid w:val="00501C4A"/>
    <w:pPr>
      <w:numPr>
        <w:numId w:val="3"/>
      </w:numPr>
      <w:tabs>
        <w:tab w:val="clear" w:pos="567"/>
        <w:tab w:val="num" w:pos="426"/>
      </w:tabs>
      <w:ind w:left="426" w:hanging="426"/>
      <w:jc w:val="left"/>
    </w:pPr>
    <w:rPr>
      <w:rFonts w:cs="Times New Roman"/>
      <w:sz w:val="22"/>
      <w:szCs w:val="22"/>
      <w:lang w:eastAsia="en-US"/>
    </w:rPr>
  </w:style>
  <w:style w:type="character" w:customStyle="1" w:styleId="bulletlevel1Char">
    <w:name w:val="bullet level 1 Char"/>
    <w:basedOn w:val="DefaultParagraphFont"/>
    <w:link w:val="bulletlevel1"/>
    <w:rsid w:val="00501C4A"/>
    <w:rPr>
      <w:rFonts w:ascii="Calibri" w:hAnsi="Calibri"/>
      <w:sz w:val="22"/>
      <w:szCs w:val="22"/>
      <w:lang w:eastAsia="en-US"/>
    </w:rPr>
  </w:style>
  <w:style w:type="character" w:customStyle="1" w:styleId="UnresolvedMention1">
    <w:name w:val="Unresolved Mention1"/>
    <w:basedOn w:val="DefaultParagraphFont"/>
    <w:uiPriority w:val="99"/>
    <w:semiHidden/>
    <w:unhideWhenUsed/>
    <w:rsid w:val="00501C4A"/>
    <w:rPr>
      <w:color w:val="605E5C"/>
      <w:shd w:val="clear" w:color="auto" w:fill="E1DFDD"/>
    </w:rPr>
  </w:style>
  <w:style w:type="paragraph" w:customStyle="1" w:styleId="TableTextbullet">
    <w:name w:val="Table Text bullet"/>
    <w:basedOn w:val="Normal"/>
    <w:link w:val="TableTextbulletChar"/>
    <w:autoRedefine/>
    <w:qFormat/>
    <w:rsid w:val="00501C4A"/>
    <w:pPr>
      <w:numPr>
        <w:numId w:val="4"/>
      </w:numPr>
      <w:tabs>
        <w:tab w:val="clear" w:pos="425"/>
        <w:tab w:val="num" w:pos="318"/>
      </w:tabs>
      <w:ind w:left="284" w:hanging="284"/>
      <w:jc w:val="left"/>
    </w:pPr>
    <w:rPr>
      <w:rFonts w:cs="Times New Roman"/>
      <w:sz w:val="18"/>
      <w:szCs w:val="20"/>
      <w:lang w:val="en-US" w:eastAsia="en-US"/>
    </w:rPr>
  </w:style>
  <w:style w:type="character" w:customStyle="1" w:styleId="TableTextbulletChar">
    <w:name w:val="Table Text bullet Char"/>
    <w:basedOn w:val="DefaultParagraphFont"/>
    <w:link w:val="TableTextbullet"/>
    <w:rsid w:val="00501C4A"/>
    <w:rPr>
      <w:rFonts w:ascii="Calibri" w:hAnsi="Calibri"/>
      <w:sz w:val="18"/>
      <w:lang w:val="en-US" w:eastAsia="en-US"/>
    </w:rPr>
  </w:style>
  <w:style w:type="paragraph" w:customStyle="1" w:styleId="TableSource">
    <w:name w:val="Table Source"/>
    <w:basedOn w:val="Normal"/>
    <w:next w:val="Normal"/>
    <w:link w:val="TableSourceChar"/>
    <w:qFormat/>
    <w:rsid w:val="00501C4A"/>
    <w:pPr>
      <w:tabs>
        <w:tab w:val="left" w:pos="567"/>
      </w:tabs>
      <w:ind w:left="567" w:hanging="567"/>
      <w:jc w:val="left"/>
    </w:pPr>
    <w:rPr>
      <w:rFonts w:cs="Times New Roman"/>
      <w:i/>
      <w:iCs/>
      <w:sz w:val="16"/>
      <w:szCs w:val="22"/>
      <w:lang w:eastAsia="en-US"/>
    </w:rPr>
  </w:style>
  <w:style w:type="character" w:customStyle="1" w:styleId="TableSourceChar">
    <w:name w:val="Table Source Char"/>
    <w:basedOn w:val="DefaultParagraphFont"/>
    <w:link w:val="TableSource"/>
    <w:rsid w:val="00501C4A"/>
    <w:rPr>
      <w:rFonts w:ascii="Calibri" w:hAnsi="Calibri"/>
      <w:i/>
      <w:iCs/>
      <w:sz w:val="16"/>
      <w:szCs w:val="22"/>
      <w:lang w:eastAsia="en-US"/>
    </w:rPr>
  </w:style>
  <w:style w:type="paragraph" w:customStyle="1" w:styleId="DocumentText">
    <w:name w:val="Document Text"/>
    <w:basedOn w:val="Normal"/>
    <w:link w:val="DocumentTextChar"/>
    <w:rsid w:val="00501C4A"/>
    <w:pPr>
      <w:spacing w:after="240" w:line="300" w:lineRule="auto"/>
      <w:jc w:val="left"/>
    </w:pPr>
    <w:rPr>
      <w:rFonts w:ascii="Times New Roman" w:hAnsi="Times New Roman" w:cs="Times New Roman"/>
      <w:kern w:val="24"/>
      <w:lang w:val="en-US" w:eastAsia="en-US"/>
    </w:rPr>
  </w:style>
  <w:style w:type="character" w:customStyle="1" w:styleId="DocumentTextChar">
    <w:name w:val="Document Text Char"/>
    <w:link w:val="DocumentText"/>
    <w:rsid w:val="00501C4A"/>
    <w:rPr>
      <w:kern w:val="24"/>
      <w:sz w:val="24"/>
      <w:szCs w:val="24"/>
      <w:lang w:val="en-US" w:eastAsia="en-US"/>
    </w:rPr>
  </w:style>
  <w:style w:type="paragraph" w:customStyle="1" w:styleId="Default">
    <w:name w:val="Default"/>
    <w:rsid w:val="00DA2751"/>
    <w:pPr>
      <w:autoSpaceDE w:val="0"/>
      <w:autoSpaceDN w:val="0"/>
      <w:adjustRightInd w:val="0"/>
    </w:pPr>
    <w:rPr>
      <w:rFonts w:ascii="Cambria" w:hAnsi="Cambria" w:cs="Cambria"/>
      <w:color w:val="000000"/>
      <w:sz w:val="24"/>
      <w:szCs w:val="24"/>
    </w:rPr>
  </w:style>
  <w:style w:type="paragraph" w:customStyle="1" w:styleId="3Bodytext">
    <w:name w:val="3. Body text"/>
    <w:basedOn w:val="ListParagraph"/>
    <w:qFormat/>
    <w:rsid w:val="002A20C0"/>
    <w:p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816955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8988513">
      <w:bodyDiv w:val="1"/>
      <w:marLeft w:val="0"/>
      <w:marRight w:val="0"/>
      <w:marTop w:val="0"/>
      <w:marBottom w:val="0"/>
      <w:divBdr>
        <w:top w:val="none" w:sz="0" w:space="0" w:color="auto"/>
        <w:left w:val="none" w:sz="0" w:space="0" w:color="auto"/>
        <w:bottom w:val="none" w:sz="0" w:space="0" w:color="auto"/>
        <w:right w:val="none" w:sz="0" w:space="0" w:color="auto"/>
      </w:divBdr>
    </w:div>
    <w:div w:id="569190032">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813836387">
      <w:bodyDiv w:val="1"/>
      <w:marLeft w:val="0"/>
      <w:marRight w:val="0"/>
      <w:marTop w:val="0"/>
      <w:marBottom w:val="0"/>
      <w:divBdr>
        <w:top w:val="none" w:sz="0" w:space="0" w:color="auto"/>
        <w:left w:val="none" w:sz="0" w:space="0" w:color="auto"/>
        <w:bottom w:val="none" w:sz="0" w:space="0" w:color="auto"/>
        <w:right w:val="none" w:sz="0" w:space="0" w:color="auto"/>
      </w:divBdr>
    </w:div>
    <w:div w:id="11205390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0994">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589921661">
      <w:bodyDiv w:val="1"/>
      <w:marLeft w:val="0"/>
      <w:marRight w:val="0"/>
      <w:marTop w:val="0"/>
      <w:marBottom w:val="0"/>
      <w:divBdr>
        <w:top w:val="none" w:sz="0" w:space="0" w:color="auto"/>
        <w:left w:val="none" w:sz="0" w:space="0" w:color="auto"/>
        <w:bottom w:val="none" w:sz="0" w:space="0" w:color="auto"/>
        <w:right w:val="none" w:sz="0" w:space="0" w:color="auto"/>
      </w:divBdr>
    </w:div>
    <w:div w:id="1751271590">
      <w:bodyDiv w:val="1"/>
      <w:marLeft w:val="0"/>
      <w:marRight w:val="0"/>
      <w:marTop w:val="0"/>
      <w:marBottom w:val="0"/>
      <w:divBdr>
        <w:top w:val="none" w:sz="0" w:space="0" w:color="auto"/>
        <w:left w:val="none" w:sz="0" w:space="0" w:color="auto"/>
        <w:bottom w:val="none" w:sz="0" w:space="0" w:color="auto"/>
        <w:right w:val="none" w:sz="0" w:space="0" w:color="auto"/>
      </w:divBdr>
    </w:div>
    <w:div w:id="181255851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8236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47"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eader" Target="header3.xml"/><Relationship Id="rId46"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10466</Words>
  <Characters>59156</Characters>
  <Application>Microsoft Office Word</Application>
  <DocSecurity>0</DocSecurity>
  <Lines>492</Lines>
  <Paragraphs>138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5.04	CICLOSPORIN,  Eye drops 0.1%, single dose units 0.4 mL,  Ikervis ®,  Seqiru</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Drug cost/patient/year</vt:lpstr>
      <vt:lpstr>    Estimated PBS usage &amp; financial implications</vt:lpstr>
      <vt:lpstr>PBAC Outcome</vt:lpstr>
      <vt:lpstr>Recommended listing</vt:lpstr>
      <vt:lpstr>Context for Decision</vt:lpstr>
      <vt:lpstr>Sponsor’s Comment</vt:lpstr>
    </vt:vector>
  </TitlesOfParts>
  <Company/>
  <LinksUpToDate>false</LinksUpToDate>
  <CharactersWithSpaces>69484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2021-06-30T02:52:00Z</dcterms:created>
  <dcterms:modified xsi:type="dcterms:W3CDTF">2021-06-30T03:00:00Z</dcterms:modified>
</cp:coreProperties>
</file>